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B0809B7" w:rsidR="00B60939" w:rsidRDefault="003B76F8" w:rsidP="004A6040">
      <w:pPr>
        <w:pStyle w:val="1-MainHeading"/>
      </w:pPr>
      <w:bookmarkStart w:id="0" w:name="_Toc219904420"/>
      <w:r>
        <w:t>5.06</w:t>
      </w:r>
      <w:r w:rsidR="00163F66" w:rsidRPr="0098262F">
        <w:tab/>
      </w:r>
      <w:r w:rsidR="000E7862">
        <w:t>RISPERIDONE</w:t>
      </w:r>
      <w:r w:rsidR="00163F66" w:rsidRPr="0098262F">
        <w:t>,</w:t>
      </w:r>
      <w:r w:rsidR="00420C1B">
        <w:br/>
      </w:r>
      <w:r w:rsidR="00E714F6" w:rsidRPr="00E714F6">
        <w:t xml:space="preserve">Subcutaneous injection (modified release) </w:t>
      </w:r>
      <w:r w:rsidR="00420C1B">
        <w:t xml:space="preserve">50 mg in </w:t>
      </w:r>
      <w:r w:rsidR="00672A74">
        <w:t>0.14 mL pre</w:t>
      </w:r>
      <w:r w:rsidR="002D15C9">
        <w:noBreakHyphen/>
      </w:r>
      <w:r w:rsidR="00672A74">
        <w:t>filled syringe,</w:t>
      </w:r>
      <w:r w:rsidR="00672A74">
        <w:br/>
      </w:r>
      <w:r w:rsidR="00E714F6" w:rsidRPr="00E714F6">
        <w:t xml:space="preserve">Subcutaneous injection (modified release) </w:t>
      </w:r>
      <w:r w:rsidR="00672A74">
        <w:t>75 mg in 0.</w:t>
      </w:r>
      <w:r w:rsidR="00A80AC5">
        <w:t>21</w:t>
      </w:r>
      <w:r w:rsidR="00672A74">
        <w:t xml:space="preserve"> mL pre</w:t>
      </w:r>
      <w:r w:rsidR="002D15C9">
        <w:noBreakHyphen/>
      </w:r>
      <w:r w:rsidR="00672A74">
        <w:t>filled syringe,</w:t>
      </w:r>
      <w:r w:rsidR="00672A74">
        <w:br/>
      </w:r>
      <w:r w:rsidR="00E714F6" w:rsidRPr="00E714F6">
        <w:t xml:space="preserve">Subcutaneous injection (modified release) </w:t>
      </w:r>
      <w:r w:rsidR="00672A74">
        <w:t>100 mg in 0.</w:t>
      </w:r>
      <w:r w:rsidR="00A80AC5">
        <w:t>28</w:t>
      </w:r>
      <w:r w:rsidR="00672A74">
        <w:t xml:space="preserve"> mL pre</w:t>
      </w:r>
      <w:r w:rsidR="002D15C9">
        <w:noBreakHyphen/>
      </w:r>
      <w:r w:rsidR="00672A74">
        <w:t>filled syringe,</w:t>
      </w:r>
      <w:r w:rsidR="00672A74">
        <w:br/>
      </w:r>
      <w:r w:rsidR="00E714F6" w:rsidRPr="00E714F6">
        <w:t xml:space="preserve">Subcutaneous injection (modified release) </w:t>
      </w:r>
      <w:r w:rsidR="00A80AC5">
        <w:t xml:space="preserve">125 </w:t>
      </w:r>
      <w:r w:rsidR="00672A74">
        <w:t>mg in 0.</w:t>
      </w:r>
      <w:r w:rsidR="00A80AC5">
        <w:t>35</w:t>
      </w:r>
      <w:r w:rsidR="00672A74">
        <w:t xml:space="preserve"> mL pre</w:t>
      </w:r>
      <w:r w:rsidR="002D15C9">
        <w:noBreakHyphen/>
      </w:r>
      <w:r w:rsidR="00672A74">
        <w:t>filled syringe,</w:t>
      </w:r>
      <w:r w:rsidR="00163F66" w:rsidRPr="0098262F">
        <w:br/>
      </w:r>
      <w:r w:rsidR="000E7862">
        <w:t>Uzedy</w:t>
      </w:r>
      <w:r w:rsidR="00B60939" w:rsidRPr="0098262F">
        <w:rPr>
          <w:vertAlign w:val="superscript"/>
        </w:rPr>
        <w:t>®</w:t>
      </w:r>
      <w:r w:rsidR="004A6040" w:rsidRPr="0098262F">
        <w:t>,</w:t>
      </w:r>
      <w:r w:rsidR="004A6040" w:rsidRPr="0098262F">
        <w:br/>
      </w:r>
      <w:r w:rsidR="000E7862">
        <w:t>Teva</w:t>
      </w:r>
      <w:r w:rsidR="001F3EEF">
        <w:t xml:space="preserve"> Pharma Australia Pty Lt</w:t>
      </w:r>
      <w:bookmarkEnd w:id="0"/>
      <w:r w:rsidR="00A751A4">
        <w:t>d</w:t>
      </w:r>
    </w:p>
    <w:p w14:paraId="11C00795" w14:textId="267A68ED" w:rsidR="00B50DB8" w:rsidRPr="0098262F" w:rsidRDefault="00B50DB8" w:rsidP="004A6040">
      <w:pPr>
        <w:pStyle w:val="2-SectionHeading"/>
      </w:pPr>
      <w:bookmarkStart w:id="1" w:name="_Toc219904422"/>
      <w:r w:rsidRPr="0098262F">
        <w:t xml:space="preserve">Purpose of </w:t>
      </w:r>
      <w:bookmarkEnd w:id="1"/>
      <w:r w:rsidR="00B4527B">
        <w:t>Application</w:t>
      </w:r>
    </w:p>
    <w:p w14:paraId="19414AA1" w14:textId="0F942E84" w:rsidR="002C2775" w:rsidRPr="0098262F" w:rsidRDefault="007170DA" w:rsidP="004E18E9">
      <w:pPr>
        <w:pStyle w:val="3-BodyText"/>
      </w:pPr>
      <w:r w:rsidRPr="0098262F">
        <w:t xml:space="preserve">The </w:t>
      </w:r>
      <w:r w:rsidR="00F73E08" w:rsidRPr="0098262F">
        <w:t xml:space="preserve">Category </w:t>
      </w:r>
      <w:r w:rsidR="000E7862">
        <w:t>2</w:t>
      </w:r>
      <w:r w:rsidR="00F73E08" w:rsidRPr="0098262F">
        <w:t xml:space="preserve"> </w:t>
      </w:r>
      <w:r w:rsidRPr="0098262F">
        <w:t xml:space="preserve">submission requested </w:t>
      </w:r>
      <w:r w:rsidR="00D01270">
        <w:t xml:space="preserve">the </w:t>
      </w:r>
      <w:r w:rsidR="00545F9D">
        <w:t>General Schedule (s</w:t>
      </w:r>
      <w:r w:rsidR="00C97B22">
        <w:t xml:space="preserve">ection </w:t>
      </w:r>
      <w:r w:rsidR="00545F9D">
        <w:t xml:space="preserve">85) </w:t>
      </w:r>
      <w:r w:rsidR="008B1757" w:rsidRPr="0098262F">
        <w:t>Authority Required</w:t>
      </w:r>
      <w:r w:rsidR="00E35300">
        <w:t xml:space="preserve"> (Streamlined) </w:t>
      </w:r>
      <w:r w:rsidR="008B1757" w:rsidRPr="0098262F">
        <w:t xml:space="preserve">listing </w:t>
      </w:r>
      <w:r w:rsidR="00D01270">
        <w:t>of</w:t>
      </w:r>
      <w:r w:rsidR="00D01270" w:rsidRPr="0098262F">
        <w:t xml:space="preserve"> </w:t>
      </w:r>
      <w:r w:rsidR="00E35300">
        <w:t xml:space="preserve">risperidone </w:t>
      </w:r>
      <w:r w:rsidR="002C6005">
        <w:t xml:space="preserve">modified </w:t>
      </w:r>
      <w:r w:rsidR="00E35300">
        <w:t xml:space="preserve">release </w:t>
      </w:r>
      <w:r w:rsidR="002C6005">
        <w:t xml:space="preserve">subcutaneous </w:t>
      </w:r>
      <w:r w:rsidR="005660DF">
        <w:t xml:space="preserve">(MRSC) </w:t>
      </w:r>
      <w:r w:rsidR="002C6005">
        <w:t>injection (Uzedy®)</w:t>
      </w:r>
      <w:r w:rsidR="00E35300">
        <w:t xml:space="preserve"> for </w:t>
      </w:r>
      <w:r w:rsidR="0050174E" w:rsidRPr="0098262F">
        <w:t xml:space="preserve">the </w:t>
      </w:r>
      <w:r w:rsidR="008B1757" w:rsidRPr="0098262F">
        <w:t xml:space="preserve">treatment of </w:t>
      </w:r>
      <w:r w:rsidR="00E35300">
        <w:t>adult patients with schizophrenia.</w:t>
      </w:r>
    </w:p>
    <w:p w14:paraId="4E9FBCB5" w14:textId="10627ACA" w:rsidR="00C2778B" w:rsidRDefault="00A9490B" w:rsidP="004E18E9">
      <w:pPr>
        <w:pStyle w:val="3-BodyText"/>
      </w:pPr>
      <w:r>
        <w:t>The submission presented a cost</w:t>
      </w:r>
      <w:r w:rsidR="002D15C9">
        <w:noBreakHyphen/>
      </w:r>
      <w:r>
        <w:t xml:space="preserve">minimisation approach </w:t>
      </w:r>
      <w:r w:rsidR="00CB15A3">
        <w:t xml:space="preserve">and </w:t>
      </w:r>
      <w:r>
        <w:t xml:space="preserve">nominated </w:t>
      </w:r>
      <w:r w:rsidR="00E35300">
        <w:t>paliperidone</w:t>
      </w:r>
      <w:r w:rsidR="009D7ABD">
        <w:t xml:space="preserve"> 1</w:t>
      </w:r>
      <w:r w:rsidR="002D15C9">
        <w:noBreakHyphen/>
      </w:r>
      <w:r w:rsidR="009D7ABD">
        <w:t>monthly</w:t>
      </w:r>
      <w:r w:rsidR="005C5AE2">
        <w:t xml:space="preserve"> </w:t>
      </w:r>
      <w:r w:rsidR="001C65F5">
        <w:t xml:space="preserve">intramuscular (IM) </w:t>
      </w:r>
      <w:r w:rsidR="005E18D9">
        <w:t>long</w:t>
      </w:r>
      <w:r w:rsidR="002D15C9">
        <w:noBreakHyphen/>
      </w:r>
      <w:r w:rsidR="005E18D9">
        <w:t xml:space="preserve">acting </w:t>
      </w:r>
      <w:r w:rsidR="00863CA8">
        <w:t>injection (LAI</w:t>
      </w:r>
      <w:r w:rsidR="001C65F5">
        <w:t>, PP1M)</w:t>
      </w:r>
      <w:r w:rsidR="00E35300">
        <w:t xml:space="preserve"> and aripiprazole</w:t>
      </w:r>
      <w:r w:rsidR="00A75341">
        <w:t xml:space="preserve"> </w:t>
      </w:r>
      <w:r w:rsidR="0074366C">
        <w:t>1</w:t>
      </w:r>
      <w:r w:rsidR="002D15C9">
        <w:noBreakHyphen/>
      </w:r>
      <w:r w:rsidR="0074366C">
        <w:t xml:space="preserve">monthly </w:t>
      </w:r>
      <w:r w:rsidR="001A6F17">
        <w:t>IM LAI (</w:t>
      </w:r>
      <w:r w:rsidR="007D37F7">
        <w:t>A1M</w:t>
      </w:r>
      <w:r w:rsidR="001A6F17">
        <w:t>)</w:t>
      </w:r>
      <w:r w:rsidR="00107E8F">
        <w:t xml:space="preserve"> as primary comparators</w:t>
      </w:r>
      <w:r w:rsidR="00383610">
        <w:t>,</w:t>
      </w:r>
      <w:r w:rsidR="00E35300">
        <w:t xml:space="preserve"> and risperidone 2</w:t>
      </w:r>
      <w:r w:rsidR="002D15C9">
        <w:noBreakHyphen/>
      </w:r>
      <w:r w:rsidR="00E35300">
        <w:t>weekly</w:t>
      </w:r>
      <w:r w:rsidR="00D67BC2">
        <w:t xml:space="preserve"> IM LAI</w:t>
      </w:r>
      <w:r w:rsidR="00633D4A">
        <w:t xml:space="preserve"> (</w:t>
      </w:r>
      <w:r w:rsidR="000E73DA">
        <w:t>R2W</w:t>
      </w:r>
      <w:r w:rsidR="00B369BC">
        <w:t>IM</w:t>
      </w:r>
      <w:r w:rsidR="00633D4A">
        <w:t>)</w:t>
      </w:r>
      <w:r w:rsidR="00E35300">
        <w:t xml:space="preserve"> and</w:t>
      </w:r>
      <w:r w:rsidR="00503501">
        <w:t xml:space="preserve"> risperidone</w:t>
      </w:r>
      <w:r w:rsidR="00E35300">
        <w:t xml:space="preserve"> 4</w:t>
      </w:r>
      <w:r w:rsidR="002D15C9">
        <w:noBreakHyphen/>
      </w:r>
      <w:r w:rsidR="00E35300">
        <w:t>weekly</w:t>
      </w:r>
      <w:r w:rsidR="00503501">
        <w:t xml:space="preserve"> in</w:t>
      </w:r>
      <w:r w:rsidR="002D15C9">
        <w:noBreakHyphen/>
      </w:r>
      <w:r w:rsidR="00503501">
        <w:t>situ microparticles (ISM)</w:t>
      </w:r>
      <w:r w:rsidR="00E35300">
        <w:t xml:space="preserve"> </w:t>
      </w:r>
      <w:r w:rsidR="00651B22">
        <w:t xml:space="preserve">IM </w:t>
      </w:r>
      <w:r w:rsidR="00383610">
        <w:t>LAI</w:t>
      </w:r>
      <w:r w:rsidR="00D810EB">
        <w:t xml:space="preserve"> </w:t>
      </w:r>
      <w:r w:rsidR="00A87E73">
        <w:t>(</w:t>
      </w:r>
      <w:r w:rsidR="004D53F1">
        <w:t>R4WIM</w:t>
      </w:r>
      <w:r w:rsidR="00A87E73">
        <w:t>)</w:t>
      </w:r>
      <w:r w:rsidR="007F5FCA">
        <w:t xml:space="preserve"> as secondary comparators</w:t>
      </w:r>
      <w:r w:rsidR="00E35300">
        <w:t>.</w:t>
      </w:r>
    </w:p>
    <w:p w14:paraId="3718DE61" w14:textId="0776AFD9" w:rsidR="008B1757" w:rsidRPr="0098262F" w:rsidRDefault="00696EF9" w:rsidP="004A6040">
      <w:pPr>
        <w:pStyle w:val="TableFigureHeading"/>
        <w:rPr>
          <w:rStyle w:val="CommentReference"/>
          <w:b/>
          <w:szCs w:val="24"/>
        </w:rPr>
      </w:pPr>
      <w:r w:rsidRPr="0098262F">
        <w:t xml:space="preserve">Table </w:t>
      </w:r>
      <w:fldSimple w:instr=" SEQ Table \* ARABIC ">
        <w:r w:rsidR="002D15C9">
          <w:rPr>
            <w:noProof/>
          </w:rPr>
          <w:t>1</w:t>
        </w:r>
      </w:fldSimple>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6"/>
        <w:gridCol w:w="7351"/>
      </w:tblGrid>
      <w:tr w:rsidR="008B1757" w:rsidRPr="0098262F" w14:paraId="569F5103" w14:textId="77777777" w:rsidTr="002A2ADE">
        <w:trPr>
          <w:cantSplit/>
          <w:tblHeader/>
        </w:trPr>
        <w:tc>
          <w:tcPr>
            <w:tcW w:w="924" w:type="pct"/>
          </w:tcPr>
          <w:p w14:paraId="501803FB" w14:textId="77777777" w:rsidR="008B1757" w:rsidRPr="0098262F" w:rsidRDefault="008B1757" w:rsidP="00900AB0">
            <w:pPr>
              <w:pStyle w:val="In-tableHeading"/>
              <w:rPr>
                <w:szCs w:val="20"/>
              </w:rPr>
            </w:pPr>
            <w:r w:rsidRPr="0098262F">
              <w:t>Component</w:t>
            </w:r>
          </w:p>
        </w:tc>
        <w:tc>
          <w:tcPr>
            <w:tcW w:w="4076" w:type="pct"/>
          </w:tcPr>
          <w:p w14:paraId="445D9EBB" w14:textId="77777777" w:rsidR="008B1757" w:rsidRPr="0098262F" w:rsidRDefault="008B1757" w:rsidP="00900AB0">
            <w:pPr>
              <w:pStyle w:val="In-tableHeading"/>
            </w:pPr>
            <w:r w:rsidRPr="0098262F">
              <w:t>Description</w:t>
            </w:r>
          </w:p>
        </w:tc>
      </w:tr>
      <w:tr w:rsidR="008B1757" w:rsidRPr="0098262F" w14:paraId="2EB546E2" w14:textId="77777777" w:rsidTr="002A2ADE">
        <w:trPr>
          <w:cantSplit/>
        </w:trPr>
        <w:tc>
          <w:tcPr>
            <w:tcW w:w="924" w:type="pct"/>
          </w:tcPr>
          <w:p w14:paraId="38F3BB34" w14:textId="77777777" w:rsidR="008B1757" w:rsidRPr="0098262F" w:rsidRDefault="008B1757" w:rsidP="009826C7">
            <w:pPr>
              <w:pStyle w:val="TableText"/>
            </w:pPr>
            <w:r w:rsidRPr="0098262F">
              <w:t>Population</w:t>
            </w:r>
          </w:p>
        </w:tc>
        <w:tc>
          <w:tcPr>
            <w:tcW w:w="4076" w:type="pct"/>
          </w:tcPr>
          <w:p w14:paraId="79618EEE" w14:textId="06FA9A42" w:rsidR="00233C01" w:rsidRPr="0098262F" w:rsidRDefault="00CE3971" w:rsidP="009826C7">
            <w:pPr>
              <w:pStyle w:val="TableText"/>
            </w:pPr>
            <w:r>
              <w:t>Adult patients with schizophrenia</w:t>
            </w:r>
          </w:p>
        </w:tc>
      </w:tr>
      <w:tr w:rsidR="008B1757" w:rsidRPr="0098262F" w14:paraId="0CA523AF" w14:textId="77777777" w:rsidTr="002A2ADE">
        <w:trPr>
          <w:cantSplit/>
        </w:trPr>
        <w:tc>
          <w:tcPr>
            <w:tcW w:w="924" w:type="pct"/>
          </w:tcPr>
          <w:p w14:paraId="7B6D20D8" w14:textId="77777777" w:rsidR="008B1757" w:rsidRPr="0098262F" w:rsidRDefault="008B1757" w:rsidP="009826C7">
            <w:pPr>
              <w:pStyle w:val="TableText"/>
            </w:pPr>
            <w:r w:rsidRPr="0098262F">
              <w:t>Intervention</w:t>
            </w:r>
          </w:p>
        </w:tc>
        <w:tc>
          <w:tcPr>
            <w:tcW w:w="4076" w:type="pct"/>
          </w:tcPr>
          <w:p w14:paraId="2491E905" w14:textId="72BE42ED" w:rsidR="00233C01" w:rsidRPr="0098262F" w:rsidRDefault="00CE3971" w:rsidP="009826C7">
            <w:pPr>
              <w:pStyle w:val="TableText"/>
            </w:pPr>
            <w:r>
              <w:t>Risperidone extended</w:t>
            </w:r>
            <w:r w:rsidR="002D15C9">
              <w:noBreakHyphen/>
            </w:r>
            <w:r>
              <w:t>release suspension for injection, 50</w:t>
            </w:r>
            <w:r w:rsidR="002F16A6">
              <w:t xml:space="preserve"> mg</w:t>
            </w:r>
            <w:r>
              <w:t>, 75</w:t>
            </w:r>
            <w:r w:rsidR="002F16A6">
              <w:t xml:space="preserve"> mg</w:t>
            </w:r>
            <w:r>
              <w:t>, 100</w:t>
            </w:r>
            <w:r w:rsidR="002F16A6">
              <w:t xml:space="preserve"> mg</w:t>
            </w:r>
            <w:r>
              <w:t>, 125</w:t>
            </w:r>
            <w:r w:rsidR="002F16A6">
              <w:t xml:space="preserve"> </w:t>
            </w:r>
            <w:r>
              <w:t>mg</w:t>
            </w:r>
          </w:p>
        </w:tc>
      </w:tr>
      <w:tr w:rsidR="008B1757" w:rsidRPr="0098262F" w14:paraId="0F81EBE4" w14:textId="77777777" w:rsidTr="002A2ADE">
        <w:trPr>
          <w:cantSplit/>
        </w:trPr>
        <w:tc>
          <w:tcPr>
            <w:tcW w:w="924" w:type="pct"/>
          </w:tcPr>
          <w:p w14:paraId="3656B343" w14:textId="77777777" w:rsidR="008B1757" w:rsidRPr="0098262F" w:rsidRDefault="008B1757" w:rsidP="009826C7">
            <w:pPr>
              <w:pStyle w:val="TableText"/>
            </w:pPr>
            <w:r w:rsidRPr="0098262F">
              <w:t>Comparator</w:t>
            </w:r>
          </w:p>
        </w:tc>
        <w:tc>
          <w:tcPr>
            <w:tcW w:w="4076" w:type="pct"/>
          </w:tcPr>
          <w:p w14:paraId="319211C2" w14:textId="73D7F4D5" w:rsidR="00233C01" w:rsidRDefault="00CE3971" w:rsidP="009826C7">
            <w:pPr>
              <w:pStyle w:val="TableText"/>
            </w:pPr>
            <w:r w:rsidRPr="002F16A6">
              <w:rPr>
                <w:b/>
              </w:rPr>
              <w:t>Primary</w:t>
            </w:r>
            <w:r>
              <w:t xml:space="preserve">: </w:t>
            </w:r>
            <w:r w:rsidR="00E93BEE">
              <w:t>PP1M</w:t>
            </w:r>
            <w:r>
              <w:t xml:space="preserve"> and </w:t>
            </w:r>
            <w:r w:rsidR="007D37F7">
              <w:t>A1M</w:t>
            </w:r>
          </w:p>
          <w:p w14:paraId="3727DE24" w14:textId="30131A65" w:rsidR="00CE3971" w:rsidRPr="0098262F" w:rsidRDefault="00CE3971" w:rsidP="009826C7">
            <w:pPr>
              <w:pStyle w:val="TableText"/>
            </w:pPr>
            <w:r w:rsidRPr="002F16A6">
              <w:rPr>
                <w:b/>
              </w:rPr>
              <w:t>Secondary</w:t>
            </w:r>
            <w:r>
              <w:t xml:space="preserve">: </w:t>
            </w:r>
            <w:r w:rsidR="00E93BEE">
              <w:t>R2WIM</w:t>
            </w:r>
            <w:r w:rsidR="00E35300">
              <w:t xml:space="preserve"> </w:t>
            </w:r>
            <w:r>
              <w:t xml:space="preserve">and </w:t>
            </w:r>
            <w:r w:rsidR="00E93BEE">
              <w:t>R4WIM</w:t>
            </w:r>
          </w:p>
        </w:tc>
      </w:tr>
      <w:tr w:rsidR="008B1757" w:rsidRPr="0098262F" w14:paraId="02F86F0D" w14:textId="77777777" w:rsidTr="002A2ADE">
        <w:trPr>
          <w:cantSplit/>
        </w:trPr>
        <w:tc>
          <w:tcPr>
            <w:tcW w:w="924" w:type="pct"/>
          </w:tcPr>
          <w:p w14:paraId="06433105" w14:textId="77777777" w:rsidR="008B1757" w:rsidRPr="0098262F" w:rsidRDefault="008B1757" w:rsidP="009826C7">
            <w:pPr>
              <w:pStyle w:val="TableText"/>
            </w:pPr>
            <w:r w:rsidRPr="0098262F">
              <w:t>Outcomes</w:t>
            </w:r>
          </w:p>
        </w:tc>
        <w:tc>
          <w:tcPr>
            <w:tcW w:w="4076" w:type="pct"/>
          </w:tcPr>
          <w:p w14:paraId="5ABC4037" w14:textId="570A8939" w:rsidR="00233C01" w:rsidRPr="0098262F" w:rsidRDefault="00981B1A" w:rsidP="009826C7">
            <w:pPr>
              <w:pStyle w:val="TableText"/>
              <w:rPr>
                <w:bCs w:val="0"/>
                <w:color w:val="0066FF"/>
              </w:rPr>
            </w:pPr>
            <w:r w:rsidRPr="00981B1A">
              <w:t>Time to impending relapse, relapse rate, change from baseline in positive and negative syndrome</w:t>
            </w:r>
            <w:r w:rsidR="009523CB">
              <w:t xml:space="preserve"> scale</w:t>
            </w:r>
            <w:r w:rsidRPr="00981B1A">
              <w:t xml:space="preserve"> (PANSS) total score and adverse events.</w:t>
            </w:r>
          </w:p>
        </w:tc>
      </w:tr>
      <w:tr w:rsidR="008B1757" w:rsidRPr="0098262F" w14:paraId="22223890" w14:textId="77777777" w:rsidTr="002A2ADE">
        <w:trPr>
          <w:cantSplit/>
        </w:trPr>
        <w:tc>
          <w:tcPr>
            <w:tcW w:w="924" w:type="pct"/>
          </w:tcPr>
          <w:p w14:paraId="0FC8FCE0" w14:textId="77777777" w:rsidR="008B1757" w:rsidRPr="0098262F" w:rsidRDefault="008B1757" w:rsidP="009826C7">
            <w:pPr>
              <w:pStyle w:val="TableText"/>
            </w:pPr>
            <w:r w:rsidRPr="0098262F">
              <w:t>Clinical claim</w:t>
            </w:r>
          </w:p>
        </w:tc>
        <w:tc>
          <w:tcPr>
            <w:tcW w:w="4076" w:type="pct"/>
          </w:tcPr>
          <w:p w14:paraId="2C99C4DE" w14:textId="05EF5590" w:rsidR="00233C01" w:rsidRPr="0098262F" w:rsidRDefault="000A28DE" w:rsidP="009826C7">
            <w:pPr>
              <w:pStyle w:val="TableText"/>
            </w:pPr>
            <w:r>
              <w:t>MRSC risperidone</w:t>
            </w:r>
            <w:r w:rsidR="00981B1A" w:rsidRPr="00981B1A">
              <w:t xml:space="preserve"> is non</w:t>
            </w:r>
            <w:r w:rsidR="002D15C9">
              <w:noBreakHyphen/>
            </w:r>
            <w:r w:rsidR="00981B1A" w:rsidRPr="00981B1A">
              <w:t xml:space="preserve">inferior to </w:t>
            </w:r>
            <w:r w:rsidR="004561A1">
              <w:t xml:space="preserve">PP1M and </w:t>
            </w:r>
            <w:r w:rsidR="007D37F7">
              <w:t>A1M</w:t>
            </w:r>
            <w:r w:rsidR="00981B1A" w:rsidRPr="00981B1A">
              <w:t xml:space="preserve">. Indirectly via </w:t>
            </w:r>
            <w:r w:rsidR="00D90693">
              <w:t>PP1M</w:t>
            </w:r>
            <w:r w:rsidR="00AE1FF1">
              <w:t xml:space="preserve">, </w:t>
            </w:r>
            <w:r w:rsidR="00D90693">
              <w:t>RMSC risperidone</w:t>
            </w:r>
            <w:r w:rsidR="00D90693" w:rsidRPr="00981B1A">
              <w:t xml:space="preserve"> </w:t>
            </w:r>
            <w:r w:rsidR="00981B1A" w:rsidRPr="00981B1A">
              <w:t>is non</w:t>
            </w:r>
            <w:r w:rsidR="002D15C9">
              <w:noBreakHyphen/>
            </w:r>
            <w:r w:rsidR="00981B1A" w:rsidRPr="00981B1A">
              <w:t xml:space="preserve">inferior to </w:t>
            </w:r>
            <w:r w:rsidR="00D90693">
              <w:t>R2WIM</w:t>
            </w:r>
            <w:r w:rsidR="00981B1A" w:rsidRPr="00981B1A">
              <w:t xml:space="preserve"> and </w:t>
            </w:r>
            <w:r w:rsidR="00D90693">
              <w:t>R4WIM</w:t>
            </w:r>
            <w:r w:rsidR="00981B1A" w:rsidRPr="00981B1A">
              <w:t>.</w:t>
            </w:r>
          </w:p>
        </w:tc>
      </w:tr>
      <w:tr w:rsidR="00E35300" w:rsidRPr="0098262F" w14:paraId="4A8627C9" w14:textId="77777777" w:rsidTr="002A2ADE">
        <w:trPr>
          <w:cantSplit/>
        </w:trPr>
        <w:tc>
          <w:tcPr>
            <w:tcW w:w="924" w:type="pct"/>
          </w:tcPr>
          <w:p w14:paraId="7C4DD8D2" w14:textId="41F34A21" w:rsidR="00E35300" w:rsidRPr="0098262F" w:rsidRDefault="00E35300" w:rsidP="009826C7">
            <w:pPr>
              <w:pStyle w:val="TableText"/>
            </w:pPr>
            <w:r>
              <w:t>Economic claim</w:t>
            </w:r>
          </w:p>
        </w:tc>
        <w:tc>
          <w:tcPr>
            <w:tcW w:w="4076" w:type="pct"/>
          </w:tcPr>
          <w:p w14:paraId="5183DB70" w14:textId="51C84B15" w:rsidR="00E35300" w:rsidRDefault="00D90693" w:rsidP="009826C7">
            <w:pPr>
              <w:pStyle w:val="TableText"/>
              <w:rPr>
                <w:bCs w:val="0"/>
              </w:rPr>
            </w:pPr>
            <w:r>
              <w:t>MRSC risperidone</w:t>
            </w:r>
            <w:r w:rsidR="00E35300" w:rsidRPr="00254F6B">
              <w:t xml:space="preserve"> is cost</w:t>
            </w:r>
            <w:r w:rsidR="002D15C9">
              <w:noBreakHyphen/>
            </w:r>
            <w:r w:rsidR="00E35300" w:rsidRPr="00254F6B">
              <w:t>minimised to the least expensive cost comparator (</w:t>
            </w:r>
            <w:r>
              <w:t>PP1M</w:t>
            </w:r>
            <w:r w:rsidR="00E35300" w:rsidRPr="00254F6B">
              <w:t>).</w:t>
            </w:r>
          </w:p>
        </w:tc>
      </w:tr>
      <w:tr w:rsidR="00E35300" w:rsidRPr="0098262F" w14:paraId="1F57D918" w14:textId="77777777" w:rsidTr="002A2ADE">
        <w:trPr>
          <w:cantSplit/>
        </w:trPr>
        <w:tc>
          <w:tcPr>
            <w:tcW w:w="924" w:type="pct"/>
          </w:tcPr>
          <w:p w14:paraId="4049917D" w14:textId="068CAD43" w:rsidR="00E35300" w:rsidRDefault="00E35300" w:rsidP="009826C7">
            <w:pPr>
              <w:pStyle w:val="TableText"/>
            </w:pPr>
            <w:r>
              <w:t>Financials</w:t>
            </w:r>
          </w:p>
        </w:tc>
        <w:tc>
          <w:tcPr>
            <w:tcW w:w="4076" w:type="pct"/>
          </w:tcPr>
          <w:p w14:paraId="615F47F1" w14:textId="614D90CF" w:rsidR="00E35300" w:rsidRDefault="00E35300" w:rsidP="009826C7">
            <w:pPr>
              <w:pStyle w:val="TableText"/>
            </w:pPr>
            <w:r w:rsidRPr="00254F6B">
              <w:t>The listing is expected to be cost saving to the PBS and MBS.</w:t>
            </w:r>
          </w:p>
        </w:tc>
      </w:tr>
    </w:tbl>
    <w:p w14:paraId="4228F0E7" w14:textId="07FA0E86" w:rsidR="00B14F17" w:rsidRDefault="008B1757" w:rsidP="00B14F17">
      <w:pPr>
        <w:pStyle w:val="FooterTableFigure"/>
      </w:pPr>
      <w:r w:rsidRPr="0098262F">
        <w:t>Source: Table</w:t>
      </w:r>
      <w:r w:rsidR="00E35300">
        <w:t xml:space="preserve"> 1.1</w:t>
      </w:r>
      <w:r w:rsidRPr="0098262F">
        <w:t>, p</w:t>
      </w:r>
      <w:r w:rsidR="00E35300">
        <w:t>16</w:t>
      </w:r>
      <w:r w:rsidRPr="0098262F">
        <w:t xml:space="preserve"> of the submission.</w:t>
      </w:r>
    </w:p>
    <w:p w14:paraId="055A1DB8" w14:textId="40F5374C" w:rsidR="004D0152" w:rsidRPr="0098262F" w:rsidRDefault="00AC6E9B" w:rsidP="00B14F17">
      <w:pPr>
        <w:pStyle w:val="FooterTableFigure"/>
      </w:pPr>
      <w:r>
        <w:t xml:space="preserve">MRSC = modified release subcutaneous; </w:t>
      </w:r>
      <w:r w:rsidR="00860B0B">
        <w:t>PP1M = paliperidone 1</w:t>
      </w:r>
      <w:r w:rsidR="002D15C9">
        <w:noBreakHyphen/>
      </w:r>
      <w:r w:rsidR="00860B0B">
        <w:t>monthly injection</w:t>
      </w:r>
      <w:r w:rsidR="00935554">
        <w:t xml:space="preserve">; </w:t>
      </w:r>
      <w:r w:rsidR="007D37F7">
        <w:t>A1M</w:t>
      </w:r>
      <w:r w:rsidR="00935554">
        <w:t xml:space="preserve"> = aripiprazole 1</w:t>
      </w:r>
      <w:r w:rsidR="002D15C9">
        <w:noBreakHyphen/>
      </w:r>
      <w:r w:rsidR="00935554">
        <w:t>monthly injection</w:t>
      </w:r>
      <w:r w:rsidR="00134B43">
        <w:t>; R2WIM = risperidone 2</w:t>
      </w:r>
      <w:r w:rsidR="002D15C9">
        <w:noBreakHyphen/>
      </w:r>
      <w:r w:rsidR="00134B43">
        <w:t>weekly intramuscular injection; R4WIM = risperidone 4</w:t>
      </w:r>
      <w:r w:rsidR="002D15C9">
        <w:noBreakHyphen/>
      </w:r>
      <w:r w:rsidR="00134B43">
        <w:t>weekly intramuscular injection</w:t>
      </w:r>
      <w:r w:rsidR="00E27F80">
        <w:t>; PBS = Pharmaceutical Benefits Scheme; MBS = Medicare Benefits Schedule.</w:t>
      </w:r>
    </w:p>
    <w:p w14:paraId="6B4AB6C2" w14:textId="7F01D731" w:rsidR="005C25FF" w:rsidRPr="0098262F" w:rsidRDefault="005C25FF" w:rsidP="004A6040">
      <w:pPr>
        <w:pStyle w:val="2-SectionHeading"/>
      </w:pPr>
      <w:bookmarkStart w:id="2" w:name="_Toc219904423"/>
      <w:r w:rsidRPr="0098262F">
        <w:lastRenderedPageBreak/>
        <w:t>Background</w:t>
      </w:r>
      <w:bookmarkEnd w:id="2"/>
    </w:p>
    <w:p w14:paraId="2C521D6D" w14:textId="78CF03EE" w:rsidR="005C25FF" w:rsidRPr="0098262F" w:rsidRDefault="005C25FF" w:rsidP="004A6040">
      <w:pPr>
        <w:pStyle w:val="4-SubsectionHeading"/>
      </w:pPr>
      <w:bookmarkStart w:id="3" w:name="_Toc22897638"/>
      <w:bookmarkStart w:id="4" w:name="_Toc219904424"/>
      <w:r w:rsidRPr="0098262F">
        <w:t>Registration status</w:t>
      </w:r>
      <w:bookmarkEnd w:id="3"/>
      <w:bookmarkEnd w:id="4"/>
    </w:p>
    <w:p w14:paraId="5374AD55" w14:textId="11DFD401" w:rsidR="005C25FF" w:rsidRDefault="00863AED" w:rsidP="00AC4055">
      <w:pPr>
        <w:pStyle w:val="3-BodyText"/>
      </w:pPr>
      <w:r>
        <w:t>MRSC risperidone</w:t>
      </w:r>
      <w:r w:rsidR="00E35300">
        <w:t xml:space="preserve"> </w:t>
      </w:r>
      <w:r w:rsidR="005C25FF" w:rsidRPr="0098262F">
        <w:t xml:space="preserve">was </w:t>
      </w:r>
      <w:r w:rsidR="00723763">
        <w:t>Therapeutic Goods Administration (</w:t>
      </w:r>
      <w:r w:rsidR="005C25FF" w:rsidRPr="0098262F">
        <w:t>TGA</w:t>
      </w:r>
      <w:r w:rsidR="00723763">
        <w:t>)</w:t>
      </w:r>
      <w:r w:rsidR="005C25FF" w:rsidRPr="0098262F">
        <w:t xml:space="preserve"> registered on </w:t>
      </w:r>
      <w:r w:rsidR="00E35300">
        <w:t xml:space="preserve">18 February 2025 </w:t>
      </w:r>
      <w:r w:rsidR="005C25FF" w:rsidRPr="0098262F">
        <w:t xml:space="preserve">for </w:t>
      </w:r>
      <w:r w:rsidR="00E35300" w:rsidRPr="00E35300">
        <w:t>the prevention of relapse of schizophrenia in adults, following stabilisation with oral risperidone</w:t>
      </w:r>
      <w:r w:rsidR="00E35300">
        <w:t xml:space="preserve">. The </w:t>
      </w:r>
      <w:r w:rsidR="0036582C">
        <w:t xml:space="preserve">submission </w:t>
      </w:r>
      <w:r w:rsidR="00A914A4">
        <w:t>note</w:t>
      </w:r>
      <w:r w:rsidR="00B72DDF">
        <w:t>d that</w:t>
      </w:r>
      <w:r w:rsidR="00A914A4">
        <w:t xml:space="preserve"> </w:t>
      </w:r>
      <w:r w:rsidR="0052600C">
        <w:t xml:space="preserve">MRSC </w:t>
      </w:r>
      <w:r w:rsidR="00A914A4">
        <w:t>risperidone</w:t>
      </w:r>
      <w:r w:rsidR="00E35300">
        <w:t xml:space="preserve"> </w:t>
      </w:r>
      <w:r w:rsidR="00220A7F">
        <w:t>has also been</w:t>
      </w:r>
      <w:r w:rsidR="00E35300">
        <w:t xml:space="preserve"> registered in the US</w:t>
      </w:r>
      <w:r w:rsidR="00C25B5F">
        <w:t>, Korea, Canada</w:t>
      </w:r>
      <w:r w:rsidR="005A3F0C">
        <w:t>,</w:t>
      </w:r>
      <w:r w:rsidR="00C25B5F">
        <w:t xml:space="preserve"> and Brazil.</w:t>
      </w:r>
    </w:p>
    <w:p w14:paraId="2D911B50" w14:textId="04E1536C" w:rsidR="00E63B3F" w:rsidRPr="0098262F" w:rsidRDefault="00DC6A62" w:rsidP="00AC4055">
      <w:pPr>
        <w:pStyle w:val="3-BodyText"/>
      </w:pPr>
      <w:r>
        <w:t xml:space="preserve">The TGA approved </w:t>
      </w:r>
      <w:r w:rsidR="005B1F5A">
        <w:t xml:space="preserve">Product Information </w:t>
      </w:r>
      <w:r w:rsidR="005340F0">
        <w:t>(PI)</w:t>
      </w:r>
      <w:r>
        <w:t xml:space="preserve"> </w:t>
      </w:r>
      <w:r w:rsidR="005B6763">
        <w:t xml:space="preserve">stated </w:t>
      </w:r>
      <w:r>
        <w:t>that after stabilisation with oral risperidone, n</w:t>
      </w:r>
      <w:r w:rsidR="00D25C62" w:rsidRPr="00D25C62">
        <w:t>o loading dose or supplementation with oral risperidone</w:t>
      </w:r>
      <w:r w:rsidR="00FD5F84">
        <w:t xml:space="preserve"> (oral bridging)</w:t>
      </w:r>
      <w:r w:rsidR="00D25C62" w:rsidRPr="00D25C62">
        <w:t xml:space="preserve"> is required to initiate treatment with</w:t>
      </w:r>
      <w:r w:rsidR="005B1F5A">
        <w:t xml:space="preserve"> MRSC</w:t>
      </w:r>
      <w:r w:rsidR="00D25C62" w:rsidRPr="00D25C62">
        <w:t xml:space="preserve"> </w:t>
      </w:r>
      <w:r w:rsidR="008B688D">
        <w:t>risperidone.</w:t>
      </w:r>
    </w:p>
    <w:p w14:paraId="3E2A6EAB" w14:textId="469C8C0C" w:rsidR="005C25FF" w:rsidRPr="0098262F" w:rsidRDefault="005C25FF" w:rsidP="004E18E9">
      <w:pPr>
        <w:pStyle w:val="4-SubsectionHeading"/>
      </w:pPr>
      <w:bookmarkStart w:id="5" w:name="_Toc22897639"/>
      <w:bookmarkStart w:id="6" w:name="_Toc219904425"/>
      <w:r w:rsidRPr="0098262F">
        <w:t>Previous PBAC consideration</w:t>
      </w:r>
      <w:bookmarkEnd w:id="5"/>
      <w:bookmarkEnd w:id="6"/>
    </w:p>
    <w:p w14:paraId="13E420D8" w14:textId="1B73406D" w:rsidR="00A34A73" w:rsidRDefault="00A34A73" w:rsidP="00A34A73">
      <w:pPr>
        <w:pStyle w:val="3-BodyText"/>
      </w:pPr>
      <w:r>
        <w:t xml:space="preserve">The PBAC considered and listed the </w:t>
      </w:r>
      <w:r w:rsidR="00FF65EE">
        <w:t xml:space="preserve">IM </w:t>
      </w:r>
      <w:r>
        <w:t xml:space="preserve">LAI form of </w:t>
      </w:r>
      <w:r w:rsidR="00C05AF0">
        <w:t>4</w:t>
      </w:r>
      <w:r>
        <w:t xml:space="preserve"> drugs for the treatment of schizophrenia</w:t>
      </w:r>
      <w:r w:rsidR="00C05AF0">
        <w:t xml:space="preserve"> prior to this consideration</w:t>
      </w:r>
      <w:r>
        <w:t xml:space="preserve">: </w:t>
      </w:r>
      <w:r w:rsidR="00C05AF0" w:rsidRPr="00E76943">
        <w:t>aripiprazole</w:t>
      </w:r>
      <w:r w:rsidR="00C05AF0">
        <w:t xml:space="preserve">, </w:t>
      </w:r>
      <w:r w:rsidR="00C05AF0" w:rsidRPr="00E76943">
        <w:t>olanzapine</w:t>
      </w:r>
      <w:r w:rsidR="00C05AF0">
        <w:t xml:space="preserve">, </w:t>
      </w:r>
      <w:r>
        <w:t>p</w:t>
      </w:r>
      <w:r w:rsidRPr="00E76943">
        <w:t>aliperidone, and</w:t>
      </w:r>
      <w:r w:rsidR="00C05AF0">
        <w:t xml:space="preserve"> risperidone</w:t>
      </w:r>
      <w:r w:rsidRPr="00E76943">
        <w:t>.</w:t>
      </w:r>
    </w:p>
    <w:p w14:paraId="7A6742EC" w14:textId="0BA78217" w:rsidR="00140A99" w:rsidRPr="00140A99" w:rsidRDefault="00140A99" w:rsidP="002E4F02">
      <w:pPr>
        <w:pStyle w:val="3-BodyText"/>
        <w:rPr>
          <w:color w:val="0066FF"/>
        </w:rPr>
      </w:pPr>
      <w:r>
        <w:t xml:space="preserve">The PBAC </w:t>
      </w:r>
      <w:r w:rsidR="007429A3">
        <w:t xml:space="preserve">had </w:t>
      </w:r>
      <w:r>
        <w:t xml:space="preserve">not considered </w:t>
      </w:r>
      <w:r w:rsidR="008B5A21">
        <w:t>MRSC risperidone</w:t>
      </w:r>
      <w:r w:rsidR="00CC2576">
        <w:t xml:space="preserve"> </w:t>
      </w:r>
      <w:r w:rsidR="00FF65EE">
        <w:t>or any</w:t>
      </w:r>
      <w:r w:rsidR="00E524DB">
        <w:t xml:space="preserve"> subcutaneous</w:t>
      </w:r>
      <w:r w:rsidR="00FF65EE">
        <w:t xml:space="preserve"> </w:t>
      </w:r>
      <w:r w:rsidR="00E524DB">
        <w:t>(</w:t>
      </w:r>
      <w:r w:rsidR="00FF65EE">
        <w:t>SC</w:t>
      </w:r>
      <w:r w:rsidR="00E524DB">
        <w:t>)</w:t>
      </w:r>
      <w:r w:rsidR="00FF65EE">
        <w:t xml:space="preserve"> LAI for the treatment of schizophrenia </w:t>
      </w:r>
      <w:r w:rsidR="00715CC1">
        <w:t>previously</w:t>
      </w:r>
      <w:r>
        <w:t>.</w:t>
      </w:r>
    </w:p>
    <w:p w14:paraId="2A23A49F" w14:textId="29B6EAB1" w:rsidR="00140A99" w:rsidRDefault="00140A99" w:rsidP="00140A99">
      <w:pPr>
        <w:pStyle w:val="3-BodyText"/>
      </w:pPr>
      <w:r>
        <w:t xml:space="preserve">The PBAC </w:t>
      </w:r>
      <w:r w:rsidR="00276F78">
        <w:t xml:space="preserve">considered </w:t>
      </w:r>
      <w:r>
        <w:t xml:space="preserve">risperidone </w:t>
      </w:r>
      <w:r w:rsidR="00276F78">
        <w:t xml:space="preserve">most recently </w:t>
      </w:r>
      <w:r>
        <w:t>in March 2024 and recommende</w:t>
      </w:r>
      <w:r w:rsidR="00AE1FF1">
        <w:t>d</w:t>
      </w:r>
      <w:r>
        <w:t xml:space="preserve"> </w:t>
      </w:r>
      <w:r w:rsidR="00293F6F">
        <w:t xml:space="preserve">the listing of </w:t>
      </w:r>
      <w:r w:rsidR="00EB5700">
        <w:t>R4WIM</w:t>
      </w:r>
      <w:r>
        <w:t xml:space="preserve"> 75</w:t>
      </w:r>
      <w:r w:rsidR="00EB5700">
        <w:t xml:space="preserve"> </w:t>
      </w:r>
      <w:r>
        <w:t>mg and 100</w:t>
      </w:r>
      <w:r w:rsidR="00EB5700">
        <w:t xml:space="preserve"> </w:t>
      </w:r>
      <w:r>
        <w:t>mg (Okedi</w:t>
      </w:r>
      <w:r w:rsidR="00014AB3">
        <w:t>®</w:t>
      </w:r>
      <w:r>
        <w:t>).</w:t>
      </w:r>
      <w:r w:rsidR="00014AB3">
        <w:t xml:space="preserve"> Okedi was renamed to Risvan</w:t>
      </w:r>
      <w:r w:rsidR="00EB4EC4">
        <w:t>®</w:t>
      </w:r>
      <w:r w:rsidR="00AB2C5C">
        <w:t xml:space="preserve"> prior to listing on 1 January 2025.</w:t>
      </w:r>
    </w:p>
    <w:p w14:paraId="4D023BAB" w14:textId="2DC697E9" w:rsidR="00140A99" w:rsidRDefault="00140A99" w:rsidP="00970081">
      <w:pPr>
        <w:pStyle w:val="3-BodyText"/>
      </w:pPr>
      <w:r w:rsidRPr="00E76943">
        <w:t xml:space="preserve">In its consideration of </w:t>
      </w:r>
      <w:r w:rsidR="00043813">
        <w:t>R4WIM</w:t>
      </w:r>
      <w:r w:rsidRPr="00E76943">
        <w:t xml:space="preserve">, the PBAC considered that </w:t>
      </w:r>
      <w:r w:rsidR="00FD0D5D">
        <w:t>PP1M</w:t>
      </w:r>
      <w:r w:rsidR="00E76943" w:rsidRPr="00E76943">
        <w:t xml:space="preserve"> and </w:t>
      </w:r>
      <w:r w:rsidR="000D3A09">
        <w:t>R2WIM</w:t>
      </w:r>
      <w:r w:rsidR="00E76943" w:rsidRPr="00E76943">
        <w:t xml:space="preserve"> were appropriate comparators but noted that any of</w:t>
      </w:r>
      <w:r w:rsidR="00AE1FF1">
        <w:t xml:space="preserve"> </w:t>
      </w:r>
      <w:r w:rsidR="00E76943" w:rsidRPr="00E76943">
        <w:t xml:space="preserve">the following PBS listed antipsychotic </w:t>
      </w:r>
      <w:r w:rsidR="00511E78">
        <w:t>LAIs</w:t>
      </w:r>
      <w:r w:rsidR="00E76943" w:rsidRPr="00E76943">
        <w:t xml:space="preserve"> are alternative therapies: </w:t>
      </w:r>
      <w:r w:rsidR="000D3A09">
        <w:t>R2WIM</w:t>
      </w:r>
      <w:r w:rsidR="00E76943" w:rsidRPr="00E76943">
        <w:t xml:space="preserve">, paliperidone LAIs, and </w:t>
      </w:r>
      <w:r w:rsidR="007D37F7">
        <w:t>A1M</w:t>
      </w:r>
      <w:r w:rsidR="00E76943">
        <w:t xml:space="preserve"> (</w:t>
      </w:r>
      <w:r w:rsidR="002A53F9">
        <w:t xml:space="preserve">Paragraph </w:t>
      </w:r>
      <w:r w:rsidR="00E76943">
        <w:t xml:space="preserve">7.3, risperidone </w:t>
      </w:r>
      <w:r w:rsidR="00555326">
        <w:t xml:space="preserve">Public Summary Document </w:t>
      </w:r>
      <w:r w:rsidR="00534417">
        <w:t>[</w:t>
      </w:r>
      <w:r w:rsidR="00E76943">
        <w:t>PSD</w:t>
      </w:r>
      <w:r w:rsidR="00534417">
        <w:t>]</w:t>
      </w:r>
      <w:r w:rsidR="00E76943">
        <w:t>, March 2024).</w:t>
      </w:r>
      <w:r w:rsidR="00D006C7">
        <w:t xml:space="preserve"> </w:t>
      </w:r>
      <w:r w:rsidR="006A6B5C">
        <w:t xml:space="preserve">The </w:t>
      </w:r>
      <w:r w:rsidR="00970081" w:rsidRPr="00970081">
        <w:rPr>
          <w:rFonts w:ascii="Calibri" w:hAnsi="Calibri" w:cs="Calibri"/>
          <w:color w:val="000000"/>
        </w:rPr>
        <w:t xml:space="preserve">PBAC did not </w:t>
      </w:r>
      <w:r w:rsidR="00970081">
        <w:rPr>
          <w:rFonts w:ascii="Calibri" w:hAnsi="Calibri" w:cs="Calibri"/>
          <w:color w:val="000000"/>
        </w:rPr>
        <w:t>consider</w:t>
      </w:r>
      <w:r w:rsidR="00970081" w:rsidRPr="00970081">
        <w:rPr>
          <w:rFonts w:ascii="Calibri" w:hAnsi="Calibri" w:cs="Calibri"/>
          <w:color w:val="000000"/>
        </w:rPr>
        <w:t xml:space="preserve"> olanzapine LAI as an alternative therapy because post</w:t>
      </w:r>
      <w:r w:rsidR="002D15C9">
        <w:rPr>
          <w:rFonts w:ascii="Calibri" w:hAnsi="Calibri" w:cs="Calibri"/>
          <w:color w:val="000000"/>
        </w:rPr>
        <w:noBreakHyphen/>
      </w:r>
      <w:r w:rsidR="00970081" w:rsidRPr="00970081">
        <w:rPr>
          <w:rFonts w:ascii="Calibri" w:hAnsi="Calibri" w:cs="Calibri"/>
          <w:color w:val="000000"/>
        </w:rPr>
        <w:t>injection syndrome requires monitoring after administration (Paragraph 7.3, Risperidone PSD, March 2024 PBAC Meeting).</w:t>
      </w:r>
    </w:p>
    <w:p w14:paraId="1DD09ADB" w14:textId="26A2B121" w:rsidR="00A85C53" w:rsidRDefault="00582F58" w:rsidP="00582F58">
      <w:pPr>
        <w:pStyle w:val="3-BodyText"/>
      </w:pPr>
      <w:r>
        <w:t>The PBAC previously considered the equi</w:t>
      </w:r>
      <w:r w:rsidR="002D15C9">
        <w:noBreakHyphen/>
      </w:r>
      <w:r>
        <w:t>effective doses for R4WIM as:</w:t>
      </w:r>
    </w:p>
    <w:p w14:paraId="12CC1899" w14:textId="2208EF74" w:rsidR="00A85C53" w:rsidRDefault="00582F58" w:rsidP="00A85C53">
      <w:pPr>
        <w:pStyle w:val="ListParagraph"/>
        <w:ind w:left="1276"/>
      </w:pPr>
      <w:r w:rsidRPr="002671A1">
        <w:t xml:space="preserve">R4WIM 75 mg = </w:t>
      </w:r>
      <w:r w:rsidR="00A445C8">
        <w:t>R2WIM</w:t>
      </w:r>
      <w:r w:rsidRPr="002671A1">
        <w:t xml:space="preserve"> 37.5mg every 2 weeks</w:t>
      </w:r>
    </w:p>
    <w:p w14:paraId="272539DE" w14:textId="77777777" w:rsidR="00A85C53" w:rsidRDefault="00582F58" w:rsidP="00A85C53">
      <w:pPr>
        <w:pStyle w:val="ListParagraph"/>
        <w:ind w:left="1276"/>
      </w:pPr>
      <w:r w:rsidRPr="002671A1">
        <w:t>R4WIM 75 mg = PP1M 75 mg</w:t>
      </w:r>
    </w:p>
    <w:p w14:paraId="539E2E86" w14:textId="77777777" w:rsidR="00A445C8" w:rsidRDefault="00582F58" w:rsidP="00A85C53">
      <w:pPr>
        <w:pStyle w:val="ListParagraph"/>
        <w:ind w:left="1276"/>
      </w:pPr>
      <w:r w:rsidRPr="002671A1">
        <w:t>R4WIM 100 mg = R</w:t>
      </w:r>
      <w:r w:rsidR="00A445C8">
        <w:t>2WIM</w:t>
      </w:r>
      <w:r w:rsidRPr="002671A1">
        <w:t xml:space="preserve"> 50 mg every 2 weeks</w:t>
      </w:r>
    </w:p>
    <w:p w14:paraId="58295BBF" w14:textId="77777777" w:rsidR="00A445C8" w:rsidRDefault="00582F58" w:rsidP="00A85C53">
      <w:pPr>
        <w:pStyle w:val="ListParagraph"/>
        <w:ind w:left="1276"/>
      </w:pPr>
      <w:r w:rsidRPr="002671A1">
        <w:t>R4WIM 100mg = PP1M 100 mg</w:t>
      </w:r>
    </w:p>
    <w:p w14:paraId="0672B124" w14:textId="143B2531" w:rsidR="00CF29F5" w:rsidRDefault="00582F58" w:rsidP="00A445C8">
      <w:pPr>
        <w:pStyle w:val="3-BodyText"/>
      </w:pPr>
      <w:r>
        <w:t xml:space="preserve">The PBAC </w:t>
      </w:r>
      <w:r w:rsidR="00CF29F5">
        <w:t>previously</w:t>
      </w:r>
      <w:r>
        <w:t xml:space="preserve"> considered the equi</w:t>
      </w:r>
      <w:r w:rsidR="002D15C9">
        <w:noBreakHyphen/>
      </w:r>
      <w:r>
        <w:t>effective doses for A1M as</w:t>
      </w:r>
      <w:r w:rsidR="00CF29F5">
        <w:t>:</w:t>
      </w:r>
    </w:p>
    <w:p w14:paraId="25562ACF" w14:textId="6188F72A" w:rsidR="00CF29F5" w:rsidRDefault="00582F58" w:rsidP="00CF29F5">
      <w:pPr>
        <w:pStyle w:val="ListParagraph"/>
      </w:pPr>
      <w:r>
        <w:t xml:space="preserve">A1M </w:t>
      </w:r>
      <w:r w:rsidR="006366DC">
        <w:t>390</w:t>
      </w:r>
      <w:r>
        <w:t xml:space="preserve"> mg = </w:t>
      </w:r>
      <w:r w:rsidR="006366DC">
        <w:t>PP1M</w:t>
      </w:r>
      <w:r>
        <w:t xml:space="preserve"> </w:t>
      </w:r>
      <w:r w:rsidR="006366DC">
        <w:t>83 mg</w:t>
      </w:r>
    </w:p>
    <w:p w14:paraId="013014A2" w14:textId="57CC5D0E" w:rsidR="00CF29F5" w:rsidRPr="0098262F" w:rsidRDefault="00CF29F5" w:rsidP="00CF29F5">
      <w:pPr>
        <w:pStyle w:val="3-BodyText"/>
        <w:numPr>
          <w:ilvl w:val="0"/>
          <w:numId w:val="0"/>
        </w:numPr>
        <w:ind w:left="720"/>
      </w:pPr>
      <w:r w:rsidRPr="00970081">
        <w:rPr>
          <w:rFonts w:ascii="Calibri" w:hAnsi="Calibri" w:cs="Calibri"/>
          <w:color w:val="000000"/>
        </w:rPr>
        <w:t xml:space="preserve">(Paragraph </w:t>
      </w:r>
      <w:r w:rsidR="005658B6">
        <w:rPr>
          <w:rFonts w:ascii="Calibri" w:hAnsi="Calibri" w:cs="Calibri"/>
          <w:color w:val="000000"/>
        </w:rPr>
        <w:t>2.2</w:t>
      </w:r>
      <w:r w:rsidRPr="00970081">
        <w:rPr>
          <w:rFonts w:ascii="Calibri" w:hAnsi="Calibri" w:cs="Calibri"/>
          <w:color w:val="000000"/>
        </w:rPr>
        <w:t xml:space="preserve">, </w:t>
      </w:r>
      <w:r w:rsidR="005658B6">
        <w:rPr>
          <w:rFonts w:ascii="Calibri" w:hAnsi="Calibri" w:cs="Calibri"/>
          <w:color w:val="000000"/>
        </w:rPr>
        <w:t>aripiprazole</w:t>
      </w:r>
      <w:r w:rsidRPr="00970081">
        <w:rPr>
          <w:rFonts w:ascii="Calibri" w:hAnsi="Calibri" w:cs="Calibri"/>
          <w:color w:val="000000"/>
        </w:rPr>
        <w:t xml:space="preserve"> PSD, </w:t>
      </w:r>
      <w:r w:rsidR="005658B6">
        <w:rPr>
          <w:rFonts w:ascii="Calibri" w:hAnsi="Calibri" w:cs="Calibri"/>
          <w:color w:val="000000"/>
        </w:rPr>
        <w:t>July 2025</w:t>
      </w:r>
      <w:r w:rsidRPr="00970081">
        <w:rPr>
          <w:rFonts w:ascii="Calibri" w:hAnsi="Calibri" w:cs="Calibri"/>
          <w:color w:val="000000"/>
        </w:rPr>
        <w:t xml:space="preserve"> PBAC Meeting)</w:t>
      </w:r>
    </w:p>
    <w:p w14:paraId="4F0EFABF" w14:textId="11CF278D" w:rsidR="00A75695" w:rsidRDefault="00A75695">
      <w:pPr>
        <w:pStyle w:val="3-BodyText"/>
      </w:pPr>
      <w:r>
        <w:t xml:space="preserve">The PBAC </w:t>
      </w:r>
      <w:r w:rsidR="0093517F">
        <w:t>considered</w:t>
      </w:r>
      <w:r>
        <w:t xml:space="preserve"> that </w:t>
      </w:r>
      <w:r w:rsidR="0093517F">
        <w:t xml:space="preserve">the clinical need for </w:t>
      </w:r>
      <w:r w:rsidR="000B2E91">
        <w:t>R4WIM</w:t>
      </w:r>
      <w:r w:rsidR="0093517F">
        <w:t xml:space="preserve"> was low (</w:t>
      </w:r>
      <w:r w:rsidR="002A53F9">
        <w:t>P</w:t>
      </w:r>
      <w:r w:rsidR="0093517F">
        <w:t>aragraph 7.2, Risperidone PSD, March 2024 PBAC Meeting)</w:t>
      </w:r>
      <w:r w:rsidR="00135EA4">
        <w:t xml:space="preserve"> and </w:t>
      </w:r>
      <w:r w:rsidR="00135EA4" w:rsidRPr="00135EA4">
        <w:t>recommended listing on a cost</w:t>
      </w:r>
      <w:r w:rsidR="002D15C9">
        <w:noBreakHyphen/>
      </w:r>
      <w:r w:rsidR="00135EA4" w:rsidRPr="00135EA4">
        <w:t>minimisation basis to the lowest</w:t>
      </w:r>
      <w:r w:rsidR="002D15C9">
        <w:noBreakHyphen/>
      </w:r>
      <w:r w:rsidR="00135EA4" w:rsidRPr="00135EA4">
        <w:t>cost alternative therapy</w:t>
      </w:r>
      <w:r w:rsidR="00135EA4">
        <w:t xml:space="preserve"> (</w:t>
      </w:r>
      <w:r w:rsidR="005954A4">
        <w:t>Paragraph 7.1, Risperidone PSD, March 2024 PBAC Meeting</w:t>
      </w:r>
      <w:r w:rsidR="00135EA4">
        <w:t>)</w:t>
      </w:r>
      <w:r w:rsidR="0093517F">
        <w:t>.</w:t>
      </w:r>
    </w:p>
    <w:p w14:paraId="17D919EE" w14:textId="3E2FB1B9" w:rsidR="00101BC7" w:rsidRDefault="00DB0E78" w:rsidP="00AD0495">
      <w:pPr>
        <w:pStyle w:val="3-BodyText"/>
      </w:pPr>
      <w:r>
        <w:lastRenderedPageBreak/>
        <w:t xml:space="preserve">The </w:t>
      </w:r>
      <w:r w:rsidR="00200551">
        <w:t xml:space="preserve">PBAC </w:t>
      </w:r>
      <w:r w:rsidRPr="00DB0E78">
        <w:t>has previously considered that prescribers</w:t>
      </w:r>
      <w:r>
        <w:t xml:space="preserve"> </w:t>
      </w:r>
      <w:r w:rsidRPr="00DB0E78">
        <w:t xml:space="preserve">would be unlikely to initiate patients on a </w:t>
      </w:r>
      <w:r w:rsidR="00E260F9">
        <w:t>LAI</w:t>
      </w:r>
      <w:r w:rsidRPr="00DB0E78">
        <w:t xml:space="preserve"> </w:t>
      </w:r>
      <w:r w:rsidR="00D50F85">
        <w:t xml:space="preserve">without prior oral </w:t>
      </w:r>
      <w:r w:rsidR="00F52E58">
        <w:t xml:space="preserve">treatment </w:t>
      </w:r>
      <w:r w:rsidRPr="00DB0E78">
        <w:t>and</w:t>
      </w:r>
      <w:r>
        <w:t xml:space="preserve"> </w:t>
      </w:r>
      <w:r w:rsidRPr="00DB0E78">
        <w:t xml:space="preserve">therefore a listing for “schizophrenia” </w:t>
      </w:r>
      <w:r w:rsidR="00DF7DE0">
        <w:t xml:space="preserve">without </w:t>
      </w:r>
      <w:r w:rsidR="00137815">
        <w:t>specifying</w:t>
      </w:r>
      <w:r w:rsidR="007077E7">
        <w:t xml:space="preserve"> maintenance </w:t>
      </w:r>
      <w:r w:rsidR="00137815">
        <w:t>treatment</w:t>
      </w:r>
      <w:r w:rsidR="00C862D6">
        <w:t xml:space="preserve"> </w:t>
      </w:r>
      <w:r w:rsidRPr="00DB0E78">
        <w:t>is appropriate</w:t>
      </w:r>
      <w:r>
        <w:t xml:space="preserve"> (</w:t>
      </w:r>
      <w:r w:rsidR="00511E78">
        <w:t>P</w:t>
      </w:r>
      <w:r>
        <w:t>aragraph 3.2, Risperidone PSD, March 2024 PBAC Meeting).</w:t>
      </w:r>
      <w:r w:rsidR="00F84799">
        <w:t xml:space="preserve"> </w:t>
      </w:r>
      <w:r w:rsidR="004B636F">
        <w:t xml:space="preserve">The PBAC </w:t>
      </w:r>
      <w:r w:rsidR="00906C5C">
        <w:t xml:space="preserve">also noted that </w:t>
      </w:r>
      <w:r w:rsidR="000B2E91">
        <w:t>R4WIM</w:t>
      </w:r>
      <w:r w:rsidR="006F77E2">
        <w:t xml:space="preserve"> </w:t>
      </w:r>
      <w:r w:rsidR="00691C39" w:rsidRPr="00691C39">
        <w:t xml:space="preserve">does not require </w:t>
      </w:r>
      <w:r w:rsidR="00665BA4">
        <w:t>oral bridging</w:t>
      </w:r>
      <w:r w:rsidR="00691C39" w:rsidRPr="00691C39">
        <w:t xml:space="preserve"> nor loading doses</w:t>
      </w:r>
      <w:r w:rsidR="00EE275B">
        <w:t xml:space="preserve"> due to the ISM formulation</w:t>
      </w:r>
      <w:r w:rsidR="001C6574">
        <w:t xml:space="preserve">, however, </w:t>
      </w:r>
      <w:r w:rsidR="00AA0C74">
        <w:t xml:space="preserve">initiation </w:t>
      </w:r>
      <w:r w:rsidR="00801BCA">
        <w:t xml:space="preserve">of </w:t>
      </w:r>
      <w:r w:rsidR="001C6574">
        <w:t>PP1M requires loading dose</w:t>
      </w:r>
      <w:r w:rsidR="00103DF4">
        <w:t xml:space="preserve">s </w:t>
      </w:r>
      <w:r w:rsidR="00AA0C74">
        <w:t>on day 1 and 8 in paliperidone naïve patients</w:t>
      </w:r>
      <w:r w:rsidR="00634498">
        <w:t>,</w:t>
      </w:r>
      <w:r w:rsidR="001C6574">
        <w:t xml:space="preserve"> </w:t>
      </w:r>
      <w:r w:rsidR="00EB3744">
        <w:t xml:space="preserve">and </w:t>
      </w:r>
      <w:r w:rsidR="00AA0C74">
        <w:t xml:space="preserve">initiating </w:t>
      </w:r>
      <w:r w:rsidR="000D3A09">
        <w:t>R2WIM</w:t>
      </w:r>
      <w:r w:rsidR="00EB3744">
        <w:t xml:space="preserve"> requires </w:t>
      </w:r>
      <w:r w:rsidR="00AA0C74">
        <w:t>3 weeks of oral bridging</w:t>
      </w:r>
      <w:r w:rsidR="00AD0495">
        <w:t xml:space="preserve"> (Paragraph 4.4, 5.2 and 5.3, Risperidone PSD, March 2024 PBAC Meeting).</w:t>
      </w:r>
    </w:p>
    <w:p w14:paraId="3DDFF80F" w14:textId="7CCE61CB" w:rsidR="0016214F" w:rsidRPr="008723FC" w:rsidRDefault="00196E04">
      <w:pPr>
        <w:pStyle w:val="3-BodyText"/>
      </w:pPr>
      <w:r>
        <w:rPr>
          <w:color w:val="000000" w:themeColor="text1"/>
        </w:rPr>
        <w:t>W</w:t>
      </w:r>
      <w:r w:rsidR="00D93554" w:rsidRPr="00D93554">
        <w:rPr>
          <w:color w:val="000000" w:themeColor="text1"/>
        </w:rPr>
        <w:t xml:space="preserve">hen </w:t>
      </w:r>
      <w:r>
        <w:rPr>
          <w:color w:val="000000" w:themeColor="text1"/>
        </w:rPr>
        <w:t xml:space="preserve">the </w:t>
      </w:r>
      <w:r w:rsidR="00D93554" w:rsidRPr="00D93554">
        <w:rPr>
          <w:color w:val="000000" w:themeColor="text1"/>
        </w:rPr>
        <w:t xml:space="preserve">PBAC considered </w:t>
      </w:r>
      <w:r w:rsidR="000B2E91">
        <w:rPr>
          <w:color w:val="000000" w:themeColor="text1"/>
        </w:rPr>
        <w:t>R4WIM</w:t>
      </w:r>
      <w:r w:rsidR="00D93554" w:rsidRPr="00D93554">
        <w:rPr>
          <w:color w:val="000000" w:themeColor="text1"/>
        </w:rPr>
        <w:t xml:space="preserve"> for maintenance treatment</w:t>
      </w:r>
      <w:r w:rsidR="00AB5EC3">
        <w:rPr>
          <w:color w:val="000000" w:themeColor="text1"/>
        </w:rPr>
        <w:t xml:space="preserve"> (relapse prevention)</w:t>
      </w:r>
      <w:r w:rsidR="00D93554" w:rsidRPr="00D93554">
        <w:rPr>
          <w:color w:val="000000" w:themeColor="text1"/>
        </w:rPr>
        <w:t>, it accepted the relevance of efficacy data from studies enrolling patients with acute schizophrenia on the basis that efficacy in acute psychosis supports efficacy for relapse prevention</w:t>
      </w:r>
      <w:r w:rsidR="003E70DB">
        <w:rPr>
          <w:color w:val="000000" w:themeColor="text1"/>
        </w:rPr>
        <w:t>, which it considered c</w:t>
      </w:r>
      <w:r w:rsidR="003E70DB" w:rsidRPr="00D93554">
        <w:rPr>
          <w:color w:val="000000" w:themeColor="text1"/>
        </w:rPr>
        <w:t xml:space="preserve">onsistent with usual practice and the </w:t>
      </w:r>
      <w:r w:rsidR="003E70DB">
        <w:rPr>
          <w:color w:val="000000" w:themeColor="text1"/>
        </w:rPr>
        <w:t xml:space="preserve">clinical </w:t>
      </w:r>
      <w:r w:rsidR="003E70DB" w:rsidRPr="00D93554">
        <w:rPr>
          <w:color w:val="000000" w:themeColor="text1"/>
        </w:rPr>
        <w:t>place of antipsychotics</w:t>
      </w:r>
      <w:r w:rsidR="006933C6">
        <w:rPr>
          <w:color w:val="000000" w:themeColor="text1"/>
        </w:rPr>
        <w:t xml:space="preserve"> </w:t>
      </w:r>
      <w:r w:rsidR="00511E78">
        <w:rPr>
          <w:color w:val="000000" w:themeColor="text1"/>
        </w:rPr>
        <w:t>(Paragraph 6.10, 6.15, Risperidone PSD, March 2024 PBAC Meeting).</w:t>
      </w:r>
    </w:p>
    <w:p w14:paraId="76E4EF3C" w14:textId="13040F70" w:rsidR="00B60939" w:rsidRPr="0098262F" w:rsidRDefault="00B50DB8" w:rsidP="004E18E9">
      <w:pPr>
        <w:pStyle w:val="2-SectionHeading"/>
      </w:pPr>
      <w:bookmarkStart w:id="7" w:name="_Toc107902078"/>
      <w:bookmarkStart w:id="8" w:name="_Toc219904426"/>
      <w:bookmarkEnd w:id="7"/>
      <w:r w:rsidRPr="0098262F">
        <w:t>Requested listing</w:t>
      </w:r>
      <w:bookmarkEnd w:id="8"/>
    </w:p>
    <w:p w14:paraId="1B423B86" w14:textId="044E1A2E" w:rsidR="003A4C14" w:rsidRPr="003B0938" w:rsidRDefault="0062512F" w:rsidP="003B0938">
      <w:pPr>
        <w:pStyle w:val="3-BodyText"/>
      </w:pPr>
      <w:r w:rsidRPr="0062512F">
        <w:t xml:space="preserve">The submission requested a General Schedule (Section 85) Authority Required (STREAMLINED) listing for </w:t>
      </w:r>
      <w:r w:rsidR="008B5A21">
        <w:t>MRSC risperidone</w:t>
      </w:r>
      <w:r w:rsidR="00314FA4" w:rsidRPr="0062512F">
        <w:t xml:space="preserve">, supplied as </w:t>
      </w:r>
      <w:r w:rsidR="00314FA4">
        <w:t xml:space="preserve">a </w:t>
      </w:r>
      <w:r w:rsidR="00314FA4" w:rsidRPr="0062512F">
        <w:t>pre</w:t>
      </w:r>
      <w:r w:rsidR="002D15C9">
        <w:noBreakHyphen/>
      </w:r>
      <w:r w:rsidR="00314FA4" w:rsidRPr="0062512F">
        <w:t>filled syringe</w:t>
      </w:r>
      <w:r w:rsidR="00314FA4">
        <w:t xml:space="preserve"> in</w:t>
      </w:r>
      <w:r w:rsidR="00314FA4" w:rsidRPr="0062512F">
        <w:t xml:space="preserve"> four strengths (50 mg/0.14 mL, 75 mg/0.21 mL, 100 mg/0.28 mL, 125 mg/0.35 mL)</w:t>
      </w:r>
      <w:r w:rsidR="00314FA4">
        <w:t>,</w:t>
      </w:r>
      <w:r w:rsidRPr="0062512F">
        <w:t xml:space="preserve"> for the treatment of schizophrenia in adults</w:t>
      </w:r>
      <w:r w:rsidR="00A6305D">
        <w:t xml:space="preserve"> </w:t>
      </w:r>
      <w:r w:rsidR="001B76BD">
        <w:t>with</w:t>
      </w:r>
      <w:r w:rsidR="00A6305D">
        <w:t xml:space="preserve"> a</w:t>
      </w:r>
      <w:r w:rsidR="002948DA">
        <w:t xml:space="preserve"> </w:t>
      </w:r>
      <w:r w:rsidRPr="0062512F">
        <w:t xml:space="preserve">maximum quantity (1) and repeats (5) </w:t>
      </w:r>
      <w:r w:rsidR="00497C1C">
        <w:t xml:space="preserve">to </w:t>
      </w:r>
      <w:r w:rsidR="00E47AD5">
        <w:t>permit</w:t>
      </w:r>
      <w:r w:rsidR="00E47AD5" w:rsidRPr="0062512F">
        <w:t xml:space="preserve"> </w:t>
      </w:r>
      <w:r w:rsidRPr="0062512F">
        <w:t>up to 6 months’ supply per prescription.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830"/>
        <w:gridCol w:w="2127"/>
        <w:gridCol w:w="992"/>
        <w:gridCol w:w="992"/>
        <w:gridCol w:w="851"/>
        <w:gridCol w:w="1225"/>
      </w:tblGrid>
      <w:tr w:rsidR="00046D64" w:rsidRPr="0098262F" w14:paraId="73E16E29" w14:textId="77777777" w:rsidTr="007260F6">
        <w:trPr>
          <w:cantSplit/>
          <w:trHeight w:val="20"/>
        </w:trPr>
        <w:tc>
          <w:tcPr>
            <w:tcW w:w="2830" w:type="dxa"/>
            <w:vAlign w:val="center"/>
          </w:tcPr>
          <w:p w14:paraId="4660296B" w14:textId="77777777" w:rsidR="00046D64" w:rsidRPr="0098262F" w:rsidRDefault="00046D64" w:rsidP="00DC0590">
            <w:pPr>
              <w:pStyle w:val="In-tableHeading"/>
            </w:pPr>
            <w:bookmarkStart w:id="9" w:name="_Hlk104809055"/>
            <w:r w:rsidRPr="0098262F">
              <w:lastRenderedPageBreak/>
              <w:t>MEDICINAL PRODUCT</w:t>
            </w:r>
          </w:p>
          <w:p w14:paraId="7221C2FD" w14:textId="77777777" w:rsidR="00046D64" w:rsidRPr="0098262F" w:rsidRDefault="00046D64" w:rsidP="00DC0590">
            <w:pPr>
              <w:pStyle w:val="In-tableHeading"/>
            </w:pPr>
            <w:r w:rsidRPr="0098262F">
              <w:t>medicinal product pack</w:t>
            </w:r>
          </w:p>
        </w:tc>
        <w:tc>
          <w:tcPr>
            <w:tcW w:w="2127" w:type="dxa"/>
            <w:vAlign w:val="center"/>
          </w:tcPr>
          <w:p w14:paraId="14424AF1" w14:textId="54369E4C" w:rsidR="00046D64" w:rsidRPr="0098262F" w:rsidRDefault="00C61A59" w:rsidP="00DC0590">
            <w:pPr>
              <w:pStyle w:val="In-tableHeading"/>
            </w:pPr>
            <w:r w:rsidRPr="0098262F">
              <w:rPr>
                <w:snapToGrid w:val="0"/>
              </w:rPr>
              <w:t xml:space="preserve">Dispensed Price for Max. Qty </w:t>
            </w:r>
          </w:p>
        </w:tc>
        <w:tc>
          <w:tcPr>
            <w:tcW w:w="992" w:type="dxa"/>
            <w:vAlign w:val="center"/>
          </w:tcPr>
          <w:p w14:paraId="4E41A9BC" w14:textId="0E3A90D0" w:rsidR="00046D64" w:rsidRPr="0098262F" w:rsidRDefault="00046D64" w:rsidP="00DC0590">
            <w:pPr>
              <w:pStyle w:val="In-tableHeading"/>
            </w:pPr>
            <w:r w:rsidRPr="0098262F">
              <w:t>Max. qty packs</w:t>
            </w:r>
          </w:p>
        </w:tc>
        <w:tc>
          <w:tcPr>
            <w:tcW w:w="992" w:type="dxa"/>
            <w:vAlign w:val="center"/>
          </w:tcPr>
          <w:p w14:paraId="48197540" w14:textId="77777777" w:rsidR="00046D64" w:rsidRPr="0098262F" w:rsidRDefault="00046D64" w:rsidP="00DC0590">
            <w:pPr>
              <w:pStyle w:val="In-tableHeading"/>
            </w:pPr>
            <w:r w:rsidRPr="0098262F">
              <w:t>Max. qty units</w:t>
            </w:r>
          </w:p>
        </w:tc>
        <w:tc>
          <w:tcPr>
            <w:tcW w:w="851" w:type="dxa"/>
            <w:vAlign w:val="center"/>
          </w:tcPr>
          <w:p w14:paraId="13B3FDEE" w14:textId="596CFADD" w:rsidR="00046D64" w:rsidRPr="0098262F" w:rsidRDefault="00046D64" w:rsidP="00DC0590">
            <w:pPr>
              <w:pStyle w:val="In-tableHeading"/>
            </w:pPr>
            <w:r w:rsidRPr="0098262F">
              <w:t>№.</w:t>
            </w:r>
            <w:r w:rsidR="00C70FBF" w:rsidRPr="0098262F">
              <w:t xml:space="preserve"> </w:t>
            </w:r>
            <w:r w:rsidRPr="0098262F">
              <w:t>of</w:t>
            </w:r>
          </w:p>
          <w:p w14:paraId="7B215997" w14:textId="77777777" w:rsidR="00046D64" w:rsidRPr="0098262F" w:rsidRDefault="00046D64" w:rsidP="00DC0590">
            <w:pPr>
              <w:pStyle w:val="In-tableHeading"/>
            </w:pPr>
            <w:r w:rsidRPr="0098262F">
              <w:t>Rpts</w:t>
            </w:r>
          </w:p>
        </w:tc>
        <w:tc>
          <w:tcPr>
            <w:tcW w:w="1225" w:type="dxa"/>
            <w:vAlign w:val="center"/>
          </w:tcPr>
          <w:p w14:paraId="4976F6A8" w14:textId="77777777" w:rsidR="00046D64" w:rsidRPr="0098262F" w:rsidRDefault="00046D64" w:rsidP="00DC0590">
            <w:pPr>
              <w:pStyle w:val="In-tableHeading"/>
            </w:pPr>
            <w:r w:rsidRPr="0098262F">
              <w:t>Available brands</w:t>
            </w:r>
          </w:p>
        </w:tc>
      </w:tr>
      <w:tr w:rsidR="00046D64" w:rsidRPr="0098262F" w14:paraId="40C1AD8E" w14:textId="77777777" w:rsidTr="00A2021E">
        <w:trPr>
          <w:cantSplit/>
          <w:trHeight w:val="20"/>
        </w:trPr>
        <w:tc>
          <w:tcPr>
            <w:tcW w:w="9017" w:type="dxa"/>
            <w:gridSpan w:val="6"/>
            <w:vAlign w:val="center"/>
          </w:tcPr>
          <w:p w14:paraId="2A4C00A6" w14:textId="118CD073" w:rsidR="00046D64" w:rsidRPr="0098262F" w:rsidRDefault="00E76943" w:rsidP="00DC0590">
            <w:pPr>
              <w:pStyle w:val="TableText"/>
            </w:pPr>
            <w:r>
              <w:t>RISPERIDONE</w:t>
            </w:r>
            <w:r w:rsidR="00A2021E" w:rsidRPr="0098262F">
              <w:t xml:space="preserve"> </w:t>
            </w:r>
          </w:p>
        </w:tc>
      </w:tr>
      <w:tr w:rsidR="002C36E3" w:rsidRPr="0098262F" w14:paraId="1DC2CC67" w14:textId="77777777" w:rsidTr="00073E44">
        <w:trPr>
          <w:cantSplit/>
          <w:trHeight w:val="20"/>
        </w:trPr>
        <w:tc>
          <w:tcPr>
            <w:tcW w:w="2830" w:type="dxa"/>
            <w:vAlign w:val="center"/>
          </w:tcPr>
          <w:p w14:paraId="612C04D7" w14:textId="513E399D" w:rsidR="002C36E3" w:rsidRPr="0098262F" w:rsidRDefault="0042581F" w:rsidP="00DC0590">
            <w:pPr>
              <w:pStyle w:val="TableText"/>
            </w:pPr>
            <w:r>
              <w:t xml:space="preserve">Risperidone </w:t>
            </w:r>
            <w:r w:rsidRPr="0042581F">
              <w:t xml:space="preserve">50 mg/0.14 mL subcutaneous modified release injection prefilled syringe </w:t>
            </w:r>
            <w:r w:rsidR="002C36E3" w:rsidRPr="0098262F">
              <w:t xml:space="preserve">drug </w:t>
            </w:r>
          </w:p>
        </w:tc>
        <w:tc>
          <w:tcPr>
            <w:tcW w:w="2127" w:type="dxa"/>
            <w:vAlign w:val="center"/>
          </w:tcPr>
          <w:p w14:paraId="768CBFE8" w14:textId="6837DEA8" w:rsidR="002C36E3" w:rsidRPr="00101B4A" w:rsidRDefault="00B14BD9" w:rsidP="00DC0590">
            <w:pPr>
              <w:pStyle w:val="TableText"/>
              <w:jc w:val="right"/>
            </w:pPr>
            <w:r w:rsidRPr="00101B4A">
              <w:t xml:space="preserve">Published: </w:t>
            </w:r>
            <w:r w:rsidR="002C36E3" w:rsidRPr="00101B4A">
              <w:t>$</w:t>
            </w:r>
            <w:r w:rsidR="009218AC" w:rsidRPr="009218AC">
              <w:rPr>
                <w:sz w:val="2"/>
                <w:highlight w:val="black"/>
              </w:rPr>
              <w:t>redacted content</w:t>
            </w:r>
          </w:p>
          <w:p w14:paraId="70C2874A" w14:textId="54C4D4BB" w:rsidR="002C36E3" w:rsidRPr="00101B4A" w:rsidRDefault="00B14BD9" w:rsidP="00DC0590">
            <w:pPr>
              <w:pStyle w:val="TableText"/>
              <w:jc w:val="right"/>
            </w:pPr>
            <w:r w:rsidRPr="00101B4A">
              <w:t xml:space="preserve">Effective: </w:t>
            </w:r>
            <w:r w:rsidR="002C36E3" w:rsidRPr="00101B4A">
              <w:t>$</w:t>
            </w:r>
            <w:r w:rsidR="009218AC" w:rsidRPr="009218AC">
              <w:rPr>
                <w:sz w:val="2"/>
                <w:highlight w:val="black"/>
              </w:rPr>
              <w:t>redacted content</w:t>
            </w:r>
          </w:p>
        </w:tc>
        <w:tc>
          <w:tcPr>
            <w:tcW w:w="992" w:type="dxa"/>
            <w:vAlign w:val="center"/>
          </w:tcPr>
          <w:p w14:paraId="71CD2441" w14:textId="0BEF3855" w:rsidR="002C36E3" w:rsidRPr="0098262F" w:rsidRDefault="0042581F" w:rsidP="00DC0590">
            <w:pPr>
              <w:pStyle w:val="TableText"/>
              <w:jc w:val="center"/>
            </w:pPr>
            <w:r>
              <w:t>1</w:t>
            </w:r>
          </w:p>
        </w:tc>
        <w:tc>
          <w:tcPr>
            <w:tcW w:w="992" w:type="dxa"/>
            <w:vAlign w:val="center"/>
          </w:tcPr>
          <w:p w14:paraId="65F4D3E9" w14:textId="557BA870" w:rsidR="002C36E3" w:rsidRPr="0098262F" w:rsidRDefault="0042581F" w:rsidP="00DC0590">
            <w:pPr>
              <w:pStyle w:val="TableText"/>
              <w:jc w:val="center"/>
            </w:pPr>
            <w:r>
              <w:t>1</w:t>
            </w:r>
          </w:p>
        </w:tc>
        <w:tc>
          <w:tcPr>
            <w:tcW w:w="851" w:type="dxa"/>
            <w:vAlign w:val="center"/>
          </w:tcPr>
          <w:p w14:paraId="7C728D0C" w14:textId="2D80BCF0" w:rsidR="002C36E3" w:rsidRPr="0098262F" w:rsidRDefault="0042581F" w:rsidP="00DC0590">
            <w:pPr>
              <w:pStyle w:val="TableText"/>
              <w:jc w:val="center"/>
            </w:pPr>
            <w:r>
              <w:t>5</w:t>
            </w:r>
          </w:p>
        </w:tc>
        <w:tc>
          <w:tcPr>
            <w:tcW w:w="1225" w:type="dxa"/>
            <w:vAlign w:val="center"/>
          </w:tcPr>
          <w:p w14:paraId="519A0BC8" w14:textId="0DB7BFE2" w:rsidR="002C36E3" w:rsidRPr="0098262F" w:rsidRDefault="0042581F" w:rsidP="00DC0590">
            <w:pPr>
              <w:pStyle w:val="TableText"/>
              <w:jc w:val="center"/>
              <w:rPr>
                <w:color w:val="0066FF"/>
              </w:rPr>
            </w:pPr>
            <w:r>
              <w:t>Uzedy</w:t>
            </w:r>
          </w:p>
        </w:tc>
      </w:tr>
      <w:tr w:rsidR="002C36E3" w:rsidRPr="0098262F" w14:paraId="0FE79F0E" w14:textId="77777777" w:rsidTr="00073E44">
        <w:trPr>
          <w:cantSplit/>
          <w:trHeight w:val="20"/>
        </w:trPr>
        <w:tc>
          <w:tcPr>
            <w:tcW w:w="2830" w:type="dxa"/>
            <w:vAlign w:val="center"/>
          </w:tcPr>
          <w:p w14:paraId="55284F9A" w14:textId="3BC2A0C6" w:rsidR="002C36E3" w:rsidRPr="0098262F" w:rsidRDefault="0042581F" w:rsidP="00DC0590">
            <w:pPr>
              <w:pStyle w:val="TableText"/>
            </w:pPr>
            <w:r>
              <w:t>Risperidone 75</w:t>
            </w:r>
            <w:r w:rsidRPr="0042581F">
              <w:t xml:space="preserve"> mg/0.</w:t>
            </w:r>
            <w:r>
              <w:t>21</w:t>
            </w:r>
            <w:r w:rsidRPr="0042581F">
              <w:t xml:space="preserve"> mL subcutaneous modified release injection prefilled syringe </w:t>
            </w:r>
            <w:r w:rsidRPr="0098262F">
              <w:t>drug</w:t>
            </w:r>
          </w:p>
        </w:tc>
        <w:tc>
          <w:tcPr>
            <w:tcW w:w="2127" w:type="dxa"/>
            <w:vAlign w:val="center"/>
          </w:tcPr>
          <w:p w14:paraId="0D1CE435" w14:textId="15E3EC54" w:rsidR="002C36E3" w:rsidRPr="00101B4A" w:rsidRDefault="00073E44" w:rsidP="00DC0590">
            <w:pPr>
              <w:pStyle w:val="TableText"/>
              <w:jc w:val="right"/>
            </w:pPr>
            <w:r w:rsidRPr="00101B4A">
              <w:t xml:space="preserve">Published: </w:t>
            </w:r>
            <w:r w:rsidR="002C36E3" w:rsidRPr="00101B4A">
              <w:t>$</w:t>
            </w:r>
            <w:r w:rsidR="009218AC" w:rsidRPr="009218AC">
              <w:rPr>
                <w:sz w:val="2"/>
                <w:highlight w:val="black"/>
              </w:rPr>
              <w:t>redacted content</w:t>
            </w:r>
          </w:p>
          <w:p w14:paraId="0682AC07" w14:textId="3E0F6B72" w:rsidR="002C36E3" w:rsidRPr="00101B4A" w:rsidRDefault="00073E44" w:rsidP="00DC0590">
            <w:pPr>
              <w:pStyle w:val="TableText"/>
              <w:jc w:val="right"/>
            </w:pPr>
            <w:r w:rsidRPr="00101B4A">
              <w:t xml:space="preserve">Effective: </w:t>
            </w:r>
            <w:r w:rsidR="002C36E3" w:rsidRPr="00101B4A">
              <w:t>$</w:t>
            </w:r>
            <w:r w:rsidR="009218AC" w:rsidRPr="009218AC">
              <w:rPr>
                <w:sz w:val="2"/>
                <w:highlight w:val="black"/>
              </w:rPr>
              <w:t>redacted content</w:t>
            </w:r>
          </w:p>
        </w:tc>
        <w:tc>
          <w:tcPr>
            <w:tcW w:w="992" w:type="dxa"/>
            <w:vAlign w:val="center"/>
          </w:tcPr>
          <w:p w14:paraId="5E0E3D4A" w14:textId="48375CC7" w:rsidR="002C36E3" w:rsidRPr="0098262F" w:rsidRDefault="0042581F" w:rsidP="00DC0590">
            <w:pPr>
              <w:pStyle w:val="TableText"/>
              <w:jc w:val="center"/>
            </w:pPr>
            <w:r>
              <w:t>1</w:t>
            </w:r>
          </w:p>
        </w:tc>
        <w:tc>
          <w:tcPr>
            <w:tcW w:w="992" w:type="dxa"/>
            <w:vAlign w:val="center"/>
          </w:tcPr>
          <w:p w14:paraId="63523B4A" w14:textId="790245D9" w:rsidR="002C36E3" w:rsidRPr="0098262F" w:rsidRDefault="0042581F" w:rsidP="00DC0590">
            <w:pPr>
              <w:pStyle w:val="TableText"/>
              <w:jc w:val="center"/>
            </w:pPr>
            <w:r>
              <w:t>1</w:t>
            </w:r>
          </w:p>
        </w:tc>
        <w:tc>
          <w:tcPr>
            <w:tcW w:w="851" w:type="dxa"/>
            <w:vAlign w:val="center"/>
          </w:tcPr>
          <w:p w14:paraId="64B965F0" w14:textId="27FE5556" w:rsidR="002C36E3" w:rsidRPr="0098262F" w:rsidRDefault="0042581F" w:rsidP="00DC0590">
            <w:pPr>
              <w:pStyle w:val="TableText"/>
              <w:jc w:val="center"/>
            </w:pPr>
            <w:r>
              <w:t>5</w:t>
            </w:r>
          </w:p>
        </w:tc>
        <w:tc>
          <w:tcPr>
            <w:tcW w:w="1225" w:type="dxa"/>
            <w:vAlign w:val="center"/>
          </w:tcPr>
          <w:p w14:paraId="3788A325" w14:textId="3A3D8A97" w:rsidR="002C36E3" w:rsidRPr="0098262F" w:rsidRDefault="0042581F" w:rsidP="00DC0590">
            <w:pPr>
              <w:pStyle w:val="TableText"/>
              <w:jc w:val="center"/>
            </w:pPr>
            <w:r>
              <w:t>Uzedy</w:t>
            </w:r>
          </w:p>
        </w:tc>
      </w:tr>
      <w:tr w:rsidR="00046D64" w:rsidRPr="0098262F" w14:paraId="266E3578" w14:textId="77777777" w:rsidTr="00073E44">
        <w:trPr>
          <w:cantSplit/>
          <w:trHeight w:val="20"/>
        </w:trPr>
        <w:tc>
          <w:tcPr>
            <w:tcW w:w="2830" w:type="dxa"/>
            <w:vAlign w:val="center"/>
          </w:tcPr>
          <w:p w14:paraId="43CDA30B" w14:textId="71F56124" w:rsidR="00046D64" w:rsidRPr="003C6D2D" w:rsidRDefault="0042581F" w:rsidP="00DC0590">
            <w:pPr>
              <w:pStyle w:val="TableText"/>
            </w:pPr>
            <w:r w:rsidRPr="003C6D2D">
              <w:t>Risperidone 100 mg/0.28 mL subcutaneous modified release injection prefilled syringe drug</w:t>
            </w:r>
          </w:p>
        </w:tc>
        <w:tc>
          <w:tcPr>
            <w:tcW w:w="2127" w:type="dxa"/>
            <w:vAlign w:val="center"/>
          </w:tcPr>
          <w:p w14:paraId="0118E51D" w14:textId="5625F552" w:rsidR="0042581F" w:rsidRPr="00101B4A" w:rsidRDefault="00073E44" w:rsidP="00DC0590">
            <w:pPr>
              <w:pStyle w:val="TableText"/>
              <w:jc w:val="right"/>
            </w:pPr>
            <w:r w:rsidRPr="00101B4A">
              <w:t xml:space="preserve">Published: </w:t>
            </w:r>
            <w:r w:rsidR="0042581F" w:rsidRPr="00101B4A">
              <w:t>$</w:t>
            </w:r>
            <w:r w:rsidR="009218AC" w:rsidRPr="009218AC">
              <w:rPr>
                <w:sz w:val="2"/>
                <w:highlight w:val="black"/>
              </w:rPr>
              <w:t>redacted content</w:t>
            </w:r>
          </w:p>
          <w:p w14:paraId="42F4B75C" w14:textId="24F2F178" w:rsidR="00046D64" w:rsidRPr="00101B4A" w:rsidRDefault="00073E44" w:rsidP="00DC0590">
            <w:pPr>
              <w:pStyle w:val="TableText"/>
              <w:jc w:val="right"/>
            </w:pPr>
            <w:r w:rsidRPr="00101B4A">
              <w:t xml:space="preserve">Effective: </w:t>
            </w:r>
            <w:r w:rsidR="0042581F" w:rsidRPr="00101B4A">
              <w:t>$</w:t>
            </w:r>
            <w:r w:rsidR="009218AC" w:rsidRPr="009218AC">
              <w:rPr>
                <w:sz w:val="2"/>
                <w:highlight w:val="black"/>
              </w:rPr>
              <w:t>redacted content</w:t>
            </w:r>
          </w:p>
        </w:tc>
        <w:tc>
          <w:tcPr>
            <w:tcW w:w="992" w:type="dxa"/>
            <w:vAlign w:val="center"/>
          </w:tcPr>
          <w:p w14:paraId="412B2082" w14:textId="37FBF7E8" w:rsidR="00046D64" w:rsidRPr="0098262F" w:rsidRDefault="0042581F" w:rsidP="00DC0590">
            <w:pPr>
              <w:pStyle w:val="TableText"/>
              <w:jc w:val="center"/>
            </w:pPr>
            <w:r>
              <w:t>1</w:t>
            </w:r>
          </w:p>
        </w:tc>
        <w:tc>
          <w:tcPr>
            <w:tcW w:w="992" w:type="dxa"/>
            <w:vAlign w:val="center"/>
          </w:tcPr>
          <w:p w14:paraId="2E8AFE22" w14:textId="5862433D" w:rsidR="00046D64" w:rsidRPr="0098262F" w:rsidRDefault="0042581F" w:rsidP="00DC0590">
            <w:pPr>
              <w:pStyle w:val="TableText"/>
              <w:jc w:val="center"/>
            </w:pPr>
            <w:r>
              <w:t>1</w:t>
            </w:r>
          </w:p>
        </w:tc>
        <w:tc>
          <w:tcPr>
            <w:tcW w:w="851" w:type="dxa"/>
            <w:vAlign w:val="center"/>
          </w:tcPr>
          <w:p w14:paraId="25442F33" w14:textId="0B3AB600" w:rsidR="00046D64" w:rsidRPr="0098262F" w:rsidRDefault="0042581F" w:rsidP="00DC0590">
            <w:pPr>
              <w:pStyle w:val="TableText"/>
              <w:jc w:val="center"/>
            </w:pPr>
            <w:r>
              <w:t>5</w:t>
            </w:r>
          </w:p>
        </w:tc>
        <w:tc>
          <w:tcPr>
            <w:tcW w:w="1225" w:type="dxa"/>
            <w:vAlign w:val="center"/>
          </w:tcPr>
          <w:p w14:paraId="43D390FE" w14:textId="5C20D067" w:rsidR="00046D64" w:rsidRPr="0098262F" w:rsidRDefault="0042581F" w:rsidP="00DC0590">
            <w:pPr>
              <w:pStyle w:val="TableText"/>
              <w:jc w:val="center"/>
            </w:pPr>
            <w:r>
              <w:t>Uzedy</w:t>
            </w:r>
          </w:p>
        </w:tc>
      </w:tr>
      <w:tr w:rsidR="0042581F" w:rsidRPr="0098262F" w14:paraId="79EEE91E" w14:textId="77777777" w:rsidTr="00073E44">
        <w:trPr>
          <w:cantSplit/>
          <w:trHeight w:val="20"/>
        </w:trPr>
        <w:tc>
          <w:tcPr>
            <w:tcW w:w="2830" w:type="dxa"/>
            <w:vAlign w:val="center"/>
          </w:tcPr>
          <w:p w14:paraId="5917DEC5" w14:textId="23E26FFC" w:rsidR="0042581F" w:rsidRDefault="0042581F" w:rsidP="00DC0590">
            <w:pPr>
              <w:pStyle w:val="TableText"/>
            </w:pPr>
            <w:r w:rsidRPr="0042581F">
              <w:t>Risperidone 125 mg/0.35 mL subcutaneous modified release injection prefilled syringe</w:t>
            </w:r>
          </w:p>
        </w:tc>
        <w:tc>
          <w:tcPr>
            <w:tcW w:w="2127" w:type="dxa"/>
            <w:vAlign w:val="center"/>
          </w:tcPr>
          <w:p w14:paraId="1108093D" w14:textId="3575DB30" w:rsidR="0042581F" w:rsidRPr="00101B4A" w:rsidRDefault="00073E44" w:rsidP="00DC0590">
            <w:pPr>
              <w:pStyle w:val="TableText"/>
              <w:jc w:val="right"/>
            </w:pPr>
            <w:r w:rsidRPr="00101B4A">
              <w:t xml:space="preserve">Published: </w:t>
            </w:r>
            <w:r w:rsidR="0042581F" w:rsidRPr="00101B4A">
              <w:t>$</w:t>
            </w:r>
            <w:r w:rsidR="009218AC" w:rsidRPr="009218AC">
              <w:rPr>
                <w:sz w:val="2"/>
                <w:highlight w:val="black"/>
              </w:rPr>
              <w:t>redacted content</w:t>
            </w:r>
          </w:p>
          <w:p w14:paraId="03CA08E5" w14:textId="4BE8EB16" w:rsidR="0042581F" w:rsidRPr="00101B4A" w:rsidRDefault="00073E44" w:rsidP="00DC0590">
            <w:pPr>
              <w:pStyle w:val="TableText"/>
              <w:jc w:val="right"/>
            </w:pPr>
            <w:r w:rsidRPr="00101B4A">
              <w:t xml:space="preserve">Effective: </w:t>
            </w:r>
            <w:r w:rsidR="0042581F" w:rsidRPr="00101B4A">
              <w:t>$</w:t>
            </w:r>
            <w:r w:rsidR="009218AC" w:rsidRPr="009218AC">
              <w:rPr>
                <w:sz w:val="2"/>
                <w:highlight w:val="black"/>
              </w:rPr>
              <w:t>redacted content</w:t>
            </w:r>
          </w:p>
        </w:tc>
        <w:tc>
          <w:tcPr>
            <w:tcW w:w="992" w:type="dxa"/>
            <w:vAlign w:val="center"/>
          </w:tcPr>
          <w:p w14:paraId="78C3E279" w14:textId="4CBA71B2" w:rsidR="0042581F" w:rsidRPr="0098262F" w:rsidRDefault="0042581F" w:rsidP="00DC0590">
            <w:pPr>
              <w:pStyle w:val="TableText"/>
              <w:jc w:val="center"/>
            </w:pPr>
            <w:r>
              <w:t>1</w:t>
            </w:r>
          </w:p>
        </w:tc>
        <w:tc>
          <w:tcPr>
            <w:tcW w:w="992" w:type="dxa"/>
            <w:vAlign w:val="center"/>
          </w:tcPr>
          <w:p w14:paraId="0DD43F62" w14:textId="27A8A124" w:rsidR="0042581F" w:rsidRPr="0098262F" w:rsidRDefault="0042581F" w:rsidP="00DC0590">
            <w:pPr>
              <w:pStyle w:val="TableText"/>
              <w:jc w:val="center"/>
            </w:pPr>
            <w:r>
              <w:t>1</w:t>
            </w:r>
          </w:p>
        </w:tc>
        <w:tc>
          <w:tcPr>
            <w:tcW w:w="851" w:type="dxa"/>
            <w:vAlign w:val="center"/>
          </w:tcPr>
          <w:p w14:paraId="22905D02" w14:textId="6664E242" w:rsidR="0042581F" w:rsidRPr="0098262F" w:rsidRDefault="0042581F" w:rsidP="00DC0590">
            <w:pPr>
              <w:pStyle w:val="TableText"/>
              <w:jc w:val="center"/>
            </w:pPr>
            <w:r>
              <w:t>5</w:t>
            </w:r>
          </w:p>
        </w:tc>
        <w:tc>
          <w:tcPr>
            <w:tcW w:w="1225" w:type="dxa"/>
            <w:vAlign w:val="center"/>
          </w:tcPr>
          <w:p w14:paraId="174CD75E" w14:textId="71E7DBF4" w:rsidR="0042581F" w:rsidRPr="0098262F" w:rsidRDefault="0042581F" w:rsidP="00DC0590">
            <w:pPr>
              <w:pStyle w:val="TableText"/>
              <w:jc w:val="center"/>
            </w:pPr>
            <w:r>
              <w:t>Uzedy</w:t>
            </w:r>
          </w:p>
        </w:tc>
      </w:tr>
      <w:bookmarkEnd w:id="9"/>
    </w:tbl>
    <w:p w14:paraId="210B3796" w14:textId="12D5EEC6" w:rsidR="00046D64" w:rsidRPr="0098262F" w:rsidRDefault="00046D64" w:rsidP="00DC0590">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7"/>
      </w:tblGrid>
      <w:tr w:rsidR="003A4C14" w:rsidRPr="0098262F" w14:paraId="3EE8ABAE" w14:textId="77777777" w:rsidTr="003A4C14">
        <w:trPr>
          <w:cantSplit/>
          <w:trHeight w:val="20"/>
        </w:trPr>
        <w:tc>
          <w:tcPr>
            <w:tcW w:w="5000" w:type="pct"/>
          </w:tcPr>
          <w:p w14:paraId="3B622315" w14:textId="0031B822" w:rsidR="003A4C14" w:rsidRPr="0098262F" w:rsidRDefault="003A4C14" w:rsidP="00DC0590">
            <w:pPr>
              <w:pStyle w:val="TableText"/>
            </w:pPr>
            <w:bookmarkStart w:id="10" w:name="_Hlk104809470"/>
            <w:r w:rsidRPr="0098262F">
              <w:rPr>
                <w:b/>
              </w:rPr>
              <w:t xml:space="preserve">Category / Program: </w:t>
            </w:r>
            <w:r w:rsidRPr="0098262F">
              <w:t>General Schedule</w:t>
            </w:r>
            <w:r w:rsidR="0042581F">
              <w:t xml:space="preserve"> Section 85</w:t>
            </w:r>
          </w:p>
        </w:tc>
      </w:tr>
      <w:tr w:rsidR="003A4C14" w:rsidRPr="0098262F" w14:paraId="09416ED3" w14:textId="77777777" w:rsidTr="003A4C14">
        <w:trPr>
          <w:cantSplit/>
          <w:trHeight w:val="20"/>
        </w:trPr>
        <w:tc>
          <w:tcPr>
            <w:tcW w:w="5000" w:type="pct"/>
          </w:tcPr>
          <w:p w14:paraId="7D2ED8D5" w14:textId="6A47AA96" w:rsidR="003A4C14" w:rsidRPr="0098262F" w:rsidRDefault="003A4C14" w:rsidP="00DC0590">
            <w:pPr>
              <w:pStyle w:val="TableText"/>
              <w:rPr>
                <w:b/>
              </w:rPr>
            </w:pPr>
            <w:r w:rsidRPr="0098262F">
              <w:rPr>
                <w:b/>
              </w:rPr>
              <w:t xml:space="preserve">Prescriber type: </w:t>
            </w:r>
            <w:r w:rsidR="0042581F">
              <w:fldChar w:fldCharType="begin">
                <w:ffData>
                  <w:name w:val=""/>
                  <w:enabled/>
                  <w:calcOnExit w:val="0"/>
                  <w:checkBox>
                    <w:sizeAuto/>
                    <w:default w:val="1"/>
                  </w:checkBox>
                </w:ffData>
              </w:fldChar>
            </w:r>
            <w:r w:rsidR="0042581F">
              <w:instrText xml:space="preserve"> FORMCHECKBOX </w:instrText>
            </w:r>
            <w:r w:rsidR="0042581F">
              <w:fldChar w:fldCharType="separate"/>
            </w:r>
            <w:r w:rsidR="0042581F">
              <w:fldChar w:fldCharType="end"/>
            </w:r>
            <w:r w:rsidR="004D12E5">
              <w:t xml:space="preserve"> </w:t>
            </w:r>
            <w:r w:rsidRPr="0098262F">
              <w:t xml:space="preserve">Medical Practitioners </w:t>
            </w:r>
            <w:r w:rsidR="0042581F">
              <w:fldChar w:fldCharType="begin">
                <w:ffData>
                  <w:name w:val="Check3"/>
                  <w:enabled/>
                  <w:calcOnExit w:val="0"/>
                  <w:checkBox>
                    <w:sizeAuto/>
                    <w:default w:val="1"/>
                  </w:checkBox>
                </w:ffData>
              </w:fldChar>
            </w:r>
            <w:bookmarkStart w:id="11" w:name="Check3"/>
            <w:r w:rsidR="0042581F">
              <w:instrText xml:space="preserve"> FORMCHECKBOX </w:instrText>
            </w:r>
            <w:r w:rsidR="0042581F">
              <w:fldChar w:fldCharType="separate"/>
            </w:r>
            <w:r w:rsidR="0042581F">
              <w:fldChar w:fldCharType="end"/>
            </w:r>
            <w:bookmarkEnd w:id="11"/>
            <w:r w:rsidR="004D12E5">
              <w:t xml:space="preserve"> </w:t>
            </w:r>
            <w:r w:rsidRPr="0098262F">
              <w:t>Nurse practitioners</w:t>
            </w:r>
          </w:p>
        </w:tc>
      </w:tr>
      <w:tr w:rsidR="003A4C14" w:rsidRPr="0098262F" w14:paraId="070CFDD2" w14:textId="77777777" w:rsidTr="003A4C14">
        <w:trPr>
          <w:cantSplit/>
          <w:trHeight w:val="20"/>
        </w:trPr>
        <w:tc>
          <w:tcPr>
            <w:tcW w:w="5000" w:type="pct"/>
          </w:tcPr>
          <w:p w14:paraId="3320A955" w14:textId="07958F8C" w:rsidR="003A4C14" w:rsidRPr="0098262F" w:rsidRDefault="003A4C14" w:rsidP="00DC0590">
            <w:pPr>
              <w:pStyle w:val="TableText"/>
            </w:pPr>
            <w:r w:rsidRPr="0098262F">
              <w:rPr>
                <w:b/>
              </w:rPr>
              <w:t>Restriction type:</w:t>
            </w:r>
            <w:r w:rsidR="0042581F" w:rsidRPr="0098262F">
              <w:t xml:space="preserve"> </w:t>
            </w:r>
            <w:r w:rsidR="0042581F">
              <w:fldChar w:fldCharType="begin">
                <w:ffData>
                  <w:name w:val=""/>
                  <w:enabled/>
                  <w:calcOnExit w:val="0"/>
                  <w:checkBox>
                    <w:sizeAuto/>
                    <w:default w:val="1"/>
                  </w:checkBox>
                </w:ffData>
              </w:fldChar>
            </w:r>
            <w:r w:rsidR="0042581F">
              <w:instrText xml:space="preserve"> FORMCHECKBOX </w:instrText>
            </w:r>
            <w:r w:rsidR="0042581F">
              <w:fldChar w:fldCharType="separate"/>
            </w:r>
            <w:r w:rsidR="0042581F">
              <w:fldChar w:fldCharType="end"/>
            </w:r>
            <w:r w:rsidRPr="0098262F">
              <w:t xml:space="preserve">Authority Required (STREAMLINED) </w:t>
            </w:r>
          </w:p>
        </w:tc>
      </w:tr>
      <w:tr w:rsidR="003A4C14" w:rsidRPr="0098262F" w14:paraId="4473716B" w14:textId="77777777" w:rsidTr="003A4C14">
        <w:trPr>
          <w:cantSplit/>
          <w:trHeight w:val="20"/>
        </w:trPr>
        <w:tc>
          <w:tcPr>
            <w:tcW w:w="5000" w:type="pct"/>
            <w:vAlign w:val="center"/>
          </w:tcPr>
          <w:p w14:paraId="0C58C468" w14:textId="5B7066C1" w:rsidR="003A4C14" w:rsidRPr="0098262F" w:rsidRDefault="003A4C14" w:rsidP="00DC0590">
            <w:pPr>
              <w:pStyle w:val="TableText"/>
              <w:rPr>
                <w:b/>
              </w:rPr>
            </w:pPr>
            <w:r w:rsidRPr="0098262F">
              <w:rPr>
                <w:b/>
              </w:rPr>
              <w:t xml:space="preserve">Condition: </w:t>
            </w:r>
            <w:r w:rsidR="0042581F">
              <w:t>Schizophrenia</w:t>
            </w:r>
            <w:r w:rsidRPr="0098262F">
              <w:t xml:space="preserve"> </w:t>
            </w:r>
          </w:p>
        </w:tc>
      </w:tr>
      <w:tr w:rsidR="003A4C14" w:rsidRPr="0098262F" w14:paraId="5BFE3347" w14:textId="77777777" w:rsidTr="003A4C14">
        <w:trPr>
          <w:cantSplit/>
          <w:trHeight w:val="20"/>
        </w:trPr>
        <w:tc>
          <w:tcPr>
            <w:tcW w:w="5000" w:type="pct"/>
            <w:vAlign w:val="center"/>
            <w:hideMark/>
          </w:tcPr>
          <w:p w14:paraId="3296BDDA" w14:textId="1FB13B37" w:rsidR="003A4C14" w:rsidRPr="0098262F" w:rsidRDefault="003A4C14" w:rsidP="00DC0590">
            <w:pPr>
              <w:pStyle w:val="TableText"/>
            </w:pPr>
            <w:r w:rsidRPr="0098262F">
              <w:rPr>
                <w:b/>
              </w:rPr>
              <w:t>Indication:</w:t>
            </w:r>
            <w:r w:rsidRPr="0098262F">
              <w:t xml:space="preserve"> </w:t>
            </w:r>
            <w:r w:rsidR="0042581F">
              <w:t>Schizophrenia</w:t>
            </w:r>
          </w:p>
        </w:tc>
      </w:tr>
      <w:tr w:rsidR="003A4C14" w:rsidRPr="0098262F" w14:paraId="292480CA" w14:textId="77777777" w:rsidTr="003A4C14">
        <w:trPr>
          <w:cantSplit/>
          <w:trHeight w:val="20"/>
        </w:trPr>
        <w:tc>
          <w:tcPr>
            <w:tcW w:w="5000" w:type="pct"/>
            <w:vAlign w:val="center"/>
            <w:hideMark/>
          </w:tcPr>
          <w:p w14:paraId="78E5F63D" w14:textId="31E2C5DF" w:rsidR="003A4C14" w:rsidRPr="0098262F" w:rsidRDefault="003A4C14" w:rsidP="009826C7">
            <w:pPr>
              <w:pStyle w:val="TableText"/>
            </w:pPr>
            <w:r w:rsidRPr="0098262F">
              <w:rPr>
                <w:b/>
              </w:rPr>
              <w:t>Administrative Advice:</w:t>
            </w:r>
            <w:r w:rsidR="0042581F">
              <w:t xml:space="preserve"> </w:t>
            </w:r>
            <w:r w:rsidR="0042581F" w:rsidRPr="0042581F">
              <w:t>For a patient switching from oral risperidone, the prescriber must determine the patient dosage of this drug based on the current dose of oral risperidone according to the dose transition table in the Therapeutic Goods Administration (TGA) approved Product Information.</w:t>
            </w:r>
          </w:p>
        </w:tc>
      </w:tr>
    </w:tbl>
    <w:p w14:paraId="42EA4580" w14:textId="77777777" w:rsidR="00B72CC7" w:rsidRDefault="00B72CC7" w:rsidP="00B72CC7">
      <w:pPr>
        <w:pStyle w:val="5-SubsectionSubheading"/>
      </w:pPr>
      <w:bookmarkStart w:id="12" w:name="_Ref219901651"/>
      <w:bookmarkEnd w:id="10"/>
      <w:r>
        <w:t>SPA Criteria</w:t>
      </w:r>
    </w:p>
    <w:p w14:paraId="108BFBBC" w14:textId="3EEE6098" w:rsidR="00B03471" w:rsidRDefault="00B72CC7" w:rsidP="00B72CC7">
      <w:pPr>
        <w:pStyle w:val="3-BodyText"/>
        <w:spacing w:before="120"/>
      </w:pPr>
      <w:bookmarkStart w:id="13" w:name="_Ref222925934"/>
      <w:r w:rsidRPr="00AE42F5">
        <w:t xml:space="preserve">The submission requested </w:t>
      </w:r>
      <w:r w:rsidR="004A7259">
        <w:t xml:space="preserve">PBAC </w:t>
      </w:r>
      <w:r w:rsidR="004A3808">
        <w:t xml:space="preserve">advice </w:t>
      </w:r>
      <w:r w:rsidR="00F61162">
        <w:t xml:space="preserve">to </w:t>
      </w:r>
      <w:r w:rsidR="006921DE">
        <w:t>demonstrate</w:t>
      </w:r>
      <w:r w:rsidR="00C35DA0">
        <w:t xml:space="preserve"> </w:t>
      </w:r>
      <w:r>
        <w:t>special pricing arrangement (SPA)</w:t>
      </w:r>
      <w:r w:rsidR="00D340E8">
        <w:t xml:space="preserve"> </w:t>
      </w:r>
      <w:r w:rsidR="006921DE">
        <w:t xml:space="preserve">eligibility </w:t>
      </w:r>
      <w:r w:rsidR="009A06AE">
        <w:t>should</w:t>
      </w:r>
      <w:r w:rsidR="00D340E8">
        <w:t xml:space="preserve"> MRSC risperidone </w:t>
      </w:r>
      <w:r w:rsidR="009A06AE">
        <w:t>be</w:t>
      </w:r>
      <w:r w:rsidR="00D340E8">
        <w:t xml:space="preserve"> recommended for listing.</w:t>
      </w:r>
      <w:r w:rsidRPr="00AE42F5">
        <w:t xml:space="preserve"> </w:t>
      </w:r>
      <w:r w:rsidR="009A06AE">
        <w:t xml:space="preserve">The submission </w:t>
      </w:r>
      <w:r w:rsidR="00EC0261">
        <w:t>requested a</w:t>
      </w:r>
      <w:r w:rsidRPr="00AE42F5">
        <w:t xml:space="preserve"> published list price </w:t>
      </w:r>
      <w:r>
        <w:t xml:space="preserve">that </w:t>
      </w:r>
      <w:r w:rsidR="009218AC" w:rsidRPr="009218AC">
        <w:rPr>
          <w:sz w:val="2"/>
          <w:highlight w:val="black"/>
        </w:rPr>
        <w:t>redacted content</w:t>
      </w:r>
      <w:r w:rsidR="009218AC" w:rsidRPr="009218AC">
        <w:t xml:space="preserve"> </w:t>
      </w:r>
      <w:r w:rsidR="009218AC" w:rsidRPr="009218AC">
        <w:rPr>
          <w:sz w:val="2"/>
          <w:highlight w:val="black"/>
        </w:rPr>
        <w:t>redacted content</w:t>
      </w:r>
      <w:r w:rsidR="009218AC" w:rsidRPr="009218AC">
        <w:t xml:space="preserve"> </w:t>
      </w:r>
      <w:r w:rsidR="009218AC" w:rsidRPr="009218AC">
        <w:rPr>
          <w:sz w:val="2"/>
          <w:highlight w:val="black"/>
        </w:rPr>
        <w:t>redacted content</w:t>
      </w:r>
      <w:r w:rsidR="009218AC" w:rsidRPr="009218AC">
        <w:t xml:space="preserve"> </w:t>
      </w:r>
      <w:r w:rsidR="009218AC" w:rsidRPr="009218AC">
        <w:rPr>
          <w:sz w:val="2"/>
          <w:highlight w:val="black"/>
        </w:rPr>
        <w:t>redacted content</w:t>
      </w:r>
      <w:r w:rsidR="009218AC" w:rsidRPr="009218AC">
        <w:t xml:space="preserve"> </w:t>
      </w:r>
      <w:r w:rsidR="009218AC" w:rsidRPr="009218AC">
        <w:rPr>
          <w:sz w:val="2"/>
          <w:highlight w:val="black"/>
        </w:rPr>
        <w:t>redacted content</w:t>
      </w:r>
      <w:r w:rsidR="009218AC" w:rsidRPr="009218AC">
        <w:t xml:space="preserve"> </w:t>
      </w:r>
      <w:r w:rsidR="009218AC" w:rsidRPr="009218AC">
        <w:rPr>
          <w:sz w:val="2"/>
          <w:highlight w:val="black"/>
        </w:rPr>
        <w:t>redacted content</w:t>
      </w:r>
      <w:r w:rsidR="00225771">
        <w:t xml:space="preserve"> and advised that a SPA would</w:t>
      </w:r>
      <w:r w:rsidRPr="00AE42F5">
        <w:t xml:space="preserve"> </w:t>
      </w:r>
      <w:r w:rsidR="00225771">
        <w:t>enable</w:t>
      </w:r>
      <w:r w:rsidRPr="00AE42F5">
        <w:t xml:space="preserve"> a lower</w:t>
      </w:r>
      <w:r w:rsidR="00685D8B">
        <w:t>, cost</w:t>
      </w:r>
      <w:r w:rsidR="002D15C9">
        <w:noBreakHyphen/>
      </w:r>
      <w:r w:rsidR="00685D8B">
        <w:t>effective</w:t>
      </w:r>
      <w:r w:rsidRPr="00AE42F5">
        <w:t xml:space="preserve"> effective price</w:t>
      </w:r>
      <w:r w:rsidR="00B03471">
        <w:t>.</w:t>
      </w:r>
    </w:p>
    <w:p w14:paraId="30790CE7" w14:textId="00FA3E1D" w:rsidR="00B72CC7" w:rsidRDefault="00B03471" w:rsidP="00B72CC7">
      <w:pPr>
        <w:pStyle w:val="3-BodyText"/>
        <w:spacing w:before="120"/>
      </w:pPr>
      <w:r>
        <w:t>In</w:t>
      </w:r>
      <w:r w:rsidR="00B72CC7" w:rsidRPr="00AE42F5">
        <w:t xml:space="preserve"> support of SPA eligibility, the </w:t>
      </w:r>
      <w:r w:rsidR="00B72CC7">
        <w:t xml:space="preserve">submission sought </w:t>
      </w:r>
      <w:r w:rsidR="00581190">
        <w:t xml:space="preserve">that the </w:t>
      </w:r>
      <w:r w:rsidR="00B72CC7">
        <w:t xml:space="preserve">PBAC </w:t>
      </w:r>
      <w:r w:rsidR="00424418">
        <w:t>consider</w:t>
      </w:r>
      <w:r w:rsidR="00B72CC7" w:rsidRPr="00AE42F5">
        <w:t xml:space="preserve"> that</w:t>
      </w:r>
      <w:r w:rsidR="00B72CC7">
        <w:t xml:space="preserve"> a</w:t>
      </w:r>
      <w:r w:rsidR="00B72CC7" w:rsidRPr="00AE42F5">
        <w:t xml:space="preserve">t the very least, compared to placebo, </w:t>
      </w:r>
      <w:r w:rsidR="00B72CC7">
        <w:t>MRSC risperidone</w:t>
      </w:r>
      <w:r w:rsidR="00B72CC7" w:rsidRPr="00AE42F5">
        <w:t xml:space="preserve"> generate</w:t>
      </w:r>
      <w:r w:rsidR="00424418">
        <w:t>s</w:t>
      </w:r>
      <w:r w:rsidR="00B72CC7" w:rsidRPr="00AE42F5">
        <w:t xml:space="preserve"> substantial incremental benefit for the intended patient population</w:t>
      </w:r>
      <w:r w:rsidR="00B72CC7">
        <w:t>, and that</w:t>
      </w:r>
      <w:r w:rsidR="00670A89">
        <w:t xml:space="preserve"> it,</w:t>
      </w:r>
      <w:r w:rsidR="00B72CC7">
        <w:t xml:space="preserve"> </w:t>
      </w:r>
      <w:r w:rsidR="00670A89" w:rsidRPr="006F35D2">
        <w:t>compared to any available alternative therapies</w:t>
      </w:r>
      <w:r w:rsidR="00670A89">
        <w:t>,</w:t>
      </w:r>
      <w:r w:rsidR="00670A89" w:rsidDel="00424418">
        <w:t xml:space="preserve"> </w:t>
      </w:r>
      <w:r w:rsidR="00670A89">
        <w:t>exhibits</w:t>
      </w:r>
      <w:r w:rsidR="00B72CC7">
        <w:t xml:space="preserve"> the following unique </w:t>
      </w:r>
      <w:r w:rsidR="00B72CC7" w:rsidRPr="006F35D2">
        <w:t>characteristics</w:t>
      </w:r>
      <w:r w:rsidR="00B72CC7">
        <w:t>:</w:t>
      </w:r>
      <w:bookmarkEnd w:id="13"/>
    </w:p>
    <w:p w14:paraId="2EF0C5BF" w14:textId="49972906" w:rsidR="00B72CC7" w:rsidRPr="00113C9D" w:rsidRDefault="00B72CC7" w:rsidP="00B72CC7">
      <w:pPr>
        <w:pStyle w:val="3-BodyText"/>
        <w:numPr>
          <w:ilvl w:val="1"/>
          <w:numId w:val="11"/>
        </w:numPr>
        <w:ind w:left="1134"/>
        <w:rPr>
          <w:iCs/>
        </w:rPr>
      </w:pPr>
      <w:r w:rsidRPr="00E373BA">
        <w:rPr>
          <w:b/>
          <w:bCs/>
        </w:rPr>
        <w:t>The subcutaneous administration route</w:t>
      </w:r>
      <w:r>
        <w:t xml:space="preserve">: The submission stated that avoiding an IM injection using a longer and thicker needle is expected to significantly reduce pain and discomfort as well as allowing patients to be injected without the need to undress (all likely to improve adherence). </w:t>
      </w:r>
      <w:r w:rsidRPr="00113C9D">
        <w:rPr>
          <w:iCs/>
        </w:rPr>
        <w:t>The submission referenced 2022 survey data from Healthcare Providers (HCPs) and patients with direct experience which indicated high ease</w:t>
      </w:r>
      <w:r w:rsidRPr="00113C9D">
        <w:rPr>
          <w:rFonts w:ascii="Cambria Math" w:hAnsi="Cambria Math" w:cs="Cambria Math"/>
          <w:iCs/>
        </w:rPr>
        <w:t>‑</w:t>
      </w:r>
      <w:r w:rsidRPr="00113C9D">
        <w:rPr>
          <w:iCs/>
        </w:rPr>
        <w:t>of</w:t>
      </w:r>
      <w:r w:rsidRPr="00113C9D">
        <w:rPr>
          <w:rFonts w:ascii="Cambria Math" w:hAnsi="Cambria Math" w:cs="Cambria Math"/>
          <w:iCs/>
        </w:rPr>
        <w:t>‑</w:t>
      </w:r>
      <w:r w:rsidRPr="00113C9D">
        <w:rPr>
          <w:iCs/>
        </w:rPr>
        <w:t xml:space="preserve">use (89% of patients; 92% of providers), with 70% of patients reporting a better injection experience relative to their prior LAI and 65% of HCPs preferring SC over IM administration. The </w:t>
      </w:r>
      <w:r w:rsidRPr="00113C9D">
        <w:t>Pre</w:t>
      </w:r>
      <w:r w:rsidR="002D15C9">
        <w:noBreakHyphen/>
      </w:r>
      <w:r w:rsidRPr="00113C9D">
        <w:t>Sub</w:t>
      </w:r>
      <w:r w:rsidR="002D15C9">
        <w:noBreakHyphen/>
      </w:r>
      <w:r w:rsidRPr="00113C9D">
        <w:t xml:space="preserve">Committee Response (PSCR) </w:t>
      </w:r>
      <w:r w:rsidRPr="00113C9D">
        <w:rPr>
          <w:iCs/>
        </w:rPr>
        <w:t>added that the use of smaller 26–27G needles and avoidance of IM administration significantly reduce injection</w:t>
      </w:r>
      <w:r w:rsidRPr="00113C9D">
        <w:rPr>
          <w:rFonts w:ascii="Cambria Math" w:hAnsi="Cambria Math" w:cs="Cambria Math"/>
          <w:iCs/>
        </w:rPr>
        <w:t>‑</w:t>
      </w:r>
      <w:r w:rsidRPr="00113C9D">
        <w:rPr>
          <w:iCs/>
        </w:rPr>
        <w:t>related pain and discomfort, with therapeutic levels achieved within 6–24 hours, removing the need for oral supplementation or booster doses.</w:t>
      </w:r>
      <w:r w:rsidRPr="00113C9D">
        <w:t xml:space="preserve"> </w:t>
      </w:r>
    </w:p>
    <w:p w14:paraId="65DF0355" w14:textId="77777777" w:rsidR="00B72CC7" w:rsidRDefault="00B72CC7" w:rsidP="00B72CC7">
      <w:pPr>
        <w:pStyle w:val="3-BodyText"/>
        <w:numPr>
          <w:ilvl w:val="1"/>
          <w:numId w:val="11"/>
        </w:numPr>
        <w:ind w:left="1134"/>
      </w:pPr>
      <w:r w:rsidRPr="00E004B7">
        <w:rPr>
          <w:b/>
          <w:bCs/>
        </w:rPr>
        <w:lastRenderedPageBreak/>
        <w:t>The monthly administration schedule</w:t>
      </w:r>
      <w:r>
        <w:t xml:space="preserve">: The submission referenced R4WIM (28 days) and R2WIM (14 days) as alternative therapies that do not share the same dosing frequency. </w:t>
      </w:r>
      <w:r w:rsidRPr="00113C9D">
        <w:rPr>
          <w:iCs/>
        </w:rPr>
        <w:t>The ESC noted A1M and PP1M are administered monthly and were considered by the submission as alternative therapies to MRSC risperidone.</w:t>
      </w:r>
    </w:p>
    <w:p w14:paraId="378FB0A4" w14:textId="4F342270" w:rsidR="00B72CC7" w:rsidRDefault="00B72CC7" w:rsidP="00B72CC7">
      <w:pPr>
        <w:pStyle w:val="3-BodyText"/>
        <w:numPr>
          <w:ilvl w:val="1"/>
          <w:numId w:val="11"/>
        </w:numPr>
        <w:ind w:left="1134"/>
      </w:pPr>
      <w:r w:rsidRPr="004744AB">
        <w:rPr>
          <w:b/>
          <w:bCs/>
        </w:rPr>
        <w:t>The employment of MedinCell’s proprietary BEPO® technology, licensed to Teva as SteadyTeq</w:t>
      </w:r>
      <w:r>
        <w:t>:</w:t>
      </w:r>
      <w:r w:rsidRPr="004D0C50">
        <w:t xml:space="preserve"> </w:t>
      </w:r>
      <w:r>
        <w:t>The submission stated that this technology delivers</w:t>
      </w:r>
      <w:r w:rsidRPr="004D0C50">
        <w:t xml:space="preserve"> risperidone over an extended period through a small, bioresorbable depot formed </w:t>
      </w:r>
      <w:r w:rsidRPr="00C7236D">
        <w:rPr>
          <w:iCs/>
        </w:rPr>
        <w:t>in situ</w:t>
      </w:r>
      <w:r w:rsidRPr="004D0C50">
        <w:t xml:space="preserve"> via a solvent exchange mechanism. </w:t>
      </w:r>
      <w:r>
        <w:t xml:space="preserve">The submission claimed that MRSC risperidone </w:t>
      </w:r>
      <w:r w:rsidRPr="001243A7">
        <w:t>pre</w:t>
      </w:r>
      <w:r w:rsidR="002D15C9">
        <w:noBreakHyphen/>
      </w:r>
      <w:r w:rsidRPr="001243A7">
        <w:t>filled syringe</w:t>
      </w:r>
      <w:r>
        <w:t xml:space="preserve"> is superior</w:t>
      </w:r>
      <w:r w:rsidRPr="004D0C50">
        <w:t xml:space="preserve"> </w:t>
      </w:r>
      <w:r>
        <w:t xml:space="preserve">to other LAI antipsychotics due to its </w:t>
      </w:r>
      <w:r w:rsidRPr="004D0C50">
        <w:t>drug loading, release control, duration</w:t>
      </w:r>
      <w:r>
        <w:t xml:space="preserve">, and </w:t>
      </w:r>
      <w:r w:rsidRPr="004D0C50">
        <w:t>ready</w:t>
      </w:r>
      <w:r w:rsidR="002D15C9">
        <w:noBreakHyphen/>
      </w:r>
      <w:r w:rsidRPr="004D0C50">
        <w:t>to</w:t>
      </w:r>
      <w:r w:rsidR="002D15C9">
        <w:noBreakHyphen/>
      </w:r>
      <w:r w:rsidRPr="004D0C50">
        <w:t>use formulations that simplify administration processes</w:t>
      </w:r>
      <w:r w:rsidRPr="00584F11">
        <w:t xml:space="preserve"> </w:t>
      </w:r>
      <w:r>
        <w:t xml:space="preserve">and reduce the potential for preparation errors. The submission considered the </w:t>
      </w:r>
      <w:r w:rsidRPr="004D0C50">
        <w:t>reconstitution processe</w:t>
      </w:r>
      <w:r>
        <w:t>s of other risperidone LAIs</w:t>
      </w:r>
      <w:r w:rsidRPr="004D0C50">
        <w:t xml:space="preserve"> </w:t>
      </w:r>
      <w:r>
        <w:t>to be complex.</w:t>
      </w:r>
    </w:p>
    <w:p w14:paraId="1E785879" w14:textId="3AD194A8" w:rsidR="00B72CC7" w:rsidRPr="001A7C83" w:rsidRDefault="00B72CC7" w:rsidP="00B72CC7">
      <w:pPr>
        <w:pStyle w:val="3-BodyText"/>
        <w:rPr>
          <w:iCs/>
        </w:rPr>
      </w:pPr>
      <w:r w:rsidRPr="00113C9D">
        <w:rPr>
          <w:iCs/>
        </w:rPr>
        <w:t>The ESC acknowledged the arguments provided by the submission and PSCR and agreed that MRSC risperidone was demonstrated to have a substantial incremental benefit versus placebo. The ESC noted the submission claimed non</w:t>
      </w:r>
      <w:r w:rsidR="002D15C9">
        <w:rPr>
          <w:iCs/>
        </w:rPr>
        <w:noBreakHyphen/>
      </w:r>
      <w:r w:rsidRPr="00113C9D">
        <w:rPr>
          <w:iCs/>
        </w:rPr>
        <w:t>inferior effectiveness compared to PP1M, A1M, R2WIM and R4WIM and non</w:t>
      </w:r>
      <w:r w:rsidR="002D15C9">
        <w:rPr>
          <w:iCs/>
        </w:rPr>
        <w:noBreakHyphen/>
      </w:r>
      <w:r w:rsidRPr="00113C9D">
        <w:rPr>
          <w:iCs/>
        </w:rPr>
        <w:t>inferior safety compared to PP1M and A1M. The ESC also noted the submission did not claim</w:t>
      </w:r>
      <w:r w:rsidRPr="00113C9D">
        <w:t xml:space="preserve"> any significant improvement in efficacy nor reduction in toxicity over any of the alternative therapies yet has claimed substantial incremental benefit over these therapies due to the way in which MRSC risperidone is administered</w:t>
      </w:r>
      <w:r w:rsidRPr="00113C9D">
        <w:rPr>
          <w:iCs/>
        </w:rPr>
        <w:t>. The ESC considered advice on the relative benefit versus relevant comparators (PP1M, A1M, R2WIM and R4WIM) and agreed that MRSC risperidone has characteristics that were unique. Noting that SPA eligibility requires that the PBAC advises the medicine generates substantial incremental benefit for the intended patient population, the ESC advised that it is unclear whether the SPA criteria has been met.</w:t>
      </w:r>
    </w:p>
    <w:p w14:paraId="17CF8EA0" w14:textId="44DD5770" w:rsidR="00E47D24" w:rsidRDefault="00AD2687" w:rsidP="007C7367">
      <w:pPr>
        <w:pStyle w:val="5-SubsectionSubheading"/>
      </w:pPr>
      <w:r>
        <w:t>P</w:t>
      </w:r>
      <w:r w:rsidR="00ED3742" w:rsidRPr="00E47D24">
        <w:t>rior oral risperidone stabilisation</w:t>
      </w:r>
      <w:r w:rsidR="00ED3742" w:rsidRPr="00BE09AB">
        <w:t xml:space="preserve"> </w:t>
      </w:r>
    </w:p>
    <w:p w14:paraId="05C5D9FE" w14:textId="524F6729" w:rsidR="006670F4" w:rsidRPr="00C7236D" w:rsidRDefault="000837E5" w:rsidP="00270F13">
      <w:pPr>
        <w:pStyle w:val="3-BodyText"/>
        <w:rPr>
          <w:iCs/>
        </w:rPr>
      </w:pPr>
      <w:r w:rsidRPr="00113C9D">
        <w:rPr>
          <w:iCs/>
        </w:rPr>
        <w:t xml:space="preserve">The ESC noted that </w:t>
      </w:r>
      <w:r w:rsidR="00B9348A">
        <w:rPr>
          <w:iCs/>
        </w:rPr>
        <w:t>absence of</w:t>
      </w:r>
      <w:r w:rsidRPr="00113C9D">
        <w:rPr>
          <w:iCs/>
        </w:rPr>
        <w:t xml:space="preserve"> </w:t>
      </w:r>
      <w:r w:rsidR="003C706C">
        <w:rPr>
          <w:iCs/>
        </w:rPr>
        <w:t xml:space="preserve">a </w:t>
      </w:r>
      <w:r w:rsidRPr="00113C9D">
        <w:rPr>
          <w:iCs/>
        </w:rPr>
        <w:t>prior oral risperidone stabilisation</w:t>
      </w:r>
      <w:r w:rsidR="00887D7D">
        <w:rPr>
          <w:iCs/>
        </w:rPr>
        <w:t>/tolerability</w:t>
      </w:r>
      <w:r w:rsidR="003C706C">
        <w:rPr>
          <w:iCs/>
        </w:rPr>
        <w:t xml:space="preserve"> criterion</w:t>
      </w:r>
      <w:r w:rsidRPr="00113C9D">
        <w:rPr>
          <w:iCs/>
        </w:rPr>
        <w:t xml:space="preserve"> </w:t>
      </w:r>
      <w:r w:rsidR="003C706C">
        <w:rPr>
          <w:iCs/>
        </w:rPr>
        <w:t xml:space="preserve">in the proposed restriction </w:t>
      </w:r>
      <w:r w:rsidRPr="00113C9D">
        <w:rPr>
          <w:iCs/>
        </w:rPr>
        <w:t xml:space="preserve">and </w:t>
      </w:r>
      <w:r w:rsidR="006A2E6D" w:rsidRPr="00113C9D">
        <w:rPr>
          <w:iCs/>
        </w:rPr>
        <w:t>noted</w:t>
      </w:r>
      <w:r w:rsidRPr="00113C9D">
        <w:rPr>
          <w:iCs/>
        </w:rPr>
        <w:t xml:space="preserve"> th</w:t>
      </w:r>
      <w:r w:rsidR="00887D7D">
        <w:rPr>
          <w:iCs/>
        </w:rPr>
        <w:t xml:space="preserve">is as a requirement of both the </w:t>
      </w:r>
      <w:r w:rsidR="00031C1B">
        <w:rPr>
          <w:iCs/>
        </w:rPr>
        <w:t xml:space="preserve">TGA </w:t>
      </w:r>
      <w:r w:rsidRPr="00113C9D">
        <w:rPr>
          <w:iCs/>
        </w:rPr>
        <w:t>PI and RISE</w:t>
      </w:r>
      <w:r w:rsidR="00612D45" w:rsidRPr="00113C9D">
        <w:rPr>
          <w:iCs/>
        </w:rPr>
        <w:t xml:space="preserve"> study</w:t>
      </w:r>
      <w:r w:rsidRPr="00113C9D">
        <w:rPr>
          <w:iCs/>
        </w:rPr>
        <w:t xml:space="preserve">. </w:t>
      </w:r>
      <w:r w:rsidR="00270F13" w:rsidRPr="00113C9D">
        <w:rPr>
          <w:iCs/>
        </w:rPr>
        <w:t xml:space="preserve">The ESC </w:t>
      </w:r>
      <w:r w:rsidR="001E1C60" w:rsidRPr="00113C9D">
        <w:rPr>
          <w:iCs/>
        </w:rPr>
        <w:t xml:space="preserve">agreed with the </w:t>
      </w:r>
      <w:r w:rsidR="00E51974" w:rsidRPr="00113C9D">
        <w:rPr>
          <w:iCs/>
        </w:rPr>
        <w:t xml:space="preserve">PBAC’s previous consideration </w:t>
      </w:r>
      <w:r w:rsidR="0000422B">
        <w:rPr>
          <w:iCs/>
        </w:rPr>
        <w:t>of</w:t>
      </w:r>
      <w:r w:rsidR="0000422B" w:rsidRPr="00113C9D">
        <w:rPr>
          <w:iCs/>
        </w:rPr>
        <w:t xml:space="preserve"> R4WIM </w:t>
      </w:r>
      <w:r w:rsidR="00473A41">
        <w:rPr>
          <w:iCs/>
        </w:rPr>
        <w:t>that it is</w:t>
      </w:r>
      <w:r w:rsidR="00473A41" w:rsidRPr="00113C9D">
        <w:rPr>
          <w:iCs/>
        </w:rPr>
        <w:t xml:space="preserve"> unlikely prescribers would initiate a LAI without first initiating oral risperidone (Paragraph 3.2, Risperidone PSD, March 2024 PBAC Meeting)</w:t>
      </w:r>
      <w:r w:rsidR="00473A41">
        <w:rPr>
          <w:iCs/>
        </w:rPr>
        <w:t xml:space="preserve"> </w:t>
      </w:r>
      <w:r w:rsidR="00C05929">
        <w:rPr>
          <w:iCs/>
        </w:rPr>
        <w:t xml:space="preserve">and </w:t>
      </w:r>
      <w:r w:rsidR="00473A41">
        <w:rPr>
          <w:iCs/>
        </w:rPr>
        <w:t xml:space="preserve">therefore </w:t>
      </w:r>
      <w:r w:rsidR="00C05929">
        <w:rPr>
          <w:iCs/>
        </w:rPr>
        <w:t>considered that specifying beyond simply</w:t>
      </w:r>
      <w:r w:rsidR="006670F4" w:rsidRPr="00113C9D">
        <w:rPr>
          <w:iCs/>
        </w:rPr>
        <w:t xml:space="preserve"> "schizophrenia" </w:t>
      </w:r>
      <w:r w:rsidR="00E76B8E">
        <w:rPr>
          <w:iCs/>
        </w:rPr>
        <w:t xml:space="preserve">is not </w:t>
      </w:r>
      <w:r w:rsidR="00473A41">
        <w:rPr>
          <w:iCs/>
        </w:rPr>
        <w:t>required</w:t>
      </w:r>
      <w:r w:rsidR="006670F4" w:rsidRPr="00113C9D">
        <w:rPr>
          <w:iCs/>
        </w:rPr>
        <w:t>.</w:t>
      </w:r>
    </w:p>
    <w:p w14:paraId="0AF27B51" w14:textId="6E5DE517" w:rsidR="00E47D24" w:rsidRPr="00E47D24" w:rsidRDefault="00E47D24" w:rsidP="00067A2B">
      <w:pPr>
        <w:pStyle w:val="5-SubsectionSubheading"/>
      </w:pPr>
      <w:r w:rsidRPr="00E47D24">
        <w:t>Oral</w:t>
      </w:r>
      <w:r w:rsidR="002D15C9">
        <w:noBreakHyphen/>
      </w:r>
      <w:r w:rsidRPr="00E47D24">
        <w:t>MRSC switching</w:t>
      </w:r>
    </w:p>
    <w:p w14:paraId="29D500A1" w14:textId="03A33018" w:rsidR="00E47D24" w:rsidRPr="00113C9D" w:rsidRDefault="00E47D24" w:rsidP="00E47D24">
      <w:pPr>
        <w:pStyle w:val="3-BodyText"/>
        <w:rPr>
          <w:iCs/>
        </w:rPr>
      </w:pPr>
      <w:r w:rsidRPr="00113C9D">
        <w:rPr>
          <w:iCs/>
        </w:rPr>
        <w:t xml:space="preserve">The ESC </w:t>
      </w:r>
      <w:r w:rsidR="004417DA" w:rsidRPr="00113C9D">
        <w:rPr>
          <w:iCs/>
        </w:rPr>
        <w:t>not</w:t>
      </w:r>
      <w:r w:rsidR="002B4607">
        <w:rPr>
          <w:iCs/>
        </w:rPr>
        <w:t>ed</w:t>
      </w:r>
      <w:r w:rsidR="004417DA" w:rsidRPr="00113C9D">
        <w:rPr>
          <w:iCs/>
        </w:rPr>
        <w:t xml:space="preserve"> th</w:t>
      </w:r>
      <w:r w:rsidR="00AE4E92">
        <w:rPr>
          <w:iCs/>
        </w:rPr>
        <w:t>e</w:t>
      </w:r>
      <w:r w:rsidR="0090413A">
        <w:rPr>
          <w:iCs/>
        </w:rPr>
        <w:t xml:space="preserve"> dose form switching administrative advice of the requested listing</w:t>
      </w:r>
      <w:r w:rsidR="00873C7C" w:rsidRPr="00113C9D">
        <w:rPr>
          <w:iCs/>
        </w:rPr>
        <w:t xml:space="preserve">. The ESC </w:t>
      </w:r>
      <w:r w:rsidR="00D445C9">
        <w:rPr>
          <w:iCs/>
        </w:rPr>
        <w:t>considered it appropriate to</w:t>
      </w:r>
      <w:r w:rsidR="00873C7C" w:rsidRPr="00113C9D">
        <w:rPr>
          <w:iCs/>
        </w:rPr>
        <w:t xml:space="preserve"> </w:t>
      </w:r>
      <w:r w:rsidR="00DE4163" w:rsidRPr="00113C9D">
        <w:rPr>
          <w:iCs/>
        </w:rPr>
        <w:t>align</w:t>
      </w:r>
      <w:r w:rsidR="00D445C9">
        <w:rPr>
          <w:iCs/>
        </w:rPr>
        <w:t xml:space="preserve"> the MRSC restriction</w:t>
      </w:r>
      <w:r w:rsidR="00DE4163" w:rsidRPr="00113C9D">
        <w:rPr>
          <w:iCs/>
        </w:rPr>
        <w:t xml:space="preserve"> with </w:t>
      </w:r>
      <w:r w:rsidR="00D445C9">
        <w:rPr>
          <w:iCs/>
        </w:rPr>
        <w:t xml:space="preserve">that of </w:t>
      </w:r>
      <w:r w:rsidR="00DE4163" w:rsidRPr="00113C9D">
        <w:rPr>
          <w:iCs/>
        </w:rPr>
        <w:t>A1M</w:t>
      </w:r>
      <w:r w:rsidR="0022709D">
        <w:rPr>
          <w:iCs/>
        </w:rPr>
        <w:t xml:space="preserve"> (</w:t>
      </w:r>
      <w:r w:rsidR="00DE4163" w:rsidRPr="00113C9D">
        <w:rPr>
          <w:iCs/>
        </w:rPr>
        <w:t>PBS item codes 14790K</w:t>
      </w:r>
      <w:r w:rsidR="0022709D">
        <w:rPr>
          <w:iCs/>
        </w:rPr>
        <w:t xml:space="preserve"> and</w:t>
      </w:r>
      <w:r w:rsidR="0022709D" w:rsidRPr="00113C9D">
        <w:rPr>
          <w:iCs/>
        </w:rPr>
        <w:t xml:space="preserve"> </w:t>
      </w:r>
      <w:r w:rsidR="00DE4163" w:rsidRPr="00113C9D">
        <w:rPr>
          <w:iCs/>
        </w:rPr>
        <w:t>14</w:t>
      </w:r>
      <w:r w:rsidR="00405D75" w:rsidRPr="00113C9D">
        <w:rPr>
          <w:iCs/>
        </w:rPr>
        <w:t xml:space="preserve">824F) </w:t>
      </w:r>
      <w:r w:rsidR="00705A87" w:rsidRPr="00113C9D">
        <w:rPr>
          <w:iCs/>
        </w:rPr>
        <w:t xml:space="preserve">and considered that </w:t>
      </w:r>
      <w:r w:rsidR="002479CF" w:rsidRPr="00113C9D">
        <w:rPr>
          <w:iCs/>
        </w:rPr>
        <w:t xml:space="preserve">explicit </w:t>
      </w:r>
      <w:r w:rsidR="00E73B76" w:rsidRPr="00113C9D">
        <w:rPr>
          <w:iCs/>
        </w:rPr>
        <w:t xml:space="preserve">guidance on switching from oral to MRSC risperidone </w:t>
      </w:r>
      <w:r w:rsidR="00121B82" w:rsidRPr="00113C9D">
        <w:rPr>
          <w:iCs/>
        </w:rPr>
        <w:t>would</w:t>
      </w:r>
      <w:r w:rsidR="00E73B76" w:rsidRPr="00113C9D">
        <w:rPr>
          <w:iCs/>
        </w:rPr>
        <w:t xml:space="preserve"> </w:t>
      </w:r>
      <w:r w:rsidR="00121B82" w:rsidRPr="00113C9D">
        <w:rPr>
          <w:iCs/>
        </w:rPr>
        <w:t xml:space="preserve">be </w:t>
      </w:r>
      <w:r w:rsidR="001E5FFE">
        <w:rPr>
          <w:iCs/>
        </w:rPr>
        <w:t>un</w:t>
      </w:r>
      <w:r w:rsidR="00E73B76" w:rsidRPr="00113C9D">
        <w:rPr>
          <w:iCs/>
        </w:rPr>
        <w:t>necessary.</w:t>
      </w:r>
    </w:p>
    <w:p w14:paraId="46E3EDD5" w14:textId="198D8C9D" w:rsidR="007428EE" w:rsidRPr="007428EE" w:rsidRDefault="007428EE" w:rsidP="00067A2B">
      <w:pPr>
        <w:pStyle w:val="5-SubsectionSubheading"/>
      </w:pPr>
      <w:r w:rsidRPr="007428EE">
        <w:t xml:space="preserve">Definition of schizophrenia </w:t>
      </w:r>
    </w:p>
    <w:p w14:paraId="21890B54" w14:textId="35335DBC" w:rsidR="00E47D24" w:rsidRPr="00113C9D" w:rsidRDefault="00B31006" w:rsidP="00B31006">
      <w:pPr>
        <w:pStyle w:val="3-BodyText"/>
        <w:rPr>
          <w:iCs/>
        </w:rPr>
      </w:pPr>
      <w:r w:rsidRPr="00B31006">
        <w:rPr>
          <w:rFonts w:ascii="Calibri" w:hAnsi="Calibri" w:cs="Calibri"/>
          <w:color w:val="000000"/>
        </w:rPr>
        <w:t xml:space="preserve">The ESC noted that 'schizophrenia' was not defined in the </w:t>
      </w:r>
      <w:r w:rsidR="00DF7D1B" w:rsidRPr="00113C9D">
        <w:rPr>
          <w:iCs/>
        </w:rPr>
        <w:t>proposed restriction</w:t>
      </w:r>
      <w:r w:rsidRPr="00B31006">
        <w:rPr>
          <w:rFonts w:ascii="Calibri" w:hAnsi="Calibri" w:cs="Calibri"/>
          <w:color w:val="000000"/>
        </w:rPr>
        <w:t xml:space="preserve"> but was added by the Department to </w:t>
      </w:r>
      <w:r>
        <w:rPr>
          <w:rFonts w:ascii="Calibri" w:hAnsi="Calibri" w:cs="Calibri"/>
          <w:color w:val="000000"/>
        </w:rPr>
        <w:t xml:space="preserve">the </w:t>
      </w:r>
      <w:r w:rsidRPr="00B31006">
        <w:rPr>
          <w:rFonts w:ascii="Calibri" w:hAnsi="Calibri" w:cs="Calibri"/>
          <w:color w:val="000000"/>
        </w:rPr>
        <w:t>restrict</w:t>
      </w:r>
      <w:r>
        <w:rPr>
          <w:rFonts w:ascii="Calibri" w:hAnsi="Calibri" w:cs="Calibri"/>
          <w:color w:val="000000"/>
        </w:rPr>
        <w:t>ion of</w:t>
      </w:r>
      <w:r w:rsidRPr="00B31006">
        <w:rPr>
          <w:rFonts w:ascii="Calibri" w:hAnsi="Calibri" w:cs="Calibri"/>
          <w:color w:val="000000"/>
        </w:rPr>
        <w:t xml:space="preserve"> all PBS listings for this indication to </w:t>
      </w:r>
      <w:r w:rsidRPr="00B31006">
        <w:rPr>
          <w:rFonts w:ascii="Calibri" w:hAnsi="Calibri" w:cs="Calibri"/>
          <w:color w:val="000000"/>
        </w:rPr>
        <w:lastRenderedPageBreak/>
        <w:t xml:space="preserve">reduce </w:t>
      </w:r>
      <w:r w:rsidR="0027446B">
        <w:rPr>
          <w:rFonts w:ascii="Calibri" w:hAnsi="Calibri" w:cs="Calibri"/>
          <w:color w:val="000000"/>
        </w:rPr>
        <w:t>prescriber</w:t>
      </w:r>
      <w:r w:rsidRPr="00B31006">
        <w:rPr>
          <w:rFonts w:ascii="Calibri" w:hAnsi="Calibri" w:cs="Calibri"/>
          <w:color w:val="000000"/>
        </w:rPr>
        <w:t xml:space="preserve"> correspondence</w:t>
      </w:r>
      <w:r w:rsidR="0027446B">
        <w:rPr>
          <w:rFonts w:ascii="Calibri" w:hAnsi="Calibri" w:cs="Calibri"/>
          <w:color w:val="000000"/>
        </w:rPr>
        <w:t xml:space="preserve"> to Services Australia</w:t>
      </w:r>
      <w:r w:rsidRPr="00B31006">
        <w:rPr>
          <w:rFonts w:ascii="Calibri" w:hAnsi="Calibri" w:cs="Calibri"/>
          <w:color w:val="000000"/>
        </w:rPr>
        <w:t xml:space="preserve"> about patient eligibility under DSM</w:t>
      </w:r>
      <w:r w:rsidR="002D15C9">
        <w:rPr>
          <w:rFonts w:ascii="Calibri" w:hAnsi="Calibri" w:cs="Calibri"/>
          <w:color w:val="000000"/>
        </w:rPr>
        <w:noBreakHyphen/>
      </w:r>
      <w:r w:rsidRPr="00B31006">
        <w:rPr>
          <w:rFonts w:ascii="Calibri" w:hAnsi="Calibri" w:cs="Calibri"/>
          <w:color w:val="000000"/>
        </w:rPr>
        <w:t>5 criteria.</w:t>
      </w:r>
      <w:r>
        <w:rPr>
          <w:rFonts w:ascii="Calibri" w:hAnsi="Calibri" w:cs="Calibri"/>
          <w:color w:val="000000"/>
        </w:rPr>
        <w:t xml:space="preserve"> </w:t>
      </w:r>
      <w:r w:rsidR="00024211">
        <w:rPr>
          <w:iCs/>
        </w:rPr>
        <w:t>The ESC</w:t>
      </w:r>
      <w:r w:rsidR="00186D8A">
        <w:rPr>
          <w:iCs/>
        </w:rPr>
        <w:t xml:space="preserve"> considered </w:t>
      </w:r>
      <w:r w:rsidR="006B359B">
        <w:rPr>
          <w:iCs/>
        </w:rPr>
        <w:t xml:space="preserve">it appropriate to include </w:t>
      </w:r>
      <w:r w:rsidR="003359D7">
        <w:rPr>
          <w:iCs/>
        </w:rPr>
        <w:t>this administrative advice in the MRSC risperidone restriction.</w:t>
      </w:r>
    </w:p>
    <w:bookmarkEnd w:id="12"/>
    <w:p w14:paraId="5B787752" w14:textId="71E2EA68" w:rsidR="006A0576" w:rsidRPr="000A6AF4" w:rsidRDefault="006A0576" w:rsidP="00DC0590">
      <w:pPr>
        <w:pStyle w:val="3-BodyText"/>
        <w:numPr>
          <w:ilvl w:val="0"/>
          <w:numId w:val="0"/>
        </w:numPr>
        <w:ind w:firstLine="720"/>
        <w:rPr>
          <w:i/>
          <w:iCs/>
        </w:rPr>
      </w:pPr>
      <w:r w:rsidRPr="000A6AF4">
        <w:rPr>
          <w:i/>
          <w:iCs/>
        </w:rPr>
        <w:t>For more detail on PBAC’s view, see section 7 PBAC outcome</w:t>
      </w:r>
    </w:p>
    <w:p w14:paraId="7075B85C" w14:textId="003F418D" w:rsidR="00B50DB8" w:rsidRPr="0098262F" w:rsidDel="00195452" w:rsidRDefault="000F6915" w:rsidP="004E18E9">
      <w:pPr>
        <w:pStyle w:val="2-SectionHeading"/>
      </w:pPr>
      <w:r>
        <w:t>Clinical place for the proposed therapy</w:t>
      </w:r>
    </w:p>
    <w:p w14:paraId="21FDD135" w14:textId="1435FE95" w:rsidR="00894489" w:rsidRPr="00F97EC6" w:rsidDel="00195452" w:rsidRDefault="00B453A8" w:rsidP="004E18E9">
      <w:pPr>
        <w:pStyle w:val="3-BodyText"/>
        <w:rPr>
          <w:color w:val="000000" w:themeColor="text1"/>
        </w:rPr>
      </w:pPr>
      <w:r w:rsidRPr="00F97EC6">
        <w:rPr>
          <w:color w:val="000000" w:themeColor="text1"/>
        </w:rPr>
        <w:t xml:space="preserve">Schizophrenia is a chronic disorder with </w:t>
      </w:r>
      <w:r w:rsidR="00A2636C" w:rsidRPr="00F97EC6">
        <w:rPr>
          <w:color w:val="000000" w:themeColor="text1"/>
        </w:rPr>
        <w:t>profound</w:t>
      </w:r>
      <w:r w:rsidRPr="00F97EC6">
        <w:rPr>
          <w:color w:val="000000" w:themeColor="text1"/>
        </w:rPr>
        <w:t xml:space="preserve"> effects</w:t>
      </w:r>
      <w:r w:rsidR="00A2636C" w:rsidRPr="00F97EC6">
        <w:rPr>
          <w:color w:val="000000" w:themeColor="text1"/>
        </w:rPr>
        <w:t xml:space="preserve"> on the quality of life of patients and their families</w:t>
      </w:r>
      <w:r w:rsidR="001C2549" w:rsidRPr="00F97EC6">
        <w:rPr>
          <w:color w:val="000000" w:themeColor="text1"/>
        </w:rPr>
        <w:t>, adverse effects on education and employment,</w:t>
      </w:r>
      <w:r w:rsidR="00A2636C" w:rsidRPr="00F97EC6">
        <w:rPr>
          <w:color w:val="000000" w:themeColor="text1"/>
        </w:rPr>
        <w:t xml:space="preserve"> and reduced life expectancy</w:t>
      </w:r>
      <w:r w:rsidR="001C2549" w:rsidRPr="00F97EC6">
        <w:rPr>
          <w:color w:val="000000" w:themeColor="text1"/>
        </w:rPr>
        <w:t>. The</w:t>
      </w:r>
      <w:r w:rsidR="00F97EC6" w:rsidRPr="00F97EC6">
        <w:rPr>
          <w:color w:val="000000" w:themeColor="text1"/>
        </w:rPr>
        <w:t xml:space="preserve"> 2010</w:t>
      </w:r>
      <w:r w:rsidR="001C2549" w:rsidRPr="00F97EC6">
        <w:rPr>
          <w:color w:val="000000" w:themeColor="text1"/>
        </w:rPr>
        <w:t xml:space="preserve"> Survey of High Impact Psychosis (SHIP) estimated that</w:t>
      </w:r>
      <w:r w:rsidR="00F97EC6" w:rsidRPr="00F97EC6">
        <w:rPr>
          <w:color w:val="000000" w:themeColor="text1"/>
        </w:rPr>
        <w:t>,</w:t>
      </w:r>
      <w:r w:rsidR="001C2549" w:rsidRPr="00F97EC6">
        <w:rPr>
          <w:color w:val="000000" w:themeColor="text1"/>
        </w:rPr>
        <w:t xml:space="preserve"> in Australia</w:t>
      </w:r>
      <w:r w:rsidR="00F97EC6" w:rsidRPr="00F97EC6">
        <w:rPr>
          <w:color w:val="000000" w:themeColor="text1"/>
        </w:rPr>
        <w:t xml:space="preserve">, over one year, </w:t>
      </w:r>
      <w:r w:rsidR="001C2549" w:rsidRPr="00F97EC6">
        <w:rPr>
          <w:color w:val="000000" w:themeColor="text1"/>
        </w:rPr>
        <w:t xml:space="preserve">5 per 1000 individuals </w:t>
      </w:r>
      <w:r w:rsidR="00F97EC6" w:rsidRPr="00F97EC6">
        <w:rPr>
          <w:color w:val="000000" w:themeColor="text1"/>
        </w:rPr>
        <w:t>required treatment for</w:t>
      </w:r>
      <w:r w:rsidR="001C2549" w:rsidRPr="00F97EC6">
        <w:rPr>
          <w:color w:val="000000" w:themeColor="text1"/>
        </w:rPr>
        <w:t xml:space="preserve"> psychotic illness</w:t>
      </w:r>
      <w:r w:rsidR="00F97EC6" w:rsidRPr="00F97EC6">
        <w:rPr>
          <w:color w:val="000000" w:themeColor="text1"/>
        </w:rPr>
        <w:t>,</w:t>
      </w:r>
      <w:r w:rsidR="001C2549" w:rsidRPr="00F97EC6">
        <w:rPr>
          <w:color w:val="000000" w:themeColor="text1"/>
        </w:rPr>
        <w:t xml:space="preserve"> of whom about half had schizophrenia.</w:t>
      </w:r>
      <w:r w:rsidR="001C2549" w:rsidRPr="00F97EC6">
        <w:rPr>
          <w:rStyle w:val="FootnoteReference"/>
          <w:color w:val="000000" w:themeColor="text1"/>
        </w:rPr>
        <w:footnoteReference w:id="1"/>
      </w:r>
      <w:r w:rsidR="001C2549" w:rsidRPr="00F97EC6">
        <w:rPr>
          <w:color w:val="000000" w:themeColor="text1"/>
        </w:rPr>
        <w:t xml:space="preserve"> </w:t>
      </w:r>
    </w:p>
    <w:p w14:paraId="01B513CE" w14:textId="3D090619" w:rsidR="00286E1A" w:rsidRPr="00AE4E05" w:rsidRDefault="00F97EC6" w:rsidP="004E18E9">
      <w:pPr>
        <w:pStyle w:val="3-BodyText"/>
        <w:rPr>
          <w:color w:val="0066FF"/>
        </w:rPr>
      </w:pPr>
      <w:r w:rsidRPr="00C3429F">
        <w:rPr>
          <w:color w:val="000000" w:themeColor="text1"/>
        </w:rPr>
        <w:t>Antipsychotic medications are</w:t>
      </w:r>
      <w:r w:rsidR="00A77714">
        <w:rPr>
          <w:color w:val="000000" w:themeColor="text1"/>
        </w:rPr>
        <w:t xml:space="preserve"> the</w:t>
      </w:r>
      <w:r w:rsidRPr="00C3429F">
        <w:rPr>
          <w:color w:val="000000" w:themeColor="text1"/>
        </w:rPr>
        <w:t xml:space="preserve"> first</w:t>
      </w:r>
      <w:r w:rsidR="002D15C9">
        <w:rPr>
          <w:color w:val="000000" w:themeColor="text1"/>
        </w:rPr>
        <w:noBreakHyphen/>
      </w:r>
      <w:r w:rsidRPr="00C3429F">
        <w:rPr>
          <w:color w:val="000000" w:themeColor="text1"/>
        </w:rPr>
        <w:t xml:space="preserve">line treatment for </w:t>
      </w:r>
      <w:r w:rsidR="00E07EE4">
        <w:rPr>
          <w:color w:val="000000" w:themeColor="text1"/>
        </w:rPr>
        <w:t xml:space="preserve">psychosis due to </w:t>
      </w:r>
      <w:r w:rsidRPr="00C3429F">
        <w:rPr>
          <w:color w:val="000000" w:themeColor="text1"/>
        </w:rPr>
        <w:t>schizophrenia</w:t>
      </w:r>
      <w:r w:rsidR="00D37A9F" w:rsidRPr="00C3429F">
        <w:rPr>
          <w:color w:val="000000" w:themeColor="text1"/>
        </w:rPr>
        <w:t>.</w:t>
      </w:r>
      <w:r w:rsidR="00AE4E05">
        <w:rPr>
          <w:color w:val="000000" w:themeColor="text1"/>
        </w:rPr>
        <w:t xml:space="preserve"> </w:t>
      </w:r>
      <w:r w:rsidR="00D37A9F" w:rsidRPr="00AE4E05">
        <w:rPr>
          <w:color w:val="000000" w:themeColor="text1"/>
        </w:rPr>
        <w:t>LAI forms of antipsychotics have been proposed to address problems of non</w:t>
      </w:r>
      <w:r w:rsidR="002D15C9">
        <w:rPr>
          <w:color w:val="000000" w:themeColor="text1"/>
        </w:rPr>
        <w:noBreakHyphen/>
      </w:r>
      <w:r w:rsidR="00D37A9F" w:rsidRPr="00AE4E05">
        <w:rPr>
          <w:color w:val="000000" w:themeColor="text1"/>
        </w:rPr>
        <w:t>adherence</w:t>
      </w:r>
      <w:r w:rsidR="00C3429F" w:rsidRPr="00AE4E05">
        <w:rPr>
          <w:color w:val="000000" w:themeColor="text1"/>
        </w:rPr>
        <w:t xml:space="preserve"> and thereby improve outcomes</w:t>
      </w:r>
      <w:r w:rsidR="0071763D">
        <w:rPr>
          <w:color w:val="000000" w:themeColor="text1"/>
        </w:rPr>
        <w:t xml:space="preserve">. </w:t>
      </w:r>
      <w:r w:rsidR="00EA2B5F">
        <w:rPr>
          <w:color w:val="000000" w:themeColor="text1"/>
        </w:rPr>
        <w:t>T</w:t>
      </w:r>
      <w:r w:rsidR="005E18D9">
        <w:rPr>
          <w:color w:val="000000" w:themeColor="text1"/>
        </w:rPr>
        <w:t xml:space="preserve">he </w:t>
      </w:r>
      <w:r w:rsidR="00C3429F" w:rsidRPr="00AE4E05">
        <w:rPr>
          <w:color w:val="000000" w:themeColor="text1"/>
        </w:rPr>
        <w:t xml:space="preserve">benefit of LAI vs oral treatment </w:t>
      </w:r>
      <w:r w:rsidR="00286E1A" w:rsidRPr="00AE4E05">
        <w:rPr>
          <w:color w:val="000000" w:themeColor="text1"/>
        </w:rPr>
        <w:t xml:space="preserve">in trials </w:t>
      </w:r>
      <w:r w:rsidR="00EA2B5F">
        <w:rPr>
          <w:color w:val="000000" w:themeColor="text1"/>
        </w:rPr>
        <w:t>appears</w:t>
      </w:r>
      <w:r w:rsidR="00EA2B5F" w:rsidRPr="00AE4E05">
        <w:rPr>
          <w:color w:val="000000" w:themeColor="text1"/>
        </w:rPr>
        <w:t xml:space="preserve"> </w:t>
      </w:r>
      <w:r w:rsidR="00AE4E05">
        <w:rPr>
          <w:color w:val="000000" w:themeColor="text1"/>
        </w:rPr>
        <w:t>modest</w:t>
      </w:r>
      <w:r w:rsidR="00C3429F" w:rsidRPr="00AE4E05">
        <w:rPr>
          <w:color w:val="000000" w:themeColor="text1"/>
        </w:rPr>
        <w:t>; a recent systematic review</w:t>
      </w:r>
      <w:r w:rsidR="00A4008A">
        <w:rPr>
          <w:color w:val="000000" w:themeColor="text1"/>
        </w:rPr>
        <w:t xml:space="preserve"> showed</w:t>
      </w:r>
      <w:r w:rsidR="00C3429F" w:rsidRPr="00AE4E05">
        <w:rPr>
          <w:color w:val="000000" w:themeColor="text1"/>
        </w:rPr>
        <w:t xml:space="preserve"> </w:t>
      </w:r>
      <w:r w:rsidR="00596569">
        <w:rPr>
          <w:color w:val="000000" w:themeColor="text1"/>
        </w:rPr>
        <w:t>a</w:t>
      </w:r>
      <w:r w:rsidR="00596569" w:rsidRPr="00AE4E05">
        <w:rPr>
          <w:color w:val="000000" w:themeColor="text1"/>
        </w:rPr>
        <w:t xml:space="preserve"> </w:t>
      </w:r>
      <w:r w:rsidR="0006015A" w:rsidRPr="00AE4E05">
        <w:rPr>
          <w:color w:val="000000" w:themeColor="text1"/>
        </w:rPr>
        <w:t>0.88 (0.79</w:t>
      </w:r>
      <w:r w:rsidR="002D15C9">
        <w:rPr>
          <w:color w:val="000000" w:themeColor="text1"/>
        </w:rPr>
        <w:noBreakHyphen/>
      </w:r>
      <w:r w:rsidR="0006015A" w:rsidRPr="00AE4E05">
        <w:rPr>
          <w:color w:val="000000" w:themeColor="text1"/>
        </w:rPr>
        <w:t>0.99)</w:t>
      </w:r>
      <w:r w:rsidR="0006015A">
        <w:rPr>
          <w:color w:val="000000" w:themeColor="text1"/>
        </w:rPr>
        <w:t xml:space="preserve"> </w:t>
      </w:r>
      <w:r w:rsidR="00C3429F" w:rsidRPr="00AE4E05">
        <w:rPr>
          <w:color w:val="000000" w:themeColor="text1"/>
        </w:rPr>
        <w:t>pooled relative risk (95% CI) of hospitalisation or relapse</w:t>
      </w:r>
      <w:r w:rsidR="00095146">
        <w:rPr>
          <w:color w:val="000000" w:themeColor="text1"/>
        </w:rPr>
        <w:t xml:space="preserve"> </w:t>
      </w:r>
      <w:r w:rsidR="00C3429F" w:rsidRPr="00AE4E05">
        <w:rPr>
          <w:color w:val="000000" w:themeColor="text1"/>
        </w:rPr>
        <w:t>across 29 randomised controlled trials with 7</w:t>
      </w:r>
      <w:r w:rsidR="00095146">
        <w:rPr>
          <w:color w:val="000000" w:themeColor="text1"/>
        </w:rPr>
        <w:t>,</w:t>
      </w:r>
      <w:r w:rsidR="00C3429F" w:rsidRPr="00AE4E05">
        <w:rPr>
          <w:color w:val="000000" w:themeColor="text1"/>
        </w:rPr>
        <w:t>833 patients.</w:t>
      </w:r>
      <w:r w:rsidR="00C3429F">
        <w:rPr>
          <w:rStyle w:val="FootnoteReference"/>
          <w:color w:val="000000" w:themeColor="text1"/>
        </w:rPr>
        <w:footnoteReference w:id="2"/>
      </w:r>
    </w:p>
    <w:p w14:paraId="1E50BAB6" w14:textId="4FAF91AD" w:rsidR="00286E1A" w:rsidRPr="00286E1A" w:rsidRDefault="00157364" w:rsidP="004E18E9">
      <w:pPr>
        <w:pStyle w:val="3-BodyText"/>
        <w:rPr>
          <w:color w:val="0066FF"/>
        </w:rPr>
      </w:pPr>
      <w:r>
        <w:rPr>
          <w:color w:val="000000" w:themeColor="text1"/>
        </w:rPr>
        <w:t>The t</w:t>
      </w:r>
      <w:r w:rsidR="00286E1A">
        <w:rPr>
          <w:color w:val="000000" w:themeColor="text1"/>
        </w:rPr>
        <w:t xml:space="preserve">echnologies used to achieve </w:t>
      </w:r>
      <w:r w:rsidR="00A1492F">
        <w:rPr>
          <w:color w:val="000000" w:themeColor="text1"/>
        </w:rPr>
        <w:t xml:space="preserve">the </w:t>
      </w:r>
      <w:r w:rsidR="00286E1A">
        <w:rPr>
          <w:color w:val="000000" w:themeColor="text1"/>
        </w:rPr>
        <w:t xml:space="preserve">stable release </w:t>
      </w:r>
      <w:r>
        <w:rPr>
          <w:color w:val="000000" w:themeColor="text1"/>
        </w:rPr>
        <w:t xml:space="preserve">of </w:t>
      </w:r>
      <w:r w:rsidR="00DB2396">
        <w:rPr>
          <w:color w:val="000000" w:themeColor="text1"/>
        </w:rPr>
        <w:t xml:space="preserve">a </w:t>
      </w:r>
      <w:r>
        <w:rPr>
          <w:color w:val="000000" w:themeColor="text1"/>
        </w:rPr>
        <w:t xml:space="preserve">drug </w:t>
      </w:r>
      <w:r w:rsidR="00DB2396">
        <w:rPr>
          <w:color w:val="000000" w:themeColor="text1"/>
        </w:rPr>
        <w:t>differ across</w:t>
      </w:r>
      <w:r w:rsidR="0081612B">
        <w:rPr>
          <w:color w:val="000000" w:themeColor="text1"/>
        </w:rPr>
        <w:t xml:space="preserve"> the various LAIs, </w:t>
      </w:r>
      <w:r w:rsidR="00DB2396">
        <w:rPr>
          <w:color w:val="000000" w:themeColor="text1"/>
        </w:rPr>
        <w:t>including</w:t>
      </w:r>
      <w:r w:rsidR="00911EEB">
        <w:rPr>
          <w:color w:val="000000" w:themeColor="text1"/>
        </w:rPr>
        <w:t xml:space="preserve"> those with</w:t>
      </w:r>
      <w:r w:rsidR="0081612B">
        <w:rPr>
          <w:color w:val="000000" w:themeColor="text1"/>
        </w:rPr>
        <w:t xml:space="preserve"> the same active ingredient</w:t>
      </w:r>
      <w:r w:rsidR="00286E1A">
        <w:rPr>
          <w:color w:val="000000" w:themeColor="text1"/>
        </w:rPr>
        <w:t xml:space="preserve">. </w:t>
      </w:r>
      <w:r w:rsidR="00735B49">
        <w:rPr>
          <w:color w:val="000000" w:themeColor="text1"/>
        </w:rPr>
        <w:t>MRSC</w:t>
      </w:r>
      <w:r w:rsidR="00200BC8">
        <w:rPr>
          <w:color w:val="000000" w:themeColor="text1"/>
        </w:rPr>
        <w:t xml:space="preserve"> risperidone</w:t>
      </w:r>
      <w:r w:rsidR="00735B49">
        <w:rPr>
          <w:color w:val="000000" w:themeColor="text1"/>
        </w:rPr>
        <w:t xml:space="preserve"> </w:t>
      </w:r>
      <w:r w:rsidR="00A14429">
        <w:rPr>
          <w:color w:val="000000" w:themeColor="text1"/>
        </w:rPr>
        <w:t>is suspen</w:t>
      </w:r>
      <w:r w:rsidR="00426159">
        <w:rPr>
          <w:color w:val="000000" w:themeColor="text1"/>
        </w:rPr>
        <w:t>ded</w:t>
      </w:r>
      <w:r w:rsidR="00A14429">
        <w:rPr>
          <w:color w:val="000000" w:themeColor="text1"/>
        </w:rPr>
        <w:t xml:space="preserve"> in a biodegradable co</w:t>
      </w:r>
      <w:r w:rsidR="002D15C9">
        <w:rPr>
          <w:color w:val="000000" w:themeColor="text1"/>
        </w:rPr>
        <w:noBreakHyphen/>
      </w:r>
      <w:r w:rsidR="00A14429">
        <w:rPr>
          <w:color w:val="000000" w:themeColor="text1"/>
        </w:rPr>
        <w:t>polymer solution which solidifies after injection</w:t>
      </w:r>
      <w:r w:rsidR="00426159">
        <w:rPr>
          <w:color w:val="000000" w:themeColor="text1"/>
        </w:rPr>
        <w:t xml:space="preserve"> and </w:t>
      </w:r>
      <w:r w:rsidR="00A14429">
        <w:rPr>
          <w:color w:val="000000" w:themeColor="text1"/>
        </w:rPr>
        <w:t>releases the drug as the co</w:t>
      </w:r>
      <w:r w:rsidR="002D15C9">
        <w:rPr>
          <w:color w:val="000000" w:themeColor="text1"/>
        </w:rPr>
        <w:noBreakHyphen/>
      </w:r>
      <w:r w:rsidR="00A14429">
        <w:rPr>
          <w:color w:val="000000" w:themeColor="text1"/>
        </w:rPr>
        <w:t xml:space="preserve">polymer degrades. </w:t>
      </w:r>
    </w:p>
    <w:p w14:paraId="34F9A011" w14:textId="63C9A21B" w:rsidR="002C2775" w:rsidRPr="0098262F" w:rsidDel="00195452" w:rsidRDefault="00286E1A" w:rsidP="004E18E9">
      <w:pPr>
        <w:pStyle w:val="3-BodyText"/>
        <w:rPr>
          <w:color w:val="0066FF"/>
        </w:rPr>
      </w:pPr>
      <w:r>
        <w:rPr>
          <w:color w:val="000000" w:themeColor="text1"/>
        </w:rPr>
        <w:t>The submission propose</w:t>
      </w:r>
      <w:r w:rsidR="00E6435C">
        <w:rPr>
          <w:color w:val="000000" w:themeColor="text1"/>
        </w:rPr>
        <w:t>d</w:t>
      </w:r>
      <w:r>
        <w:rPr>
          <w:color w:val="000000" w:themeColor="text1"/>
        </w:rPr>
        <w:t xml:space="preserve"> no change in the treatment algorithm. </w:t>
      </w:r>
      <w:r w:rsidR="00A92058">
        <w:rPr>
          <w:color w:val="000000" w:themeColor="text1"/>
        </w:rPr>
        <w:t>The submission considered MRSC risperidone would mainly displace R2WIM and R4WIM b</w:t>
      </w:r>
      <w:r w:rsidR="00A75695">
        <w:rPr>
          <w:color w:val="000000" w:themeColor="text1"/>
        </w:rPr>
        <w:t xml:space="preserve">ecause patients </w:t>
      </w:r>
      <w:r w:rsidR="000612A9">
        <w:rPr>
          <w:color w:val="000000" w:themeColor="text1"/>
        </w:rPr>
        <w:t>who show initial response</w:t>
      </w:r>
      <w:r w:rsidR="00834CA5">
        <w:rPr>
          <w:color w:val="000000" w:themeColor="text1"/>
        </w:rPr>
        <w:t xml:space="preserve"> to </w:t>
      </w:r>
      <w:r w:rsidR="003440F1">
        <w:rPr>
          <w:color w:val="000000" w:themeColor="text1"/>
        </w:rPr>
        <w:t>a drug</w:t>
      </w:r>
      <w:r w:rsidR="00834CA5">
        <w:rPr>
          <w:color w:val="000000" w:themeColor="text1"/>
        </w:rPr>
        <w:t xml:space="preserve"> </w:t>
      </w:r>
      <w:r w:rsidR="00BA38A3">
        <w:rPr>
          <w:color w:val="000000" w:themeColor="text1"/>
        </w:rPr>
        <w:t>by</w:t>
      </w:r>
      <w:r w:rsidR="00834CA5">
        <w:rPr>
          <w:color w:val="000000" w:themeColor="text1"/>
        </w:rPr>
        <w:t xml:space="preserve"> reduction in </w:t>
      </w:r>
      <w:r w:rsidR="00A75695">
        <w:rPr>
          <w:color w:val="000000" w:themeColor="text1"/>
        </w:rPr>
        <w:t xml:space="preserve">acute psychotic symptoms </w:t>
      </w:r>
      <w:r w:rsidR="007328BE">
        <w:rPr>
          <w:color w:val="000000" w:themeColor="text1"/>
        </w:rPr>
        <w:t>typically</w:t>
      </w:r>
      <w:r w:rsidR="00A75695">
        <w:rPr>
          <w:color w:val="000000" w:themeColor="text1"/>
        </w:rPr>
        <w:t xml:space="preserve"> </w:t>
      </w:r>
      <w:r w:rsidR="00BA38A3">
        <w:rPr>
          <w:color w:val="000000" w:themeColor="text1"/>
        </w:rPr>
        <w:t>continue</w:t>
      </w:r>
      <w:r w:rsidR="00A75695">
        <w:rPr>
          <w:color w:val="000000" w:themeColor="text1"/>
        </w:rPr>
        <w:t xml:space="preserve"> maintenance</w:t>
      </w:r>
      <w:r w:rsidR="00BA38A3">
        <w:rPr>
          <w:color w:val="000000" w:themeColor="text1"/>
        </w:rPr>
        <w:t xml:space="preserve"> treatment with the same </w:t>
      </w:r>
      <w:r w:rsidR="0067054B">
        <w:rPr>
          <w:color w:val="000000" w:themeColor="text1"/>
        </w:rPr>
        <w:t>drug but</w:t>
      </w:r>
      <w:r w:rsidR="00495ACD">
        <w:rPr>
          <w:color w:val="000000" w:themeColor="text1"/>
        </w:rPr>
        <w:t xml:space="preserve"> may also displace </w:t>
      </w:r>
      <w:r w:rsidR="00837240">
        <w:rPr>
          <w:color w:val="000000" w:themeColor="text1"/>
        </w:rPr>
        <w:t>A1M and PP1M</w:t>
      </w:r>
      <w:r w:rsidR="00CE3FB5">
        <w:rPr>
          <w:color w:val="000000" w:themeColor="text1"/>
        </w:rPr>
        <w:t>.</w:t>
      </w:r>
    </w:p>
    <w:p w14:paraId="51E5AE96" w14:textId="2597553D" w:rsidR="00B50DB8" w:rsidRPr="0098262F" w:rsidRDefault="00B50DB8" w:rsidP="004E18E9">
      <w:pPr>
        <w:pStyle w:val="2-SectionHeading"/>
      </w:pPr>
      <w:bookmarkStart w:id="14" w:name="_Toc219904428"/>
      <w:r w:rsidRPr="0098262F">
        <w:t>Comparator</w:t>
      </w:r>
      <w:bookmarkEnd w:id="14"/>
    </w:p>
    <w:p w14:paraId="2D30603C" w14:textId="7F49C32B" w:rsidR="00ED3A9C" w:rsidRPr="00A91363" w:rsidRDefault="00760996" w:rsidP="00882E3C">
      <w:pPr>
        <w:pStyle w:val="3-BodyText"/>
      </w:pPr>
      <w:bookmarkStart w:id="15" w:name="_Ref222416115"/>
      <w:r w:rsidRPr="00760996">
        <w:rPr>
          <w:color w:val="000000" w:themeColor="text1"/>
        </w:rPr>
        <w:t xml:space="preserve">The </w:t>
      </w:r>
      <w:r w:rsidR="006A6294">
        <w:rPr>
          <w:color w:val="000000" w:themeColor="text1"/>
        </w:rPr>
        <w:t xml:space="preserve">submission </w:t>
      </w:r>
      <w:r w:rsidRPr="00760996">
        <w:rPr>
          <w:color w:val="000000" w:themeColor="text1"/>
        </w:rPr>
        <w:t xml:space="preserve">nominated </w:t>
      </w:r>
      <w:r w:rsidR="003A3D14">
        <w:rPr>
          <w:color w:val="000000" w:themeColor="text1"/>
        </w:rPr>
        <w:t>PP1M</w:t>
      </w:r>
      <w:r w:rsidRPr="00760996">
        <w:rPr>
          <w:color w:val="000000" w:themeColor="text1"/>
        </w:rPr>
        <w:t xml:space="preserve"> and </w:t>
      </w:r>
      <w:r w:rsidR="007D37F7">
        <w:rPr>
          <w:color w:val="000000" w:themeColor="text1"/>
        </w:rPr>
        <w:t>A1M</w:t>
      </w:r>
      <w:r w:rsidR="00617D4C">
        <w:rPr>
          <w:color w:val="000000" w:themeColor="text1"/>
        </w:rPr>
        <w:t xml:space="preserve"> as primary comparators, which the evaluation considered</w:t>
      </w:r>
      <w:r>
        <w:rPr>
          <w:color w:val="000000" w:themeColor="text1"/>
        </w:rPr>
        <w:t xml:space="preserve"> w</w:t>
      </w:r>
      <w:r w:rsidR="00617D4C">
        <w:rPr>
          <w:color w:val="000000" w:themeColor="text1"/>
        </w:rPr>
        <w:t>as</w:t>
      </w:r>
      <w:r>
        <w:rPr>
          <w:color w:val="000000" w:themeColor="text1"/>
        </w:rPr>
        <w:t xml:space="preserve"> appropriate</w:t>
      </w:r>
      <w:r w:rsidR="00185281">
        <w:rPr>
          <w:color w:val="000000" w:themeColor="text1"/>
        </w:rPr>
        <w:t xml:space="preserve">. </w:t>
      </w:r>
      <w:r w:rsidR="00185281" w:rsidRPr="00113C9D">
        <w:rPr>
          <w:iCs/>
        </w:rPr>
        <w:t>The PSCR</w:t>
      </w:r>
      <w:r w:rsidR="009218AC">
        <w:rPr>
          <w:iCs/>
        </w:rPr>
        <w:t xml:space="preserve"> </w:t>
      </w:r>
      <w:r w:rsidR="00185281" w:rsidRPr="00113C9D">
        <w:rPr>
          <w:iCs/>
        </w:rPr>
        <w:t xml:space="preserve">agreed with the </w:t>
      </w:r>
      <w:r w:rsidR="006722D1" w:rsidRPr="00113C9D">
        <w:rPr>
          <w:iCs/>
        </w:rPr>
        <w:t>evaluation</w:t>
      </w:r>
      <w:r w:rsidR="00185281" w:rsidRPr="00113C9D">
        <w:rPr>
          <w:iCs/>
        </w:rPr>
        <w:t xml:space="preserve"> that </w:t>
      </w:r>
      <w:r w:rsidR="00EF0024" w:rsidRPr="00113C9D">
        <w:rPr>
          <w:iCs/>
        </w:rPr>
        <w:t xml:space="preserve">the </w:t>
      </w:r>
      <w:r w:rsidR="00ED3A9C" w:rsidRPr="00113C9D">
        <w:rPr>
          <w:iCs/>
          <w:color w:val="000000" w:themeColor="text1"/>
        </w:rPr>
        <w:t>risperidone LAI</w:t>
      </w:r>
      <w:r w:rsidR="003A3D14" w:rsidRPr="00113C9D">
        <w:rPr>
          <w:iCs/>
          <w:color w:val="000000" w:themeColor="text1"/>
        </w:rPr>
        <w:t>s</w:t>
      </w:r>
      <w:r w:rsidR="00ED3A9C" w:rsidRPr="00113C9D">
        <w:rPr>
          <w:iCs/>
          <w:color w:val="000000" w:themeColor="text1"/>
        </w:rPr>
        <w:t xml:space="preserve"> would also be appropriate comparators</w:t>
      </w:r>
      <w:r w:rsidR="00EF0024" w:rsidRPr="00113C9D">
        <w:rPr>
          <w:iCs/>
          <w:color w:val="000000" w:themeColor="text1"/>
        </w:rPr>
        <w:t xml:space="preserve"> and considered that </w:t>
      </w:r>
      <w:r w:rsidR="00C72055" w:rsidRPr="00113C9D">
        <w:rPr>
          <w:iCs/>
          <w:color w:val="000000" w:themeColor="text1"/>
        </w:rPr>
        <w:t>i</w:t>
      </w:r>
      <w:r w:rsidR="0036172B" w:rsidRPr="00113C9D">
        <w:rPr>
          <w:iCs/>
          <w:color w:val="000000" w:themeColor="text1"/>
        </w:rPr>
        <w:t xml:space="preserve">f </w:t>
      </w:r>
      <w:r w:rsidR="00DA0B1D" w:rsidRPr="00113C9D">
        <w:rPr>
          <w:iCs/>
          <w:color w:val="000000" w:themeColor="text1"/>
        </w:rPr>
        <w:t>the PBAC recommended MRSC risperidone as non</w:t>
      </w:r>
      <w:r w:rsidR="002D15C9">
        <w:rPr>
          <w:iCs/>
          <w:color w:val="000000" w:themeColor="text1"/>
        </w:rPr>
        <w:noBreakHyphen/>
      </w:r>
      <w:r w:rsidR="00DA0B1D" w:rsidRPr="00113C9D">
        <w:rPr>
          <w:iCs/>
          <w:color w:val="000000" w:themeColor="text1"/>
        </w:rPr>
        <w:t xml:space="preserve">inferior to the nominated comparators, </w:t>
      </w:r>
      <w:r w:rsidR="000F0868" w:rsidRPr="00113C9D">
        <w:rPr>
          <w:iCs/>
          <w:color w:val="000000" w:themeColor="text1"/>
        </w:rPr>
        <w:t>by extension it would also be considered non</w:t>
      </w:r>
      <w:r w:rsidR="002D15C9">
        <w:rPr>
          <w:iCs/>
          <w:color w:val="000000" w:themeColor="text1"/>
        </w:rPr>
        <w:noBreakHyphen/>
      </w:r>
      <w:r w:rsidR="000F0868" w:rsidRPr="00113C9D">
        <w:rPr>
          <w:iCs/>
          <w:color w:val="000000" w:themeColor="text1"/>
        </w:rPr>
        <w:t xml:space="preserve">inferior to the risperidone LAIs </w:t>
      </w:r>
      <w:r w:rsidR="001E6635" w:rsidRPr="00113C9D">
        <w:rPr>
          <w:iCs/>
          <w:color w:val="000000" w:themeColor="text1"/>
        </w:rPr>
        <w:t>noting</w:t>
      </w:r>
      <w:r w:rsidR="001E6635">
        <w:rPr>
          <w:color w:val="000000" w:themeColor="text1"/>
        </w:rPr>
        <w:t xml:space="preserve"> </w:t>
      </w:r>
      <w:r w:rsidR="00ED3A9C">
        <w:rPr>
          <w:color w:val="000000" w:themeColor="text1"/>
        </w:rPr>
        <w:t xml:space="preserve">PBAC </w:t>
      </w:r>
      <w:r w:rsidR="005C5224">
        <w:rPr>
          <w:color w:val="000000" w:themeColor="text1"/>
        </w:rPr>
        <w:t>advice</w:t>
      </w:r>
      <w:r w:rsidR="001E6635">
        <w:rPr>
          <w:color w:val="000000" w:themeColor="text1"/>
        </w:rPr>
        <w:t xml:space="preserve"> </w:t>
      </w:r>
      <w:r w:rsidR="00ED3A9C">
        <w:rPr>
          <w:color w:val="000000" w:themeColor="text1"/>
        </w:rPr>
        <w:t>that risperidone, paliperidone and aripiprazole</w:t>
      </w:r>
      <w:r w:rsidR="00C93415">
        <w:rPr>
          <w:color w:val="000000" w:themeColor="text1"/>
        </w:rPr>
        <w:t>, b</w:t>
      </w:r>
      <w:r w:rsidR="00370994">
        <w:rPr>
          <w:color w:val="000000" w:themeColor="text1"/>
        </w:rPr>
        <w:t>u</w:t>
      </w:r>
      <w:r w:rsidR="00C93415">
        <w:rPr>
          <w:color w:val="000000" w:themeColor="text1"/>
        </w:rPr>
        <w:t>t not olan</w:t>
      </w:r>
      <w:r w:rsidR="00370994">
        <w:rPr>
          <w:color w:val="000000" w:themeColor="text1"/>
        </w:rPr>
        <w:t>z</w:t>
      </w:r>
      <w:r w:rsidR="00CC0D8A">
        <w:rPr>
          <w:color w:val="000000" w:themeColor="text1"/>
        </w:rPr>
        <w:t>apine</w:t>
      </w:r>
      <w:r w:rsidR="00370994">
        <w:rPr>
          <w:color w:val="000000" w:themeColor="text1"/>
        </w:rPr>
        <w:t>,</w:t>
      </w:r>
      <w:r w:rsidR="00ED3A9C">
        <w:rPr>
          <w:color w:val="000000" w:themeColor="text1"/>
        </w:rPr>
        <w:t xml:space="preserve"> </w:t>
      </w:r>
      <w:r w:rsidR="00ED3A9C">
        <w:rPr>
          <w:color w:val="000000" w:themeColor="text1"/>
        </w:rPr>
        <w:lastRenderedPageBreak/>
        <w:t>should be treated as interchangeable on an individual patient basis (Paragraph</w:t>
      </w:r>
      <w:r w:rsidR="00EB5872">
        <w:rPr>
          <w:color w:val="000000" w:themeColor="text1"/>
        </w:rPr>
        <w:t>s</w:t>
      </w:r>
      <w:r w:rsidR="00ED3A9C">
        <w:rPr>
          <w:color w:val="000000" w:themeColor="text1"/>
        </w:rPr>
        <w:t xml:space="preserve"> </w:t>
      </w:r>
      <w:r w:rsidR="00EB5872">
        <w:rPr>
          <w:color w:val="000000" w:themeColor="text1"/>
        </w:rPr>
        <w:t xml:space="preserve">7.3 and </w:t>
      </w:r>
      <w:r w:rsidR="00ED3A9C">
        <w:rPr>
          <w:color w:val="000000" w:themeColor="text1"/>
        </w:rPr>
        <w:t>7.14, Risperidone PSD, March 2024 PBAC Meeting).</w:t>
      </w:r>
      <w:bookmarkEnd w:id="15"/>
    </w:p>
    <w:p w14:paraId="46DA1F9D" w14:textId="458EAC81" w:rsidR="000A6AF4" w:rsidRPr="000A6AF4" w:rsidRDefault="000A6AF4" w:rsidP="000A6AF4">
      <w:pPr>
        <w:spacing w:after="200" w:line="276" w:lineRule="auto"/>
        <w:ind w:left="709"/>
        <w:rPr>
          <w:rFonts w:asciiTheme="minorHAnsi" w:hAnsiTheme="minorHAnsi" w:cstheme="minorHAnsi"/>
          <w:i/>
        </w:rPr>
      </w:pPr>
      <w:r w:rsidRPr="006845B7">
        <w:rPr>
          <w:rFonts w:asciiTheme="minorHAnsi" w:hAnsiTheme="minorHAnsi" w:cstheme="minorHAnsi"/>
          <w:i/>
        </w:rPr>
        <w:t>For more detail on PBAC’s view, see section 7 PBAC outcome</w:t>
      </w:r>
    </w:p>
    <w:p w14:paraId="7F9C27C8" w14:textId="77777777" w:rsidR="00223D5A" w:rsidRDefault="00223D5A" w:rsidP="00223D5A">
      <w:pPr>
        <w:pStyle w:val="2-SectionHeading"/>
        <w:numPr>
          <w:ilvl w:val="0"/>
          <w:numId w:val="1"/>
        </w:numPr>
      </w:pPr>
      <w:bookmarkStart w:id="16" w:name="_Toc219904429"/>
      <w:bookmarkStart w:id="17" w:name="_Toc22897640"/>
      <w:r w:rsidRPr="0098262F">
        <w:t>Consideration of the evidence</w:t>
      </w:r>
      <w:bookmarkEnd w:id="16"/>
    </w:p>
    <w:p w14:paraId="3AEF165B" w14:textId="544D78A8" w:rsidR="002754EF" w:rsidRDefault="002754EF" w:rsidP="009C7564">
      <w:pPr>
        <w:pStyle w:val="4-SubsectionHeading"/>
      </w:pPr>
      <w:r>
        <w:t>Sponsor hearing</w:t>
      </w:r>
    </w:p>
    <w:p w14:paraId="7EE8D474" w14:textId="666F5507" w:rsidR="00882184" w:rsidRDefault="00882184" w:rsidP="00B07B19">
      <w:pPr>
        <w:widowControl w:val="0"/>
        <w:numPr>
          <w:ilvl w:val="1"/>
          <w:numId w:val="1"/>
        </w:numPr>
        <w:spacing w:after="120"/>
        <w:rPr>
          <w:rFonts w:asciiTheme="minorHAnsi" w:hAnsiTheme="minorHAnsi"/>
          <w:bCs/>
          <w:snapToGrid w:val="0"/>
        </w:rPr>
      </w:pPr>
      <w:bookmarkStart w:id="18" w:name="_Hlk76382586"/>
      <w:r>
        <w:rPr>
          <w:rFonts w:asciiTheme="minorHAnsi" w:hAnsiTheme="minorHAnsi"/>
          <w:bCs/>
          <w:snapToGrid w:val="0"/>
        </w:rPr>
        <w:t xml:space="preserve">The sponsor requested a hearing for this item. </w:t>
      </w:r>
      <w:r w:rsidR="00B55B13" w:rsidRPr="00B55B13">
        <w:rPr>
          <w:rFonts w:asciiTheme="minorHAnsi" w:hAnsiTheme="minorHAnsi"/>
          <w:bCs/>
          <w:snapToGrid w:val="0"/>
        </w:rPr>
        <w:t>The clinician discussed Uzedy as a subcutaneous long</w:t>
      </w:r>
      <w:r w:rsidR="00B55B13" w:rsidRPr="00B55B13">
        <w:rPr>
          <w:rFonts w:ascii="Cambria Math" w:hAnsi="Cambria Math" w:cs="Cambria Math"/>
          <w:bCs/>
          <w:snapToGrid w:val="0"/>
        </w:rPr>
        <w:t>‑</w:t>
      </w:r>
      <w:r w:rsidR="00B55B13" w:rsidRPr="00B55B13">
        <w:rPr>
          <w:rFonts w:asciiTheme="minorHAnsi" w:hAnsiTheme="minorHAnsi"/>
          <w:bCs/>
          <w:snapToGrid w:val="0"/>
        </w:rPr>
        <w:t xml:space="preserve">acting antipsychotic that </w:t>
      </w:r>
      <w:r w:rsidR="0021032A">
        <w:rPr>
          <w:rFonts w:asciiTheme="minorHAnsi" w:hAnsiTheme="minorHAnsi"/>
          <w:bCs/>
          <w:snapToGrid w:val="0"/>
        </w:rPr>
        <w:t>was described as potentially more acceptable to some patients due to</w:t>
      </w:r>
      <w:r w:rsidR="00B55B13" w:rsidRPr="00B55B13">
        <w:rPr>
          <w:rFonts w:asciiTheme="minorHAnsi" w:hAnsiTheme="minorHAnsi"/>
          <w:bCs/>
          <w:snapToGrid w:val="0"/>
        </w:rPr>
        <w:t xml:space="preserve"> less invasive administration, </w:t>
      </w:r>
      <w:r w:rsidR="00572224">
        <w:rPr>
          <w:rFonts w:asciiTheme="minorHAnsi" w:hAnsiTheme="minorHAnsi"/>
          <w:bCs/>
          <w:snapToGrid w:val="0"/>
        </w:rPr>
        <w:t xml:space="preserve">and simpler administration </w:t>
      </w:r>
      <w:r w:rsidR="004E3B7D">
        <w:rPr>
          <w:rFonts w:asciiTheme="minorHAnsi" w:hAnsiTheme="minorHAnsi"/>
          <w:bCs/>
          <w:snapToGrid w:val="0"/>
        </w:rPr>
        <w:t>compared with IM formulations</w:t>
      </w:r>
      <w:r w:rsidR="00B55B13" w:rsidRPr="00B55B13">
        <w:rPr>
          <w:rFonts w:asciiTheme="minorHAnsi" w:hAnsiTheme="minorHAnsi"/>
          <w:bCs/>
          <w:snapToGrid w:val="0"/>
        </w:rPr>
        <w:t xml:space="preserve">, and a safety profile </w:t>
      </w:r>
      <w:r w:rsidR="004E3B7D">
        <w:rPr>
          <w:rFonts w:asciiTheme="minorHAnsi" w:hAnsiTheme="minorHAnsi"/>
          <w:bCs/>
          <w:snapToGrid w:val="0"/>
        </w:rPr>
        <w:t>broadly consistent</w:t>
      </w:r>
      <w:r w:rsidR="004E3B7D" w:rsidRPr="00B55B13">
        <w:rPr>
          <w:rFonts w:asciiTheme="minorHAnsi" w:hAnsiTheme="minorHAnsi"/>
          <w:bCs/>
          <w:snapToGrid w:val="0"/>
        </w:rPr>
        <w:t xml:space="preserve"> </w:t>
      </w:r>
      <w:r w:rsidR="00B55B13" w:rsidRPr="00B55B13">
        <w:rPr>
          <w:rFonts w:asciiTheme="minorHAnsi" w:hAnsiTheme="minorHAnsi"/>
          <w:bCs/>
          <w:snapToGrid w:val="0"/>
        </w:rPr>
        <w:t>to oral therapy with more stable drug exposure than existing LAIs.</w:t>
      </w:r>
    </w:p>
    <w:p w14:paraId="2E5C50B5" w14:textId="2ACA7D4F" w:rsidR="001F547F" w:rsidRDefault="001F547F" w:rsidP="00B07B19">
      <w:pPr>
        <w:widowControl w:val="0"/>
        <w:numPr>
          <w:ilvl w:val="1"/>
          <w:numId w:val="1"/>
        </w:numPr>
        <w:spacing w:after="120"/>
        <w:rPr>
          <w:rFonts w:asciiTheme="minorHAnsi" w:hAnsiTheme="minorHAnsi"/>
          <w:bCs/>
          <w:snapToGrid w:val="0"/>
        </w:rPr>
      </w:pPr>
      <w:r w:rsidRPr="001F547F">
        <w:rPr>
          <w:rFonts w:asciiTheme="minorHAnsi" w:hAnsiTheme="minorHAnsi"/>
          <w:bCs/>
          <w:snapToGrid w:val="0"/>
        </w:rPr>
        <w:t xml:space="preserve">The </w:t>
      </w:r>
      <w:r w:rsidR="00B55B13">
        <w:rPr>
          <w:rFonts w:asciiTheme="minorHAnsi" w:hAnsiTheme="minorHAnsi"/>
          <w:bCs/>
          <w:snapToGrid w:val="0"/>
        </w:rPr>
        <w:t>clinician</w:t>
      </w:r>
      <w:r w:rsidRPr="001F547F">
        <w:rPr>
          <w:rFonts w:asciiTheme="minorHAnsi" w:hAnsiTheme="minorHAnsi"/>
          <w:bCs/>
          <w:snapToGrid w:val="0"/>
        </w:rPr>
        <w:t xml:space="preserve"> outlined the current LAI landscape, noting that established long</w:t>
      </w:r>
      <w:r w:rsidRPr="001F547F">
        <w:rPr>
          <w:rFonts w:ascii="Cambria Math" w:hAnsi="Cambria Math" w:cs="Cambria Math"/>
          <w:bCs/>
          <w:snapToGrid w:val="0"/>
        </w:rPr>
        <w:t>‑</w:t>
      </w:r>
      <w:r w:rsidRPr="001F547F">
        <w:rPr>
          <w:rFonts w:asciiTheme="minorHAnsi" w:hAnsiTheme="minorHAnsi"/>
          <w:bCs/>
          <w:snapToGrid w:val="0"/>
        </w:rPr>
        <w:t xml:space="preserve">acting antipsychotics (e.g. risperidone, paliperidone PP1M, olanzapine LAI) are effective but </w:t>
      </w:r>
      <w:r w:rsidR="00CC77E6" w:rsidRPr="00CC77E6">
        <w:rPr>
          <w:rFonts w:asciiTheme="minorHAnsi" w:hAnsiTheme="minorHAnsi"/>
          <w:bCs/>
          <w:snapToGrid w:val="0"/>
        </w:rPr>
        <w:t>are typically administered intramuscularly and may be perceived as more intrusive by some patients</w:t>
      </w:r>
      <w:r w:rsidRPr="001F547F">
        <w:rPr>
          <w:rFonts w:asciiTheme="minorHAnsi" w:hAnsiTheme="minorHAnsi"/>
          <w:bCs/>
          <w:snapToGrid w:val="0"/>
        </w:rPr>
        <w:t xml:space="preserve">. Uzedy was presented as a novel subcutaneous LAI formulation </w:t>
      </w:r>
      <w:r w:rsidR="0019120F" w:rsidRPr="0019120F">
        <w:rPr>
          <w:rFonts w:asciiTheme="minorHAnsi" w:hAnsiTheme="minorHAnsi"/>
          <w:bCs/>
          <w:snapToGrid w:val="0"/>
        </w:rPr>
        <w:t xml:space="preserve">that may be perceived as less intrusive than </w:t>
      </w:r>
      <w:r w:rsidR="0019120F">
        <w:rPr>
          <w:rFonts w:asciiTheme="minorHAnsi" w:hAnsiTheme="minorHAnsi"/>
          <w:bCs/>
          <w:snapToGrid w:val="0"/>
        </w:rPr>
        <w:t>IM</w:t>
      </w:r>
      <w:r w:rsidR="0019120F" w:rsidRPr="0019120F">
        <w:rPr>
          <w:rFonts w:asciiTheme="minorHAnsi" w:hAnsiTheme="minorHAnsi"/>
          <w:bCs/>
          <w:snapToGrid w:val="0"/>
        </w:rPr>
        <w:t xml:space="preserve"> LAIs</w:t>
      </w:r>
      <w:r w:rsidRPr="001F547F">
        <w:rPr>
          <w:rFonts w:asciiTheme="minorHAnsi" w:hAnsiTheme="minorHAnsi"/>
          <w:bCs/>
          <w:snapToGrid w:val="0"/>
        </w:rPr>
        <w:t>.</w:t>
      </w:r>
    </w:p>
    <w:p w14:paraId="795F6462" w14:textId="5CDD71C8" w:rsidR="00B55B13" w:rsidRDefault="00772B4F" w:rsidP="00B07B19">
      <w:pPr>
        <w:widowControl w:val="0"/>
        <w:numPr>
          <w:ilvl w:val="1"/>
          <w:numId w:val="1"/>
        </w:numPr>
        <w:spacing w:after="120"/>
        <w:rPr>
          <w:rFonts w:asciiTheme="minorHAnsi" w:hAnsiTheme="minorHAnsi"/>
          <w:bCs/>
          <w:snapToGrid w:val="0"/>
        </w:rPr>
      </w:pPr>
      <w:r>
        <w:rPr>
          <w:rFonts w:asciiTheme="minorHAnsi" w:hAnsiTheme="minorHAnsi"/>
          <w:bCs/>
          <w:snapToGrid w:val="0"/>
        </w:rPr>
        <w:t>SC</w:t>
      </w:r>
      <w:r w:rsidRPr="00985EFC">
        <w:rPr>
          <w:rFonts w:asciiTheme="minorHAnsi" w:hAnsiTheme="minorHAnsi"/>
          <w:bCs/>
          <w:snapToGrid w:val="0"/>
        </w:rPr>
        <w:t xml:space="preserve"> </w:t>
      </w:r>
      <w:r w:rsidR="00985EFC" w:rsidRPr="00985EFC">
        <w:rPr>
          <w:rFonts w:asciiTheme="minorHAnsi" w:hAnsiTheme="minorHAnsi"/>
          <w:bCs/>
          <w:snapToGrid w:val="0"/>
        </w:rPr>
        <w:t>administration was described as less intrusive, potentially better tolerated, and aligned with established use of SC injectables in other therapeutic areas, with reduced clinic time due to a pre</w:t>
      </w:r>
      <w:r w:rsidR="00985EFC" w:rsidRPr="00985EFC">
        <w:rPr>
          <w:rFonts w:ascii="Cambria Math" w:hAnsi="Cambria Math" w:cs="Cambria Math"/>
          <w:bCs/>
          <w:snapToGrid w:val="0"/>
        </w:rPr>
        <w:t>‑</w:t>
      </w:r>
      <w:r w:rsidR="00985EFC" w:rsidRPr="00985EFC">
        <w:rPr>
          <w:rFonts w:asciiTheme="minorHAnsi" w:hAnsiTheme="minorHAnsi"/>
          <w:bCs/>
          <w:snapToGrid w:val="0"/>
        </w:rPr>
        <w:t xml:space="preserve">filled formulation and no requirement for reconstitution. </w:t>
      </w:r>
      <w:r w:rsidR="00A46A43" w:rsidRPr="00A46A43">
        <w:rPr>
          <w:rFonts w:asciiTheme="minorHAnsi" w:hAnsiTheme="minorHAnsi"/>
          <w:bCs/>
          <w:snapToGrid w:val="0"/>
        </w:rPr>
        <w:t>The clinician noted that while the product does not require a loading dose or oral bridging, initiation in practice would typically follow oral risperidone stabilisation, consistent with the TGA</w:t>
      </w:r>
      <w:r w:rsidR="00A46A43" w:rsidRPr="00A46A43">
        <w:rPr>
          <w:rFonts w:ascii="Cambria Math" w:hAnsi="Cambria Math" w:cs="Cambria Math"/>
          <w:bCs/>
          <w:snapToGrid w:val="0"/>
        </w:rPr>
        <w:t>‑</w:t>
      </w:r>
      <w:r w:rsidR="00A46A43" w:rsidRPr="00A46A43">
        <w:rPr>
          <w:rFonts w:asciiTheme="minorHAnsi" w:hAnsiTheme="minorHAnsi"/>
          <w:bCs/>
          <w:snapToGrid w:val="0"/>
        </w:rPr>
        <w:t xml:space="preserve">approved </w:t>
      </w:r>
      <w:r w:rsidR="00D13397">
        <w:rPr>
          <w:rFonts w:asciiTheme="minorHAnsi" w:hAnsiTheme="minorHAnsi"/>
          <w:bCs/>
          <w:snapToGrid w:val="0"/>
        </w:rPr>
        <w:t>PI</w:t>
      </w:r>
      <w:r w:rsidR="00985EFC" w:rsidRPr="00985EFC">
        <w:rPr>
          <w:rFonts w:asciiTheme="minorHAnsi" w:hAnsiTheme="minorHAnsi"/>
          <w:bCs/>
          <w:snapToGrid w:val="0"/>
        </w:rPr>
        <w:t>.</w:t>
      </w:r>
    </w:p>
    <w:p w14:paraId="4C0AF2F3" w14:textId="7D36F96E" w:rsidR="00985EFC" w:rsidRPr="00836F75" w:rsidRDefault="000406ED" w:rsidP="00B07B19">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clinician </w:t>
      </w:r>
      <w:r w:rsidR="00651DCE">
        <w:rPr>
          <w:rFonts w:asciiTheme="minorHAnsi" w:hAnsiTheme="minorHAnsi"/>
          <w:bCs/>
          <w:snapToGrid w:val="0"/>
        </w:rPr>
        <w:t>expec</w:t>
      </w:r>
      <w:r>
        <w:rPr>
          <w:rFonts w:asciiTheme="minorHAnsi" w:hAnsiTheme="minorHAnsi"/>
          <w:bCs/>
          <w:snapToGrid w:val="0"/>
        </w:rPr>
        <w:t>ted</w:t>
      </w:r>
      <w:r w:rsidR="00985EFC" w:rsidRPr="00985EFC">
        <w:rPr>
          <w:rFonts w:asciiTheme="minorHAnsi" w:hAnsiTheme="minorHAnsi"/>
          <w:bCs/>
          <w:snapToGrid w:val="0"/>
        </w:rPr>
        <w:t xml:space="preserve"> initial administration</w:t>
      </w:r>
      <w:r w:rsidR="00985EFC" w:rsidRPr="00985EFC" w:rsidDel="00651DCE">
        <w:rPr>
          <w:rFonts w:asciiTheme="minorHAnsi" w:hAnsiTheme="minorHAnsi"/>
          <w:bCs/>
          <w:snapToGrid w:val="0"/>
        </w:rPr>
        <w:t xml:space="preserve"> </w:t>
      </w:r>
      <w:r w:rsidR="00985EFC" w:rsidRPr="00985EFC">
        <w:rPr>
          <w:rFonts w:asciiTheme="minorHAnsi" w:hAnsiTheme="minorHAnsi"/>
          <w:bCs/>
          <w:snapToGrid w:val="0"/>
        </w:rPr>
        <w:t>to be clinician</w:t>
      </w:r>
      <w:r w:rsidR="00985EFC" w:rsidRPr="00985EFC">
        <w:rPr>
          <w:rFonts w:ascii="Cambria Math" w:hAnsi="Cambria Math" w:cs="Cambria Math"/>
          <w:bCs/>
          <w:snapToGrid w:val="0"/>
        </w:rPr>
        <w:t>‑</w:t>
      </w:r>
      <w:r w:rsidR="00985EFC" w:rsidRPr="00985EFC">
        <w:rPr>
          <w:rFonts w:asciiTheme="minorHAnsi" w:hAnsiTheme="minorHAnsi"/>
          <w:bCs/>
          <w:snapToGrid w:val="0"/>
        </w:rPr>
        <w:t xml:space="preserve">led, </w:t>
      </w:r>
      <w:r w:rsidR="00C46654">
        <w:rPr>
          <w:rFonts w:asciiTheme="minorHAnsi" w:hAnsiTheme="minorHAnsi"/>
          <w:bCs/>
          <w:snapToGrid w:val="0"/>
        </w:rPr>
        <w:t xml:space="preserve">and </w:t>
      </w:r>
      <w:r w:rsidR="00454ACF">
        <w:rPr>
          <w:rFonts w:asciiTheme="minorHAnsi" w:hAnsiTheme="minorHAnsi"/>
          <w:bCs/>
          <w:snapToGrid w:val="0"/>
        </w:rPr>
        <w:t>stated</w:t>
      </w:r>
      <w:r w:rsidR="000F0A4E">
        <w:rPr>
          <w:rFonts w:asciiTheme="minorHAnsi" w:hAnsiTheme="minorHAnsi"/>
          <w:bCs/>
          <w:snapToGrid w:val="0"/>
        </w:rPr>
        <w:t xml:space="preserve"> that</w:t>
      </w:r>
      <w:r w:rsidR="002009EE">
        <w:rPr>
          <w:rFonts w:asciiTheme="minorHAnsi" w:hAnsiTheme="minorHAnsi"/>
          <w:bCs/>
          <w:snapToGrid w:val="0"/>
        </w:rPr>
        <w:t xml:space="preserve"> </w:t>
      </w:r>
      <w:r w:rsidR="00985EFC" w:rsidRPr="00985EFC">
        <w:rPr>
          <w:rFonts w:asciiTheme="minorHAnsi" w:hAnsiTheme="minorHAnsi"/>
          <w:bCs/>
          <w:snapToGrid w:val="0"/>
        </w:rPr>
        <w:t>home or self</w:t>
      </w:r>
      <w:r w:rsidR="00985EFC" w:rsidRPr="00985EFC">
        <w:rPr>
          <w:rFonts w:ascii="Cambria Math" w:hAnsi="Cambria Math" w:cs="Cambria Math"/>
          <w:bCs/>
          <w:snapToGrid w:val="0"/>
        </w:rPr>
        <w:t>‑</w:t>
      </w:r>
      <w:r w:rsidR="00985EFC" w:rsidRPr="00985EFC">
        <w:rPr>
          <w:rFonts w:asciiTheme="minorHAnsi" w:hAnsiTheme="minorHAnsi"/>
          <w:bCs/>
          <w:snapToGrid w:val="0"/>
        </w:rPr>
        <w:t xml:space="preserve">administration may be feasible in motivated patients. </w:t>
      </w:r>
      <w:r w:rsidR="00CC7F12" w:rsidRPr="00CC7F12">
        <w:rPr>
          <w:rFonts w:asciiTheme="minorHAnsi" w:hAnsiTheme="minorHAnsi"/>
          <w:bCs/>
          <w:snapToGrid w:val="0"/>
        </w:rPr>
        <w:t>The clinician noted that the main impediment to self</w:t>
      </w:r>
      <w:r w:rsidR="00CC7F12" w:rsidRPr="00CC7F12">
        <w:rPr>
          <w:rFonts w:ascii="Cambria Math" w:hAnsi="Cambria Math" w:cs="Cambria Math"/>
          <w:bCs/>
          <w:snapToGrid w:val="0"/>
        </w:rPr>
        <w:t>‑</w:t>
      </w:r>
      <w:r w:rsidR="00CC7F12" w:rsidRPr="00CC7F12">
        <w:rPr>
          <w:rFonts w:asciiTheme="minorHAnsi" w:hAnsiTheme="minorHAnsi"/>
          <w:bCs/>
          <w:snapToGrid w:val="0"/>
        </w:rPr>
        <w:t>administration is patient willingness, and that LAIs are commonly used in patients on community treatment orders</w:t>
      </w:r>
      <w:r w:rsidR="00CC7F12">
        <w:rPr>
          <w:rFonts w:asciiTheme="minorHAnsi" w:hAnsiTheme="minorHAnsi"/>
          <w:bCs/>
          <w:snapToGrid w:val="0"/>
        </w:rPr>
        <w:t xml:space="preserve">. </w:t>
      </w:r>
      <w:r w:rsidR="00985EFC" w:rsidRPr="00985EFC">
        <w:rPr>
          <w:rFonts w:asciiTheme="minorHAnsi" w:hAnsiTheme="minorHAnsi"/>
          <w:bCs/>
          <w:snapToGrid w:val="0"/>
        </w:rPr>
        <w:t xml:space="preserve">The safety profile was described as comparable to oral formulations, </w:t>
      </w:r>
      <w:r w:rsidR="00DC7775" w:rsidRPr="00DC7775">
        <w:rPr>
          <w:rFonts w:asciiTheme="minorHAnsi" w:hAnsiTheme="minorHAnsi"/>
          <w:bCs/>
          <w:snapToGrid w:val="0"/>
        </w:rPr>
        <w:t xml:space="preserve">with the clinician commenting that differences in metabolic effects between LAIs and oral therapy are generally </w:t>
      </w:r>
      <w:r w:rsidR="007E6687">
        <w:rPr>
          <w:rFonts w:asciiTheme="minorHAnsi" w:hAnsiTheme="minorHAnsi"/>
          <w:bCs/>
          <w:snapToGrid w:val="0"/>
        </w:rPr>
        <w:t>minor</w:t>
      </w:r>
      <w:r w:rsidR="00985EFC" w:rsidRPr="00985EFC">
        <w:rPr>
          <w:rFonts w:asciiTheme="minorHAnsi" w:hAnsiTheme="minorHAnsi"/>
          <w:bCs/>
          <w:snapToGrid w:val="0"/>
        </w:rPr>
        <w:t>.</w:t>
      </w:r>
    </w:p>
    <w:bookmarkEnd w:id="18"/>
    <w:p w14:paraId="20DEBCB1" w14:textId="16E5CC85" w:rsidR="004233AD" w:rsidRDefault="004233AD" w:rsidP="00307F7D">
      <w:pPr>
        <w:pStyle w:val="4-SubsectionHeading"/>
      </w:pPr>
      <w:r>
        <w:t>Consumer inputs</w:t>
      </w:r>
    </w:p>
    <w:p w14:paraId="2C15B072" w14:textId="2F09A62B" w:rsidR="005203CD" w:rsidRDefault="00F17AA4" w:rsidP="006B7917">
      <w:pPr>
        <w:widowControl w:val="0"/>
        <w:numPr>
          <w:ilvl w:val="1"/>
          <w:numId w:val="1"/>
        </w:numPr>
        <w:spacing w:after="120"/>
        <w:rPr>
          <w:rFonts w:asciiTheme="minorHAnsi" w:hAnsiTheme="minorHAnsi"/>
          <w:bCs/>
          <w:snapToGrid w:val="0"/>
        </w:rPr>
      </w:pPr>
      <w:r>
        <w:t xml:space="preserve">The PBAC noted and welcomed </w:t>
      </w:r>
      <w:r w:rsidR="006E5511">
        <w:t xml:space="preserve">the input from </w:t>
      </w:r>
      <w:r w:rsidR="00DD6D7B">
        <w:t>health care profession</w:t>
      </w:r>
      <w:r w:rsidR="0020055B">
        <w:t xml:space="preserve">als (4) and organisations (1) via the Office </w:t>
      </w:r>
      <w:r w:rsidR="00D012DE">
        <w:t xml:space="preserve">of Health </w:t>
      </w:r>
      <w:r w:rsidR="0034396E">
        <w:t xml:space="preserve">Technology </w:t>
      </w:r>
      <w:r w:rsidR="00D012DE">
        <w:t>Assessment Consultation Hu</w:t>
      </w:r>
      <w:r w:rsidR="00CB1066">
        <w:t>b</w:t>
      </w:r>
      <w:r w:rsidR="00BC1D89">
        <w:t xml:space="preserve">. </w:t>
      </w:r>
      <w:r w:rsidR="00A70E66" w:rsidRPr="00A70E66">
        <w:rPr>
          <w:rFonts w:asciiTheme="minorHAnsi" w:hAnsiTheme="minorHAnsi"/>
          <w:bCs/>
          <w:snapToGrid w:val="0"/>
        </w:rPr>
        <w:t xml:space="preserve">The inputs described a range of perceived benefits with </w:t>
      </w:r>
      <w:r w:rsidR="00561E2D">
        <w:rPr>
          <w:rFonts w:asciiTheme="minorHAnsi" w:hAnsiTheme="minorHAnsi"/>
          <w:bCs/>
          <w:snapToGrid w:val="0"/>
        </w:rPr>
        <w:t>MRSC risperidone</w:t>
      </w:r>
      <w:r w:rsidR="00A70E66" w:rsidRPr="00A70E66">
        <w:rPr>
          <w:rFonts w:asciiTheme="minorHAnsi" w:hAnsiTheme="minorHAnsi"/>
          <w:bCs/>
          <w:snapToGrid w:val="0"/>
        </w:rPr>
        <w:t xml:space="preserve">, noting that </w:t>
      </w:r>
      <w:r w:rsidR="00770B0A">
        <w:rPr>
          <w:rFonts w:asciiTheme="minorHAnsi" w:hAnsiTheme="minorHAnsi"/>
          <w:bCs/>
          <w:snapToGrid w:val="0"/>
        </w:rPr>
        <w:t>SC</w:t>
      </w:r>
      <w:r w:rsidR="00770B0A" w:rsidRPr="00A70E66">
        <w:rPr>
          <w:rFonts w:asciiTheme="minorHAnsi" w:hAnsiTheme="minorHAnsi"/>
          <w:bCs/>
          <w:snapToGrid w:val="0"/>
        </w:rPr>
        <w:t xml:space="preserve"> </w:t>
      </w:r>
      <w:r w:rsidR="00A70E66" w:rsidRPr="00A70E66">
        <w:rPr>
          <w:rFonts w:asciiTheme="minorHAnsi" w:hAnsiTheme="minorHAnsi"/>
          <w:bCs/>
          <w:snapToGrid w:val="0"/>
        </w:rPr>
        <w:t xml:space="preserve">administration was considered less painful, less embarrassing, and less invasive than existing LAIs, with </w:t>
      </w:r>
      <w:r w:rsidR="00770B0A">
        <w:rPr>
          <w:rFonts w:asciiTheme="minorHAnsi" w:hAnsiTheme="minorHAnsi"/>
          <w:bCs/>
          <w:snapToGrid w:val="0"/>
        </w:rPr>
        <w:t xml:space="preserve">the </w:t>
      </w:r>
      <w:r w:rsidR="00A70E66" w:rsidRPr="00A70E66">
        <w:rPr>
          <w:rFonts w:asciiTheme="minorHAnsi" w:hAnsiTheme="minorHAnsi"/>
          <w:bCs/>
          <w:snapToGrid w:val="0"/>
        </w:rPr>
        <w:t>potential to improve adherence, sustain treatment engagement, and increase overall patient acceptability.</w:t>
      </w:r>
    </w:p>
    <w:p w14:paraId="53EE0F84" w14:textId="3910C560" w:rsidR="00741DBF" w:rsidRDefault="006B7917" w:rsidP="006F21CD">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the</w:t>
      </w:r>
      <w:r w:rsidR="007211FD">
        <w:rPr>
          <w:rFonts w:asciiTheme="minorHAnsi" w:hAnsiTheme="minorHAnsi"/>
          <w:bCs/>
          <w:snapToGrid w:val="0"/>
        </w:rPr>
        <w:t xml:space="preserve"> joint</w:t>
      </w:r>
      <w:r w:rsidRPr="00836F75">
        <w:rPr>
          <w:rFonts w:asciiTheme="minorHAnsi" w:hAnsiTheme="minorHAnsi"/>
          <w:bCs/>
          <w:snapToGrid w:val="0"/>
        </w:rPr>
        <w:t xml:space="preserve"> advice received from</w:t>
      </w:r>
      <w:r w:rsidR="004322A1">
        <w:rPr>
          <w:rFonts w:asciiTheme="minorHAnsi" w:hAnsiTheme="minorHAnsi"/>
          <w:bCs/>
          <w:snapToGrid w:val="0"/>
        </w:rPr>
        <w:t xml:space="preserve"> Psychosis </w:t>
      </w:r>
      <w:r w:rsidR="006F21CD">
        <w:rPr>
          <w:rFonts w:asciiTheme="minorHAnsi" w:hAnsiTheme="minorHAnsi"/>
          <w:bCs/>
          <w:snapToGrid w:val="0"/>
        </w:rPr>
        <w:t>Australia</w:t>
      </w:r>
      <w:r w:rsidR="007211FD">
        <w:rPr>
          <w:rFonts w:asciiTheme="minorHAnsi" w:hAnsiTheme="minorHAnsi"/>
          <w:bCs/>
          <w:snapToGrid w:val="0"/>
        </w:rPr>
        <w:t xml:space="preserve"> and the Mental Illness fellowship of Australia</w:t>
      </w:r>
      <w:r w:rsidR="006F21CD">
        <w:rPr>
          <w:rFonts w:asciiTheme="minorHAnsi" w:hAnsiTheme="minorHAnsi"/>
          <w:bCs/>
          <w:snapToGrid w:val="0"/>
        </w:rPr>
        <w:t xml:space="preserve"> </w:t>
      </w:r>
      <w:r w:rsidR="006F21CD" w:rsidRPr="00836F75">
        <w:rPr>
          <w:rFonts w:asciiTheme="minorHAnsi" w:hAnsiTheme="minorHAnsi"/>
          <w:bCs/>
          <w:snapToGrid w:val="0"/>
        </w:rPr>
        <w:t>clarifying</w:t>
      </w:r>
      <w:r w:rsidRPr="00836F75">
        <w:rPr>
          <w:rFonts w:asciiTheme="minorHAnsi" w:hAnsiTheme="minorHAnsi"/>
          <w:bCs/>
          <w:snapToGrid w:val="0"/>
        </w:rPr>
        <w:t xml:space="preserve"> the likely use of </w:t>
      </w:r>
      <w:r w:rsidR="00561E2D">
        <w:rPr>
          <w:rFonts w:asciiTheme="minorHAnsi" w:hAnsiTheme="minorHAnsi"/>
          <w:bCs/>
          <w:snapToGrid w:val="0"/>
        </w:rPr>
        <w:t>MRSC risperidone</w:t>
      </w:r>
      <w:r w:rsidR="00460D1B">
        <w:rPr>
          <w:rFonts w:asciiTheme="minorHAnsi" w:hAnsiTheme="minorHAnsi"/>
          <w:bCs/>
          <w:snapToGrid w:val="0"/>
        </w:rPr>
        <w:t xml:space="preserve"> </w:t>
      </w:r>
      <w:r w:rsidRPr="00836F75">
        <w:rPr>
          <w:rFonts w:asciiTheme="minorHAnsi" w:hAnsiTheme="minorHAnsi"/>
          <w:bCs/>
          <w:snapToGrid w:val="0"/>
        </w:rPr>
        <w:t xml:space="preserve">in clinical practice. </w:t>
      </w:r>
      <w:r w:rsidR="000C0FC5">
        <w:rPr>
          <w:rFonts w:asciiTheme="minorHAnsi" w:hAnsiTheme="minorHAnsi"/>
          <w:bCs/>
          <w:snapToGrid w:val="0"/>
        </w:rPr>
        <w:t xml:space="preserve">Psychosis Australia </w:t>
      </w:r>
      <w:r w:rsidRPr="00836F75">
        <w:rPr>
          <w:rFonts w:asciiTheme="minorHAnsi" w:hAnsiTheme="minorHAnsi"/>
          <w:bCs/>
          <w:snapToGrid w:val="0"/>
        </w:rPr>
        <w:t>advi</w:t>
      </w:r>
      <w:r w:rsidR="00AC649F">
        <w:rPr>
          <w:rFonts w:asciiTheme="minorHAnsi" w:hAnsiTheme="minorHAnsi"/>
          <w:bCs/>
          <w:snapToGrid w:val="0"/>
        </w:rPr>
        <w:t>s</w:t>
      </w:r>
      <w:r w:rsidRPr="00836F75">
        <w:rPr>
          <w:rFonts w:asciiTheme="minorHAnsi" w:hAnsiTheme="minorHAnsi"/>
          <w:bCs/>
          <w:snapToGrid w:val="0"/>
        </w:rPr>
        <w:t>e</w:t>
      </w:r>
      <w:r w:rsidR="00AC649F">
        <w:rPr>
          <w:rFonts w:asciiTheme="minorHAnsi" w:hAnsiTheme="minorHAnsi"/>
          <w:bCs/>
          <w:snapToGrid w:val="0"/>
        </w:rPr>
        <w:t>d</w:t>
      </w:r>
      <w:r w:rsidRPr="00836F75">
        <w:rPr>
          <w:rFonts w:asciiTheme="minorHAnsi" w:hAnsiTheme="minorHAnsi"/>
          <w:bCs/>
          <w:snapToGrid w:val="0"/>
        </w:rPr>
        <w:t xml:space="preserve"> that the use of</w:t>
      </w:r>
      <w:r w:rsidR="00460D1B">
        <w:rPr>
          <w:rFonts w:asciiTheme="minorHAnsi" w:hAnsiTheme="minorHAnsi"/>
          <w:bCs/>
          <w:snapToGrid w:val="0"/>
        </w:rPr>
        <w:t xml:space="preserve"> </w:t>
      </w:r>
      <w:r w:rsidR="00561E2D">
        <w:rPr>
          <w:rFonts w:asciiTheme="minorHAnsi" w:hAnsiTheme="minorHAnsi"/>
          <w:bCs/>
          <w:snapToGrid w:val="0"/>
        </w:rPr>
        <w:t>MRSC risperidone</w:t>
      </w:r>
      <w:r w:rsidRPr="00836F75">
        <w:rPr>
          <w:rFonts w:asciiTheme="minorHAnsi" w:hAnsiTheme="minorHAnsi"/>
          <w:bCs/>
          <w:snapToGrid w:val="0"/>
        </w:rPr>
        <w:t xml:space="preserve"> may </w:t>
      </w:r>
      <w:r w:rsidR="006F21CD">
        <w:rPr>
          <w:rFonts w:asciiTheme="minorHAnsi" w:hAnsiTheme="minorHAnsi"/>
          <w:bCs/>
          <w:snapToGrid w:val="0"/>
        </w:rPr>
        <w:t>r</w:t>
      </w:r>
      <w:r w:rsidR="006F21CD" w:rsidRPr="006F21CD">
        <w:rPr>
          <w:rFonts w:asciiTheme="minorHAnsi" w:hAnsiTheme="minorHAnsi"/>
          <w:bCs/>
          <w:snapToGrid w:val="0"/>
        </w:rPr>
        <w:t xml:space="preserve">educe the pain, stigma, and intrusion associated with treatment, </w:t>
      </w:r>
      <w:r w:rsidR="00A71F5E">
        <w:rPr>
          <w:rFonts w:asciiTheme="minorHAnsi" w:hAnsiTheme="minorHAnsi"/>
          <w:bCs/>
          <w:snapToGrid w:val="0"/>
        </w:rPr>
        <w:t xml:space="preserve">which </w:t>
      </w:r>
      <w:r w:rsidR="00AC649F">
        <w:rPr>
          <w:rFonts w:asciiTheme="minorHAnsi" w:hAnsiTheme="minorHAnsi"/>
          <w:bCs/>
          <w:snapToGrid w:val="0"/>
        </w:rPr>
        <w:t>may</w:t>
      </w:r>
      <w:r w:rsidR="00AC649F" w:rsidRPr="006F21CD">
        <w:rPr>
          <w:rFonts w:asciiTheme="minorHAnsi" w:hAnsiTheme="minorHAnsi"/>
          <w:bCs/>
          <w:snapToGrid w:val="0"/>
        </w:rPr>
        <w:t xml:space="preserve"> </w:t>
      </w:r>
      <w:r w:rsidR="006F21CD" w:rsidRPr="006F21CD">
        <w:rPr>
          <w:rFonts w:asciiTheme="minorHAnsi" w:hAnsiTheme="minorHAnsi"/>
          <w:bCs/>
          <w:snapToGrid w:val="0"/>
        </w:rPr>
        <w:t>improv</w:t>
      </w:r>
      <w:r w:rsidR="00741DBF">
        <w:rPr>
          <w:rFonts w:asciiTheme="minorHAnsi" w:hAnsiTheme="minorHAnsi"/>
          <w:bCs/>
          <w:snapToGrid w:val="0"/>
        </w:rPr>
        <w:t>e treatment</w:t>
      </w:r>
      <w:r w:rsidR="006F21CD" w:rsidRPr="006F21CD">
        <w:rPr>
          <w:rFonts w:asciiTheme="minorHAnsi" w:hAnsiTheme="minorHAnsi"/>
          <w:bCs/>
          <w:snapToGrid w:val="0"/>
        </w:rPr>
        <w:t xml:space="preserve"> </w:t>
      </w:r>
      <w:r w:rsidR="006F21CD" w:rsidRPr="006F21CD">
        <w:rPr>
          <w:rFonts w:asciiTheme="minorHAnsi" w:hAnsiTheme="minorHAnsi"/>
          <w:bCs/>
          <w:snapToGrid w:val="0"/>
        </w:rPr>
        <w:lastRenderedPageBreak/>
        <w:t xml:space="preserve">adherence and patient engagement compared </w:t>
      </w:r>
      <w:r w:rsidR="00AC649F">
        <w:rPr>
          <w:rFonts w:asciiTheme="minorHAnsi" w:hAnsiTheme="minorHAnsi"/>
          <w:bCs/>
          <w:snapToGrid w:val="0"/>
        </w:rPr>
        <w:t>to</w:t>
      </w:r>
      <w:r w:rsidR="00AC649F" w:rsidRPr="006F21CD">
        <w:rPr>
          <w:rFonts w:asciiTheme="minorHAnsi" w:hAnsiTheme="minorHAnsi"/>
          <w:bCs/>
          <w:snapToGrid w:val="0"/>
        </w:rPr>
        <w:t xml:space="preserve"> </w:t>
      </w:r>
      <w:r w:rsidR="003D0FFE">
        <w:rPr>
          <w:rFonts w:asciiTheme="minorHAnsi" w:hAnsiTheme="minorHAnsi"/>
          <w:bCs/>
          <w:snapToGrid w:val="0"/>
        </w:rPr>
        <w:t>the IM</w:t>
      </w:r>
      <w:r w:rsidR="003D0FFE" w:rsidRPr="006F21CD">
        <w:rPr>
          <w:rFonts w:asciiTheme="minorHAnsi" w:hAnsiTheme="minorHAnsi"/>
          <w:bCs/>
          <w:snapToGrid w:val="0"/>
        </w:rPr>
        <w:t xml:space="preserve"> </w:t>
      </w:r>
      <w:r w:rsidR="006F21CD" w:rsidRPr="006F21CD">
        <w:rPr>
          <w:rFonts w:asciiTheme="minorHAnsi" w:hAnsiTheme="minorHAnsi"/>
          <w:bCs/>
          <w:snapToGrid w:val="0"/>
        </w:rPr>
        <w:t xml:space="preserve">LAIs. </w:t>
      </w:r>
    </w:p>
    <w:p w14:paraId="2539B7CE" w14:textId="7F793ED8" w:rsidR="004233AD" w:rsidRPr="006F21CD" w:rsidRDefault="006F21CD" w:rsidP="006F21CD">
      <w:pPr>
        <w:widowControl w:val="0"/>
        <w:numPr>
          <w:ilvl w:val="1"/>
          <w:numId w:val="1"/>
        </w:numPr>
        <w:spacing w:after="120"/>
        <w:rPr>
          <w:rFonts w:asciiTheme="minorHAnsi" w:hAnsiTheme="minorHAnsi"/>
          <w:bCs/>
          <w:snapToGrid w:val="0"/>
        </w:rPr>
      </w:pPr>
      <w:r w:rsidRPr="006F21CD">
        <w:rPr>
          <w:rFonts w:asciiTheme="minorHAnsi" w:hAnsiTheme="minorHAnsi"/>
          <w:bCs/>
          <w:snapToGrid w:val="0"/>
        </w:rPr>
        <w:t xml:space="preserve">The PBAC </w:t>
      </w:r>
      <w:r w:rsidR="00A534B8">
        <w:rPr>
          <w:rFonts w:asciiTheme="minorHAnsi" w:hAnsiTheme="minorHAnsi"/>
          <w:bCs/>
          <w:snapToGrid w:val="0"/>
        </w:rPr>
        <w:t>agreed</w:t>
      </w:r>
      <w:r w:rsidRPr="006F21CD">
        <w:rPr>
          <w:rFonts w:asciiTheme="minorHAnsi" w:hAnsiTheme="minorHAnsi"/>
          <w:bCs/>
          <w:snapToGrid w:val="0"/>
        </w:rPr>
        <w:t xml:space="preserve"> that</w:t>
      </w:r>
      <w:r w:rsidRPr="006F21CD" w:rsidDel="00741DBF">
        <w:rPr>
          <w:rFonts w:asciiTheme="minorHAnsi" w:hAnsiTheme="minorHAnsi"/>
          <w:bCs/>
          <w:snapToGrid w:val="0"/>
        </w:rPr>
        <w:t xml:space="preserve"> </w:t>
      </w:r>
      <w:r w:rsidR="00940863">
        <w:rPr>
          <w:rFonts w:asciiTheme="minorHAnsi" w:hAnsiTheme="minorHAnsi"/>
          <w:bCs/>
          <w:snapToGrid w:val="0"/>
        </w:rPr>
        <w:t>the introduction of MRSC risperidone</w:t>
      </w:r>
      <w:r w:rsidR="00741DBF" w:rsidRPr="006F21CD">
        <w:rPr>
          <w:rFonts w:asciiTheme="minorHAnsi" w:hAnsiTheme="minorHAnsi"/>
          <w:bCs/>
          <w:snapToGrid w:val="0"/>
        </w:rPr>
        <w:t xml:space="preserve"> </w:t>
      </w:r>
      <w:r w:rsidRPr="006F21CD">
        <w:rPr>
          <w:rFonts w:asciiTheme="minorHAnsi" w:hAnsiTheme="minorHAnsi"/>
          <w:bCs/>
          <w:snapToGrid w:val="0"/>
        </w:rPr>
        <w:t>may support more consistent use of antipsychotic therapy</w:t>
      </w:r>
      <w:r w:rsidR="0078334D">
        <w:rPr>
          <w:rFonts w:asciiTheme="minorHAnsi" w:hAnsiTheme="minorHAnsi"/>
          <w:bCs/>
          <w:snapToGrid w:val="0"/>
        </w:rPr>
        <w:t xml:space="preserve"> for patients with schizophrenia</w:t>
      </w:r>
      <w:r w:rsidRPr="006F21CD">
        <w:rPr>
          <w:rFonts w:asciiTheme="minorHAnsi" w:hAnsiTheme="minorHAnsi"/>
          <w:bCs/>
          <w:snapToGrid w:val="0"/>
        </w:rPr>
        <w:t>.</w:t>
      </w:r>
      <w:r>
        <w:rPr>
          <w:rFonts w:asciiTheme="minorHAnsi" w:hAnsiTheme="minorHAnsi"/>
          <w:bCs/>
          <w:snapToGrid w:val="0"/>
        </w:rPr>
        <w:t xml:space="preserve"> </w:t>
      </w:r>
      <w:r w:rsidR="006B7917" w:rsidRPr="00836F75">
        <w:rPr>
          <w:rFonts w:asciiTheme="minorHAnsi" w:hAnsiTheme="minorHAnsi"/>
          <w:bCs/>
          <w:snapToGrid w:val="0"/>
        </w:rPr>
        <w:t xml:space="preserve">The PBAC </w:t>
      </w:r>
      <w:r w:rsidR="00741DBF">
        <w:rPr>
          <w:rFonts w:asciiTheme="minorHAnsi" w:hAnsiTheme="minorHAnsi"/>
          <w:bCs/>
          <w:snapToGrid w:val="0"/>
        </w:rPr>
        <w:t>considered that</w:t>
      </w:r>
      <w:r w:rsidR="006B7917" w:rsidRPr="00836F75">
        <w:rPr>
          <w:rFonts w:asciiTheme="minorHAnsi" w:hAnsiTheme="minorHAnsi"/>
          <w:bCs/>
          <w:snapToGrid w:val="0"/>
        </w:rPr>
        <w:t xml:space="preserve"> this advice was supportive of the evidence provided in the submission.</w:t>
      </w:r>
    </w:p>
    <w:p w14:paraId="609C0765" w14:textId="2923A8A9" w:rsidR="00B60939" w:rsidRPr="0098262F" w:rsidRDefault="00B60939" w:rsidP="002E4F02">
      <w:pPr>
        <w:pStyle w:val="4-SubsectionHeading"/>
      </w:pPr>
      <w:bookmarkStart w:id="19" w:name="_Toc219904430"/>
      <w:r w:rsidRPr="0098262F">
        <w:t>Clinical trial</w:t>
      </w:r>
      <w:bookmarkEnd w:id="17"/>
      <w:r w:rsidR="00F7575A">
        <w:t>s</w:t>
      </w:r>
      <w:bookmarkEnd w:id="19"/>
    </w:p>
    <w:p w14:paraId="2A68FCBC" w14:textId="77777777" w:rsidR="00386D08" w:rsidRPr="00386D08" w:rsidRDefault="00B777C2" w:rsidP="00A73029">
      <w:pPr>
        <w:pStyle w:val="3-BodyText"/>
      </w:pPr>
      <w:r>
        <w:rPr>
          <w:color w:val="000000" w:themeColor="text1"/>
        </w:rPr>
        <w:t>The submission relied on</w:t>
      </w:r>
      <w:r w:rsidR="00386D08">
        <w:rPr>
          <w:color w:val="000000" w:themeColor="text1"/>
        </w:rPr>
        <w:t>:</w:t>
      </w:r>
    </w:p>
    <w:p w14:paraId="079339BC" w14:textId="4B6963EE" w:rsidR="008C0F50" w:rsidRDefault="00B777C2" w:rsidP="00DB355C">
      <w:pPr>
        <w:pStyle w:val="ListParagraph"/>
        <w:numPr>
          <w:ilvl w:val="1"/>
          <w:numId w:val="6"/>
        </w:numPr>
      </w:pPr>
      <w:r>
        <w:t xml:space="preserve">Study 30072 (RISE) </w:t>
      </w:r>
      <w:r w:rsidR="008C0F50">
        <w:t>placebo</w:t>
      </w:r>
      <w:r w:rsidR="002D15C9">
        <w:noBreakHyphen/>
      </w:r>
      <w:r w:rsidR="008C0F50">
        <w:t xml:space="preserve">controlled randomised trial </w:t>
      </w:r>
      <w:r>
        <w:t xml:space="preserve">with </w:t>
      </w:r>
      <w:r w:rsidR="000574C2">
        <w:t xml:space="preserve">MRSC </w:t>
      </w:r>
      <w:r>
        <w:t>risperidone</w:t>
      </w:r>
    </w:p>
    <w:p w14:paraId="6FC9D943" w14:textId="11BB586A" w:rsidR="005A5EBD" w:rsidRDefault="00B777C2" w:rsidP="00DB355C">
      <w:pPr>
        <w:pStyle w:val="ListParagraph"/>
        <w:numPr>
          <w:ilvl w:val="1"/>
          <w:numId w:val="6"/>
        </w:numPr>
      </w:pPr>
      <w:r>
        <w:t>Hough (2010</w:t>
      </w:r>
      <w:r w:rsidR="00B27D05">
        <w:t xml:space="preserve">) </w:t>
      </w:r>
      <w:r w:rsidR="005A5EBD">
        <w:t>placebo</w:t>
      </w:r>
      <w:r w:rsidR="002D15C9">
        <w:noBreakHyphen/>
      </w:r>
      <w:r w:rsidR="005A5EBD">
        <w:t xml:space="preserve">controlled randomised trial </w:t>
      </w:r>
      <w:r w:rsidR="00B27D05">
        <w:t xml:space="preserve">with </w:t>
      </w:r>
      <w:r w:rsidR="005A5EBD">
        <w:t>PP1M</w:t>
      </w:r>
    </w:p>
    <w:p w14:paraId="5E626AA6" w14:textId="15D9F8B2" w:rsidR="000C3A8C" w:rsidRDefault="00B27D05" w:rsidP="00DB355C">
      <w:pPr>
        <w:pStyle w:val="ListParagraph"/>
        <w:numPr>
          <w:ilvl w:val="1"/>
          <w:numId w:val="6"/>
        </w:numPr>
      </w:pPr>
      <w:r>
        <w:t>Kane (2012</w:t>
      </w:r>
      <w:r w:rsidR="00136EAC">
        <w:t>, ASPIRE</w:t>
      </w:r>
      <w:r>
        <w:t xml:space="preserve">) </w:t>
      </w:r>
      <w:r w:rsidR="005A5EBD">
        <w:t>placebo</w:t>
      </w:r>
      <w:r w:rsidR="002D15C9">
        <w:noBreakHyphen/>
      </w:r>
      <w:r w:rsidR="005A5EBD">
        <w:t xml:space="preserve">controlled randomised trial with </w:t>
      </w:r>
      <w:r w:rsidR="007D37F7">
        <w:t>A1M</w:t>
      </w:r>
    </w:p>
    <w:p w14:paraId="50DD375D" w14:textId="078E2AD2" w:rsidR="00021CE5" w:rsidRPr="00AB26ED" w:rsidRDefault="00021CE5" w:rsidP="00DB355C">
      <w:pPr>
        <w:pStyle w:val="ListParagraph"/>
        <w:numPr>
          <w:ilvl w:val="1"/>
          <w:numId w:val="6"/>
        </w:numPr>
      </w:pPr>
      <w:r>
        <w:t>A formal indirect treatment comparison</w:t>
      </w:r>
      <w:r w:rsidR="00256BB1">
        <w:t xml:space="preserve"> (ITC)</w:t>
      </w:r>
      <w:r>
        <w:t xml:space="preserve"> of MRSC risperidone vs PP1M and A1M via placebo</w:t>
      </w:r>
    </w:p>
    <w:p w14:paraId="3341D6C3" w14:textId="77777777" w:rsidR="00AC238E" w:rsidRPr="006627A5" w:rsidRDefault="00AC238E" w:rsidP="00AC238E">
      <w:pPr>
        <w:pStyle w:val="3-BodyText"/>
      </w:pPr>
      <w:r>
        <w:rPr>
          <w:color w:val="000000" w:themeColor="text1"/>
        </w:rPr>
        <w:t>None of these studies were among those noted by the PBAC in its March 2024 consideration of R4WIM.</w:t>
      </w:r>
    </w:p>
    <w:p w14:paraId="4E78C354" w14:textId="565AB68A" w:rsidR="00257D99" w:rsidRPr="00113C9D" w:rsidRDefault="00257D99">
      <w:pPr>
        <w:pStyle w:val="3-BodyText"/>
        <w:rPr>
          <w:iCs/>
        </w:rPr>
      </w:pPr>
      <w:r w:rsidRPr="005F6AB9">
        <w:t>The submission identified trials for inclusion using a prespecified search strategy that required studies to include a stabilisation period, to enrol patients with a diagnosis of schizophrenia for at least one year, and to include patients with at least one episode of relapse in the preceding two years</w:t>
      </w:r>
      <w:r w:rsidR="00217955" w:rsidRPr="005F6AB9">
        <w:t>.</w:t>
      </w:r>
      <w:r w:rsidR="00217955" w:rsidRPr="00113C9D">
        <w:rPr>
          <w:iCs/>
        </w:rPr>
        <w:t xml:space="preserve"> </w:t>
      </w:r>
      <w:r w:rsidR="00217955" w:rsidRPr="00D2292F">
        <w:t>All trials incorporated extended open</w:t>
      </w:r>
      <w:r w:rsidR="002D15C9">
        <w:noBreakHyphen/>
      </w:r>
      <w:r w:rsidR="00217955" w:rsidRPr="00D2292F">
        <w:t>label conversion and stabilisation phases prior to randomisation, with eligibility criteria requiring patients to be clinically stable before entering the double</w:t>
      </w:r>
      <w:r w:rsidR="002D15C9">
        <w:noBreakHyphen/>
      </w:r>
      <w:r w:rsidR="00217955" w:rsidRPr="00D2292F">
        <w:t>blind phase</w:t>
      </w:r>
      <w:r w:rsidRPr="00D2292F">
        <w:t xml:space="preserve">. Trials were further excluded if they did not study patients with schizophrenia during the maintenance phase, that is, once stabilised on an antipsychotic. </w:t>
      </w:r>
      <w:r w:rsidR="00F3021B" w:rsidRPr="00D2292F">
        <w:t>Patients who withdrew due to lack of efficacy or adverse events during these preliminary phases were excluded from randomisation. The evaluation noted that these design features were likely to result in a selected trial population enriched for treatment</w:t>
      </w:r>
      <w:r w:rsidR="002D15C9">
        <w:noBreakHyphen/>
      </w:r>
      <w:r w:rsidR="00F3021B" w:rsidRPr="00D2292F">
        <w:t>responsive and treatment</w:t>
      </w:r>
      <w:r w:rsidR="002D15C9">
        <w:noBreakHyphen/>
      </w:r>
      <w:r w:rsidR="00F3021B" w:rsidRPr="00D2292F">
        <w:t>tolerant patients, potentially leading to overestimation of efficacy and underestimation of harms compared with routine clinical practice.</w:t>
      </w:r>
      <w:r w:rsidR="00487AB7" w:rsidRPr="00D2292F">
        <w:t xml:space="preserve"> </w:t>
      </w:r>
      <w:r w:rsidRPr="00D2292F">
        <w:t>Th</w:t>
      </w:r>
      <w:r w:rsidR="00F068E2" w:rsidRPr="00D2292F">
        <w:t>e</w:t>
      </w:r>
      <w:r w:rsidRPr="00D2292F">
        <w:t xml:space="preserve"> </w:t>
      </w:r>
      <w:r w:rsidR="00111021" w:rsidRPr="00D2292F">
        <w:t xml:space="preserve">evaluation </w:t>
      </w:r>
      <w:r w:rsidR="00263532" w:rsidRPr="00D2292F">
        <w:t>interpreted</w:t>
      </w:r>
      <w:r w:rsidR="00EE248A" w:rsidRPr="00D2292F">
        <w:t xml:space="preserve"> this as the submission implying </w:t>
      </w:r>
      <w:r w:rsidRPr="00D2292F">
        <w:t>that efficacy demonstrated in other clinical contexts (such as acute treatment) could not be assumed to translate to maintenance treatment.</w:t>
      </w:r>
    </w:p>
    <w:p w14:paraId="09EA59CA" w14:textId="60243697" w:rsidR="00257D99" w:rsidRPr="00E7640D" w:rsidRDefault="00257D99" w:rsidP="00257D99">
      <w:pPr>
        <w:pStyle w:val="3-BodyText"/>
      </w:pPr>
      <w:r w:rsidRPr="003A1E45">
        <w:t xml:space="preserve">The evaluation noted that the application of these criteria raised internal inconsistencies. </w:t>
      </w:r>
      <w:r w:rsidR="003A1E45">
        <w:t>W</w:t>
      </w:r>
      <w:r w:rsidRPr="003A1E45">
        <w:t>hile the search strategy sought to restrict inclusion to patients with a clear history of relapse, 43 of 408 patients (10.5%) in the Hough (2010) paliperidone trial had never been hospitalised for schizophrenia.</w:t>
      </w:r>
      <w:r w:rsidRPr="00113C9D">
        <w:rPr>
          <w:iCs/>
        </w:rPr>
        <w:t xml:space="preserve"> </w:t>
      </w:r>
      <w:r w:rsidRPr="00E7640D">
        <w:t>The evaluation also observed that no rationale was provided to explain why the specified design features were considered sufficiently critical to preclude comparison with other risperidone LAI trials, or why those same considerations were not applied consistently across all included studies.</w:t>
      </w:r>
    </w:p>
    <w:p w14:paraId="7E835FEA" w14:textId="32497CCC" w:rsidR="00257D99" w:rsidRPr="00E7640D" w:rsidRDefault="00257D99" w:rsidP="00257D99">
      <w:pPr>
        <w:pStyle w:val="3-BodyText"/>
      </w:pPr>
      <w:r w:rsidRPr="00E7640D">
        <w:lastRenderedPageBreak/>
        <w:t>The evaluation further considered that the emphasis on maintenance</w:t>
      </w:r>
      <w:r w:rsidR="002D15C9">
        <w:noBreakHyphen/>
      </w:r>
      <w:r w:rsidRPr="00E7640D">
        <w:t xml:space="preserve">phase populations and specific stabilisation requirements implied a rejection of the PBAC’s longstanding position that antipsychotic efficacy demonstrated in one clinical setting can be informative for others, particularly where the same active ingredient is used. In this context, the evaluation questioned whether the exclusion of trials of other risperidone LAIs was justified, or whether a formal </w:t>
      </w:r>
      <w:r w:rsidR="00D90D64" w:rsidRPr="00E7640D">
        <w:t>ITC</w:t>
      </w:r>
      <w:r w:rsidRPr="00E7640D">
        <w:t xml:space="preserve"> should have been attempted.</w:t>
      </w:r>
    </w:p>
    <w:p w14:paraId="1103836E" w14:textId="2C95F143" w:rsidR="00257D99" w:rsidRPr="00113C9D" w:rsidRDefault="00257D99" w:rsidP="00257D99">
      <w:pPr>
        <w:pStyle w:val="3-BodyText"/>
        <w:rPr>
          <w:iCs/>
        </w:rPr>
      </w:pPr>
      <w:r w:rsidRPr="00113C9D">
        <w:rPr>
          <w:iCs/>
        </w:rPr>
        <w:t xml:space="preserve">Concerns were also raised about outcome selection. While the submission relied on impending relapse and change in </w:t>
      </w:r>
      <w:r w:rsidR="00967A9B" w:rsidRPr="00113C9D">
        <w:rPr>
          <w:iCs/>
        </w:rPr>
        <w:t>positive and negative syndrome</w:t>
      </w:r>
      <w:r w:rsidR="009523CB" w:rsidRPr="00113C9D">
        <w:rPr>
          <w:iCs/>
        </w:rPr>
        <w:t xml:space="preserve"> scale</w:t>
      </w:r>
      <w:r w:rsidR="00967A9B" w:rsidRPr="00113C9D">
        <w:rPr>
          <w:iCs/>
        </w:rPr>
        <w:t xml:space="preserve"> (</w:t>
      </w:r>
      <w:r w:rsidRPr="00113C9D">
        <w:rPr>
          <w:iCs/>
        </w:rPr>
        <w:t>PANSS</w:t>
      </w:r>
      <w:r w:rsidR="001A66B9" w:rsidRPr="00113C9D">
        <w:rPr>
          <w:iCs/>
        </w:rPr>
        <w:t>)</w:t>
      </w:r>
      <w:r w:rsidRPr="00113C9D">
        <w:rPr>
          <w:iCs/>
        </w:rPr>
        <w:t xml:space="preserve"> total score to support non</w:t>
      </w:r>
      <w:r w:rsidR="002D15C9">
        <w:rPr>
          <w:iCs/>
        </w:rPr>
        <w:noBreakHyphen/>
      </w:r>
      <w:r w:rsidRPr="00113C9D">
        <w:rPr>
          <w:iCs/>
        </w:rPr>
        <w:t>inferiority, the evaluation noted that differences in baseline PANSS scores, relapse definitions, and assessment timing across trials limited the comparability of these outcomes and complicated any extension of the results beyond the nominated comparators.</w:t>
      </w:r>
    </w:p>
    <w:p w14:paraId="4ED5CA55" w14:textId="0A71F3C9" w:rsidR="00257D99" w:rsidRPr="00E7640D" w:rsidRDefault="00257D99" w:rsidP="00257D99">
      <w:pPr>
        <w:pStyle w:val="3-BodyText"/>
      </w:pPr>
      <w:r w:rsidRPr="00E7640D">
        <w:t xml:space="preserve">On this basis, the evaluation suggested that the PBAC may wish to consider whether a formal </w:t>
      </w:r>
      <w:r w:rsidR="00D90D64" w:rsidRPr="00E7640D">
        <w:t>ITC</w:t>
      </w:r>
      <w:r w:rsidRPr="00E7640D">
        <w:t xml:space="preserve"> with other risperidone LAIs should be provided, or, alternatively, whether </w:t>
      </w:r>
      <w:r w:rsidR="005E5689" w:rsidRPr="00E7640D">
        <w:t xml:space="preserve">population criteria in the restriction should be included to restrict usage to </w:t>
      </w:r>
      <w:r w:rsidR="00FA4C11" w:rsidRPr="00E7640D">
        <w:t xml:space="preserve">patients who reflected </w:t>
      </w:r>
      <w:r w:rsidRPr="00E7640D">
        <w:t>the specific features of the MRSC risperidone trial program that were said to preclude such comparisons.</w:t>
      </w:r>
    </w:p>
    <w:p w14:paraId="7AC001A2" w14:textId="0E995D8C" w:rsidR="00257D99" w:rsidRPr="00113C9D" w:rsidRDefault="00257D99" w:rsidP="00257D99">
      <w:pPr>
        <w:pStyle w:val="3-BodyText"/>
        <w:rPr>
          <w:iCs/>
        </w:rPr>
      </w:pPr>
      <w:r w:rsidRPr="00113C9D">
        <w:rPr>
          <w:iCs/>
        </w:rPr>
        <w:t>In response, the P</w:t>
      </w:r>
      <w:r w:rsidR="007F6D00" w:rsidRPr="00113C9D">
        <w:rPr>
          <w:iCs/>
        </w:rPr>
        <w:t>SCR</w:t>
      </w:r>
      <w:r w:rsidRPr="00113C9D">
        <w:rPr>
          <w:iCs/>
        </w:rPr>
        <w:t xml:space="preserve"> stated that a risperidone</w:t>
      </w:r>
      <w:r w:rsidR="002D15C9">
        <w:rPr>
          <w:iCs/>
        </w:rPr>
        <w:noBreakHyphen/>
      </w:r>
      <w:r w:rsidRPr="00113C9D">
        <w:rPr>
          <w:iCs/>
        </w:rPr>
        <w:t>to</w:t>
      </w:r>
      <w:r w:rsidR="002D15C9">
        <w:rPr>
          <w:iCs/>
        </w:rPr>
        <w:noBreakHyphen/>
      </w:r>
      <w:r w:rsidRPr="00113C9D">
        <w:rPr>
          <w:iCs/>
        </w:rPr>
        <w:t xml:space="preserve">risperidone </w:t>
      </w:r>
      <w:r w:rsidR="00D90D64" w:rsidRPr="00113C9D">
        <w:rPr>
          <w:iCs/>
        </w:rPr>
        <w:t>ITC</w:t>
      </w:r>
      <w:r w:rsidRPr="00113C9D">
        <w:rPr>
          <w:iCs/>
        </w:rPr>
        <w:t xml:space="preserve"> had been explored but was not feasible. The PSCR argued that heterogeneity in trial populations, study designs, and outcome measures</w:t>
      </w:r>
      <w:r w:rsidR="007F6D00" w:rsidRPr="00113C9D">
        <w:rPr>
          <w:iCs/>
        </w:rPr>
        <w:t>,</w:t>
      </w:r>
      <w:r w:rsidRPr="00113C9D">
        <w:rPr>
          <w:iCs/>
        </w:rPr>
        <w:t xml:space="preserve"> including the absence of comparable impending</w:t>
      </w:r>
      <w:r w:rsidR="002D15C9">
        <w:rPr>
          <w:iCs/>
        </w:rPr>
        <w:noBreakHyphen/>
      </w:r>
      <w:r w:rsidRPr="00113C9D">
        <w:rPr>
          <w:iCs/>
        </w:rPr>
        <w:t>relapse endpoints in studies of other risperidone LAIs</w:t>
      </w:r>
      <w:r w:rsidR="007F6D00" w:rsidRPr="00113C9D">
        <w:rPr>
          <w:iCs/>
        </w:rPr>
        <w:t>,</w:t>
      </w:r>
      <w:r w:rsidRPr="00113C9D">
        <w:rPr>
          <w:iCs/>
        </w:rPr>
        <w:t xml:space="preserve"> meant that any such analysis would lack validity and would not meaningfully inform decision</w:t>
      </w:r>
      <w:r w:rsidR="002D15C9">
        <w:rPr>
          <w:iCs/>
        </w:rPr>
        <w:noBreakHyphen/>
      </w:r>
      <w:r w:rsidRPr="00113C9D">
        <w:rPr>
          <w:iCs/>
        </w:rPr>
        <w:t>making.</w:t>
      </w:r>
    </w:p>
    <w:p w14:paraId="330B8D20" w14:textId="1C177043" w:rsidR="00257D99" w:rsidRPr="00113C9D" w:rsidRDefault="00257D99">
      <w:pPr>
        <w:pStyle w:val="3-BodyText"/>
        <w:rPr>
          <w:iCs/>
        </w:rPr>
      </w:pPr>
      <w:r w:rsidRPr="00113C9D">
        <w:rPr>
          <w:iCs/>
        </w:rPr>
        <w:t xml:space="preserve">The </w:t>
      </w:r>
      <w:r w:rsidR="007F6D00" w:rsidRPr="00113C9D">
        <w:rPr>
          <w:iCs/>
        </w:rPr>
        <w:t>ESC</w:t>
      </w:r>
      <w:r w:rsidRPr="00113C9D">
        <w:rPr>
          <w:iCs/>
        </w:rPr>
        <w:t xml:space="preserve"> agreed with the evaluation that the evidentiary basis for directly comparing MRSC risperidone with other risperidone LAIs was limited. However, </w:t>
      </w:r>
      <w:r w:rsidR="008F017E" w:rsidRPr="00113C9D">
        <w:rPr>
          <w:iCs/>
        </w:rPr>
        <w:t xml:space="preserve">the ESC considered differences in baseline symptom severity across trials, as reflected by PANSS scores, to be relevant to the feasibility of an </w:t>
      </w:r>
      <w:r w:rsidR="00701C3C" w:rsidRPr="00113C9D">
        <w:rPr>
          <w:iCs/>
        </w:rPr>
        <w:t>ITC</w:t>
      </w:r>
      <w:r w:rsidR="008F017E" w:rsidRPr="00113C9D">
        <w:rPr>
          <w:iCs/>
        </w:rPr>
        <w:t>. The ESC noted that studies of other PBS</w:t>
      </w:r>
      <w:r w:rsidR="002D15C9">
        <w:rPr>
          <w:iCs/>
        </w:rPr>
        <w:noBreakHyphen/>
      </w:r>
      <w:r w:rsidR="008F017E" w:rsidRPr="00113C9D">
        <w:rPr>
          <w:iCs/>
        </w:rPr>
        <w:t>listed risperidone LAIs generally enrolled patients with higher PANSS scores, consistent with more symptomatic populations, whereas the MRSC risperidone trial program enrolled a comparatively lower PANSS score population following stabilisation. The ESC considered that these differences in baseline disease severity and clinical context limited the comparability of outcomes across trials and further reduced the validity of a formal risperidone</w:t>
      </w:r>
      <w:r w:rsidR="002D15C9">
        <w:rPr>
          <w:iCs/>
        </w:rPr>
        <w:noBreakHyphen/>
      </w:r>
      <w:r w:rsidR="008F017E" w:rsidRPr="00113C9D">
        <w:rPr>
          <w:iCs/>
        </w:rPr>
        <w:t>to</w:t>
      </w:r>
      <w:r w:rsidR="002D15C9">
        <w:rPr>
          <w:iCs/>
        </w:rPr>
        <w:noBreakHyphen/>
      </w:r>
      <w:r w:rsidR="008F017E" w:rsidRPr="00113C9D">
        <w:rPr>
          <w:iCs/>
        </w:rPr>
        <w:t xml:space="preserve">risperidone </w:t>
      </w:r>
      <w:r w:rsidR="0049278D" w:rsidRPr="00113C9D">
        <w:rPr>
          <w:iCs/>
        </w:rPr>
        <w:t>ITC</w:t>
      </w:r>
      <w:r w:rsidR="008F017E" w:rsidRPr="00113C9D">
        <w:rPr>
          <w:iCs/>
        </w:rPr>
        <w:t>.</w:t>
      </w:r>
      <w:r w:rsidR="00DC4FFA" w:rsidRPr="00113C9D">
        <w:rPr>
          <w:iCs/>
        </w:rPr>
        <w:t xml:space="preserve"> The ESC therefore </w:t>
      </w:r>
      <w:r w:rsidRPr="00113C9D">
        <w:rPr>
          <w:iCs/>
        </w:rPr>
        <w:t xml:space="preserve">accepted that a formal </w:t>
      </w:r>
      <w:r w:rsidR="00DC4FFA" w:rsidRPr="00113C9D">
        <w:rPr>
          <w:iCs/>
        </w:rPr>
        <w:t>ITC</w:t>
      </w:r>
      <w:r w:rsidRPr="00113C9D">
        <w:rPr>
          <w:iCs/>
        </w:rPr>
        <w:t xml:space="preserve"> would be unfeasible and advised that further analyses were unlikely to provide additional value. In forming this view, the ESC had regard to the PBAC’s established position that, if MRSC risperidone were considered non</w:t>
      </w:r>
      <w:r w:rsidR="002D15C9">
        <w:rPr>
          <w:iCs/>
        </w:rPr>
        <w:noBreakHyphen/>
      </w:r>
      <w:r w:rsidRPr="00113C9D">
        <w:rPr>
          <w:iCs/>
        </w:rPr>
        <w:t>inferior to paliperidone and aripiprazole, it would, by extension, be regarded as non</w:t>
      </w:r>
      <w:r w:rsidR="002D15C9">
        <w:rPr>
          <w:iCs/>
        </w:rPr>
        <w:noBreakHyphen/>
      </w:r>
      <w:r w:rsidRPr="00113C9D">
        <w:rPr>
          <w:iCs/>
        </w:rPr>
        <w:t>inferior to other risperidone LAIs, consistent with prior PBAC reasoning.</w:t>
      </w:r>
    </w:p>
    <w:p w14:paraId="3DE01C4B" w14:textId="031DB08C" w:rsidR="000C5B17" w:rsidRDefault="00082502" w:rsidP="00846AEE">
      <w:pPr>
        <w:pStyle w:val="3-BodyText"/>
      </w:pPr>
      <w:r w:rsidRPr="00EA7694">
        <w:rPr>
          <w:color w:val="000000" w:themeColor="text1"/>
        </w:rPr>
        <w:t>The trials and the associated reports and publications</w:t>
      </w:r>
      <w:r w:rsidR="000C5B17" w:rsidRPr="00EA7694">
        <w:rPr>
          <w:color w:val="000000" w:themeColor="text1"/>
        </w:rPr>
        <w:t xml:space="preserve"> (excluding conference abstracts)</w:t>
      </w:r>
      <w:r w:rsidRPr="00EA7694">
        <w:rPr>
          <w:color w:val="000000" w:themeColor="text1"/>
        </w:rPr>
        <w:t xml:space="preserve"> </w:t>
      </w:r>
      <w:r w:rsidR="00DA0D2A" w:rsidRPr="00EA7694">
        <w:rPr>
          <w:color w:val="000000" w:themeColor="text1"/>
        </w:rPr>
        <w:t xml:space="preserve">included in the submission </w:t>
      </w:r>
      <w:r w:rsidRPr="00EA7694">
        <w:rPr>
          <w:color w:val="000000" w:themeColor="text1"/>
        </w:rPr>
        <w:t>are shown in</w:t>
      </w:r>
      <w:r w:rsidR="00BD3D57" w:rsidRPr="00EA7694">
        <w:rPr>
          <w:color w:val="000000" w:themeColor="text1"/>
        </w:rPr>
        <w:t xml:space="preserve"> </w:t>
      </w:r>
      <w:r w:rsidR="00BD3D57" w:rsidRPr="00EA7694">
        <w:rPr>
          <w:color w:val="000000" w:themeColor="text1"/>
        </w:rPr>
        <w:fldChar w:fldCharType="begin"/>
      </w:r>
      <w:r w:rsidR="00BD3D57" w:rsidRPr="00EA7694">
        <w:rPr>
          <w:color w:val="000000" w:themeColor="text1"/>
        </w:rPr>
        <w:instrText xml:space="preserve"> REF _Ref215049406 \h </w:instrText>
      </w:r>
      <w:r w:rsidR="00BD3D57" w:rsidRPr="00EA7694">
        <w:rPr>
          <w:color w:val="000000" w:themeColor="text1"/>
        </w:rPr>
      </w:r>
      <w:r w:rsidR="00BD3D57" w:rsidRPr="00EA7694">
        <w:rPr>
          <w:color w:val="000000" w:themeColor="text1"/>
        </w:rPr>
        <w:fldChar w:fldCharType="separate"/>
      </w:r>
      <w:r w:rsidR="00BD3D57">
        <w:t xml:space="preserve">Table </w:t>
      </w:r>
      <w:r w:rsidR="00BD3D57">
        <w:rPr>
          <w:noProof/>
        </w:rPr>
        <w:t>2</w:t>
      </w:r>
      <w:r w:rsidR="00BD3D57" w:rsidRPr="00EA7694">
        <w:rPr>
          <w:color w:val="000000" w:themeColor="text1"/>
        </w:rPr>
        <w:fldChar w:fldCharType="end"/>
      </w:r>
      <w:r w:rsidRPr="00EA7694">
        <w:rPr>
          <w:color w:val="000000" w:themeColor="text1"/>
        </w:rPr>
        <w:t>.</w:t>
      </w:r>
    </w:p>
    <w:p w14:paraId="33CCE611" w14:textId="3F8C1F76" w:rsidR="005F561C" w:rsidRPr="0098262F" w:rsidRDefault="00BD3D57" w:rsidP="00BD3D57">
      <w:pPr>
        <w:pStyle w:val="Caption"/>
        <w:rPr>
          <w:rStyle w:val="CommentReference"/>
          <w:b/>
          <w:szCs w:val="24"/>
        </w:rPr>
      </w:pPr>
      <w:bookmarkStart w:id="20" w:name="_Ref215049406"/>
      <w:r>
        <w:lastRenderedPageBreak/>
        <w:t xml:space="preserve">Table </w:t>
      </w:r>
      <w:fldSimple w:instr=" SEQ Table \* ARABIC ">
        <w:r w:rsidR="002D15C9">
          <w:rPr>
            <w:noProof/>
          </w:rPr>
          <w:t>2</w:t>
        </w:r>
      </w:fldSimple>
      <w:bookmarkEnd w:id="20"/>
      <w:r>
        <w:t xml:space="preserve">: </w:t>
      </w:r>
      <w:r w:rsidR="005F561C" w:rsidRPr="0098262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688"/>
        <w:gridCol w:w="4928"/>
        <w:gridCol w:w="2401"/>
      </w:tblGrid>
      <w:tr w:rsidR="005F561C" w:rsidRPr="0098262F" w14:paraId="6600F3EA" w14:textId="77777777">
        <w:trPr>
          <w:cantSplit/>
          <w:tblHeader/>
        </w:trPr>
        <w:tc>
          <w:tcPr>
            <w:tcW w:w="795" w:type="pct"/>
            <w:vAlign w:val="center"/>
          </w:tcPr>
          <w:p w14:paraId="56A2EFAB" w14:textId="77777777" w:rsidR="005F561C" w:rsidRPr="0098262F" w:rsidRDefault="005F561C" w:rsidP="00900AB0">
            <w:pPr>
              <w:pStyle w:val="In-tableHeading"/>
            </w:pPr>
            <w:r w:rsidRPr="0098262F">
              <w:t>Trial ID</w:t>
            </w:r>
          </w:p>
        </w:tc>
        <w:tc>
          <w:tcPr>
            <w:tcW w:w="2803" w:type="pct"/>
            <w:vAlign w:val="center"/>
          </w:tcPr>
          <w:p w14:paraId="43D156A0" w14:textId="77777777" w:rsidR="005F561C" w:rsidRPr="0098262F" w:rsidRDefault="005F561C" w:rsidP="00900AB0">
            <w:pPr>
              <w:pStyle w:val="In-tableHeading"/>
            </w:pPr>
            <w:r w:rsidRPr="0098262F">
              <w:t>Protocol title/ Publication title</w:t>
            </w:r>
          </w:p>
        </w:tc>
        <w:tc>
          <w:tcPr>
            <w:tcW w:w="1402" w:type="pct"/>
            <w:vAlign w:val="center"/>
          </w:tcPr>
          <w:p w14:paraId="50F51A5B" w14:textId="77777777" w:rsidR="005F561C" w:rsidRPr="0098262F" w:rsidRDefault="005F561C" w:rsidP="00900AB0">
            <w:pPr>
              <w:pStyle w:val="In-tableHeading"/>
            </w:pPr>
            <w:r w:rsidRPr="0098262F">
              <w:t>Publication citation</w:t>
            </w:r>
          </w:p>
        </w:tc>
      </w:tr>
      <w:tr w:rsidR="00DF6A62" w:rsidRPr="0098262F" w14:paraId="710623E5" w14:textId="77777777">
        <w:trPr>
          <w:cantSplit/>
          <w:tblHeader/>
        </w:trPr>
        <w:tc>
          <w:tcPr>
            <w:tcW w:w="795" w:type="pct"/>
            <w:vAlign w:val="center"/>
          </w:tcPr>
          <w:p w14:paraId="63390876" w14:textId="3CC8C78A" w:rsidR="00DF6A62" w:rsidRPr="00E533F2" w:rsidRDefault="00DF6A62" w:rsidP="00DF6A62">
            <w:pPr>
              <w:pStyle w:val="TableFigureHeading"/>
              <w:rPr>
                <w:b w:val="0"/>
                <w:bCs w:val="0"/>
              </w:rPr>
            </w:pPr>
            <w:r w:rsidRPr="00E533F2">
              <w:rPr>
                <w:b w:val="0"/>
                <w:bCs w:val="0"/>
              </w:rPr>
              <w:t>TV46000</w:t>
            </w:r>
            <w:r w:rsidR="002D15C9">
              <w:rPr>
                <w:b w:val="0"/>
                <w:bCs w:val="0"/>
              </w:rPr>
              <w:noBreakHyphen/>
            </w:r>
            <w:r w:rsidRPr="00E533F2">
              <w:rPr>
                <w:b w:val="0"/>
                <w:bCs w:val="0"/>
              </w:rPr>
              <w:t>CNS</w:t>
            </w:r>
            <w:r w:rsidR="002D15C9">
              <w:rPr>
                <w:b w:val="0"/>
                <w:bCs w:val="0"/>
              </w:rPr>
              <w:noBreakHyphen/>
            </w:r>
            <w:r w:rsidRPr="00E533F2">
              <w:rPr>
                <w:b w:val="0"/>
                <w:bCs w:val="0"/>
              </w:rPr>
              <w:t>30072</w:t>
            </w:r>
          </w:p>
          <w:p w14:paraId="1E067D12" w14:textId="77777777" w:rsidR="00DF6A62" w:rsidRPr="00E533F2" w:rsidRDefault="00DF6A62" w:rsidP="00DF6A62">
            <w:pPr>
              <w:pStyle w:val="TableFigureHeading"/>
              <w:rPr>
                <w:b w:val="0"/>
                <w:bCs w:val="0"/>
              </w:rPr>
            </w:pPr>
            <w:r w:rsidRPr="00E533F2">
              <w:rPr>
                <w:b w:val="0"/>
                <w:bCs w:val="0"/>
              </w:rPr>
              <w:t xml:space="preserve">RISE </w:t>
            </w:r>
          </w:p>
          <w:p w14:paraId="2645D16A" w14:textId="79F8EC15" w:rsidR="00DF6A62" w:rsidRPr="00DF6A62" w:rsidRDefault="00DF6A62" w:rsidP="00900AB0">
            <w:pPr>
              <w:pStyle w:val="In-tableHeading"/>
            </w:pPr>
            <w:r w:rsidRPr="00DF6A62">
              <w:t>NCT03503318</w:t>
            </w:r>
          </w:p>
        </w:tc>
        <w:tc>
          <w:tcPr>
            <w:tcW w:w="2803" w:type="pct"/>
            <w:vAlign w:val="center"/>
          </w:tcPr>
          <w:p w14:paraId="00BBFFB1" w14:textId="75C99CA7" w:rsidR="00DF6A62" w:rsidRDefault="00DF6A62" w:rsidP="009826C7">
            <w:pPr>
              <w:pStyle w:val="TableText"/>
              <w:rPr>
                <w:rFonts w:eastAsia="Batang"/>
              </w:rPr>
            </w:pPr>
            <w:r w:rsidRPr="00E533F2">
              <w:rPr>
                <w:rFonts w:eastAsia="Batang"/>
              </w:rPr>
              <w:t>A Multicenter, Randomised, Double</w:t>
            </w:r>
            <w:r w:rsidR="002D15C9">
              <w:rPr>
                <w:rFonts w:eastAsia="Batang"/>
              </w:rPr>
              <w:noBreakHyphen/>
            </w:r>
            <w:r w:rsidRPr="00E533F2">
              <w:rPr>
                <w:rFonts w:eastAsia="Batang"/>
              </w:rPr>
              <w:t>Blind, Placebo</w:t>
            </w:r>
            <w:r w:rsidR="002D15C9">
              <w:rPr>
                <w:rFonts w:eastAsia="Batang"/>
              </w:rPr>
              <w:noBreakHyphen/>
            </w:r>
            <w:r w:rsidRPr="00E533F2">
              <w:rPr>
                <w:rFonts w:eastAsia="Batang"/>
              </w:rPr>
              <w:t>Controlled Study to Evaluate the Efficacy, Safety, and Tolerability of Risperidone Extended</w:t>
            </w:r>
            <w:r w:rsidR="002D15C9">
              <w:rPr>
                <w:rFonts w:eastAsia="Batang"/>
              </w:rPr>
              <w:noBreakHyphen/>
            </w:r>
            <w:r w:rsidRPr="00E533F2">
              <w:rPr>
                <w:rFonts w:eastAsia="Batang"/>
              </w:rPr>
              <w:t>Release Injectable Suspension (TV</w:t>
            </w:r>
            <w:r w:rsidR="002D15C9">
              <w:rPr>
                <w:rFonts w:eastAsia="Batang"/>
              </w:rPr>
              <w:noBreakHyphen/>
            </w:r>
            <w:r w:rsidRPr="00E533F2">
              <w:rPr>
                <w:rFonts w:eastAsia="Batang"/>
              </w:rPr>
              <w:t xml:space="preserve">46000) for Subcutaneous Use as Maintenance Treatment in Adult and Adolescent Patients with Schizophrenia (The RISE Study </w:t>
            </w:r>
            <w:r w:rsidR="002D15C9">
              <w:rPr>
                <w:rFonts w:eastAsia="Batang"/>
              </w:rPr>
              <w:noBreakHyphen/>
            </w:r>
            <w:r w:rsidRPr="00E533F2">
              <w:rPr>
                <w:rFonts w:eastAsia="Batang"/>
              </w:rPr>
              <w:t xml:space="preserve"> The </w:t>
            </w:r>
            <w:r w:rsidR="006A5647" w:rsidRPr="00E533F2">
              <w:rPr>
                <w:rFonts w:eastAsia="Batang"/>
              </w:rPr>
              <w:t>R</w:t>
            </w:r>
            <w:r w:rsidR="006A5647">
              <w:rPr>
                <w:rFonts w:eastAsia="Batang"/>
              </w:rPr>
              <w:t>i</w:t>
            </w:r>
            <w:r w:rsidR="006A5647" w:rsidRPr="00E533F2">
              <w:rPr>
                <w:rFonts w:eastAsia="Batang"/>
              </w:rPr>
              <w:t xml:space="preserve">speridone </w:t>
            </w:r>
            <w:r w:rsidRPr="00E533F2">
              <w:rPr>
                <w:rFonts w:eastAsia="Batang"/>
              </w:rPr>
              <w:t>Subcutaneous Extended</w:t>
            </w:r>
            <w:r w:rsidR="002D15C9">
              <w:rPr>
                <w:rFonts w:eastAsia="Batang"/>
              </w:rPr>
              <w:noBreakHyphen/>
            </w:r>
            <w:r w:rsidRPr="00E533F2">
              <w:rPr>
                <w:rFonts w:eastAsia="Batang"/>
              </w:rPr>
              <w:t>release Study)</w:t>
            </w:r>
          </w:p>
          <w:p w14:paraId="6990BD8B" w14:textId="77777777" w:rsidR="00DF6A62" w:rsidRDefault="00DF6A62" w:rsidP="009826C7">
            <w:pPr>
              <w:pStyle w:val="TableText"/>
              <w:rPr>
                <w:rFonts w:eastAsia="Batang"/>
              </w:rPr>
            </w:pPr>
          </w:p>
          <w:p w14:paraId="5F7F8E85" w14:textId="5C5F6BFE" w:rsidR="00DF6A62" w:rsidRPr="0098262F" w:rsidRDefault="00DF6A62" w:rsidP="00900AB0">
            <w:pPr>
              <w:pStyle w:val="In-tableHeading"/>
              <w:rPr>
                <w:lang w:val="en-AU"/>
              </w:rPr>
            </w:pPr>
            <w:r w:rsidRPr="00F2778B">
              <w:rPr>
                <w:lang w:val="de-DE"/>
              </w:rPr>
              <w:t>Kane JM</w:t>
            </w:r>
            <w:r w:rsidRPr="00DF6A62">
              <w:rPr>
                <w:lang w:val="de-DE"/>
              </w:rPr>
              <w:t>, Harary E, Eshet R, et</w:t>
            </w:r>
            <w:r w:rsidRPr="00F2778B">
              <w:rPr>
                <w:lang w:val="de-DE"/>
              </w:rPr>
              <w:t xml:space="preserve"> al. </w:t>
            </w:r>
            <w:r w:rsidRPr="00F2778B">
              <w:t>Efficacy and safety of TV</w:t>
            </w:r>
            <w:r w:rsidR="002D15C9">
              <w:noBreakHyphen/>
            </w:r>
            <w:r w:rsidRPr="00F2778B">
              <w:t>46000, a long</w:t>
            </w:r>
            <w:r w:rsidR="002D15C9">
              <w:noBreakHyphen/>
            </w:r>
            <w:r w:rsidRPr="00F2778B">
              <w:t>acting, subcutaneous, injectable formulation of risperidone, for schizophrenia: a randomised clinical trial in the USA and Bulgaria.</w:t>
            </w:r>
          </w:p>
        </w:tc>
        <w:tc>
          <w:tcPr>
            <w:tcW w:w="1402" w:type="pct"/>
            <w:vAlign w:val="center"/>
          </w:tcPr>
          <w:p w14:paraId="2CA6FE46" w14:textId="77777777" w:rsidR="00DF6A62" w:rsidRDefault="00DF6A62" w:rsidP="00900AB0">
            <w:pPr>
              <w:pStyle w:val="In-tableHeading"/>
            </w:pPr>
            <w:r w:rsidRPr="00DF6A62">
              <w:t>2021</w:t>
            </w:r>
          </w:p>
          <w:p w14:paraId="410E750B" w14:textId="77777777" w:rsidR="00DF6A62" w:rsidRDefault="00DF6A62" w:rsidP="00900AB0">
            <w:pPr>
              <w:pStyle w:val="In-tableHeading"/>
            </w:pPr>
          </w:p>
          <w:p w14:paraId="23D4AE98" w14:textId="77777777" w:rsidR="00DF6A62" w:rsidRDefault="00DF6A62" w:rsidP="00900AB0">
            <w:pPr>
              <w:pStyle w:val="In-tableHeading"/>
            </w:pPr>
          </w:p>
          <w:p w14:paraId="3795E06D" w14:textId="77777777" w:rsidR="00DF6A62" w:rsidRDefault="00DF6A62" w:rsidP="00900AB0">
            <w:pPr>
              <w:pStyle w:val="In-tableHeading"/>
            </w:pPr>
          </w:p>
          <w:p w14:paraId="33E6F70F" w14:textId="77777777" w:rsidR="00DF6A62" w:rsidRDefault="00DF6A62" w:rsidP="00900AB0">
            <w:pPr>
              <w:pStyle w:val="In-tableHeading"/>
            </w:pPr>
          </w:p>
          <w:p w14:paraId="3B3F0995" w14:textId="77777777" w:rsidR="00DF6A62" w:rsidRDefault="00DF6A62" w:rsidP="00900AB0">
            <w:pPr>
              <w:pStyle w:val="In-tableHeading"/>
            </w:pPr>
          </w:p>
          <w:p w14:paraId="3B8B7B4E" w14:textId="194C5D3B" w:rsidR="00DF6A62" w:rsidRPr="00DF6A62" w:rsidRDefault="00DF6A62" w:rsidP="00900AB0">
            <w:pPr>
              <w:pStyle w:val="In-tableHeading"/>
              <w:rPr>
                <w:bCs/>
                <w:lang w:val="en-AU"/>
              </w:rPr>
            </w:pPr>
            <w:r w:rsidRPr="00F2778B">
              <w:rPr>
                <w:i/>
                <w:iCs/>
              </w:rPr>
              <w:t xml:space="preserve">Lancet </w:t>
            </w:r>
            <w:r w:rsidRPr="00DF6A62">
              <w:rPr>
                <w:i/>
                <w:iCs/>
              </w:rPr>
              <w:t xml:space="preserve">Psych </w:t>
            </w:r>
            <w:r w:rsidRPr="00DF6A62">
              <w:t>2023</w:t>
            </w:r>
            <w:r w:rsidRPr="00F2778B">
              <w:rPr>
                <w:bCs/>
              </w:rPr>
              <w:t>;</w:t>
            </w:r>
            <w:r w:rsidRPr="00F2778B">
              <w:t xml:space="preserve"> 10:934–943</w:t>
            </w:r>
            <w:r>
              <w:t>.</w:t>
            </w:r>
          </w:p>
        </w:tc>
      </w:tr>
      <w:tr w:rsidR="00DF6A62" w:rsidRPr="0098262F" w14:paraId="6FD7021E" w14:textId="77777777">
        <w:trPr>
          <w:cantSplit/>
        </w:trPr>
        <w:tc>
          <w:tcPr>
            <w:tcW w:w="795" w:type="pct"/>
            <w:vAlign w:val="center"/>
          </w:tcPr>
          <w:p w14:paraId="3A5EFEEF" w14:textId="3E80BC12" w:rsidR="00DF6A62" w:rsidRDefault="00DF6A62" w:rsidP="009826C7">
            <w:pPr>
              <w:pStyle w:val="TableText"/>
            </w:pPr>
            <w:r>
              <w:t>TV</w:t>
            </w:r>
            <w:r w:rsidR="002D15C9">
              <w:noBreakHyphen/>
            </w:r>
            <w:r>
              <w:t>46000</w:t>
            </w:r>
            <w:r w:rsidR="002D15C9">
              <w:noBreakHyphen/>
            </w:r>
            <w:r>
              <w:t>CNS</w:t>
            </w:r>
            <w:r w:rsidR="002D15C9">
              <w:noBreakHyphen/>
            </w:r>
            <w:r>
              <w:t>30078</w:t>
            </w:r>
          </w:p>
          <w:p w14:paraId="3D0248B3" w14:textId="77777777" w:rsidR="00DF6A62" w:rsidRDefault="00DF6A62" w:rsidP="009826C7">
            <w:pPr>
              <w:pStyle w:val="TableText"/>
            </w:pPr>
            <w:r>
              <w:t>SHINE</w:t>
            </w:r>
          </w:p>
          <w:p w14:paraId="1B6093AE" w14:textId="1BABBF4A" w:rsidR="00DF6A62" w:rsidRPr="000C5B17" w:rsidRDefault="00DF6A62" w:rsidP="009826C7">
            <w:pPr>
              <w:pStyle w:val="TableText"/>
            </w:pPr>
            <w:r w:rsidRPr="00B31712">
              <w:t>NCT03893825</w:t>
            </w:r>
          </w:p>
        </w:tc>
        <w:tc>
          <w:tcPr>
            <w:tcW w:w="2803" w:type="pct"/>
            <w:tcBorders>
              <w:bottom w:val="nil"/>
            </w:tcBorders>
            <w:vAlign w:val="center"/>
          </w:tcPr>
          <w:p w14:paraId="19A7F545" w14:textId="6A5CB2B1" w:rsidR="00DF6A62" w:rsidRDefault="00DF6A62" w:rsidP="009826C7">
            <w:pPr>
              <w:pStyle w:val="TableText"/>
            </w:pPr>
            <w:r>
              <w:t>A Study to Evaluate the Safety, Tolerability, and Effect of Risperidone Extended</w:t>
            </w:r>
            <w:r w:rsidR="002D15C9">
              <w:noBreakHyphen/>
            </w:r>
            <w:r>
              <w:t>Release Injectable Suspension (TV</w:t>
            </w:r>
            <w:r w:rsidR="002D15C9">
              <w:noBreakHyphen/>
            </w:r>
            <w:r>
              <w:t>46000) for Subcutaneous Use as Maintenance Treatment in Adult and Adolescent Patients With Schizophrenia.</w:t>
            </w:r>
          </w:p>
          <w:p w14:paraId="4E663D8A" w14:textId="77777777" w:rsidR="00DF6A62" w:rsidRDefault="00DF6A62" w:rsidP="009826C7">
            <w:pPr>
              <w:pStyle w:val="TableText"/>
            </w:pPr>
          </w:p>
          <w:p w14:paraId="34C18AAB" w14:textId="6BEDE361" w:rsidR="00DF6A62" w:rsidRPr="0098262F" w:rsidRDefault="00DF6A62" w:rsidP="009826C7">
            <w:pPr>
              <w:pStyle w:val="TableText"/>
            </w:pPr>
            <w:r w:rsidRPr="00DF6A62">
              <w:t xml:space="preserve">Kane, JM, Eshet R, Harary E, et al. A </w:t>
            </w:r>
            <w:r>
              <w:t>l</w:t>
            </w:r>
            <w:r w:rsidRPr="00DF6A62">
              <w:t>ong</w:t>
            </w:r>
            <w:r w:rsidR="002D15C9">
              <w:noBreakHyphen/>
            </w:r>
            <w:r>
              <w:t>t</w:t>
            </w:r>
            <w:r w:rsidRPr="00DF6A62">
              <w:t xml:space="preserve">erm </w:t>
            </w:r>
            <w:r>
              <w:t>s</w:t>
            </w:r>
            <w:r w:rsidRPr="00DF6A62">
              <w:t xml:space="preserve">afety and </w:t>
            </w:r>
            <w:r>
              <w:t>t</w:t>
            </w:r>
            <w:r w:rsidRPr="00DF6A62">
              <w:t xml:space="preserve">olerability </w:t>
            </w:r>
            <w:r>
              <w:t>s</w:t>
            </w:r>
            <w:r w:rsidRPr="00DF6A62">
              <w:t>tudy of TV</w:t>
            </w:r>
            <w:r w:rsidR="002D15C9">
              <w:noBreakHyphen/>
            </w:r>
            <w:r w:rsidRPr="00DF6A62">
              <w:t>46000 for</w:t>
            </w:r>
            <w:r>
              <w:t xml:space="preserve"> s</w:t>
            </w:r>
            <w:r w:rsidRPr="00DF6A62">
              <w:t xml:space="preserve">ubcutaneous </w:t>
            </w:r>
            <w:r>
              <w:t>u</w:t>
            </w:r>
            <w:r w:rsidRPr="00DF6A62">
              <w:t xml:space="preserve">se in </w:t>
            </w:r>
            <w:r>
              <w:t>p</w:t>
            </w:r>
            <w:r w:rsidRPr="00DF6A62">
              <w:t xml:space="preserve">atients with </w:t>
            </w:r>
            <w:r>
              <w:t>s</w:t>
            </w:r>
            <w:r w:rsidRPr="00DF6A62">
              <w:t xml:space="preserve">chizophrenia: </w:t>
            </w:r>
            <w:r>
              <w:t>a</w:t>
            </w:r>
            <w:r w:rsidRPr="00DF6A62">
              <w:t xml:space="preserve"> Phase 3, </w:t>
            </w:r>
            <w:r>
              <w:t>r</w:t>
            </w:r>
            <w:r w:rsidRPr="00DF6A62">
              <w:t xml:space="preserve">andomized, </w:t>
            </w:r>
            <w:r>
              <w:t>d</w:t>
            </w:r>
            <w:r w:rsidRPr="00DF6A62">
              <w:t>ouble</w:t>
            </w:r>
            <w:r w:rsidR="002D15C9">
              <w:noBreakHyphen/>
            </w:r>
            <w:r>
              <w:t>b</w:t>
            </w:r>
            <w:r w:rsidRPr="00DF6A62">
              <w:t xml:space="preserve">linded </w:t>
            </w:r>
            <w:r>
              <w:t>c</w:t>
            </w:r>
            <w:r w:rsidRPr="00DF6A62">
              <w:t xml:space="preserve">linical </w:t>
            </w:r>
            <w:r>
              <w:t>t</w:t>
            </w:r>
            <w:r w:rsidRPr="00DF6A62">
              <w:t>rial</w:t>
            </w:r>
            <w:r>
              <w:t>.</w:t>
            </w:r>
          </w:p>
        </w:tc>
        <w:tc>
          <w:tcPr>
            <w:tcW w:w="1402" w:type="pct"/>
            <w:tcBorders>
              <w:bottom w:val="nil"/>
            </w:tcBorders>
            <w:vAlign w:val="center"/>
          </w:tcPr>
          <w:p w14:paraId="540A993F" w14:textId="77777777" w:rsidR="00DF6A62" w:rsidRDefault="00DF6A62" w:rsidP="009826C7">
            <w:pPr>
              <w:pStyle w:val="TableText"/>
            </w:pPr>
            <w:r w:rsidRPr="00DF6A62">
              <w:t>2019</w:t>
            </w:r>
          </w:p>
          <w:p w14:paraId="37DAF05D" w14:textId="77777777" w:rsidR="00DF6A62" w:rsidRDefault="00DF6A62" w:rsidP="009826C7">
            <w:pPr>
              <w:pStyle w:val="TableText"/>
            </w:pPr>
          </w:p>
          <w:p w14:paraId="7A735050" w14:textId="77777777" w:rsidR="00DF6A62" w:rsidRDefault="00DF6A62" w:rsidP="009826C7">
            <w:pPr>
              <w:pStyle w:val="TableText"/>
            </w:pPr>
          </w:p>
          <w:p w14:paraId="1EA08378" w14:textId="77777777" w:rsidR="00DF6A62" w:rsidRDefault="00DF6A62" w:rsidP="009826C7">
            <w:pPr>
              <w:pStyle w:val="TableText"/>
            </w:pPr>
          </w:p>
          <w:p w14:paraId="7FF1870D" w14:textId="42C37414" w:rsidR="00DF6A62" w:rsidRPr="00DF6A62" w:rsidRDefault="00DF6A62" w:rsidP="009826C7">
            <w:pPr>
              <w:pStyle w:val="TableText"/>
            </w:pPr>
            <w:r w:rsidRPr="00DF6A62">
              <w:rPr>
                <w:i/>
                <w:iCs/>
              </w:rPr>
              <w:t>CNS Drugs</w:t>
            </w:r>
            <w:r>
              <w:t xml:space="preserve"> 2024; 38</w:t>
            </w:r>
            <w:r w:rsidRPr="00B31712">
              <w:t>:625</w:t>
            </w:r>
            <w:r w:rsidR="002D15C9">
              <w:noBreakHyphen/>
            </w:r>
            <w:r w:rsidRPr="00B31712">
              <w:t>636.</w:t>
            </w:r>
          </w:p>
        </w:tc>
      </w:tr>
      <w:tr w:rsidR="00DF6A62" w:rsidRPr="0098262F" w14:paraId="3C6C5BE7" w14:textId="77777777">
        <w:trPr>
          <w:cantSplit/>
        </w:trPr>
        <w:tc>
          <w:tcPr>
            <w:tcW w:w="795" w:type="pct"/>
            <w:vMerge w:val="restart"/>
            <w:vAlign w:val="center"/>
          </w:tcPr>
          <w:p w14:paraId="3A93C0A2" w14:textId="77777777" w:rsidR="00DF6A62" w:rsidRDefault="00DF6A62" w:rsidP="00DF6A62">
            <w:pPr>
              <w:pStyle w:val="TableFigureHeading"/>
              <w:rPr>
                <w:b w:val="0"/>
                <w:bCs w:val="0"/>
              </w:rPr>
            </w:pPr>
            <w:r>
              <w:rPr>
                <w:b w:val="0"/>
                <w:bCs w:val="0"/>
              </w:rPr>
              <w:t>Hough, 2010</w:t>
            </w:r>
          </w:p>
          <w:p w14:paraId="5151E2DD" w14:textId="77777777" w:rsidR="00DF6A62" w:rsidRPr="004744C7" w:rsidRDefault="00DF6A62" w:rsidP="009826C7">
            <w:pPr>
              <w:pStyle w:val="TableText"/>
              <w:rPr>
                <w:rFonts w:ascii="Times" w:hAnsi="Times"/>
              </w:rPr>
            </w:pPr>
            <w:r w:rsidRPr="004744C7">
              <w:t>NCT00111189</w:t>
            </w:r>
          </w:p>
        </w:tc>
        <w:tc>
          <w:tcPr>
            <w:tcW w:w="2803" w:type="pct"/>
            <w:tcBorders>
              <w:bottom w:val="nil"/>
            </w:tcBorders>
            <w:vAlign w:val="center"/>
          </w:tcPr>
          <w:p w14:paraId="4D791439" w14:textId="055964AC" w:rsidR="00DF6A62" w:rsidRDefault="00DF6A62" w:rsidP="009826C7">
            <w:pPr>
              <w:pStyle w:val="TableText"/>
            </w:pPr>
            <w:r w:rsidRPr="00E818BF">
              <w:t>A Randomized Double</w:t>
            </w:r>
            <w:r w:rsidR="002D15C9">
              <w:noBreakHyphen/>
            </w:r>
            <w:r w:rsidRPr="00E818BF">
              <w:t>blind Placebo</w:t>
            </w:r>
            <w:r w:rsidR="002D15C9">
              <w:noBreakHyphen/>
            </w:r>
            <w:r w:rsidRPr="00E818BF">
              <w:t>controlled Parallel Group Study Evaluating Paliperidone Palmitate in the Prevention of Recurrence in Patients With Schizophrenia.</w:t>
            </w:r>
          </w:p>
          <w:p w14:paraId="3909A3AD" w14:textId="77777777" w:rsidR="00DF6A62" w:rsidRPr="0098262F" w:rsidRDefault="00DF6A62" w:rsidP="009826C7">
            <w:pPr>
              <w:pStyle w:val="TableText"/>
            </w:pPr>
          </w:p>
        </w:tc>
        <w:tc>
          <w:tcPr>
            <w:tcW w:w="1402" w:type="pct"/>
            <w:tcBorders>
              <w:bottom w:val="nil"/>
            </w:tcBorders>
            <w:vAlign w:val="center"/>
          </w:tcPr>
          <w:p w14:paraId="41D8FCF0" w14:textId="77777777" w:rsidR="00DF6A62" w:rsidRPr="0098262F" w:rsidRDefault="00DF6A62" w:rsidP="009826C7">
            <w:pPr>
              <w:pStyle w:val="TableText"/>
            </w:pPr>
            <w:r>
              <w:t>2005</w:t>
            </w:r>
          </w:p>
        </w:tc>
      </w:tr>
      <w:tr w:rsidR="00DF6A62" w:rsidRPr="0098262F" w14:paraId="772D73E0" w14:textId="77777777">
        <w:trPr>
          <w:cantSplit/>
        </w:trPr>
        <w:tc>
          <w:tcPr>
            <w:tcW w:w="795" w:type="pct"/>
            <w:vMerge/>
            <w:vAlign w:val="center"/>
          </w:tcPr>
          <w:p w14:paraId="240E8928" w14:textId="77777777" w:rsidR="00DF6A62" w:rsidRPr="0098262F" w:rsidRDefault="00DF6A62" w:rsidP="009826C7">
            <w:pPr>
              <w:pStyle w:val="TableText"/>
            </w:pPr>
          </w:p>
        </w:tc>
        <w:tc>
          <w:tcPr>
            <w:tcW w:w="2803" w:type="pct"/>
            <w:tcBorders>
              <w:top w:val="nil"/>
              <w:bottom w:val="nil"/>
            </w:tcBorders>
            <w:vAlign w:val="center"/>
          </w:tcPr>
          <w:p w14:paraId="5CB08E02" w14:textId="7F581EBE" w:rsidR="00DF6A62" w:rsidRPr="004744C7" w:rsidRDefault="00DF6A62" w:rsidP="009826C7">
            <w:pPr>
              <w:pStyle w:val="TableText"/>
            </w:pPr>
            <w:r w:rsidRPr="004744C7">
              <w:t>Hough D, Gopal S. Vijapurkar U, Lim P, Morozova M, Eerdekens M. Paliperidone palmitate maintenance treatment in delaying the time</w:t>
            </w:r>
            <w:r w:rsidR="002D15C9">
              <w:noBreakHyphen/>
            </w:r>
            <w:r w:rsidRPr="004744C7">
              <w:t>to</w:t>
            </w:r>
            <w:r w:rsidR="002D15C9">
              <w:noBreakHyphen/>
            </w:r>
            <w:r w:rsidRPr="004744C7">
              <w:t>relapse in patients with schizophrenia: a randomised, double</w:t>
            </w:r>
            <w:r w:rsidR="002D15C9">
              <w:noBreakHyphen/>
            </w:r>
            <w:r w:rsidRPr="004744C7">
              <w:t>blind, placebo</w:t>
            </w:r>
            <w:r w:rsidR="002D15C9">
              <w:noBreakHyphen/>
            </w:r>
            <w:r w:rsidRPr="004744C7">
              <w:t>controlled study</w:t>
            </w:r>
            <w:r>
              <w:t xml:space="preserve">. </w:t>
            </w:r>
          </w:p>
        </w:tc>
        <w:tc>
          <w:tcPr>
            <w:tcW w:w="1402" w:type="pct"/>
            <w:tcBorders>
              <w:top w:val="nil"/>
              <w:bottom w:val="nil"/>
            </w:tcBorders>
            <w:vAlign w:val="center"/>
          </w:tcPr>
          <w:p w14:paraId="7C44D1B1" w14:textId="0F5D8FC8" w:rsidR="00DF6A62" w:rsidRPr="0098262F" w:rsidRDefault="00DF6A62" w:rsidP="009826C7">
            <w:pPr>
              <w:pStyle w:val="TableText"/>
              <w:rPr>
                <w:i/>
              </w:rPr>
            </w:pPr>
            <w:r w:rsidRPr="00E818BF">
              <w:rPr>
                <w:i/>
                <w:iCs/>
              </w:rPr>
              <w:t>Schizophr Res</w:t>
            </w:r>
            <w:r w:rsidRPr="00E818BF">
              <w:t xml:space="preserve"> </w:t>
            </w:r>
            <w:r w:rsidRPr="004744C7">
              <w:t>2010;</w:t>
            </w:r>
            <w:r>
              <w:rPr>
                <w:b/>
              </w:rPr>
              <w:t xml:space="preserve"> </w:t>
            </w:r>
            <w:r w:rsidRPr="00E818BF">
              <w:t>116:107</w:t>
            </w:r>
            <w:r w:rsidR="002D15C9">
              <w:noBreakHyphen/>
            </w:r>
            <w:r w:rsidRPr="00E818BF">
              <w:t>117.</w:t>
            </w:r>
          </w:p>
        </w:tc>
      </w:tr>
      <w:tr w:rsidR="00DF6A62" w:rsidRPr="0098262F" w14:paraId="69A9BB69" w14:textId="77777777">
        <w:trPr>
          <w:cantSplit/>
        </w:trPr>
        <w:tc>
          <w:tcPr>
            <w:tcW w:w="795" w:type="pct"/>
            <w:vMerge w:val="restart"/>
            <w:vAlign w:val="center"/>
          </w:tcPr>
          <w:p w14:paraId="433C3E3E" w14:textId="77777777" w:rsidR="00DF6A62" w:rsidRDefault="00DF6A62" w:rsidP="00DF6A62">
            <w:pPr>
              <w:pStyle w:val="TableFigureHeading"/>
              <w:rPr>
                <w:b w:val="0"/>
                <w:bCs w:val="0"/>
              </w:rPr>
            </w:pPr>
            <w:r>
              <w:rPr>
                <w:b w:val="0"/>
                <w:bCs w:val="0"/>
              </w:rPr>
              <w:t>ASPIRE US</w:t>
            </w:r>
          </w:p>
          <w:p w14:paraId="792C97DA" w14:textId="77777777" w:rsidR="00DF6A62" w:rsidRPr="00B31712" w:rsidRDefault="00DF6A62" w:rsidP="00DF6A62">
            <w:pPr>
              <w:pStyle w:val="KMC16-Tablecontent"/>
              <w:rPr>
                <w:lang w:val="en-AU"/>
              </w:rPr>
            </w:pPr>
            <w:r w:rsidRPr="00B31712">
              <w:rPr>
                <w:lang w:val="en-AU"/>
              </w:rPr>
              <w:t>NCT00705783</w:t>
            </w:r>
          </w:p>
          <w:p w14:paraId="3ECA8367" w14:textId="77777777" w:rsidR="00DF6A62" w:rsidRPr="004744C7" w:rsidRDefault="00DF6A62" w:rsidP="009826C7">
            <w:pPr>
              <w:pStyle w:val="TableText"/>
            </w:pPr>
            <w:r w:rsidRPr="004744C7">
              <w:t>Kane, 2012</w:t>
            </w:r>
          </w:p>
        </w:tc>
        <w:tc>
          <w:tcPr>
            <w:tcW w:w="2803" w:type="pct"/>
            <w:tcBorders>
              <w:bottom w:val="nil"/>
            </w:tcBorders>
            <w:vAlign w:val="center"/>
          </w:tcPr>
          <w:p w14:paraId="7A1FCDF9" w14:textId="0783283C" w:rsidR="00DF6A62" w:rsidRDefault="00DF6A62" w:rsidP="009826C7">
            <w:pPr>
              <w:pStyle w:val="TableText"/>
              <w:rPr>
                <w:b/>
                <w:bCs w:val="0"/>
              </w:rPr>
            </w:pPr>
            <w:r w:rsidRPr="00E818BF">
              <w:t>A 52</w:t>
            </w:r>
            <w:r w:rsidR="002D15C9">
              <w:noBreakHyphen/>
            </w:r>
            <w:r w:rsidRPr="00E818BF">
              <w:t>week, Multicenter, Randomized, Double</w:t>
            </w:r>
            <w:r w:rsidR="002D15C9">
              <w:noBreakHyphen/>
            </w:r>
            <w:r w:rsidRPr="00E818BF">
              <w:t>blind, Placebo</w:t>
            </w:r>
            <w:r w:rsidR="002D15C9">
              <w:noBreakHyphen/>
            </w:r>
            <w:r w:rsidRPr="00E818BF">
              <w:t>controlled Study to Evaluate the Efficacy, Safety, and Tolerability of an Intramuscular Depot Formulation of Aripiprazole as Maintenance Treatment in Patients With Schizophrenia</w:t>
            </w:r>
            <w:r>
              <w:rPr>
                <w:b/>
              </w:rPr>
              <w:t>.</w:t>
            </w:r>
          </w:p>
          <w:p w14:paraId="312DB535" w14:textId="77777777" w:rsidR="00DF6A62" w:rsidRPr="0098262F" w:rsidRDefault="00DF6A62" w:rsidP="009826C7">
            <w:pPr>
              <w:pStyle w:val="TableText"/>
            </w:pPr>
          </w:p>
        </w:tc>
        <w:tc>
          <w:tcPr>
            <w:tcW w:w="1402" w:type="pct"/>
            <w:tcBorders>
              <w:bottom w:val="nil"/>
            </w:tcBorders>
            <w:vAlign w:val="center"/>
          </w:tcPr>
          <w:p w14:paraId="418D6D5F" w14:textId="77777777" w:rsidR="00DF6A62" w:rsidRPr="0098262F" w:rsidRDefault="00DF6A62" w:rsidP="009826C7">
            <w:pPr>
              <w:pStyle w:val="TableText"/>
              <w:rPr>
                <w:rFonts w:ascii="Times" w:hAnsi="Times"/>
              </w:rPr>
            </w:pPr>
            <w:r>
              <w:t>2008</w:t>
            </w:r>
          </w:p>
        </w:tc>
      </w:tr>
      <w:tr w:rsidR="00DF6A62" w:rsidRPr="0098262F" w14:paraId="5DB58E43" w14:textId="77777777">
        <w:trPr>
          <w:cantSplit/>
        </w:trPr>
        <w:tc>
          <w:tcPr>
            <w:tcW w:w="795" w:type="pct"/>
            <w:vMerge/>
            <w:tcBorders>
              <w:bottom w:val="single" w:sz="4" w:space="0" w:color="auto"/>
            </w:tcBorders>
            <w:vAlign w:val="center"/>
          </w:tcPr>
          <w:p w14:paraId="2F87AC8C" w14:textId="77777777" w:rsidR="00DF6A62" w:rsidRPr="0098262F" w:rsidRDefault="00DF6A62" w:rsidP="00DF6A62">
            <w:pPr>
              <w:keepNext/>
              <w:keepLines/>
            </w:pPr>
          </w:p>
        </w:tc>
        <w:tc>
          <w:tcPr>
            <w:tcW w:w="2803" w:type="pct"/>
            <w:tcBorders>
              <w:top w:val="nil"/>
              <w:bottom w:val="single" w:sz="4" w:space="0" w:color="auto"/>
            </w:tcBorders>
            <w:vAlign w:val="center"/>
          </w:tcPr>
          <w:p w14:paraId="02F344F0" w14:textId="3C2BAEBA" w:rsidR="00DF6A62" w:rsidRPr="0098262F" w:rsidRDefault="00DF6A62" w:rsidP="009826C7">
            <w:pPr>
              <w:pStyle w:val="TableText"/>
            </w:pPr>
            <w:r w:rsidRPr="00E818BF">
              <w:t xml:space="preserve">Kane JM, </w:t>
            </w:r>
            <w:r w:rsidRPr="004744C7">
              <w:t>Sanchez R, Perry PP, et al.</w:t>
            </w:r>
            <w:r w:rsidRPr="00E818BF">
              <w:t xml:space="preserve"> Aripiprazole intramuscular depot as maintenance treatment in patients with schizophrenia: a 52</w:t>
            </w:r>
            <w:r w:rsidR="002D15C9">
              <w:noBreakHyphen/>
            </w:r>
            <w:r w:rsidRPr="00E818BF">
              <w:t>week, multicenter, randomised, double</w:t>
            </w:r>
            <w:r w:rsidR="002D15C9">
              <w:noBreakHyphen/>
            </w:r>
            <w:r w:rsidRPr="00E818BF">
              <w:t>blind, placebo</w:t>
            </w:r>
            <w:r w:rsidR="002D15C9">
              <w:noBreakHyphen/>
            </w:r>
            <w:r w:rsidRPr="00E818BF">
              <w:t>controlled study.</w:t>
            </w:r>
          </w:p>
        </w:tc>
        <w:tc>
          <w:tcPr>
            <w:tcW w:w="1402" w:type="pct"/>
            <w:tcBorders>
              <w:top w:val="nil"/>
              <w:bottom w:val="single" w:sz="4" w:space="0" w:color="auto"/>
            </w:tcBorders>
            <w:vAlign w:val="center"/>
          </w:tcPr>
          <w:p w14:paraId="49A86901" w14:textId="542AE04C" w:rsidR="00DF6A62" w:rsidRDefault="00DF6A62" w:rsidP="00DF6A62">
            <w:pPr>
              <w:pStyle w:val="TableFigureHeading"/>
              <w:rPr>
                <w:b w:val="0"/>
                <w:bCs w:val="0"/>
              </w:rPr>
            </w:pPr>
            <w:r w:rsidRPr="00E818BF">
              <w:rPr>
                <w:b w:val="0"/>
                <w:bCs w:val="0"/>
                <w:i/>
                <w:iCs/>
              </w:rPr>
              <w:t>J Clin Psychiatry</w:t>
            </w:r>
            <w:r w:rsidRPr="00E818BF">
              <w:rPr>
                <w:b w:val="0"/>
                <w:bCs w:val="0"/>
              </w:rPr>
              <w:t xml:space="preserve"> </w:t>
            </w:r>
            <w:r>
              <w:rPr>
                <w:b w:val="0"/>
                <w:bCs w:val="0"/>
              </w:rPr>
              <w:t xml:space="preserve">2012; </w:t>
            </w:r>
            <w:r w:rsidRPr="00E818BF">
              <w:rPr>
                <w:b w:val="0"/>
                <w:bCs w:val="0"/>
              </w:rPr>
              <w:t>73:617</w:t>
            </w:r>
            <w:r w:rsidR="002D15C9">
              <w:rPr>
                <w:b w:val="0"/>
                <w:bCs w:val="0"/>
              </w:rPr>
              <w:noBreakHyphen/>
            </w:r>
            <w:r w:rsidRPr="00E818BF">
              <w:rPr>
                <w:b w:val="0"/>
                <w:bCs w:val="0"/>
              </w:rPr>
              <w:t>624</w:t>
            </w:r>
          </w:p>
          <w:p w14:paraId="5CD11F95" w14:textId="77777777" w:rsidR="00DF6A62" w:rsidRPr="0098262F" w:rsidRDefault="00DF6A62" w:rsidP="009826C7">
            <w:pPr>
              <w:pStyle w:val="TableText"/>
            </w:pPr>
          </w:p>
        </w:tc>
      </w:tr>
    </w:tbl>
    <w:p w14:paraId="7F28DB63" w14:textId="046C6152" w:rsidR="000C5B17" w:rsidRDefault="005F561C" w:rsidP="005F561C">
      <w:pPr>
        <w:pStyle w:val="TableFigureFooter"/>
      </w:pPr>
      <w:r>
        <w:t>Source: Table 2</w:t>
      </w:r>
      <w:r w:rsidR="002D15C9">
        <w:noBreakHyphen/>
      </w:r>
      <w:r>
        <w:t>5, pp52</w:t>
      </w:r>
      <w:r w:rsidR="002D15C9">
        <w:noBreakHyphen/>
      </w:r>
      <w:r>
        <w:t xml:space="preserve">55 of the submission. </w:t>
      </w:r>
    </w:p>
    <w:p w14:paraId="7F40F181" w14:textId="25630827" w:rsidR="005F561C" w:rsidRDefault="005F561C" w:rsidP="00AE0CDD">
      <w:pPr>
        <w:pStyle w:val="3-BodyText"/>
      </w:pPr>
      <w:r>
        <w:t>Details of the trials are shown in</w:t>
      </w:r>
      <w:r w:rsidR="00BD3D57">
        <w:t xml:space="preserve"> </w:t>
      </w:r>
      <w:r w:rsidR="00BD3D57">
        <w:fldChar w:fldCharType="begin"/>
      </w:r>
      <w:r w:rsidR="00BD3D57">
        <w:instrText xml:space="preserve"> REF _Ref215049430 \h </w:instrText>
      </w:r>
      <w:r w:rsidR="00BD3D57">
        <w:fldChar w:fldCharType="separate"/>
      </w:r>
      <w:r w:rsidR="00BD3D57">
        <w:t xml:space="preserve">Table </w:t>
      </w:r>
      <w:r w:rsidR="00BD3D57">
        <w:rPr>
          <w:noProof/>
        </w:rPr>
        <w:t>3</w:t>
      </w:r>
      <w:r w:rsidR="00BD3D57">
        <w:fldChar w:fldCharType="end"/>
      </w:r>
      <w:r>
        <w:t xml:space="preserve">. </w:t>
      </w:r>
    </w:p>
    <w:p w14:paraId="6F05A485" w14:textId="4842FA8F" w:rsidR="005F561C" w:rsidRDefault="00BD3D57" w:rsidP="00BD3D57">
      <w:pPr>
        <w:pStyle w:val="Caption"/>
      </w:pPr>
      <w:r>
        <w:lastRenderedPageBreak/>
        <w:t xml:space="preserve">Table </w:t>
      </w:r>
      <w:fldSimple w:instr=" SEQ Table \* ARABIC ">
        <w:r w:rsidR="002D15C9">
          <w:rPr>
            <w:noProof/>
          </w:rPr>
          <w:t>3</w:t>
        </w:r>
      </w:fldSimple>
      <w:r w:rsidR="005F561C">
        <w:t xml:space="preserve">: Key features of the trials included in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trials included in the submission. "/>
      </w:tblPr>
      <w:tblGrid>
        <w:gridCol w:w="846"/>
        <w:gridCol w:w="564"/>
        <w:gridCol w:w="2413"/>
        <w:gridCol w:w="830"/>
        <w:gridCol w:w="1865"/>
        <w:gridCol w:w="1134"/>
        <w:gridCol w:w="1365"/>
      </w:tblGrid>
      <w:tr w:rsidR="00E91AD9" w:rsidRPr="0098262F" w14:paraId="54B74F9B" w14:textId="77777777" w:rsidTr="00D34082">
        <w:trPr>
          <w:cantSplit/>
          <w:tblHeader/>
        </w:trPr>
        <w:tc>
          <w:tcPr>
            <w:tcW w:w="469" w:type="pct"/>
            <w:vAlign w:val="center"/>
          </w:tcPr>
          <w:p w14:paraId="5E060A1E" w14:textId="77777777" w:rsidR="005F561C" w:rsidRPr="0098262F" w:rsidRDefault="005F561C" w:rsidP="00900AB0">
            <w:pPr>
              <w:pStyle w:val="In-tableHeading"/>
            </w:pPr>
            <w:r w:rsidRPr="0098262F">
              <w:t>Trial</w:t>
            </w:r>
          </w:p>
        </w:tc>
        <w:tc>
          <w:tcPr>
            <w:tcW w:w="313" w:type="pct"/>
            <w:vAlign w:val="center"/>
          </w:tcPr>
          <w:p w14:paraId="28BEF844" w14:textId="77777777" w:rsidR="005F561C" w:rsidRPr="0098262F" w:rsidRDefault="005F561C" w:rsidP="00900AB0">
            <w:pPr>
              <w:pStyle w:val="In-tableHeading"/>
            </w:pPr>
            <w:r w:rsidRPr="0098262F">
              <w:t>N</w:t>
            </w:r>
          </w:p>
        </w:tc>
        <w:tc>
          <w:tcPr>
            <w:tcW w:w="1338" w:type="pct"/>
            <w:vAlign w:val="center"/>
          </w:tcPr>
          <w:p w14:paraId="41471A9A" w14:textId="77777777" w:rsidR="005F561C" w:rsidRPr="0098262F" w:rsidRDefault="005F561C" w:rsidP="00900AB0">
            <w:pPr>
              <w:pStyle w:val="In-tableHeading"/>
            </w:pPr>
            <w:r w:rsidRPr="0098262F">
              <w:t>Design/ duration</w:t>
            </w:r>
          </w:p>
        </w:tc>
        <w:tc>
          <w:tcPr>
            <w:tcW w:w="460" w:type="pct"/>
            <w:vAlign w:val="center"/>
          </w:tcPr>
          <w:p w14:paraId="5FD44DE0" w14:textId="77777777" w:rsidR="005F561C" w:rsidRPr="0098262F" w:rsidRDefault="005F561C" w:rsidP="00900AB0">
            <w:pPr>
              <w:pStyle w:val="In-tableHeading"/>
            </w:pPr>
            <w:r w:rsidRPr="0098262F">
              <w:t>Risk of bias</w:t>
            </w:r>
          </w:p>
        </w:tc>
        <w:tc>
          <w:tcPr>
            <w:tcW w:w="1034" w:type="pct"/>
            <w:vAlign w:val="center"/>
          </w:tcPr>
          <w:p w14:paraId="6EBC7299" w14:textId="77777777" w:rsidR="005F561C" w:rsidRPr="0098262F" w:rsidRDefault="005F561C" w:rsidP="00900AB0">
            <w:pPr>
              <w:pStyle w:val="In-tableHeading"/>
            </w:pPr>
            <w:r w:rsidRPr="0098262F">
              <w:t>Patient population</w:t>
            </w:r>
          </w:p>
        </w:tc>
        <w:tc>
          <w:tcPr>
            <w:tcW w:w="629" w:type="pct"/>
            <w:vAlign w:val="center"/>
          </w:tcPr>
          <w:p w14:paraId="4E854AD2" w14:textId="77777777" w:rsidR="005F561C" w:rsidRPr="0098262F" w:rsidRDefault="005F561C" w:rsidP="00900AB0">
            <w:pPr>
              <w:pStyle w:val="In-tableHeading"/>
            </w:pPr>
            <w:r w:rsidRPr="0098262F">
              <w:t>Outcome(s)</w:t>
            </w:r>
          </w:p>
        </w:tc>
        <w:tc>
          <w:tcPr>
            <w:tcW w:w="757" w:type="pct"/>
            <w:vAlign w:val="center"/>
          </w:tcPr>
          <w:p w14:paraId="6A944210" w14:textId="77777777" w:rsidR="005F561C" w:rsidRPr="0098262F" w:rsidRDefault="005F561C" w:rsidP="00900AB0">
            <w:pPr>
              <w:pStyle w:val="In-tableHeading"/>
            </w:pPr>
            <w:r w:rsidRPr="0098262F">
              <w:t>Use in modelled evaluation</w:t>
            </w:r>
          </w:p>
        </w:tc>
      </w:tr>
      <w:tr w:rsidR="005F561C" w:rsidRPr="0098262F" w14:paraId="1C714DF6" w14:textId="77777777">
        <w:trPr>
          <w:cantSplit/>
        </w:trPr>
        <w:tc>
          <w:tcPr>
            <w:tcW w:w="5000" w:type="pct"/>
            <w:gridSpan w:val="7"/>
            <w:vAlign w:val="center"/>
          </w:tcPr>
          <w:p w14:paraId="1775C773" w14:textId="6BE35422" w:rsidR="005F561C" w:rsidRPr="0098262F" w:rsidRDefault="008B5A21" w:rsidP="00900AB0">
            <w:pPr>
              <w:pStyle w:val="In-tableHeading"/>
            </w:pPr>
            <w:r>
              <w:t xml:space="preserve">MRSC </w:t>
            </w:r>
            <w:r w:rsidR="00BD148D">
              <w:t>RIS</w:t>
            </w:r>
            <w:r w:rsidR="005F561C">
              <w:t xml:space="preserve"> vs Placebo</w:t>
            </w:r>
          </w:p>
        </w:tc>
      </w:tr>
      <w:tr w:rsidR="00E91AD9" w:rsidRPr="0098262F" w14:paraId="4D5B4F51" w14:textId="77777777" w:rsidTr="00D34082">
        <w:trPr>
          <w:cantSplit/>
        </w:trPr>
        <w:tc>
          <w:tcPr>
            <w:tcW w:w="469" w:type="pct"/>
            <w:vAlign w:val="center"/>
          </w:tcPr>
          <w:p w14:paraId="41C89F46" w14:textId="7105A334" w:rsidR="005F561C" w:rsidRPr="0098262F" w:rsidRDefault="005F561C" w:rsidP="009826C7">
            <w:pPr>
              <w:pStyle w:val="TableText"/>
            </w:pPr>
            <w:r>
              <w:t>RISE</w:t>
            </w:r>
          </w:p>
        </w:tc>
        <w:tc>
          <w:tcPr>
            <w:tcW w:w="313" w:type="pct"/>
            <w:vAlign w:val="center"/>
          </w:tcPr>
          <w:p w14:paraId="48931027" w14:textId="24F910D4" w:rsidR="005F561C" w:rsidRPr="0098262F" w:rsidRDefault="005F561C" w:rsidP="009826C7">
            <w:pPr>
              <w:pStyle w:val="TableText"/>
            </w:pPr>
            <w:r>
              <w:t>544</w:t>
            </w:r>
          </w:p>
        </w:tc>
        <w:tc>
          <w:tcPr>
            <w:tcW w:w="1338" w:type="pct"/>
            <w:vAlign w:val="center"/>
          </w:tcPr>
          <w:p w14:paraId="371246D0" w14:textId="069BBB4A" w:rsidR="005F561C" w:rsidRPr="0098262F" w:rsidRDefault="005F561C" w:rsidP="009826C7">
            <w:pPr>
              <w:pStyle w:val="TableText"/>
            </w:pPr>
            <w:r w:rsidRPr="0098262F">
              <w:t>R</w:t>
            </w:r>
            <w:r w:rsidR="00AF2903">
              <w:t>andomised</w:t>
            </w:r>
            <w:r w:rsidRPr="0098262F">
              <w:t xml:space="preserve">, </w:t>
            </w:r>
            <w:r w:rsidR="00DC6509">
              <w:t>double</w:t>
            </w:r>
            <w:r w:rsidR="002D15C9">
              <w:noBreakHyphen/>
            </w:r>
            <w:r w:rsidR="00DC6509">
              <w:t>blind</w:t>
            </w:r>
            <w:r>
              <w:t xml:space="preserve"> (but see comment), </w:t>
            </w:r>
            <w:r w:rsidR="003418F4">
              <w:t>multicentre</w:t>
            </w:r>
            <w:r w:rsidR="00644A29">
              <w:t>;</w:t>
            </w:r>
            <w:r>
              <w:t xml:space="preserve"> </w:t>
            </w:r>
            <w:r w:rsidR="00112B05">
              <w:t>open label</w:t>
            </w:r>
            <w:r w:rsidR="00644A29">
              <w:t xml:space="preserve"> transition then </w:t>
            </w:r>
            <w:r w:rsidR="00A97F4D">
              <w:t>randomised</w:t>
            </w:r>
            <w:r w:rsidR="00644A29">
              <w:t xml:space="preserve"> </w:t>
            </w:r>
            <w:r>
              <w:t xml:space="preserve">1:1:1 placebo, </w:t>
            </w:r>
            <w:r w:rsidR="00643050">
              <w:t>MRSC</w:t>
            </w:r>
            <w:r w:rsidR="002A483A">
              <w:t xml:space="preserve"> </w:t>
            </w:r>
            <w:r w:rsidR="00550EFB">
              <w:t>risperidone</w:t>
            </w:r>
            <w:r>
              <w:t xml:space="preserve"> q1m, </w:t>
            </w:r>
            <w:r w:rsidR="002A483A">
              <w:t xml:space="preserve">MRSC </w:t>
            </w:r>
            <w:r w:rsidR="00550EFB">
              <w:t>risperidone</w:t>
            </w:r>
            <w:r>
              <w:t xml:space="preserve"> q2m, </w:t>
            </w:r>
            <w:r w:rsidR="00E043CE">
              <w:t xml:space="preserve">maximum treatment duration 24 </w:t>
            </w:r>
            <w:r w:rsidR="00B658ED">
              <w:t>months</w:t>
            </w:r>
            <w:r w:rsidR="00E043CE">
              <w:t xml:space="preserve"> but study ended when 90 impending relapses accrued.</w:t>
            </w:r>
          </w:p>
        </w:tc>
        <w:tc>
          <w:tcPr>
            <w:tcW w:w="460" w:type="pct"/>
            <w:vAlign w:val="center"/>
          </w:tcPr>
          <w:p w14:paraId="53335B93" w14:textId="5EE24E84" w:rsidR="005F561C" w:rsidRPr="0098262F" w:rsidRDefault="00E043CE" w:rsidP="009826C7">
            <w:pPr>
              <w:pStyle w:val="TableText"/>
            </w:pPr>
            <w:r>
              <w:t>High</w:t>
            </w:r>
          </w:p>
        </w:tc>
        <w:tc>
          <w:tcPr>
            <w:tcW w:w="1034" w:type="pct"/>
            <w:vAlign w:val="center"/>
          </w:tcPr>
          <w:p w14:paraId="744CF136" w14:textId="29EA4644" w:rsidR="005F561C" w:rsidRPr="0098262F" w:rsidRDefault="00E043CE" w:rsidP="009826C7">
            <w:pPr>
              <w:pStyle w:val="TableText"/>
            </w:pPr>
            <w:r>
              <w:t xml:space="preserve">Schizophrenia &gt;1 year, </w:t>
            </w:r>
            <w:r>
              <w:rPr>
                <w:rFonts w:ascii="Symbol" w:eastAsia="Symbol" w:hAnsi="Symbol" w:cs="Symbol"/>
              </w:rPr>
              <w:t>³</w:t>
            </w:r>
            <w:r>
              <w:t xml:space="preserve">1 relapse last 2 years, responsive to </w:t>
            </w:r>
            <w:r w:rsidR="00DC6509">
              <w:t>antipsychotic</w:t>
            </w:r>
            <w:r>
              <w:t xml:space="preserve"> last year with PANSS &lt;100; after </w:t>
            </w:r>
            <w:r w:rsidR="00121F0F">
              <w:t>12</w:t>
            </w:r>
            <w:r w:rsidR="002D15C9">
              <w:noBreakHyphen/>
            </w:r>
            <w:r w:rsidR="00121F0F">
              <w:t>week</w:t>
            </w:r>
            <w:r>
              <w:t xml:space="preserve"> conversion to oral RIS PANSS </w:t>
            </w:r>
            <w:r>
              <w:rPr>
                <w:rFonts w:ascii="Symbol" w:eastAsia="Symbol" w:hAnsi="Symbol" w:cs="Symbol"/>
              </w:rPr>
              <w:t>£</w:t>
            </w:r>
            <w:r>
              <w:t>80</w:t>
            </w:r>
          </w:p>
        </w:tc>
        <w:tc>
          <w:tcPr>
            <w:tcW w:w="629" w:type="pct"/>
            <w:vAlign w:val="center"/>
          </w:tcPr>
          <w:p w14:paraId="46CEAA84" w14:textId="450C3F72" w:rsidR="005F561C" w:rsidRPr="0098262F" w:rsidRDefault="00E043CE" w:rsidP="009826C7">
            <w:pPr>
              <w:pStyle w:val="TableText"/>
            </w:pPr>
            <w:r>
              <w:t>Time to impending relapse.</w:t>
            </w:r>
          </w:p>
        </w:tc>
        <w:tc>
          <w:tcPr>
            <w:tcW w:w="757" w:type="pct"/>
            <w:vAlign w:val="center"/>
          </w:tcPr>
          <w:p w14:paraId="01705436" w14:textId="5D33B892" w:rsidR="005F561C" w:rsidRPr="0098262F" w:rsidRDefault="00E043CE" w:rsidP="009826C7">
            <w:pPr>
              <w:pStyle w:val="TableText"/>
            </w:pPr>
            <w:r>
              <w:t>Used</w:t>
            </w:r>
          </w:p>
        </w:tc>
      </w:tr>
      <w:tr w:rsidR="00E91AD9" w:rsidRPr="0098262F" w14:paraId="02A3F20F" w14:textId="77777777" w:rsidTr="00D34082">
        <w:trPr>
          <w:cantSplit/>
        </w:trPr>
        <w:tc>
          <w:tcPr>
            <w:tcW w:w="469" w:type="pct"/>
            <w:vAlign w:val="center"/>
          </w:tcPr>
          <w:p w14:paraId="42FEBD01" w14:textId="19439F8B" w:rsidR="005F561C" w:rsidRPr="0098262F" w:rsidRDefault="00B10276" w:rsidP="009826C7">
            <w:pPr>
              <w:pStyle w:val="TableText"/>
            </w:pPr>
            <w:r>
              <w:t>SHINE</w:t>
            </w:r>
          </w:p>
        </w:tc>
        <w:tc>
          <w:tcPr>
            <w:tcW w:w="313" w:type="pct"/>
            <w:vAlign w:val="center"/>
          </w:tcPr>
          <w:p w14:paraId="41A5A7DB" w14:textId="10967ADA" w:rsidR="005F561C" w:rsidRPr="0098262F" w:rsidRDefault="007033C2" w:rsidP="009826C7">
            <w:pPr>
              <w:pStyle w:val="TableText"/>
            </w:pPr>
            <w:r>
              <w:t>336</w:t>
            </w:r>
          </w:p>
        </w:tc>
        <w:tc>
          <w:tcPr>
            <w:tcW w:w="1338" w:type="pct"/>
            <w:vAlign w:val="center"/>
          </w:tcPr>
          <w:p w14:paraId="2FAA58AC" w14:textId="2406FC25" w:rsidR="005F561C" w:rsidRPr="0098262F" w:rsidRDefault="007033C2" w:rsidP="009826C7">
            <w:pPr>
              <w:pStyle w:val="TableText"/>
            </w:pPr>
            <w:r>
              <w:t>R</w:t>
            </w:r>
            <w:r w:rsidR="00EE1C67">
              <w:t>an</w:t>
            </w:r>
            <w:r w:rsidR="009C20D3">
              <w:t>domised</w:t>
            </w:r>
            <w:r>
              <w:t xml:space="preserve">, </w:t>
            </w:r>
            <w:r w:rsidR="00F956DB">
              <w:t>double</w:t>
            </w:r>
            <w:r w:rsidR="002D15C9">
              <w:noBreakHyphen/>
            </w:r>
            <w:r w:rsidR="00F956DB">
              <w:t>blind</w:t>
            </w:r>
            <w:r>
              <w:t xml:space="preserve"> (but see comment) </w:t>
            </w:r>
            <w:r w:rsidR="00DC6509">
              <w:t>multicentre</w:t>
            </w:r>
            <w:r>
              <w:t xml:space="preserve">; patients from RISE not relapsed </w:t>
            </w:r>
            <w:r w:rsidR="00121F0F">
              <w:t>continued</w:t>
            </w:r>
            <w:r>
              <w:t xml:space="preserve"> </w:t>
            </w:r>
            <w:r w:rsidR="0000162B">
              <w:t xml:space="preserve">MRSC </w:t>
            </w:r>
            <w:r w:rsidR="00984ADE">
              <w:t>risperidone</w:t>
            </w:r>
            <w:r>
              <w:t xml:space="preserve"> </w:t>
            </w:r>
            <w:r w:rsidR="0063165F">
              <w:t>(172)</w:t>
            </w:r>
            <w:r>
              <w:t xml:space="preserve"> or if on placebo</w:t>
            </w:r>
            <w:r w:rsidR="0063165F">
              <w:t xml:space="preserve"> (55)</w:t>
            </w:r>
            <w:r>
              <w:t xml:space="preserve"> </w:t>
            </w:r>
            <w:r w:rsidR="00623E5A">
              <w:t>randomised</w:t>
            </w:r>
            <w:r>
              <w:t xml:space="preserve"> to </w:t>
            </w:r>
            <w:r w:rsidR="0027460D">
              <w:t>MRSC risperidone</w:t>
            </w:r>
            <w:r>
              <w:t xml:space="preserve"> q1m or q2m; new patients (109) went through oral stabilisation and then </w:t>
            </w:r>
            <w:r w:rsidR="0027460D">
              <w:t>randomised</w:t>
            </w:r>
            <w:r w:rsidR="0063165F">
              <w:t xml:space="preserve"> </w:t>
            </w:r>
            <w:r>
              <w:t xml:space="preserve">to </w:t>
            </w:r>
            <w:r w:rsidR="0027460D">
              <w:t>MRSC risperidone</w:t>
            </w:r>
            <w:r>
              <w:t xml:space="preserve"> q1m or q2m. D</w:t>
            </w:r>
            <w:r w:rsidR="0027460D">
              <w:t>ouble</w:t>
            </w:r>
            <w:r w:rsidR="002D15C9">
              <w:noBreakHyphen/>
            </w:r>
            <w:r w:rsidR="0027460D">
              <w:t>blind</w:t>
            </w:r>
            <w:r>
              <w:t xml:space="preserve"> treatment 56 </w:t>
            </w:r>
            <w:r w:rsidR="00BD6ED3">
              <w:t>weeks</w:t>
            </w:r>
            <w:r>
              <w:t xml:space="preserve">. </w:t>
            </w:r>
          </w:p>
        </w:tc>
        <w:tc>
          <w:tcPr>
            <w:tcW w:w="460" w:type="pct"/>
            <w:vAlign w:val="center"/>
          </w:tcPr>
          <w:p w14:paraId="351885F8" w14:textId="77777777" w:rsidR="005F561C" w:rsidRPr="0098262F" w:rsidRDefault="005F561C" w:rsidP="009826C7">
            <w:pPr>
              <w:pStyle w:val="TableText"/>
            </w:pPr>
            <w:r w:rsidRPr="0098262F">
              <w:t>High</w:t>
            </w:r>
          </w:p>
        </w:tc>
        <w:tc>
          <w:tcPr>
            <w:tcW w:w="1034" w:type="pct"/>
            <w:vAlign w:val="center"/>
          </w:tcPr>
          <w:p w14:paraId="08D83983" w14:textId="40620E27" w:rsidR="005F561C" w:rsidRPr="0098262F" w:rsidRDefault="0063165F" w:rsidP="009826C7">
            <w:pPr>
              <w:pStyle w:val="TableText"/>
            </w:pPr>
            <w:r>
              <w:t>Same as RISE</w:t>
            </w:r>
          </w:p>
        </w:tc>
        <w:tc>
          <w:tcPr>
            <w:tcW w:w="629" w:type="pct"/>
            <w:vAlign w:val="center"/>
          </w:tcPr>
          <w:p w14:paraId="6A2315D4" w14:textId="16CF3E48" w:rsidR="005F561C" w:rsidRPr="0098262F" w:rsidRDefault="007033C2" w:rsidP="009826C7">
            <w:pPr>
              <w:pStyle w:val="TableText"/>
            </w:pPr>
            <w:r>
              <w:t>Adverse events</w:t>
            </w:r>
          </w:p>
        </w:tc>
        <w:tc>
          <w:tcPr>
            <w:tcW w:w="757" w:type="pct"/>
            <w:vAlign w:val="center"/>
          </w:tcPr>
          <w:p w14:paraId="5F094B8B" w14:textId="18587FED" w:rsidR="005F561C" w:rsidRPr="0098262F" w:rsidRDefault="007033C2" w:rsidP="009826C7">
            <w:pPr>
              <w:pStyle w:val="TableText"/>
            </w:pPr>
            <w:r>
              <w:t>Not u</w:t>
            </w:r>
            <w:r w:rsidR="005F561C" w:rsidRPr="0098262F">
              <w:t>sed</w:t>
            </w:r>
          </w:p>
        </w:tc>
      </w:tr>
      <w:tr w:rsidR="003B3206" w:rsidRPr="0098262F" w14:paraId="7F447A19" w14:textId="77777777" w:rsidTr="003B3206">
        <w:trPr>
          <w:cantSplit/>
        </w:trPr>
        <w:tc>
          <w:tcPr>
            <w:tcW w:w="5000" w:type="pct"/>
            <w:gridSpan w:val="7"/>
            <w:vAlign w:val="center"/>
          </w:tcPr>
          <w:p w14:paraId="2C818127" w14:textId="7C8B5E24" w:rsidR="003B3206" w:rsidRPr="003B3206" w:rsidRDefault="00E65E42" w:rsidP="009826C7">
            <w:pPr>
              <w:pStyle w:val="TableText"/>
            </w:pPr>
            <w:r>
              <w:t>PP1M</w:t>
            </w:r>
            <w:r w:rsidRPr="003B3206">
              <w:t xml:space="preserve"> </w:t>
            </w:r>
            <w:r w:rsidR="003B3206" w:rsidRPr="003B3206">
              <w:t>vs Placebo</w:t>
            </w:r>
          </w:p>
        </w:tc>
      </w:tr>
      <w:tr w:rsidR="00E91AD9" w:rsidRPr="0098262F" w14:paraId="1340090A" w14:textId="77777777" w:rsidTr="00D34082">
        <w:trPr>
          <w:cantSplit/>
        </w:trPr>
        <w:tc>
          <w:tcPr>
            <w:tcW w:w="469" w:type="pct"/>
            <w:vAlign w:val="center"/>
          </w:tcPr>
          <w:p w14:paraId="6689E5C4" w14:textId="3F410F35" w:rsidR="005F561C" w:rsidRPr="0098262F" w:rsidRDefault="0063165F" w:rsidP="009826C7">
            <w:pPr>
              <w:pStyle w:val="TableText"/>
            </w:pPr>
            <w:r>
              <w:t xml:space="preserve">Hough, 2010 </w:t>
            </w:r>
          </w:p>
        </w:tc>
        <w:tc>
          <w:tcPr>
            <w:tcW w:w="313" w:type="pct"/>
            <w:vAlign w:val="center"/>
          </w:tcPr>
          <w:p w14:paraId="53407283" w14:textId="249456D9" w:rsidR="005F561C" w:rsidRPr="0098262F" w:rsidRDefault="00644A29" w:rsidP="009826C7">
            <w:pPr>
              <w:pStyle w:val="TableText"/>
            </w:pPr>
            <w:r>
              <w:t>410</w:t>
            </w:r>
          </w:p>
        </w:tc>
        <w:tc>
          <w:tcPr>
            <w:tcW w:w="1338" w:type="pct"/>
            <w:vAlign w:val="center"/>
          </w:tcPr>
          <w:p w14:paraId="476E2474" w14:textId="1BFF65DF" w:rsidR="005F561C" w:rsidRPr="0098262F" w:rsidRDefault="005F561C" w:rsidP="009826C7">
            <w:pPr>
              <w:pStyle w:val="TableText"/>
            </w:pPr>
            <w:r w:rsidRPr="0098262F">
              <w:t>R</w:t>
            </w:r>
            <w:r w:rsidR="00C47ACF">
              <w:t>andomised</w:t>
            </w:r>
            <w:r w:rsidRPr="0098262F">
              <w:t xml:space="preserve">, </w:t>
            </w:r>
            <w:r w:rsidR="00C47ACF">
              <w:t>double</w:t>
            </w:r>
            <w:r w:rsidR="002D15C9">
              <w:noBreakHyphen/>
            </w:r>
            <w:r w:rsidR="00C47ACF">
              <w:t>blind</w:t>
            </w:r>
            <w:r w:rsidR="0063165F">
              <w:t xml:space="preserve">, </w:t>
            </w:r>
            <w:r w:rsidR="000101C2">
              <w:t>multicentre</w:t>
            </w:r>
            <w:r w:rsidR="00644A29">
              <w:t xml:space="preserve">; </w:t>
            </w:r>
            <w:r w:rsidR="000101C2">
              <w:t>open label</w:t>
            </w:r>
            <w:r w:rsidR="00644A29">
              <w:t xml:space="preserve"> transition then </w:t>
            </w:r>
            <w:r w:rsidR="000101C2">
              <w:t>open label</w:t>
            </w:r>
            <w:r w:rsidR="00644A29">
              <w:t xml:space="preserve"> maintenance then </w:t>
            </w:r>
            <w:r w:rsidR="000101C2">
              <w:t>double blind</w:t>
            </w:r>
            <w:r w:rsidR="00644A29">
              <w:t xml:space="preserve"> 1:1 </w:t>
            </w:r>
            <w:r w:rsidR="00810F3E">
              <w:t xml:space="preserve">PP1M </w:t>
            </w:r>
            <w:r w:rsidR="00644A29">
              <w:t xml:space="preserve">vs placebo until 136 relapses accrued. </w:t>
            </w:r>
          </w:p>
        </w:tc>
        <w:tc>
          <w:tcPr>
            <w:tcW w:w="460" w:type="pct"/>
            <w:vAlign w:val="center"/>
          </w:tcPr>
          <w:p w14:paraId="67794929" w14:textId="77777777" w:rsidR="005F561C" w:rsidRPr="0098262F" w:rsidRDefault="005F561C" w:rsidP="009826C7">
            <w:pPr>
              <w:pStyle w:val="TableText"/>
            </w:pPr>
            <w:r w:rsidRPr="0098262F">
              <w:t>Low</w:t>
            </w:r>
          </w:p>
        </w:tc>
        <w:tc>
          <w:tcPr>
            <w:tcW w:w="1034" w:type="pct"/>
            <w:vAlign w:val="center"/>
          </w:tcPr>
          <w:p w14:paraId="32F88DA0" w14:textId="361B39A4" w:rsidR="005F561C" w:rsidRPr="0098262F" w:rsidRDefault="00644A29" w:rsidP="009826C7">
            <w:pPr>
              <w:pStyle w:val="TableText"/>
            </w:pPr>
            <w:r>
              <w:t>Schizophrenia &gt;1 year, PANSS &lt;120</w:t>
            </w:r>
          </w:p>
        </w:tc>
        <w:tc>
          <w:tcPr>
            <w:tcW w:w="629" w:type="pct"/>
            <w:vAlign w:val="center"/>
          </w:tcPr>
          <w:p w14:paraId="045E03E7" w14:textId="028F6294" w:rsidR="005F561C" w:rsidRPr="0098262F" w:rsidRDefault="00644A29" w:rsidP="009826C7">
            <w:pPr>
              <w:pStyle w:val="TableText"/>
            </w:pPr>
            <w:r>
              <w:t xml:space="preserve">Time to first relapse in </w:t>
            </w:r>
            <w:r w:rsidR="005552AC">
              <w:t>double</w:t>
            </w:r>
            <w:r w:rsidR="002D15C9">
              <w:noBreakHyphen/>
            </w:r>
            <w:r w:rsidR="005552AC">
              <w:t>blind</w:t>
            </w:r>
            <w:r>
              <w:t xml:space="preserve"> phase.</w:t>
            </w:r>
          </w:p>
        </w:tc>
        <w:tc>
          <w:tcPr>
            <w:tcW w:w="757" w:type="pct"/>
            <w:vAlign w:val="center"/>
          </w:tcPr>
          <w:p w14:paraId="25C8610D" w14:textId="672343FD" w:rsidR="005F561C" w:rsidRPr="0098262F" w:rsidRDefault="00644A29" w:rsidP="009826C7">
            <w:pPr>
              <w:pStyle w:val="TableText"/>
            </w:pPr>
            <w:r>
              <w:t>U</w:t>
            </w:r>
            <w:r w:rsidR="005F561C" w:rsidRPr="0098262F">
              <w:t>sed</w:t>
            </w:r>
          </w:p>
        </w:tc>
      </w:tr>
      <w:tr w:rsidR="003B3206" w:rsidRPr="003B3206" w14:paraId="0A0D3908" w14:textId="77777777" w:rsidTr="003B3206">
        <w:trPr>
          <w:cantSplit/>
        </w:trPr>
        <w:tc>
          <w:tcPr>
            <w:tcW w:w="5000" w:type="pct"/>
            <w:gridSpan w:val="7"/>
            <w:vAlign w:val="center"/>
          </w:tcPr>
          <w:p w14:paraId="43A41D84" w14:textId="4F8709E3" w:rsidR="003B3206" w:rsidRPr="003B3206" w:rsidRDefault="007D37F7" w:rsidP="009826C7">
            <w:pPr>
              <w:pStyle w:val="TableText"/>
            </w:pPr>
            <w:r>
              <w:t>A1M</w:t>
            </w:r>
            <w:r w:rsidR="00E65E42" w:rsidRPr="003B3206">
              <w:t xml:space="preserve"> </w:t>
            </w:r>
            <w:r w:rsidR="003B3206" w:rsidRPr="003B3206">
              <w:t>vs Placebo</w:t>
            </w:r>
          </w:p>
        </w:tc>
      </w:tr>
      <w:tr w:rsidR="00E91AD9" w:rsidRPr="0098262F" w14:paraId="2B0F7725" w14:textId="77777777" w:rsidTr="00D34082">
        <w:trPr>
          <w:cantSplit/>
        </w:trPr>
        <w:tc>
          <w:tcPr>
            <w:tcW w:w="469" w:type="pct"/>
            <w:vAlign w:val="center"/>
          </w:tcPr>
          <w:p w14:paraId="6F17B639" w14:textId="09069944" w:rsidR="00B75B22" w:rsidRPr="0098262F" w:rsidRDefault="00B75B22" w:rsidP="009826C7">
            <w:pPr>
              <w:pStyle w:val="TableText"/>
            </w:pPr>
            <w:r>
              <w:t>ASPIRE US</w:t>
            </w:r>
          </w:p>
        </w:tc>
        <w:tc>
          <w:tcPr>
            <w:tcW w:w="313" w:type="pct"/>
            <w:vAlign w:val="center"/>
          </w:tcPr>
          <w:p w14:paraId="7BB6ABC1" w14:textId="5D3270EF" w:rsidR="00B75B22" w:rsidRPr="0098262F" w:rsidRDefault="00B75B22" w:rsidP="009826C7">
            <w:pPr>
              <w:pStyle w:val="TableText"/>
            </w:pPr>
            <w:r w:rsidRPr="0098262F">
              <w:t>4</w:t>
            </w:r>
            <w:r>
              <w:t>03</w:t>
            </w:r>
          </w:p>
        </w:tc>
        <w:tc>
          <w:tcPr>
            <w:tcW w:w="1338" w:type="pct"/>
            <w:vAlign w:val="center"/>
          </w:tcPr>
          <w:p w14:paraId="29E7FF7B" w14:textId="4E6C9D01" w:rsidR="00B75B22" w:rsidRPr="0098262F" w:rsidRDefault="009C20D3" w:rsidP="009826C7">
            <w:pPr>
              <w:pStyle w:val="TableText"/>
            </w:pPr>
            <w:r>
              <w:t>Randomised</w:t>
            </w:r>
            <w:r w:rsidR="00B75B22">
              <w:t xml:space="preserve">, </w:t>
            </w:r>
            <w:r w:rsidR="008B397A">
              <w:t>d</w:t>
            </w:r>
            <w:r>
              <w:t>ou</w:t>
            </w:r>
            <w:r w:rsidR="008B397A">
              <w:t>ble</w:t>
            </w:r>
            <w:r w:rsidR="002D15C9">
              <w:noBreakHyphen/>
            </w:r>
            <w:r w:rsidR="008B397A">
              <w:t>blind</w:t>
            </w:r>
            <w:r w:rsidR="00B75B22">
              <w:t xml:space="preserve">, </w:t>
            </w:r>
            <w:r w:rsidR="000101C2">
              <w:t>multicentre</w:t>
            </w:r>
            <w:r w:rsidR="00B75B22">
              <w:t xml:space="preserve">; transition to oral </w:t>
            </w:r>
            <w:r w:rsidR="00796976">
              <w:t>aripiprazole</w:t>
            </w:r>
            <w:r w:rsidR="00B75B22">
              <w:t xml:space="preserve">, if stable went to </w:t>
            </w:r>
            <w:r w:rsidR="008B397A">
              <w:t>single</w:t>
            </w:r>
            <w:r w:rsidR="002D15C9">
              <w:noBreakHyphen/>
            </w:r>
            <w:r w:rsidR="00C47ACF">
              <w:t>blind</w:t>
            </w:r>
            <w:r w:rsidR="00B75B22">
              <w:t xml:space="preserve"> </w:t>
            </w:r>
            <w:r w:rsidR="007D37F7">
              <w:t>A1M</w:t>
            </w:r>
            <w:r w:rsidR="00B75B22">
              <w:t xml:space="preserve"> 12</w:t>
            </w:r>
            <w:r w:rsidR="002D15C9">
              <w:noBreakHyphen/>
            </w:r>
            <w:r w:rsidR="00B75B22">
              <w:t>36 w</w:t>
            </w:r>
            <w:r w:rsidR="008B397A">
              <w:t>ee</w:t>
            </w:r>
            <w:r w:rsidR="00B75B22">
              <w:t>k if stable</w:t>
            </w:r>
            <w:r w:rsidR="00C47ACF">
              <w:t>; r</w:t>
            </w:r>
            <w:r w:rsidR="008B397A">
              <w:t>andomised</w:t>
            </w:r>
            <w:r w:rsidR="00B75B22">
              <w:t xml:space="preserve"> 2:1 </w:t>
            </w:r>
            <w:r w:rsidR="00C47ACF">
              <w:t>double blind</w:t>
            </w:r>
            <w:r w:rsidR="00B75B22">
              <w:t xml:space="preserve"> </w:t>
            </w:r>
            <w:r w:rsidR="007D37F7">
              <w:t>A1M</w:t>
            </w:r>
            <w:r w:rsidR="00B75B22">
              <w:t xml:space="preserve"> vs placebo; </w:t>
            </w:r>
            <w:r w:rsidR="00C47ACF">
              <w:t>double</w:t>
            </w:r>
            <w:r w:rsidR="002D15C9">
              <w:noBreakHyphen/>
            </w:r>
            <w:r w:rsidR="00C47ACF">
              <w:t>blind</w:t>
            </w:r>
            <w:r w:rsidR="00B75B22">
              <w:t xml:space="preserve"> phase 52 w</w:t>
            </w:r>
            <w:r w:rsidR="008B397A">
              <w:t>ee</w:t>
            </w:r>
            <w:r w:rsidR="00B75B22">
              <w:t>k</w:t>
            </w:r>
            <w:r w:rsidR="00B17BDB">
              <w:t xml:space="preserve"> but trial terminated early for efficacy.</w:t>
            </w:r>
          </w:p>
        </w:tc>
        <w:tc>
          <w:tcPr>
            <w:tcW w:w="460" w:type="pct"/>
            <w:vAlign w:val="center"/>
          </w:tcPr>
          <w:p w14:paraId="4440C89B" w14:textId="34E611F0" w:rsidR="00B75B22" w:rsidRPr="0098262F" w:rsidRDefault="00B75B22" w:rsidP="009826C7">
            <w:pPr>
              <w:pStyle w:val="TableText"/>
            </w:pPr>
            <w:r>
              <w:t>Low</w:t>
            </w:r>
          </w:p>
        </w:tc>
        <w:tc>
          <w:tcPr>
            <w:tcW w:w="1034" w:type="pct"/>
            <w:vAlign w:val="center"/>
          </w:tcPr>
          <w:p w14:paraId="045CC19F" w14:textId="0B0CFD34" w:rsidR="00B75B22" w:rsidRPr="0098262F" w:rsidRDefault="00B75B22" w:rsidP="009826C7">
            <w:pPr>
              <w:pStyle w:val="TableText"/>
            </w:pPr>
            <w:r>
              <w:t xml:space="preserve">Schizophrenia &gt;3 years and relapse when off </w:t>
            </w:r>
            <w:r w:rsidR="005552AC">
              <w:t>antipsychotic</w:t>
            </w:r>
          </w:p>
        </w:tc>
        <w:tc>
          <w:tcPr>
            <w:tcW w:w="629" w:type="pct"/>
            <w:vAlign w:val="center"/>
          </w:tcPr>
          <w:p w14:paraId="757CA608" w14:textId="4C29E299" w:rsidR="00B75B22" w:rsidRPr="0098262F" w:rsidRDefault="00B75B22" w:rsidP="009826C7">
            <w:pPr>
              <w:pStyle w:val="TableText"/>
            </w:pPr>
            <w:r>
              <w:t xml:space="preserve">Time to impending relapse. </w:t>
            </w:r>
          </w:p>
        </w:tc>
        <w:tc>
          <w:tcPr>
            <w:tcW w:w="757" w:type="pct"/>
            <w:vAlign w:val="center"/>
          </w:tcPr>
          <w:p w14:paraId="49FA86BA" w14:textId="65BBFB38" w:rsidR="00B75B22" w:rsidRPr="0098262F" w:rsidRDefault="00B75B22" w:rsidP="009826C7">
            <w:pPr>
              <w:pStyle w:val="TableText"/>
            </w:pPr>
            <w:r>
              <w:t xml:space="preserve">Used. </w:t>
            </w:r>
          </w:p>
        </w:tc>
      </w:tr>
    </w:tbl>
    <w:p w14:paraId="259AE6C9" w14:textId="30AA8ABF" w:rsidR="005F561C" w:rsidRPr="0098262F" w:rsidRDefault="005F561C" w:rsidP="005F561C">
      <w:pPr>
        <w:pStyle w:val="FooterTableFigure"/>
      </w:pPr>
      <w:r w:rsidRPr="0098262F">
        <w:t xml:space="preserve">Source: </w:t>
      </w:r>
      <w:r w:rsidR="00B75B22">
        <w:t xml:space="preserve">Constructed during the evaluation from published reports or CSRs. </w:t>
      </w:r>
    </w:p>
    <w:p w14:paraId="278685B0" w14:textId="4BFD50C0" w:rsidR="005F561C" w:rsidRPr="002E09E0" w:rsidRDefault="007D37F7" w:rsidP="002E09E0">
      <w:pPr>
        <w:pStyle w:val="FooterTableFigure"/>
        <w:rPr>
          <w:sz w:val="20"/>
        </w:rPr>
      </w:pPr>
      <w:r>
        <w:t>A1M</w:t>
      </w:r>
      <w:r w:rsidR="00E54D21">
        <w:t xml:space="preserve"> = aripiprazole</w:t>
      </w:r>
      <w:r w:rsidR="00B21A5E">
        <w:t xml:space="preserve"> once</w:t>
      </w:r>
      <w:r w:rsidR="002D15C9">
        <w:noBreakHyphen/>
      </w:r>
      <w:r w:rsidR="00B21A5E">
        <w:t>monthly</w:t>
      </w:r>
      <w:r w:rsidR="00E54D21">
        <w:t xml:space="preserve">; </w:t>
      </w:r>
      <w:r w:rsidR="00A7108E">
        <w:t>MRSC = modified release subcutaneous</w:t>
      </w:r>
      <w:r w:rsidR="008D37AC">
        <w:t xml:space="preserve"> injection</w:t>
      </w:r>
      <w:r w:rsidR="003820E0">
        <w:t>;</w:t>
      </w:r>
      <w:r w:rsidR="005F561C" w:rsidRPr="0098262F">
        <w:t xml:space="preserve"> </w:t>
      </w:r>
      <w:r w:rsidR="00E54D21">
        <w:t xml:space="preserve">PANSS = positive and negative syndrome scale; </w:t>
      </w:r>
      <w:r w:rsidR="00E65E42">
        <w:t>PP1M = pali</w:t>
      </w:r>
      <w:r w:rsidR="002275CF">
        <w:t>peridone</w:t>
      </w:r>
      <w:r w:rsidR="00B21A5E">
        <w:t xml:space="preserve"> once</w:t>
      </w:r>
      <w:r w:rsidR="002D15C9">
        <w:noBreakHyphen/>
      </w:r>
      <w:r w:rsidR="00B21A5E">
        <w:t>monthly</w:t>
      </w:r>
      <w:r w:rsidR="008D37AC">
        <w:t xml:space="preserve"> intramuscular injection</w:t>
      </w:r>
      <w:r w:rsidR="002275CF">
        <w:t xml:space="preserve">; </w:t>
      </w:r>
      <w:r w:rsidR="001C190B">
        <w:t>q2m = 2</w:t>
      </w:r>
      <w:r w:rsidR="002D15C9">
        <w:noBreakHyphen/>
      </w:r>
      <w:r w:rsidR="001C190B">
        <w:t xml:space="preserve">monthly; q1m = </w:t>
      </w:r>
      <w:r w:rsidR="00E67D6A">
        <w:t>1</w:t>
      </w:r>
      <w:r w:rsidR="002D15C9">
        <w:noBreakHyphen/>
      </w:r>
      <w:r w:rsidR="00B227B3">
        <w:t>monthly.</w:t>
      </w:r>
    </w:p>
    <w:p w14:paraId="62E95EB3" w14:textId="6A67C5E2" w:rsidR="0063165F" w:rsidRPr="00F24235" w:rsidRDefault="00F24235" w:rsidP="00A55515">
      <w:pPr>
        <w:pStyle w:val="3-BodyText"/>
      </w:pPr>
      <w:r w:rsidRPr="00F24235">
        <w:t>Although RISE was described as a double</w:t>
      </w:r>
      <w:r w:rsidR="002D15C9">
        <w:noBreakHyphen/>
      </w:r>
      <w:r w:rsidRPr="00F24235">
        <w:t>blind study, the placebo pre</w:t>
      </w:r>
      <w:r w:rsidR="002D15C9">
        <w:noBreakHyphen/>
      </w:r>
      <w:r w:rsidRPr="00F24235">
        <w:t>filled syringes</w:t>
      </w:r>
      <w:r w:rsidR="00907D0C">
        <w:t xml:space="preserve">, </w:t>
      </w:r>
      <w:r w:rsidRPr="00F24235">
        <w:t>which were administered to patients allocated to 2</w:t>
      </w:r>
      <w:r w:rsidR="002D15C9">
        <w:noBreakHyphen/>
      </w:r>
      <w:r w:rsidRPr="00F24235">
        <w:t>monthly treatment on alternate months</w:t>
      </w:r>
      <w:r w:rsidR="00907D0C">
        <w:t xml:space="preserve">, </w:t>
      </w:r>
      <w:r w:rsidRPr="00F24235">
        <w:t>were noticeably different in appearance from the active pre</w:t>
      </w:r>
      <w:r w:rsidR="002D15C9">
        <w:noBreakHyphen/>
      </w:r>
      <w:r w:rsidRPr="00F24235">
        <w:t>filled syringes. Furthermore, all injections were given by an unblinded study nurse (p44, p50, RISE). As a result, the risk of unblinding and the overall risk of bias have been rated as High. Importantly, the information that led to this high risk of bias assessment in RISE was available only from the</w:t>
      </w:r>
      <w:r w:rsidR="00FB36B6">
        <w:t xml:space="preserve"> Clinical Study Report (</w:t>
      </w:r>
      <w:r w:rsidRPr="00F24235">
        <w:t>CSR</w:t>
      </w:r>
      <w:r w:rsidR="00FB36B6">
        <w:t>)</w:t>
      </w:r>
      <w:r w:rsidRPr="00F24235">
        <w:t xml:space="preserve">, not from the published report. </w:t>
      </w:r>
      <w:r w:rsidRPr="00F24235">
        <w:lastRenderedPageBreak/>
        <w:t>Therefore, it cannot be ruled out that similar issues may have occurred in other trials where published reports are the only available source of data.</w:t>
      </w:r>
    </w:p>
    <w:p w14:paraId="5D698C7A" w14:textId="0DDF0FFC" w:rsidR="00AC606D" w:rsidRPr="00C7236D" w:rsidRDefault="0063165F" w:rsidP="00AE0CDD">
      <w:pPr>
        <w:pStyle w:val="3-BodyText"/>
        <w:rPr>
          <w:iCs/>
        </w:rPr>
      </w:pPr>
      <w:r>
        <w:t xml:space="preserve">All patients in SHINE received </w:t>
      </w:r>
      <w:r w:rsidR="00B86314">
        <w:t xml:space="preserve">MRSC </w:t>
      </w:r>
      <w:r>
        <w:t xml:space="preserve">risperidone and were blinded only to their allocation to monthly </w:t>
      </w:r>
      <w:r w:rsidR="006F0BD0">
        <w:t xml:space="preserve">or </w:t>
      </w:r>
      <w:r>
        <w:t xml:space="preserve">2nd monthly treatment. </w:t>
      </w:r>
      <w:r w:rsidRPr="00C7236D">
        <w:rPr>
          <w:iCs/>
        </w:rPr>
        <w:t>The difference in the appearance of active and placebo pre</w:t>
      </w:r>
      <w:r w:rsidR="002D15C9">
        <w:rPr>
          <w:iCs/>
        </w:rPr>
        <w:noBreakHyphen/>
      </w:r>
      <w:r w:rsidRPr="00C7236D">
        <w:rPr>
          <w:iCs/>
        </w:rPr>
        <w:t>filled syringes mean</w:t>
      </w:r>
      <w:r w:rsidR="008E2E5A">
        <w:rPr>
          <w:iCs/>
        </w:rPr>
        <w:t>t</w:t>
      </w:r>
      <w:r w:rsidRPr="00C7236D">
        <w:rPr>
          <w:iCs/>
        </w:rPr>
        <w:t xml:space="preserve"> the risk of unblinding was high. </w:t>
      </w:r>
      <w:r w:rsidR="00D365E4" w:rsidRPr="00C7236D">
        <w:rPr>
          <w:iCs/>
        </w:rPr>
        <w:t xml:space="preserve">The risk of bias in SHINE would have been High in any case because all patients received </w:t>
      </w:r>
      <w:r w:rsidR="008E2E5A" w:rsidRPr="00C7236D">
        <w:rPr>
          <w:iCs/>
        </w:rPr>
        <w:t>M</w:t>
      </w:r>
      <w:r w:rsidR="008E2E5A">
        <w:rPr>
          <w:iCs/>
        </w:rPr>
        <w:t>RSC risperidone</w:t>
      </w:r>
      <w:r w:rsidR="00D365E4" w:rsidRPr="00C7236D">
        <w:rPr>
          <w:iCs/>
        </w:rPr>
        <w:t>.</w:t>
      </w:r>
    </w:p>
    <w:p w14:paraId="45EC216D" w14:textId="3528CF41" w:rsidR="00C870F1" w:rsidRPr="00C7236D" w:rsidRDefault="00C870F1" w:rsidP="00AE0CDD">
      <w:pPr>
        <w:pStyle w:val="3-BodyText"/>
        <w:rPr>
          <w:iCs/>
          <w:color w:val="000000" w:themeColor="text1"/>
        </w:rPr>
      </w:pPr>
      <w:r>
        <w:rPr>
          <w:color w:val="000000" w:themeColor="text1"/>
        </w:rPr>
        <w:t>When the</w:t>
      </w:r>
      <w:r w:rsidR="00CF71B3">
        <w:rPr>
          <w:color w:val="000000" w:themeColor="text1"/>
        </w:rPr>
        <w:t xml:space="preserve"> United States</w:t>
      </w:r>
      <w:r>
        <w:rPr>
          <w:color w:val="000000" w:themeColor="text1"/>
        </w:rPr>
        <w:t xml:space="preserve"> </w:t>
      </w:r>
      <w:r w:rsidR="00CF71B3" w:rsidRPr="00CF71B3">
        <w:rPr>
          <w:color w:val="000000" w:themeColor="text1"/>
        </w:rPr>
        <w:t>Food and Drug Administration</w:t>
      </w:r>
      <w:r w:rsidR="00CF71B3">
        <w:rPr>
          <w:color w:val="000000" w:themeColor="text1"/>
        </w:rPr>
        <w:t xml:space="preserve"> (</w:t>
      </w:r>
      <w:r>
        <w:rPr>
          <w:color w:val="000000" w:themeColor="text1"/>
        </w:rPr>
        <w:t>FDA</w:t>
      </w:r>
      <w:r w:rsidR="00CF71B3">
        <w:rPr>
          <w:color w:val="000000" w:themeColor="text1"/>
        </w:rPr>
        <w:t>)</w:t>
      </w:r>
      <w:r>
        <w:rPr>
          <w:color w:val="000000" w:themeColor="text1"/>
        </w:rPr>
        <w:t xml:space="preserve"> reviewed the results of RISE and SHINE in 2021 "</w:t>
      </w:r>
      <w:r w:rsidRPr="00744DBC">
        <w:rPr>
          <w:color w:val="000000" w:themeColor="text1"/>
        </w:rPr>
        <w:t xml:space="preserve">deficiencies were identified related to </w:t>
      </w:r>
      <w:r>
        <w:rPr>
          <w:color w:val="000000" w:themeColor="text1"/>
        </w:rPr>
        <w:t>IP [investigational product]</w:t>
      </w:r>
      <w:r w:rsidRPr="00744DBC">
        <w:rPr>
          <w:color w:val="000000" w:themeColor="text1"/>
        </w:rPr>
        <w:t xml:space="preserve"> dosing errors, lack of</w:t>
      </w:r>
      <w:r>
        <w:rPr>
          <w:color w:val="000000" w:themeColor="text1"/>
        </w:rPr>
        <w:t xml:space="preserve"> </w:t>
      </w:r>
      <w:r w:rsidRPr="00744DBC">
        <w:rPr>
          <w:color w:val="000000" w:themeColor="text1"/>
        </w:rPr>
        <w:t>documentation of IP administration and dually or triply enrolled patients</w:t>
      </w:r>
      <w:r>
        <w:rPr>
          <w:color w:val="000000" w:themeColor="text1"/>
        </w:rPr>
        <w:t>" (SHINE Addendum 02).</w:t>
      </w:r>
      <w:r w:rsidR="00292344">
        <w:rPr>
          <w:color w:val="000000" w:themeColor="text1"/>
        </w:rPr>
        <w:t xml:space="preserve"> </w:t>
      </w:r>
      <w:r>
        <w:rPr>
          <w:color w:val="000000" w:themeColor="text1"/>
        </w:rPr>
        <w:t xml:space="preserve">In response, </w:t>
      </w:r>
      <w:r w:rsidR="00E64CA7">
        <w:rPr>
          <w:color w:val="000000" w:themeColor="text1"/>
        </w:rPr>
        <w:t xml:space="preserve">the sponsor performed </w:t>
      </w:r>
      <w:r>
        <w:rPr>
          <w:color w:val="000000" w:themeColor="text1"/>
        </w:rPr>
        <w:t>a review of source documents for treatment administration, an audit of the study database, and a re</w:t>
      </w:r>
      <w:r w:rsidR="002D15C9">
        <w:rPr>
          <w:color w:val="000000" w:themeColor="text1"/>
        </w:rPr>
        <w:noBreakHyphen/>
      </w:r>
      <w:r>
        <w:rPr>
          <w:color w:val="000000" w:themeColor="text1"/>
        </w:rPr>
        <w:t xml:space="preserve">analysis of the data to determine whether there were material impacts of the data deficiencies on the trial results. The results of these supplementary analyses are presented in the submission as Attachments 5 and 6 for RISE and Attachment 8 for SHINE. </w:t>
      </w:r>
      <w:r w:rsidRPr="00C7236D">
        <w:rPr>
          <w:iCs/>
          <w:color w:val="000000" w:themeColor="text1"/>
        </w:rPr>
        <w:t>The</w:t>
      </w:r>
      <w:r w:rsidR="000353D5">
        <w:rPr>
          <w:iCs/>
          <w:color w:val="000000" w:themeColor="text1"/>
        </w:rPr>
        <w:t xml:space="preserve"> evaluation considered the</w:t>
      </w:r>
      <w:r w:rsidRPr="00C7236D">
        <w:rPr>
          <w:iCs/>
          <w:color w:val="000000" w:themeColor="text1"/>
        </w:rPr>
        <w:t xml:space="preserve"> supplementary analyses </w:t>
      </w:r>
      <w:r w:rsidR="000353D5" w:rsidRPr="00C7236D">
        <w:rPr>
          <w:iCs/>
          <w:color w:val="000000" w:themeColor="text1"/>
        </w:rPr>
        <w:t>d</w:t>
      </w:r>
      <w:r w:rsidR="009D553D">
        <w:rPr>
          <w:iCs/>
          <w:color w:val="000000" w:themeColor="text1"/>
        </w:rPr>
        <w:t>o</w:t>
      </w:r>
      <w:r w:rsidR="000353D5" w:rsidRPr="00C7236D">
        <w:rPr>
          <w:iCs/>
          <w:color w:val="000000" w:themeColor="text1"/>
        </w:rPr>
        <w:t xml:space="preserve"> </w:t>
      </w:r>
      <w:r w:rsidRPr="00C7236D">
        <w:rPr>
          <w:iCs/>
          <w:color w:val="000000" w:themeColor="text1"/>
        </w:rPr>
        <w:t>not materially affect the trial results</w:t>
      </w:r>
      <w:r w:rsidR="0071763D" w:rsidRPr="00C7236D">
        <w:rPr>
          <w:iCs/>
          <w:color w:val="000000" w:themeColor="text1"/>
        </w:rPr>
        <w:t xml:space="preserve"> but do have implications for study procedures</w:t>
      </w:r>
      <w:r w:rsidRPr="00C7236D">
        <w:rPr>
          <w:iCs/>
          <w:color w:val="000000" w:themeColor="text1"/>
        </w:rPr>
        <w:t>.</w:t>
      </w:r>
    </w:p>
    <w:p w14:paraId="30469946" w14:textId="31313D1B" w:rsidR="00C870F1" w:rsidRDefault="00C870F1" w:rsidP="00AE0CDD">
      <w:pPr>
        <w:pStyle w:val="3-BodyText"/>
        <w:rPr>
          <w:color w:val="000000" w:themeColor="text1"/>
        </w:rPr>
      </w:pPr>
      <w:r>
        <w:rPr>
          <w:color w:val="000000" w:themeColor="text1"/>
        </w:rPr>
        <w:t>There were eight dually enrolled patients (in both RISE and SHINE, in four cases allocated to placebo in RISE but receiving risperidone in SHINE) and one triply enrolled patient (once in RISE and twice in SHINE). The</w:t>
      </w:r>
      <w:r w:rsidR="00F44E2A">
        <w:rPr>
          <w:color w:val="000000" w:themeColor="text1"/>
        </w:rPr>
        <w:t xml:space="preserve"> evaluation considered the</w:t>
      </w:r>
      <w:r>
        <w:rPr>
          <w:color w:val="000000" w:themeColor="text1"/>
        </w:rPr>
        <w:t>se patients did not materially affect the reported results.</w:t>
      </w:r>
    </w:p>
    <w:p w14:paraId="7E72229E" w14:textId="043A8362" w:rsidR="007E6754" w:rsidRPr="00E52A23" w:rsidRDefault="007E6754">
      <w:pPr>
        <w:pStyle w:val="3-BodyText"/>
      </w:pPr>
      <w:r w:rsidRPr="007E6754">
        <w:rPr>
          <w:color w:val="000000" w:themeColor="text1"/>
        </w:rPr>
        <w:t>Dosing errors</w:t>
      </w:r>
      <w:r w:rsidR="00600401">
        <w:rPr>
          <w:color w:val="000000" w:themeColor="text1"/>
        </w:rPr>
        <w:t xml:space="preserve"> or failure to document the dose</w:t>
      </w:r>
      <w:r w:rsidRPr="007E6754">
        <w:rPr>
          <w:color w:val="000000" w:themeColor="text1"/>
        </w:rPr>
        <w:t xml:space="preserve"> occurred most often when placebo injections were given </w:t>
      </w:r>
      <w:r w:rsidR="00600401">
        <w:rPr>
          <w:color w:val="000000" w:themeColor="text1"/>
        </w:rPr>
        <w:t>66</w:t>
      </w:r>
      <w:r w:rsidR="00651FD9">
        <w:rPr>
          <w:color w:val="000000" w:themeColor="text1"/>
        </w:rPr>
        <w:t xml:space="preserve"> </w:t>
      </w:r>
      <w:r w:rsidR="00651FD9" w:rsidRPr="007E6754">
        <w:rPr>
          <w:color w:val="000000" w:themeColor="text1"/>
        </w:rPr>
        <w:t>(36%)</w:t>
      </w:r>
      <w:r w:rsidR="00651FD9">
        <w:rPr>
          <w:color w:val="000000" w:themeColor="text1"/>
        </w:rPr>
        <w:t xml:space="preserve"> of </w:t>
      </w:r>
      <w:r w:rsidRPr="007E6754">
        <w:rPr>
          <w:color w:val="000000" w:themeColor="text1"/>
        </w:rPr>
        <w:t>181 patients randomised to placebo had errors</w:t>
      </w:r>
      <w:r w:rsidR="00600401">
        <w:rPr>
          <w:color w:val="000000" w:themeColor="text1"/>
        </w:rPr>
        <w:t xml:space="preserve"> of dosing or documentation</w:t>
      </w:r>
      <w:r w:rsidRPr="007E6754">
        <w:rPr>
          <w:color w:val="000000" w:themeColor="text1"/>
        </w:rPr>
        <w:t xml:space="preserve"> in 340</w:t>
      </w:r>
      <w:r w:rsidR="00651FD9" w:rsidRPr="007E6754">
        <w:rPr>
          <w:color w:val="000000" w:themeColor="text1"/>
        </w:rPr>
        <w:t xml:space="preserve"> (25%)</w:t>
      </w:r>
      <w:r w:rsidR="00651FD9">
        <w:rPr>
          <w:color w:val="000000" w:themeColor="text1"/>
        </w:rPr>
        <w:t xml:space="preserve"> of </w:t>
      </w:r>
      <w:r w:rsidRPr="007E6754">
        <w:rPr>
          <w:color w:val="000000" w:themeColor="text1"/>
        </w:rPr>
        <w:t>1</w:t>
      </w:r>
      <w:r w:rsidR="00651FD9">
        <w:rPr>
          <w:color w:val="000000" w:themeColor="text1"/>
        </w:rPr>
        <w:t>,</w:t>
      </w:r>
      <w:r w:rsidRPr="007E6754">
        <w:rPr>
          <w:color w:val="000000" w:themeColor="text1"/>
        </w:rPr>
        <w:t>374 treatments, compared to 53</w:t>
      </w:r>
      <w:r w:rsidR="00651FD9" w:rsidRPr="007E6754">
        <w:rPr>
          <w:color w:val="000000" w:themeColor="text1"/>
        </w:rPr>
        <w:t xml:space="preserve"> (29%)</w:t>
      </w:r>
      <w:r w:rsidR="00651FD9">
        <w:rPr>
          <w:color w:val="000000" w:themeColor="text1"/>
        </w:rPr>
        <w:t xml:space="preserve"> of </w:t>
      </w:r>
      <w:r w:rsidRPr="007E6754">
        <w:rPr>
          <w:color w:val="000000" w:themeColor="text1"/>
        </w:rPr>
        <w:t>183 of patients and 298</w:t>
      </w:r>
      <w:r w:rsidR="00651FD9" w:rsidRPr="007E6754">
        <w:rPr>
          <w:color w:val="000000" w:themeColor="text1"/>
        </w:rPr>
        <w:t xml:space="preserve"> </w:t>
      </w:r>
      <w:r w:rsidR="00651FD9">
        <w:rPr>
          <w:color w:val="000000" w:themeColor="text1"/>
        </w:rPr>
        <w:t xml:space="preserve">(16%) of </w:t>
      </w:r>
      <w:r w:rsidRPr="007E6754">
        <w:rPr>
          <w:color w:val="000000" w:themeColor="text1"/>
        </w:rPr>
        <w:t>1</w:t>
      </w:r>
      <w:r w:rsidR="00651FD9">
        <w:rPr>
          <w:color w:val="000000" w:themeColor="text1"/>
        </w:rPr>
        <w:t>,</w:t>
      </w:r>
      <w:r w:rsidRPr="007E6754">
        <w:rPr>
          <w:color w:val="000000" w:themeColor="text1"/>
        </w:rPr>
        <w:t>909</w:t>
      </w:r>
      <w:r w:rsidR="00600401">
        <w:rPr>
          <w:color w:val="000000" w:themeColor="text1"/>
        </w:rPr>
        <w:t xml:space="preserve"> </w:t>
      </w:r>
      <w:r w:rsidRPr="007E6754">
        <w:rPr>
          <w:color w:val="000000" w:themeColor="text1"/>
        </w:rPr>
        <w:t xml:space="preserve">treatments among patients randomised to </w:t>
      </w:r>
      <w:r w:rsidR="00A4074C">
        <w:rPr>
          <w:color w:val="000000" w:themeColor="text1"/>
        </w:rPr>
        <w:t>MRSC risperidone</w:t>
      </w:r>
      <w:r w:rsidRPr="007E6754">
        <w:rPr>
          <w:color w:val="000000" w:themeColor="text1"/>
        </w:rPr>
        <w:t xml:space="preserve">. </w:t>
      </w:r>
      <w:r w:rsidR="00544CB3">
        <w:rPr>
          <w:color w:val="000000" w:themeColor="text1"/>
        </w:rPr>
        <w:t xml:space="preserve">Errors of dosing or documentation occurred in </w:t>
      </w:r>
      <w:r w:rsidR="00C868CB" w:rsidRPr="007E6754">
        <w:rPr>
          <w:color w:val="000000" w:themeColor="text1"/>
        </w:rPr>
        <w:t>patients randomised to 2nd monthly injections</w:t>
      </w:r>
      <w:r w:rsidR="002C0D5E">
        <w:rPr>
          <w:color w:val="000000" w:themeColor="text1"/>
        </w:rPr>
        <w:t xml:space="preserve"> (</w:t>
      </w:r>
      <w:r w:rsidR="00D475E9">
        <w:rPr>
          <w:color w:val="000000" w:themeColor="text1"/>
        </w:rPr>
        <w:t>monthly injections alternati</w:t>
      </w:r>
      <w:r w:rsidR="002C0D5E">
        <w:rPr>
          <w:color w:val="000000" w:themeColor="text1"/>
        </w:rPr>
        <w:t>ng</w:t>
      </w:r>
      <w:r w:rsidR="00D475E9">
        <w:rPr>
          <w:color w:val="000000" w:themeColor="text1"/>
        </w:rPr>
        <w:t xml:space="preserve"> </w:t>
      </w:r>
      <w:r w:rsidR="00C868CB">
        <w:rPr>
          <w:color w:val="000000" w:themeColor="text1"/>
        </w:rPr>
        <w:t>active and placebo</w:t>
      </w:r>
      <w:r w:rsidR="002C0D5E">
        <w:rPr>
          <w:color w:val="000000" w:themeColor="text1"/>
        </w:rPr>
        <w:t>)</w:t>
      </w:r>
      <w:r w:rsidR="00C868CB">
        <w:rPr>
          <w:color w:val="000000" w:themeColor="text1"/>
        </w:rPr>
        <w:t xml:space="preserve"> in </w:t>
      </w:r>
      <w:r w:rsidR="00544CB3">
        <w:rPr>
          <w:color w:val="000000" w:themeColor="text1"/>
        </w:rPr>
        <w:t>206 (23%) of 904 risperidone treatments and 376</w:t>
      </w:r>
      <w:r w:rsidR="008E3000">
        <w:rPr>
          <w:color w:val="000000" w:themeColor="text1"/>
        </w:rPr>
        <w:t xml:space="preserve"> (47%) of </w:t>
      </w:r>
      <w:r w:rsidR="00544CB3">
        <w:rPr>
          <w:color w:val="000000" w:themeColor="text1"/>
        </w:rPr>
        <w:t>801 placebo treatments</w:t>
      </w:r>
      <w:r w:rsidRPr="007E6754">
        <w:rPr>
          <w:color w:val="000000" w:themeColor="text1"/>
        </w:rPr>
        <w:t xml:space="preserve"> </w:t>
      </w:r>
      <w:r w:rsidR="00E52A23">
        <w:rPr>
          <w:color w:val="000000" w:themeColor="text1"/>
        </w:rPr>
        <w:t>( RISE CSR Addendum 2)</w:t>
      </w:r>
      <w:r>
        <w:rPr>
          <w:color w:val="000000" w:themeColor="text1"/>
        </w:rPr>
        <w:t>.</w:t>
      </w:r>
    </w:p>
    <w:p w14:paraId="7B15C6B6" w14:textId="4C4B6A4B" w:rsidR="00E52A23" w:rsidRPr="00C15AAB" w:rsidRDefault="00E52A23">
      <w:pPr>
        <w:pStyle w:val="3-BodyText"/>
      </w:pPr>
      <w:r>
        <w:rPr>
          <w:color w:val="000000" w:themeColor="text1"/>
        </w:rPr>
        <w:t xml:space="preserve">The </w:t>
      </w:r>
      <w:r w:rsidR="0075051F">
        <w:rPr>
          <w:color w:val="000000" w:themeColor="text1"/>
        </w:rPr>
        <w:t>most common</w:t>
      </w:r>
      <w:r w:rsidR="00600401">
        <w:rPr>
          <w:color w:val="000000" w:themeColor="text1"/>
        </w:rPr>
        <w:t xml:space="preserve"> dosing</w:t>
      </w:r>
      <w:r>
        <w:rPr>
          <w:color w:val="000000" w:themeColor="text1"/>
        </w:rPr>
        <w:t xml:space="preserve"> errors were</w:t>
      </w:r>
      <w:r w:rsidR="00DB6FBC">
        <w:rPr>
          <w:color w:val="000000" w:themeColor="text1"/>
        </w:rPr>
        <w:t xml:space="preserve"> injection volumes</w:t>
      </w:r>
      <w:r w:rsidR="00600401">
        <w:rPr>
          <w:color w:val="000000" w:themeColor="text1"/>
        </w:rPr>
        <w:t xml:space="preserve"> </w:t>
      </w:r>
      <w:r w:rsidR="00DB6FBC">
        <w:rPr>
          <w:color w:val="000000" w:themeColor="text1"/>
        </w:rPr>
        <w:t xml:space="preserve">that were </w:t>
      </w:r>
      <w:r>
        <w:rPr>
          <w:color w:val="000000" w:themeColor="text1"/>
        </w:rPr>
        <w:t xml:space="preserve">too high or too low, which occurred in </w:t>
      </w:r>
      <w:r w:rsidR="00600401">
        <w:rPr>
          <w:color w:val="000000" w:themeColor="text1"/>
        </w:rPr>
        <w:t>328</w:t>
      </w:r>
      <w:r w:rsidR="00FA71A5">
        <w:rPr>
          <w:color w:val="000000" w:themeColor="text1"/>
        </w:rPr>
        <w:t xml:space="preserve"> (15%) of </w:t>
      </w:r>
      <w:r w:rsidR="00600401">
        <w:rPr>
          <w:color w:val="000000" w:themeColor="text1"/>
        </w:rPr>
        <w:t>2</w:t>
      </w:r>
      <w:r w:rsidR="00FA71A5">
        <w:rPr>
          <w:color w:val="000000" w:themeColor="text1"/>
        </w:rPr>
        <w:t>,</w:t>
      </w:r>
      <w:r w:rsidR="00600401">
        <w:rPr>
          <w:color w:val="000000" w:themeColor="text1"/>
        </w:rPr>
        <w:t xml:space="preserve">175 placebo injections </w:t>
      </w:r>
      <w:r w:rsidR="005B7418">
        <w:rPr>
          <w:color w:val="000000" w:themeColor="text1"/>
        </w:rPr>
        <w:t xml:space="preserve">across </w:t>
      </w:r>
      <w:r w:rsidR="00600401">
        <w:rPr>
          <w:color w:val="000000" w:themeColor="text1"/>
        </w:rPr>
        <w:t>all treatment groups, compared to 69</w:t>
      </w:r>
      <w:r w:rsidR="00FA71A5">
        <w:rPr>
          <w:color w:val="000000" w:themeColor="text1"/>
        </w:rPr>
        <w:t xml:space="preserve"> (2.5%) of </w:t>
      </w:r>
      <w:r w:rsidR="00600401">
        <w:rPr>
          <w:color w:val="000000" w:themeColor="text1"/>
        </w:rPr>
        <w:t>2</w:t>
      </w:r>
      <w:r w:rsidR="00FA71A5">
        <w:rPr>
          <w:color w:val="000000" w:themeColor="text1"/>
        </w:rPr>
        <w:t>,</w:t>
      </w:r>
      <w:r w:rsidR="00600401">
        <w:rPr>
          <w:color w:val="000000" w:themeColor="text1"/>
        </w:rPr>
        <w:t xml:space="preserve">813 active injections </w:t>
      </w:r>
      <w:r w:rsidR="005B7418">
        <w:rPr>
          <w:color w:val="000000" w:themeColor="text1"/>
        </w:rPr>
        <w:t>a</w:t>
      </w:r>
      <w:r w:rsidR="004805AB">
        <w:rPr>
          <w:color w:val="000000" w:themeColor="text1"/>
        </w:rPr>
        <w:t>cross</w:t>
      </w:r>
      <w:r w:rsidR="005B7418">
        <w:rPr>
          <w:color w:val="000000" w:themeColor="text1"/>
        </w:rPr>
        <w:t xml:space="preserve"> </w:t>
      </w:r>
      <w:r w:rsidR="00600401">
        <w:rPr>
          <w:color w:val="000000" w:themeColor="text1"/>
        </w:rPr>
        <w:t>all treatment groups</w:t>
      </w:r>
      <w:r w:rsidR="00C15AAB">
        <w:rPr>
          <w:color w:val="000000" w:themeColor="text1"/>
        </w:rPr>
        <w:t xml:space="preserve"> (RISE CSR Addendum 2)</w:t>
      </w:r>
      <w:r w:rsidR="00600401">
        <w:rPr>
          <w:color w:val="000000" w:themeColor="text1"/>
        </w:rPr>
        <w:t>.</w:t>
      </w:r>
    </w:p>
    <w:p w14:paraId="31997298" w14:textId="38E8CB30" w:rsidR="00C15AAB" w:rsidRPr="00C7236D" w:rsidRDefault="004E3DE3" w:rsidP="001427AB">
      <w:pPr>
        <w:pStyle w:val="3-BodyText"/>
      </w:pPr>
      <w:r>
        <w:t>The evaluation considered these</w:t>
      </w:r>
      <w:r w:rsidR="001427AB" w:rsidRPr="001427AB">
        <w:t xml:space="preserve"> findings indicate that active and placebo injections were not treated in the same manner, </w:t>
      </w:r>
      <w:r w:rsidR="00794DD9">
        <w:t xml:space="preserve">supporting </w:t>
      </w:r>
      <w:r w:rsidR="00E70954">
        <w:t>its notion</w:t>
      </w:r>
      <w:r w:rsidR="00794DD9">
        <w:t xml:space="preserve"> that there </w:t>
      </w:r>
      <w:r w:rsidR="00E70954">
        <w:t>was a High</w:t>
      </w:r>
      <w:r w:rsidR="001427AB" w:rsidRPr="001427AB">
        <w:t xml:space="preserve"> risk of unblinding.</w:t>
      </w:r>
    </w:p>
    <w:p w14:paraId="12FA6834" w14:textId="6C65BA70" w:rsidR="0071763D" w:rsidRPr="007E6754" w:rsidRDefault="0071763D">
      <w:pPr>
        <w:pStyle w:val="3-BodyText"/>
      </w:pPr>
      <w:r>
        <w:t>In RISE, Hough</w:t>
      </w:r>
      <w:r w:rsidR="00463F70">
        <w:t xml:space="preserve"> (</w:t>
      </w:r>
      <w:r>
        <w:t>2010</w:t>
      </w:r>
      <w:r w:rsidR="00463F70">
        <w:t>)</w:t>
      </w:r>
      <w:r>
        <w:t xml:space="preserve"> and ASPIRE</w:t>
      </w:r>
      <w:r w:rsidR="00463F70">
        <w:t>,</w:t>
      </w:r>
      <w:r>
        <w:t xml:space="preserve"> patients were only randomised after complex and prolonged preliminary phases.</w:t>
      </w:r>
    </w:p>
    <w:p w14:paraId="7EC717FB" w14:textId="192EBA49" w:rsidR="00233E4F" w:rsidRDefault="00E54D21" w:rsidP="00CF0BCD">
      <w:pPr>
        <w:pStyle w:val="3-BodyText"/>
      </w:pPr>
      <w:r>
        <w:t xml:space="preserve">Patients in RISE </w:t>
      </w:r>
      <w:r w:rsidR="0047268D">
        <w:t>entered</w:t>
      </w:r>
      <w:r w:rsidR="00E91FDD">
        <w:t xml:space="preserve"> an </w:t>
      </w:r>
      <w:r w:rsidR="00AE0CDD">
        <w:t>open</w:t>
      </w:r>
      <w:r w:rsidR="002D15C9">
        <w:noBreakHyphen/>
      </w:r>
      <w:r w:rsidR="00AE0CDD">
        <w:t xml:space="preserve">label </w:t>
      </w:r>
      <w:r w:rsidR="00E91FDD">
        <w:t>oral conversion phase, lasting up to 12 weeks, in which they stopped their current treatment</w:t>
      </w:r>
      <w:r w:rsidR="00AE0CDD">
        <w:t>, including other brands of risperidone</w:t>
      </w:r>
      <w:r w:rsidR="00DB6FBC">
        <w:t xml:space="preserve"> LAI,</w:t>
      </w:r>
      <w:r w:rsidR="00E91FDD">
        <w:t xml:space="preserve"> and changed to oral risperidone 2</w:t>
      </w:r>
      <w:r w:rsidR="002D15C9">
        <w:noBreakHyphen/>
      </w:r>
      <w:r w:rsidR="00E91FDD">
        <w:t>5 mg/day</w:t>
      </w:r>
      <w:r w:rsidR="00AE0CDD">
        <w:t xml:space="preserve">. </w:t>
      </w:r>
      <w:r w:rsidR="00E91FDD">
        <w:t>Patient</w:t>
      </w:r>
      <w:r w:rsidR="0049599C">
        <w:t>s</w:t>
      </w:r>
      <w:r w:rsidR="00E91FDD">
        <w:t xml:space="preserve"> </w:t>
      </w:r>
      <w:r w:rsidR="0049599C">
        <w:t xml:space="preserve">had to </w:t>
      </w:r>
      <w:r w:rsidR="000606BE">
        <w:t>stabilise</w:t>
      </w:r>
      <w:r w:rsidR="00E91FDD">
        <w:t xml:space="preserve"> on oral risperidone for at least four consecutive weeks </w:t>
      </w:r>
      <w:r w:rsidR="00DB292C">
        <w:t xml:space="preserve">before baseline to be eligible for </w:t>
      </w:r>
      <w:r w:rsidR="00DB292C">
        <w:lastRenderedPageBreak/>
        <w:t>randomisation</w:t>
      </w:r>
      <w:r w:rsidR="00B10276">
        <w:t>. P</w:t>
      </w:r>
      <w:r w:rsidR="00AE0CDD">
        <w:t xml:space="preserve">atients </w:t>
      </w:r>
      <w:r w:rsidR="00B10276">
        <w:t>requiring</w:t>
      </w:r>
      <w:r w:rsidR="00AE0CDD">
        <w:t xml:space="preserve"> les</w:t>
      </w:r>
      <w:r w:rsidR="00B10276">
        <w:t>s</w:t>
      </w:r>
      <w:r w:rsidR="00AE0CDD">
        <w:t xml:space="preserve"> than 2 mg/day </w:t>
      </w:r>
      <w:r w:rsidR="00B10276">
        <w:t>or more than 5 mg/day</w:t>
      </w:r>
      <w:r w:rsidR="00B90405">
        <w:t xml:space="preserve"> were not randomised because they</w:t>
      </w:r>
      <w:r w:rsidR="00B10276">
        <w:t xml:space="preserve"> </w:t>
      </w:r>
      <w:r w:rsidR="00AE0CDD">
        <w:t xml:space="preserve">could not be treated with the lowest </w:t>
      </w:r>
      <w:r w:rsidR="00B10276">
        <w:t xml:space="preserve">or highest </w:t>
      </w:r>
      <w:r w:rsidR="00AE0CDD">
        <w:t>dose</w:t>
      </w:r>
      <w:r w:rsidR="00B90405" w:rsidRPr="00B90405">
        <w:t xml:space="preserve"> </w:t>
      </w:r>
      <w:r w:rsidR="00B90405">
        <w:t>of MRSC risperidone</w:t>
      </w:r>
      <w:r w:rsidR="00B10276">
        <w:t>, respectively</w:t>
      </w:r>
      <w:r w:rsidR="00AE0CDD">
        <w:t xml:space="preserve">. </w:t>
      </w:r>
      <w:r w:rsidR="005B74B1">
        <w:t>Of 1</w:t>
      </w:r>
      <w:r w:rsidR="00DB6FBC">
        <w:t>8</w:t>
      </w:r>
      <w:r w:rsidR="005B74B1">
        <w:t xml:space="preserve">3 patients randomised to monthly </w:t>
      </w:r>
      <w:r w:rsidR="00B86314">
        <w:t xml:space="preserve">MRSC </w:t>
      </w:r>
      <w:r w:rsidR="005B74B1">
        <w:t>risperidone, 47 (26%)</w:t>
      </w:r>
      <w:r w:rsidR="00292344">
        <w:t xml:space="preserve"> </w:t>
      </w:r>
      <w:r w:rsidR="005B74B1">
        <w:t>were stabilised on an oral dose of 2 mg/day and received 50 mg monthly, 46 (25%) were stabilised on 3 mg/day and received 75 mg monthly, 68 (37%) were stabilised on 4 mg/day and received 100 mg monthly</w:t>
      </w:r>
      <w:r w:rsidR="0098500D">
        <w:t>,</w:t>
      </w:r>
      <w:r w:rsidR="005B74B1">
        <w:t xml:space="preserve"> and 22 (12%) were stabilised on 5 mg/day and received 125 mg monthly. </w:t>
      </w:r>
      <w:r w:rsidR="00233E4F" w:rsidRPr="00C7236D">
        <w:rPr>
          <w:iCs/>
        </w:rPr>
        <w:t>These doses were relatively low, the recommended dose in the risperidone oral PIs being 4</w:t>
      </w:r>
      <w:r w:rsidR="002D15C9">
        <w:rPr>
          <w:iCs/>
        </w:rPr>
        <w:noBreakHyphen/>
      </w:r>
      <w:r w:rsidR="00233E4F" w:rsidRPr="00C7236D">
        <w:rPr>
          <w:iCs/>
        </w:rPr>
        <w:t xml:space="preserve">6 mg/day </w:t>
      </w:r>
      <w:r w:rsidR="00DB6FBC" w:rsidRPr="00C7236D">
        <w:rPr>
          <w:iCs/>
        </w:rPr>
        <w:t>and</w:t>
      </w:r>
      <w:r w:rsidR="00233E4F" w:rsidRPr="00C7236D">
        <w:rPr>
          <w:iCs/>
        </w:rPr>
        <w:t xml:space="preserve"> </w:t>
      </w:r>
      <w:r w:rsidR="00AC606D" w:rsidRPr="00C7236D">
        <w:rPr>
          <w:iCs/>
        </w:rPr>
        <w:t>the highest approved dose 16 mg/day.</w:t>
      </w:r>
    </w:p>
    <w:p w14:paraId="5F64CB5B" w14:textId="69BC696D" w:rsidR="00BF46D7" w:rsidRDefault="00E54D21" w:rsidP="00CF0BCD">
      <w:pPr>
        <w:pStyle w:val="3-BodyText"/>
      </w:pPr>
      <w:r>
        <w:t>Patients in Hough</w:t>
      </w:r>
      <w:r w:rsidR="00826F7A">
        <w:t xml:space="preserve"> (</w:t>
      </w:r>
      <w:r>
        <w:t>2010</w:t>
      </w:r>
      <w:r w:rsidR="00826F7A">
        <w:t xml:space="preserve">) </w:t>
      </w:r>
      <w:r w:rsidR="00565F0D">
        <w:t xml:space="preserve">who had not been treated previously with </w:t>
      </w:r>
      <w:r w:rsidR="0067054B">
        <w:t>PP1M,</w:t>
      </w:r>
      <w:r w:rsidR="00857A31">
        <w:t xml:space="preserve"> </w:t>
      </w:r>
      <w:r w:rsidR="00565F0D">
        <w:t xml:space="preserve">or risperidone </w:t>
      </w:r>
      <w:r>
        <w:t xml:space="preserve">were given two oral doses of </w:t>
      </w:r>
      <w:r w:rsidR="00857A31">
        <w:t>PP1M</w:t>
      </w:r>
      <w:r>
        <w:t xml:space="preserve">, and those who </w:t>
      </w:r>
      <w:r w:rsidR="0047268D">
        <w:t xml:space="preserve">tolerated </w:t>
      </w:r>
      <w:r w:rsidR="00565F0D">
        <w:t xml:space="preserve">those doses or had been previously treated with </w:t>
      </w:r>
      <w:r w:rsidR="00857A31">
        <w:t xml:space="preserve">PP1M </w:t>
      </w:r>
      <w:r w:rsidR="00565F0D">
        <w:t>or risperidone</w:t>
      </w:r>
      <w:r>
        <w:t xml:space="preserve"> entered a </w:t>
      </w:r>
      <w:r w:rsidR="00951430">
        <w:t>9</w:t>
      </w:r>
      <w:r w:rsidR="002D15C9">
        <w:noBreakHyphen/>
      </w:r>
      <w:r w:rsidR="00951430">
        <w:t>week</w:t>
      </w:r>
      <w:r>
        <w:t xml:space="preserve"> open</w:t>
      </w:r>
      <w:r w:rsidR="002D15C9">
        <w:noBreakHyphen/>
      </w:r>
      <w:r>
        <w:t>label transition phase, switching from their previous medication to paliperidone LAI</w:t>
      </w:r>
      <w:r w:rsidR="00853374">
        <w:t>. T</w:t>
      </w:r>
      <w:r>
        <w:t xml:space="preserve">hose who were stable at week 9 entered a </w:t>
      </w:r>
      <w:r w:rsidR="0067054B">
        <w:t>12</w:t>
      </w:r>
      <w:r w:rsidR="002D15C9">
        <w:noBreakHyphen/>
      </w:r>
      <w:r w:rsidR="0067054B">
        <w:t>week</w:t>
      </w:r>
      <w:r>
        <w:t xml:space="preserve"> open</w:t>
      </w:r>
      <w:r w:rsidR="002D15C9">
        <w:noBreakHyphen/>
      </w:r>
      <w:r>
        <w:t xml:space="preserve">label dose adjustment phase, and then a </w:t>
      </w:r>
      <w:r w:rsidR="003020E8">
        <w:t>12</w:t>
      </w:r>
      <w:r w:rsidR="002D15C9">
        <w:noBreakHyphen/>
      </w:r>
      <w:r w:rsidR="003020E8">
        <w:t>week</w:t>
      </w:r>
      <w:r>
        <w:t xml:space="preserve"> open</w:t>
      </w:r>
      <w:r w:rsidR="002D15C9">
        <w:noBreakHyphen/>
      </w:r>
      <w:r>
        <w:t>label phase of treatment at the dose established in the preceding phase</w:t>
      </w:r>
      <w:r w:rsidR="00853374">
        <w:t>. S</w:t>
      </w:r>
      <w:r>
        <w:t xml:space="preserve">table patients </w:t>
      </w:r>
      <w:r w:rsidR="00BF46D7">
        <w:t xml:space="preserve">were randomised 1:1 to </w:t>
      </w:r>
      <w:r w:rsidR="00A4074C">
        <w:t>PP1M</w:t>
      </w:r>
      <w:r w:rsidR="00BF46D7">
        <w:t xml:space="preserve"> at their established dose or placebo.</w:t>
      </w:r>
    </w:p>
    <w:p w14:paraId="5ABE0E80" w14:textId="18AE374D" w:rsidR="0049599C" w:rsidRDefault="00BF46D7" w:rsidP="00CF0BCD">
      <w:pPr>
        <w:pStyle w:val="3-BodyText"/>
      </w:pPr>
      <w:r>
        <w:t>Patients in ASPIRE were converted from their previous medication to oral aripi</w:t>
      </w:r>
      <w:r w:rsidR="00B17BDB">
        <w:t>p</w:t>
      </w:r>
      <w:r>
        <w:t>razole 10 mg/day over 4</w:t>
      </w:r>
      <w:r w:rsidR="002D15C9">
        <w:noBreakHyphen/>
      </w:r>
      <w:r>
        <w:t>6 weeks. Patients were then titrated to an oral dose of 10</w:t>
      </w:r>
      <w:r w:rsidR="002D15C9">
        <w:noBreakHyphen/>
      </w:r>
      <w:r>
        <w:t>30 mg/day over 4</w:t>
      </w:r>
      <w:r w:rsidR="002D15C9">
        <w:noBreakHyphen/>
      </w:r>
      <w:r>
        <w:t>12 weeks. Stable patients transitioned to single</w:t>
      </w:r>
      <w:r w:rsidR="002D15C9">
        <w:noBreakHyphen/>
      </w:r>
      <w:r>
        <w:t xml:space="preserve">blind </w:t>
      </w:r>
      <w:r w:rsidR="007D37F7">
        <w:t>A1M</w:t>
      </w:r>
      <w:r w:rsidR="009A2B3B">
        <w:t xml:space="preserve"> </w:t>
      </w:r>
      <w:r>
        <w:t>at 300 mg or 400 mg monthly for 12</w:t>
      </w:r>
      <w:r w:rsidR="002D15C9">
        <w:noBreakHyphen/>
      </w:r>
      <w:r>
        <w:t xml:space="preserve">36 weeks. Patients </w:t>
      </w:r>
      <w:r w:rsidR="00E13ADD">
        <w:t xml:space="preserve">who were </w:t>
      </w:r>
      <w:r>
        <w:t xml:space="preserve">stable for 12 consecutive weeks were randomised 2:1 to continue </w:t>
      </w:r>
      <w:r w:rsidR="007D37F7">
        <w:t>A1M</w:t>
      </w:r>
      <w:r w:rsidR="009A2B3B">
        <w:t xml:space="preserve"> </w:t>
      </w:r>
      <w:r>
        <w:t>or placebo for 52 weeks.</w:t>
      </w:r>
    </w:p>
    <w:p w14:paraId="6C034906" w14:textId="02C06980" w:rsidR="00415DDD" w:rsidRDefault="00AB26ED" w:rsidP="00CF0BCD">
      <w:pPr>
        <w:pStyle w:val="3-BodyText"/>
      </w:pPr>
      <w:r>
        <w:t>The flow</w:t>
      </w:r>
      <w:r w:rsidR="005A41AE">
        <w:t>s</w:t>
      </w:r>
      <w:r>
        <w:t xml:space="preserve"> of patients through the trials </w:t>
      </w:r>
      <w:r w:rsidR="005A41AE">
        <w:t>are</w:t>
      </w:r>
      <w:r>
        <w:t xml:space="preserve"> shown in </w:t>
      </w:r>
      <w:r w:rsidR="005A41AE">
        <w:t>the CONSORT diagrams in Attachment</w:t>
      </w:r>
      <w:r w:rsidR="00723D5E">
        <w:t xml:space="preserve"> </w:t>
      </w:r>
      <w:r w:rsidR="00F22803">
        <w:t>2</w:t>
      </w:r>
      <w:r w:rsidR="00723D5E">
        <w:t>.</w:t>
      </w:r>
      <w:r w:rsidR="00292344">
        <w:t xml:space="preserve"> </w:t>
      </w:r>
      <w:r w:rsidR="005A41AE">
        <w:t xml:space="preserve">Withdrawals </w:t>
      </w:r>
      <w:r w:rsidR="00D27939">
        <w:t xml:space="preserve">due to </w:t>
      </w:r>
      <w:r w:rsidR="005A41AE">
        <w:t>adverse events or lack of efficacy were common in all trials during the preliminary phases:</w:t>
      </w:r>
    </w:p>
    <w:p w14:paraId="23887E5D" w14:textId="1E58E681" w:rsidR="00415DDD" w:rsidRDefault="00415DDD" w:rsidP="00F43608">
      <w:pPr>
        <w:pStyle w:val="ListParagraph"/>
        <w:numPr>
          <w:ilvl w:val="1"/>
          <w:numId w:val="6"/>
        </w:numPr>
      </w:pPr>
      <w:r>
        <w:t xml:space="preserve">In </w:t>
      </w:r>
      <w:r w:rsidR="005A41AE">
        <w:t>Hough</w:t>
      </w:r>
      <w:r w:rsidR="00D27939">
        <w:t xml:space="preserve"> (</w:t>
      </w:r>
      <w:r w:rsidR="005A41AE">
        <w:t>2010</w:t>
      </w:r>
      <w:r w:rsidR="00D27939">
        <w:t>)</w:t>
      </w:r>
      <w:r w:rsidR="005A41AE">
        <w:t xml:space="preserve">, </w:t>
      </w:r>
      <w:r w:rsidR="00D27939">
        <w:t xml:space="preserve">541 </w:t>
      </w:r>
      <w:r w:rsidR="005A41AE">
        <w:t xml:space="preserve">of 951 patients enrolled were excluded before randomisation, </w:t>
      </w:r>
      <w:r w:rsidR="00BA501A">
        <w:t>of whom</w:t>
      </w:r>
      <w:r w:rsidR="00246EB6">
        <w:t xml:space="preserve"> 108 chose to withdraw and</w:t>
      </w:r>
      <w:r w:rsidR="00BA501A">
        <w:t xml:space="preserve"> 103 were excluded for adverse events or failure to meet stability </w:t>
      </w:r>
      <w:r w:rsidR="00951430">
        <w:t>criteria</w:t>
      </w:r>
      <w:r w:rsidR="00D27939">
        <w:t>.</w:t>
      </w:r>
    </w:p>
    <w:p w14:paraId="1C86EB49" w14:textId="1EC591B7" w:rsidR="00415DDD" w:rsidRDefault="00D27939" w:rsidP="00F43608">
      <w:pPr>
        <w:pStyle w:val="ListParagraph"/>
        <w:numPr>
          <w:ilvl w:val="1"/>
          <w:numId w:val="6"/>
        </w:numPr>
      </w:pPr>
      <w:r>
        <w:t>I</w:t>
      </w:r>
      <w:r w:rsidR="005A41AE">
        <w:t>n ASPIRE</w:t>
      </w:r>
      <w:r w:rsidR="00415DDD">
        <w:t xml:space="preserve">, </w:t>
      </w:r>
      <w:r w:rsidR="003020E8">
        <w:t>440 of</w:t>
      </w:r>
      <w:r w:rsidR="005A41AE">
        <w:t xml:space="preserve"> 843 enrolled were excluded before randomisation</w:t>
      </w:r>
      <w:r w:rsidR="00BA501A">
        <w:t xml:space="preserve">, of whom </w:t>
      </w:r>
      <w:r w:rsidR="00246EB6">
        <w:t xml:space="preserve">82 withdrew consent and </w:t>
      </w:r>
      <w:r w:rsidR="00BA501A">
        <w:t>87 were excluded for adverse events or lack of efficacy</w:t>
      </w:r>
      <w:r w:rsidR="00415DDD">
        <w:t>.</w:t>
      </w:r>
    </w:p>
    <w:p w14:paraId="65C66B63" w14:textId="0DDD4447" w:rsidR="004B1B50" w:rsidRDefault="00415DDD" w:rsidP="00F43608">
      <w:pPr>
        <w:pStyle w:val="ListParagraph"/>
        <w:numPr>
          <w:ilvl w:val="1"/>
          <w:numId w:val="6"/>
        </w:numPr>
      </w:pPr>
      <w:r>
        <w:t>I</w:t>
      </w:r>
      <w:r w:rsidR="00BA501A">
        <w:t xml:space="preserve">n RISE </w:t>
      </w:r>
      <w:r w:rsidR="00DE6E7E">
        <w:t xml:space="preserve">319 of </w:t>
      </w:r>
      <w:r w:rsidR="00BA501A">
        <w:t>863 patients enrolled were excluded or withdrew before randomisation</w:t>
      </w:r>
      <w:r w:rsidR="00246EB6">
        <w:t>, of whom 114 withdrew consent and 75 were excluded for adverse events or not meeting stability criteria</w:t>
      </w:r>
      <w:r w:rsidR="00BA501A">
        <w:t xml:space="preserve">. This </w:t>
      </w:r>
      <w:r w:rsidR="005A41AE">
        <w:t>is likely to have led to over</w:t>
      </w:r>
      <w:r w:rsidR="002D15C9">
        <w:noBreakHyphen/>
      </w:r>
      <w:r w:rsidR="005A41AE">
        <w:t>estimation of efficacy and under</w:t>
      </w:r>
      <w:r w:rsidR="002D15C9">
        <w:noBreakHyphen/>
      </w:r>
      <w:r w:rsidR="005A41AE">
        <w:t>estimation of adverse events during the double</w:t>
      </w:r>
      <w:r w:rsidR="002D15C9">
        <w:noBreakHyphen/>
      </w:r>
      <w:r w:rsidR="005A41AE">
        <w:t>blind phases.</w:t>
      </w:r>
    </w:p>
    <w:p w14:paraId="75ED1FBE" w14:textId="297D69F1" w:rsidR="00E51E4F" w:rsidRDefault="003C125B" w:rsidP="00EA2A5D">
      <w:pPr>
        <w:pStyle w:val="3-BodyText"/>
      </w:pPr>
      <w:r>
        <w:t>In all three trials t</w:t>
      </w:r>
      <w:r w:rsidR="00BA501A">
        <w:t xml:space="preserve">he </w:t>
      </w:r>
      <w:r w:rsidR="00E51E4F">
        <w:t xml:space="preserve">primary </w:t>
      </w:r>
      <w:r w:rsidR="00BA501A">
        <w:t>outcome</w:t>
      </w:r>
      <w:r w:rsidR="00E51E4F">
        <w:t xml:space="preserve"> was time to relapse. </w:t>
      </w:r>
      <w:r w:rsidR="002D5356">
        <w:t>R</w:t>
      </w:r>
      <w:r w:rsidR="00E51E4F">
        <w:t>elapse</w:t>
      </w:r>
      <w:r w:rsidR="00DC779C">
        <w:t xml:space="preserve"> </w:t>
      </w:r>
      <w:r w:rsidR="003E605A">
        <w:t>was defined as hospitalisation for psychosis, violent behaviour,</w:t>
      </w:r>
      <w:r w:rsidR="002D5356">
        <w:t xml:space="preserve"> suicidality,</w:t>
      </w:r>
      <w:r w:rsidR="003E605A">
        <w:t xml:space="preserve"> or worsening of manifestations of schizophrenia as assessed by the PANSS score. Details </w:t>
      </w:r>
      <w:r w:rsidR="00DC779C">
        <w:t xml:space="preserve">were the same for RISE and ASPIRE (which had the same </w:t>
      </w:r>
      <w:r w:rsidR="003D20E7">
        <w:t>chief investigator</w:t>
      </w:r>
      <w:r w:rsidR="00C24CBC">
        <w:t>),</w:t>
      </w:r>
      <w:r w:rsidR="003D20E7">
        <w:t xml:space="preserve"> but</w:t>
      </w:r>
      <w:r w:rsidR="00DB6FBC">
        <w:t xml:space="preserve"> they differed in</w:t>
      </w:r>
      <w:r w:rsidR="003D20E7">
        <w:t xml:space="preserve"> Hough</w:t>
      </w:r>
      <w:r w:rsidR="00561335">
        <w:t xml:space="preserve"> (</w:t>
      </w:r>
      <w:r w:rsidR="003D20E7">
        <w:t>2010</w:t>
      </w:r>
      <w:r w:rsidR="00561335">
        <w:t>)</w:t>
      </w:r>
      <w:r w:rsidR="003D20E7">
        <w:t xml:space="preserve"> </w:t>
      </w:r>
      <w:r w:rsidR="00DB6FBC">
        <w:t>in that a relapse</w:t>
      </w:r>
      <w:r w:rsidR="003D20E7">
        <w:t xml:space="preserve"> based on PANSS scores </w:t>
      </w:r>
      <w:r w:rsidR="00565F0D">
        <w:t>require</w:t>
      </w:r>
      <w:r w:rsidR="00DB6FBC">
        <w:t>d</w:t>
      </w:r>
      <w:r w:rsidR="00565F0D">
        <w:t xml:space="preserve"> the scores</w:t>
      </w:r>
      <w:r w:rsidR="00B87900">
        <w:t xml:space="preserve"> to be </w:t>
      </w:r>
      <w:r w:rsidR="00B87900">
        <w:lastRenderedPageBreak/>
        <w:t>increased at two consecutive assessments</w:t>
      </w:r>
      <w:r w:rsidR="00E51E4F">
        <w:t>.</w:t>
      </w:r>
      <w:r w:rsidR="00B87900">
        <w:t xml:space="preserve"> Details of the relapse criteria are provided in </w:t>
      </w:r>
      <w:r w:rsidR="00B87900" w:rsidRPr="00326427">
        <w:t xml:space="preserve">Attachment </w:t>
      </w:r>
      <w:r w:rsidR="00F22803">
        <w:t>2</w:t>
      </w:r>
      <w:r w:rsidR="007779A9" w:rsidRPr="00326427">
        <w:t xml:space="preserve">, Table </w:t>
      </w:r>
      <w:r w:rsidR="00475DE7">
        <w:t>A2</w:t>
      </w:r>
      <w:r w:rsidR="007779A9" w:rsidRPr="00326427">
        <w:t>.1</w:t>
      </w:r>
      <w:r w:rsidR="00B87900" w:rsidRPr="00326427">
        <w:t>.</w:t>
      </w:r>
    </w:p>
    <w:p w14:paraId="5760E1E7" w14:textId="65A359A2" w:rsidR="00A5171F" w:rsidRDefault="00561335" w:rsidP="00CF0BCD">
      <w:pPr>
        <w:pStyle w:val="3-BodyText"/>
      </w:pPr>
      <w:r>
        <w:t>The b</w:t>
      </w:r>
      <w:r w:rsidR="00D365E4">
        <w:t>aseline characteristics of</w:t>
      </w:r>
      <w:r>
        <w:t xml:space="preserve"> the</w:t>
      </w:r>
      <w:r w:rsidR="00D365E4">
        <w:t xml:space="preserve"> </w:t>
      </w:r>
      <w:r w:rsidR="00E30F0D">
        <w:t>randomised</w:t>
      </w:r>
      <w:r w:rsidR="00D365E4">
        <w:t xml:space="preserve"> patients in the trials are shown in </w:t>
      </w:r>
      <w:r w:rsidR="00D365E4" w:rsidRPr="00326427">
        <w:t xml:space="preserve">Table </w:t>
      </w:r>
      <w:r w:rsidR="00475DE7">
        <w:t>A2</w:t>
      </w:r>
      <w:r w:rsidR="00326427" w:rsidRPr="00326427">
        <w:t>.</w:t>
      </w:r>
      <w:r w:rsidR="00475DE7">
        <w:t>2</w:t>
      </w:r>
      <w:r w:rsidR="00326427" w:rsidRPr="00326427">
        <w:t xml:space="preserve"> </w:t>
      </w:r>
      <w:r w:rsidR="00D365E4" w:rsidRPr="00326427">
        <w:t xml:space="preserve">in Attachment </w:t>
      </w:r>
      <w:r w:rsidR="00F22803">
        <w:t>2</w:t>
      </w:r>
      <w:r w:rsidR="00723D5E" w:rsidRPr="00326427">
        <w:t xml:space="preserve">. </w:t>
      </w:r>
      <w:r w:rsidR="003B3206" w:rsidRPr="00326427">
        <w:t>Little d</w:t>
      </w:r>
      <w:r w:rsidR="00E30F0D" w:rsidRPr="00326427">
        <w:t xml:space="preserve">ata on </w:t>
      </w:r>
      <w:r>
        <w:t xml:space="preserve">the </w:t>
      </w:r>
      <w:r w:rsidR="00E30F0D" w:rsidRPr="00326427">
        <w:t>characteristics of patie</w:t>
      </w:r>
      <w:r w:rsidR="00E30F0D">
        <w:t>nts excluded during the open</w:t>
      </w:r>
      <w:r w:rsidR="002D15C9">
        <w:noBreakHyphen/>
      </w:r>
      <w:r w:rsidR="00E30F0D">
        <w:t xml:space="preserve">label phases were reported. </w:t>
      </w:r>
      <w:r w:rsidR="00057F6E">
        <w:t xml:space="preserve">Only data for patients in RISE randomised to monthly </w:t>
      </w:r>
      <w:r w:rsidR="0019263D">
        <w:t xml:space="preserve">MRSC </w:t>
      </w:r>
      <w:r w:rsidR="00057F6E">
        <w:t xml:space="preserve">risperidone </w:t>
      </w:r>
      <w:r w:rsidR="002119AE">
        <w:t xml:space="preserve">was </w:t>
      </w:r>
      <w:r w:rsidR="00057F6E">
        <w:t>included.</w:t>
      </w:r>
    </w:p>
    <w:p w14:paraId="1203D447" w14:textId="45217CA8" w:rsidR="00745876" w:rsidRDefault="00FC41D0" w:rsidP="00A73029">
      <w:pPr>
        <w:pStyle w:val="3-BodyText"/>
        <w:rPr>
          <w:color w:val="000000" w:themeColor="text1"/>
        </w:rPr>
      </w:pPr>
      <w:r w:rsidRPr="00DC779C">
        <w:rPr>
          <w:color w:val="000000" w:themeColor="text1"/>
        </w:rPr>
        <w:t xml:space="preserve">Important differences </w:t>
      </w:r>
      <w:r w:rsidR="001D47B8" w:rsidRPr="00DC779C">
        <w:rPr>
          <w:color w:val="000000" w:themeColor="text1"/>
        </w:rPr>
        <w:t xml:space="preserve">in </w:t>
      </w:r>
      <w:r w:rsidR="001D47B8">
        <w:rPr>
          <w:color w:val="000000" w:themeColor="text1"/>
        </w:rPr>
        <w:t xml:space="preserve">the </w:t>
      </w:r>
      <w:r w:rsidR="001D47B8" w:rsidRPr="00DC779C">
        <w:rPr>
          <w:color w:val="000000" w:themeColor="text1"/>
        </w:rPr>
        <w:t>baseline characteristics</w:t>
      </w:r>
      <w:r w:rsidR="001D47B8">
        <w:rPr>
          <w:color w:val="000000" w:themeColor="text1"/>
        </w:rPr>
        <w:t xml:space="preserve"> of age and race</w:t>
      </w:r>
      <w:r w:rsidR="001D47B8" w:rsidRPr="00DC779C">
        <w:rPr>
          <w:color w:val="000000" w:themeColor="text1"/>
        </w:rPr>
        <w:t xml:space="preserve"> </w:t>
      </w:r>
      <w:r w:rsidRPr="00DC779C">
        <w:rPr>
          <w:color w:val="000000" w:themeColor="text1"/>
        </w:rPr>
        <w:t>among the studies were that the patients in RISE were older and much more likely to be Black than in either of the other two studies.</w:t>
      </w:r>
      <w:r w:rsidR="00597600">
        <w:rPr>
          <w:color w:val="000000" w:themeColor="text1"/>
        </w:rPr>
        <w:t xml:space="preserve"> Since there </w:t>
      </w:r>
      <w:r w:rsidR="005F4EEA">
        <w:rPr>
          <w:color w:val="000000" w:themeColor="text1"/>
        </w:rPr>
        <w:t xml:space="preserve">were </w:t>
      </w:r>
      <w:r w:rsidR="00597600">
        <w:rPr>
          <w:color w:val="000000" w:themeColor="text1"/>
        </w:rPr>
        <w:t>480 patients enrolled in the USA and 63 enrolled in Bulgaria (RISE CSR)</w:t>
      </w:r>
      <w:r w:rsidR="001D47B8">
        <w:rPr>
          <w:color w:val="000000" w:themeColor="text1"/>
        </w:rPr>
        <w:t>,</w:t>
      </w:r>
      <w:r w:rsidR="00597600">
        <w:rPr>
          <w:color w:val="000000" w:themeColor="text1"/>
        </w:rPr>
        <w:t xml:space="preserve"> the over</w:t>
      </w:r>
      <w:r w:rsidR="002D15C9">
        <w:rPr>
          <w:color w:val="000000" w:themeColor="text1"/>
        </w:rPr>
        <w:noBreakHyphen/>
      </w:r>
      <w:r w:rsidR="00597600">
        <w:rPr>
          <w:color w:val="000000" w:themeColor="text1"/>
        </w:rPr>
        <w:t xml:space="preserve">representation of Black patients in the US cohort would be </w:t>
      </w:r>
      <w:r w:rsidR="006A33FE">
        <w:rPr>
          <w:color w:val="000000" w:themeColor="text1"/>
        </w:rPr>
        <w:t xml:space="preserve">slightly </w:t>
      </w:r>
      <w:r w:rsidR="00597600">
        <w:rPr>
          <w:color w:val="000000" w:themeColor="text1"/>
        </w:rPr>
        <w:t>greater than in the study overall</w:t>
      </w:r>
      <w:r w:rsidR="00064B4C">
        <w:rPr>
          <w:color w:val="000000" w:themeColor="text1"/>
        </w:rPr>
        <w:t>.</w:t>
      </w:r>
    </w:p>
    <w:p w14:paraId="02871B16" w14:textId="299493EE" w:rsidR="00110D39" w:rsidRDefault="00565F0D" w:rsidP="00962D70">
      <w:pPr>
        <w:pStyle w:val="3-BodyText"/>
        <w:rPr>
          <w:color w:val="000000" w:themeColor="text1"/>
        </w:rPr>
      </w:pPr>
      <w:r>
        <w:rPr>
          <w:color w:val="000000" w:themeColor="text1"/>
        </w:rPr>
        <w:t>No reason for th</w:t>
      </w:r>
      <w:r w:rsidR="00745876">
        <w:rPr>
          <w:color w:val="000000" w:themeColor="text1"/>
        </w:rPr>
        <w:t>e over</w:t>
      </w:r>
      <w:r w:rsidR="002D15C9">
        <w:rPr>
          <w:color w:val="000000" w:themeColor="text1"/>
        </w:rPr>
        <w:noBreakHyphen/>
      </w:r>
      <w:r w:rsidR="00745876">
        <w:rPr>
          <w:color w:val="000000" w:themeColor="text1"/>
        </w:rPr>
        <w:t>representation of Black patients</w:t>
      </w:r>
      <w:r>
        <w:rPr>
          <w:color w:val="000000" w:themeColor="text1"/>
        </w:rPr>
        <w:t xml:space="preserve"> was </w:t>
      </w:r>
      <w:r w:rsidR="00604AD3">
        <w:rPr>
          <w:color w:val="000000" w:themeColor="text1"/>
        </w:rPr>
        <w:t xml:space="preserve">provided </w:t>
      </w:r>
      <w:r>
        <w:rPr>
          <w:color w:val="000000" w:themeColor="text1"/>
        </w:rPr>
        <w:t xml:space="preserve">in the study reports. </w:t>
      </w:r>
      <w:r w:rsidR="00064B4C">
        <w:t xml:space="preserve">Black populations </w:t>
      </w:r>
      <w:r w:rsidR="00745876">
        <w:t>are more likely to be</w:t>
      </w:r>
      <w:r w:rsidR="00064B4C">
        <w:t xml:space="preserve"> diagnosed with schizophrenia than white populations</w:t>
      </w:r>
      <w:r w:rsidR="00A308EB">
        <w:t>:</w:t>
      </w:r>
      <w:r w:rsidR="00064B4C">
        <w:t xml:space="preserve"> e</w:t>
      </w:r>
      <w:r w:rsidR="00A308EB">
        <w:t>.</w:t>
      </w:r>
      <w:r w:rsidR="00064B4C">
        <w:t>g</w:t>
      </w:r>
      <w:r w:rsidR="00A308EB">
        <w:t>.</w:t>
      </w:r>
      <w:r w:rsidR="00064B4C">
        <w:t>, in a recent meta</w:t>
      </w:r>
      <w:r w:rsidR="002D15C9">
        <w:noBreakHyphen/>
      </w:r>
      <w:r w:rsidR="00064B4C">
        <w:t>analysis</w:t>
      </w:r>
      <w:r w:rsidR="005F4EEA">
        <w:t xml:space="preserve"> of US data</w:t>
      </w:r>
      <w:r w:rsidR="00064B4C">
        <w:t xml:space="preserve"> OR (95% CI) was 2.07 (1.64, 2.61)</w:t>
      </w:r>
      <w:r w:rsidR="00597600">
        <w:rPr>
          <w:color w:val="000000" w:themeColor="text1"/>
        </w:rPr>
        <w:t>.</w:t>
      </w:r>
      <w:r w:rsidR="00064B4C">
        <w:rPr>
          <w:rStyle w:val="FootnoteReference"/>
          <w:color w:val="000000" w:themeColor="text1"/>
        </w:rPr>
        <w:footnoteReference w:id="3"/>
      </w:r>
      <w:r w:rsidR="00597600">
        <w:rPr>
          <w:color w:val="000000" w:themeColor="text1"/>
        </w:rPr>
        <w:t xml:space="preserve"> </w:t>
      </w:r>
      <w:r w:rsidR="005F4EEA">
        <w:rPr>
          <w:color w:val="000000" w:themeColor="text1"/>
        </w:rPr>
        <w:t>About 14% of the US population self</w:t>
      </w:r>
      <w:r w:rsidR="002D15C9">
        <w:rPr>
          <w:color w:val="000000" w:themeColor="text1"/>
        </w:rPr>
        <w:noBreakHyphen/>
      </w:r>
      <w:r w:rsidR="005F4EEA">
        <w:rPr>
          <w:color w:val="000000" w:themeColor="text1"/>
        </w:rPr>
        <w:t xml:space="preserve">identifies as Black, so </w:t>
      </w:r>
      <w:r w:rsidR="00745876">
        <w:rPr>
          <w:color w:val="000000" w:themeColor="text1"/>
        </w:rPr>
        <w:t xml:space="preserve">about 25% </w:t>
      </w:r>
      <w:r w:rsidR="005F4EEA">
        <w:rPr>
          <w:color w:val="000000" w:themeColor="text1"/>
        </w:rPr>
        <w:t xml:space="preserve">of US patients with </w:t>
      </w:r>
      <w:r w:rsidR="00A6693A">
        <w:rPr>
          <w:color w:val="000000" w:themeColor="text1"/>
        </w:rPr>
        <w:t xml:space="preserve">a diagnosis of </w:t>
      </w:r>
      <w:r w:rsidR="005F4EEA">
        <w:rPr>
          <w:color w:val="000000" w:themeColor="text1"/>
        </w:rPr>
        <w:t>schizophrenia would be Black.</w:t>
      </w:r>
    </w:p>
    <w:p w14:paraId="0B75B37F" w14:textId="7F6DFFF4" w:rsidR="00433EE8" w:rsidRDefault="00433EE8" w:rsidP="00433EE8">
      <w:pPr>
        <w:pStyle w:val="3-BodyText"/>
      </w:pPr>
      <w:r w:rsidRPr="00113C9D">
        <w:rPr>
          <w:iCs/>
        </w:rPr>
        <w:t>The PSCR disagreed with the evaluation’s view that the overall risk of bias of RISE was High. The PSCR argued that the key outcomes within the trials (time to impending relapse and relapse rate) are objective, hospital</w:t>
      </w:r>
      <w:r w:rsidR="002D15C9">
        <w:rPr>
          <w:iCs/>
        </w:rPr>
        <w:noBreakHyphen/>
      </w:r>
      <w:r w:rsidRPr="00113C9D">
        <w:rPr>
          <w:iCs/>
        </w:rPr>
        <w:t>based events, which were not influenced by blinding/unblinding. The PSCR asserted that blinded outcome assessors were used for all the study outcome assessments, and that the unblinded nurse was not involved in the outcome assessment.</w:t>
      </w:r>
    </w:p>
    <w:p w14:paraId="32AACBBD" w14:textId="18B0D029" w:rsidR="00E85D48" w:rsidRPr="00E85D48" w:rsidRDefault="00962D70" w:rsidP="00962D70">
      <w:pPr>
        <w:pStyle w:val="3-BodyText"/>
        <w:rPr>
          <w:color w:val="000000" w:themeColor="text1"/>
        </w:rPr>
      </w:pPr>
      <w:r w:rsidRPr="00113C9D">
        <w:rPr>
          <w:iCs/>
        </w:rPr>
        <w:t xml:space="preserve">The PSCR stated that withdrawal rates during </w:t>
      </w:r>
      <w:r w:rsidR="00433EE8" w:rsidRPr="00113C9D">
        <w:rPr>
          <w:iCs/>
        </w:rPr>
        <w:t xml:space="preserve">the </w:t>
      </w:r>
      <w:r w:rsidRPr="00113C9D">
        <w:rPr>
          <w:iCs/>
        </w:rPr>
        <w:t>open</w:t>
      </w:r>
      <w:r w:rsidRPr="00113C9D">
        <w:rPr>
          <w:rFonts w:ascii="Cambria Math" w:hAnsi="Cambria Math" w:cs="Cambria Math"/>
          <w:iCs/>
        </w:rPr>
        <w:t>‑</w:t>
      </w:r>
      <w:r w:rsidRPr="00113C9D">
        <w:rPr>
          <w:iCs/>
        </w:rPr>
        <w:t>label run</w:t>
      </w:r>
      <w:r w:rsidRPr="00113C9D">
        <w:rPr>
          <w:rFonts w:ascii="Cambria Math" w:hAnsi="Cambria Math" w:cs="Cambria Math"/>
          <w:iCs/>
        </w:rPr>
        <w:t>‑</w:t>
      </w:r>
      <w:r w:rsidRPr="00113C9D">
        <w:rPr>
          <w:iCs/>
        </w:rPr>
        <w:t>in phases were comparable across</w:t>
      </w:r>
      <w:r w:rsidR="00433EE8" w:rsidRPr="00113C9D">
        <w:rPr>
          <w:iCs/>
        </w:rPr>
        <w:t xml:space="preserve"> the</w:t>
      </w:r>
      <w:r w:rsidRPr="00113C9D">
        <w:rPr>
          <w:iCs/>
        </w:rPr>
        <w:t xml:space="preserve"> trials, noting that 48% of eligible patients in both Hough </w:t>
      </w:r>
      <w:r w:rsidR="002445C6" w:rsidRPr="00113C9D">
        <w:rPr>
          <w:iCs/>
        </w:rPr>
        <w:t>(</w:t>
      </w:r>
      <w:r w:rsidRPr="00113C9D">
        <w:rPr>
          <w:iCs/>
        </w:rPr>
        <w:t>2010</w:t>
      </w:r>
      <w:r w:rsidR="002445C6" w:rsidRPr="00113C9D">
        <w:rPr>
          <w:iCs/>
        </w:rPr>
        <w:t>)</w:t>
      </w:r>
      <w:r w:rsidRPr="00113C9D">
        <w:rPr>
          <w:iCs/>
        </w:rPr>
        <w:t xml:space="preserve"> and ASPIRE progressed to randomisation, compared with 69% in RISE, and argued that this supports the appropriateness of the comparative evidence base</w:t>
      </w:r>
      <w:r w:rsidRPr="00F53FF3">
        <w:t>.</w:t>
      </w:r>
      <w:r>
        <w:t xml:space="preserve"> </w:t>
      </w:r>
      <w:r w:rsidRPr="00113C9D">
        <w:rPr>
          <w:iCs/>
        </w:rPr>
        <w:t>The PSCR argued that RISE’s 12</w:t>
      </w:r>
      <w:r w:rsidRPr="00113C9D">
        <w:rPr>
          <w:rFonts w:ascii="Cambria Math" w:hAnsi="Cambria Math" w:cs="Cambria Math"/>
          <w:iCs/>
        </w:rPr>
        <w:t>‑</w:t>
      </w:r>
      <w:r w:rsidRPr="00113C9D">
        <w:rPr>
          <w:iCs/>
        </w:rPr>
        <w:t>week oral risperidone stabilisation period aligns with accepted LAI trial methodology, clinical guidelines, and PBS practice, with 96% of Australian patients initiating treatment with oral antipsychotics prior to LAI use and PBS criteria explicitly requiring prior oral stabilisation. The PSCR also stated that PBAC precedent</w:t>
      </w:r>
      <w:r w:rsidR="00061C0C" w:rsidRPr="00113C9D">
        <w:rPr>
          <w:iCs/>
        </w:rPr>
        <w:t>,</w:t>
      </w:r>
      <w:r w:rsidR="00061C0C" w:rsidRPr="00113C9D">
        <w:rPr>
          <w:rFonts w:ascii="Calibri" w:hAnsi="Calibri" w:cs="Calibri"/>
          <w:iCs/>
        </w:rPr>
        <w:t xml:space="preserve"> </w:t>
      </w:r>
      <w:r w:rsidRPr="00113C9D">
        <w:rPr>
          <w:iCs/>
        </w:rPr>
        <w:t xml:space="preserve">specifically the aripiprazole LAI July 2014 </w:t>
      </w:r>
      <w:r w:rsidR="00E85D48" w:rsidRPr="00113C9D">
        <w:rPr>
          <w:iCs/>
        </w:rPr>
        <w:t>consideration</w:t>
      </w:r>
      <w:r w:rsidR="00E85D48" w:rsidRPr="00113C9D">
        <w:rPr>
          <w:rFonts w:ascii="Calibri" w:hAnsi="Calibri" w:cs="Calibri"/>
          <w:iCs/>
        </w:rPr>
        <w:t xml:space="preserve">, </w:t>
      </w:r>
      <w:r w:rsidRPr="00113C9D">
        <w:rPr>
          <w:iCs/>
        </w:rPr>
        <w:t xml:space="preserve">supports the assumption that prescribers typically introduce </w:t>
      </w:r>
      <w:r w:rsidR="00E85D48" w:rsidRPr="00113C9D">
        <w:rPr>
          <w:iCs/>
        </w:rPr>
        <w:t>LAIs</w:t>
      </w:r>
      <w:r w:rsidRPr="00113C9D">
        <w:rPr>
          <w:iCs/>
        </w:rPr>
        <w:t xml:space="preserve"> only after oral therapy.</w:t>
      </w:r>
    </w:p>
    <w:p w14:paraId="32EC552B" w14:textId="615C2C04" w:rsidR="00962D70" w:rsidRPr="00962D70" w:rsidRDefault="00E85D48" w:rsidP="00962D70">
      <w:pPr>
        <w:pStyle w:val="3-BodyText"/>
        <w:rPr>
          <w:color w:val="000000" w:themeColor="text1"/>
        </w:rPr>
      </w:pPr>
      <w:r>
        <w:t>T</w:t>
      </w:r>
      <w:r w:rsidR="00962D70" w:rsidRPr="00113C9D">
        <w:rPr>
          <w:iCs/>
        </w:rPr>
        <w:t>he ESC noted these concerns but broadly considered that the evidence was indicative of non</w:t>
      </w:r>
      <w:r w:rsidR="002D15C9">
        <w:rPr>
          <w:iCs/>
        </w:rPr>
        <w:noBreakHyphen/>
      </w:r>
      <w:r w:rsidR="00962D70" w:rsidRPr="00113C9D">
        <w:rPr>
          <w:iCs/>
        </w:rPr>
        <w:t>inferiority and did not indicate concern that the limitations of the evidence were strongly reflective of the efficacy in clinical practice.</w:t>
      </w:r>
    </w:p>
    <w:p w14:paraId="4A4FE085" w14:textId="1C5613CC" w:rsidR="00B60939" w:rsidRPr="0098262F" w:rsidRDefault="00B60939" w:rsidP="00EC5836">
      <w:pPr>
        <w:pStyle w:val="4-SubsectionHeading"/>
      </w:pPr>
      <w:bookmarkStart w:id="21" w:name="_Toc22897641"/>
      <w:bookmarkStart w:id="22" w:name="_Toc219904431"/>
      <w:r w:rsidRPr="0098262F">
        <w:lastRenderedPageBreak/>
        <w:t>Comparative effectiveness</w:t>
      </w:r>
      <w:bookmarkEnd w:id="21"/>
      <w:bookmarkEnd w:id="22"/>
    </w:p>
    <w:p w14:paraId="6394A397" w14:textId="434E5ABB" w:rsidR="00987E41" w:rsidRPr="00987E41" w:rsidRDefault="00987E41" w:rsidP="00EC5836">
      <w:pPr>
        <w:pStyle w:val="3-BodyText"/>
        <w:rPr>
          <w:color w:val="000000" w:themeColor="text1"/>
        </w:rPr>
      </w:pPr>
      <w:r>
        <w:t>Kaplan</w:t>
      </w:r>
      <w:r w:rsidR="002D15C9">
        <w:noBreakHyphen/>
      </w:r>
      <w:r>
        <w:t xml:space="preserve">Meier curves for time to relapse are shown in </w:t>
      </w:r>
      <w:r w:rsidR="00BD3D57">
        <w:fldChar w:fldCharType="begin"/>
      </w:r>
      <w:r w:rsidR="00BD3D57">
        <w:instrText xml:space="preserve"> REF _Ref215049254 \h </w:instrText>
      </w:r>
      <w:r w:rsidR="00BD3D57">
        <w:fldChar w:fldCharType="separate"/>
      </w:r>
      <w:r w:rsidR="00BD3D57">
        <w:t xml:space="preserve">Figure </w:t>
      </w:r>
      <w:r w:rsidR="00BD3D57">
        <w:rPr>
          <w:noProof/>
        </w:rPr>
        <w:t>1</w:t>
      </w:r>
      <w:r w:rsidR="00BD3D57">
        <w:fldChar w:fldCharType="end"/>
      </w:r>
      <w:r w:rsidR="00BD3D57">
        <w:t xml:space="preserve">, </w:t>
      </w:r>
      <w:r w:rsidR="00BD3D57">
        <w:fldChar w:fldCharType="begin"/>
      </w:r>
      <w:r w:rsidR="00BD3D57">
        <w:instrText xml:space="preserve"> REF _Ref215049258 \h </w:instrText>
      </w:r>
      <w:r w:rsidR="00BD3D57">
        <w:fldChar w:fldCharType="separate"/>
      </w:r>
      <w:r w:rsidR="00BD3D57">
        <w:t xml:space="preserve">Figure </w:t>
      </w:r>
      <w:r w:rsidR="00BD3D57">
        <w:rPr>
          <w:noProof/>
        </w:rPr>
        <w:t>2</w:t>
      </w:r>
      <w:r w:rsidR="00BD3D57">
        <w:fldChar w:fldCharType="end"/>
      </w:r>
      <w:r w:rsidR="00BD3D57">
        <w:t xml:space="preserve"> and </w:t>
      </w:r>
      <w:r w:rsidR="00BD3D57">
        <w:fldChar w:fldCharType="begin"/>
      </w:r>
      <w:r w:rsidR="00BD3D57">
        <w:instrText xml:space="preserve"> REF _Ref215049262 \h </w:instrText>
      </w:r>
      <w:r w:rsidR="00BD3D57">
        <w:fldChar w:fldCharType="separate"/>
      </w:r>
      <w:r w:rsidR="00BD3D57" w:rsidRPr="0050128D">
        <w:t>Figure 3</w:t>
      </w:r>
      <w:r w:rsidR="00BD3D57">
        <w:fldChar w:fldCharType="end"/>
      </w:r>
      <w:r w:rsidR="00BD3D57">
        <w:t>.</w:t>
      </w:r>
    </w:p>
    <w:p w14:paraId="08DD327B" w14:textId="68203816" w:rsidR="00E154E6" w:rsidRDefault="0050128D" w:rsidP="0050128D">
      <w:pPr>
        <w:pStyle w:val="TableFigureHeading"/>
      </w:pPr>
      <w:bookmarkStart w:id="23" w:name="_Ref215049254"/>
      <w:r>
        <w:t xml:space="preserve">Figure </w:t>
      </w:r>
      <w:fldSimple w:instr=" SEQ Figure \* ARABIC ">
        <w:r>
          <w:rPr>
            <w:noProof/>
          </w:rPr>
          <w:t>1</w:t>
        </w:r>
      </w:fldSimple>
      <w:bookmarkEnd w:id="23"/>
      <w:r>
        <w:t xml:space="preserve">: </w:t>
      </w:r>
      <w:r w:rsidR="00987E41">
        <w:t xml:space="preserve">Time to relapse with </w:t>
      </w:r>
      <w:r w:rsidR="0019263D">
        <w:t xml:space="preserve">MRSC </w:t>
      </w:r>
      <w:r w:rsidR="00987E41">
        <w:t>risperidone</w:t>
      </w:r>
      <w:r w:rsidR="00E154E6">
        <w:rPr>
          <w:noProof/>
        </w:rPr>
        <w:drawing>
          <wp:inline distT="0" distB="0" distL="0" distR="0" wp14:anchorId="294EF8D4" wp14:editId="242F3D23">
            <wp:extent cx="4672330" cy="2371411"/>
            <wp:effectExtent l="0" t="0" r="1270" b="3810"/>
            <wp:docPr id="1857158118" name="Picture 1" descr="Figure 1: Time to relapse with MRSC risperi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58118" name="Picture 1" descr="Figure 1: Time to relapse with MRSC risperidone"/>
                    <pic:cNvPicPr/>
                  </pic:nvPicPr>
                  <pic:blipFill>
                    <a:blip r:embed="rId11"/>
                    <a:stretch>
                      <a:fillRect/>
                    </a:stretch>
                  </pic:blipFill>
                  <pic:spPr>
                    <a:xfrm>
                      <a:off x="0" y="0"/>
                      <a:ext cx="4713676" cy="2392396"/>
                    </a:xfrm>
                    <a:prstGeom prst="rect">
                      <a:avLst/>
                    </a:prstGeom>
                  </pic:spPr>
                </pic:pic>
              </a:graphicData>
            </a:graphic>
          </wp:inline>
        </w:drawing>
      </w:r>
    </w:p>
    <w:p w14:paraId="113B4EE4" w14:textId="639AED80" w:rsidR="006D73E4" w:rsidRPr="00E154E6" w:rsidRDefault="004C324F" w:rsidP="004C324F">
      <w:pPr>
        <w:pStyle w:val="TableFigureFooter"/>
      </w:pPr>
      <w:r>
        <w:t>Source: Figure 2</w:t>
      </w:r>
      <w:r w:rsidR="002D15C9">
        <w:noBreakHyphen/>
      </w:r>
      <w:r>
        <w:t>8, p130 of the submission.</w:t>
      </w:r>
    </w:p>
    <w:p w14:paraId="0FE4A4A1" w14:textId="77777777" w:rsidR="006D73E4" w:rsidRDefault="006D73E4" w:rsidP="0050128D">
      <w:pPr>
        <w:pStyle w:val="TableFigureHeading"/>
      </w:pPr>
      <w:bookmarkStart w:id="24" w:name="_Ref215049258"/>
    </w:p>
    <w:p w14:paraId="7447B682" w14:textId="1332F5EB" w:rsidR="00E154E6" w:rsidRDefault="0050128D" w:rsidP="0050128D">
      <w:pPr>
        <w:pStyle w:val="TableFigureHeading"/>
      </w:pPr>
      <w:r>
        <w:t xml:space="preserve">Figure </w:t>
      </w:r>
      <w:fldSimple w:instr=" SEQ Figure \* ARABIC ">
        <w:r>
          <w:rPr>
            <w:noProof/>
          </w:rPr>
          <w:t>2</w:t>
        </w:r>
      </w:fldSimple>
      <w:bookmarkEnd w:id="24"/>
      <w:r>
        <w:t xml:space="preserve">: </w:t>
      </w:r>
      <w:r w:rsidR="00E154E6">
        <w:t xml:space="preserve">Time to relapse with </w:t>
      </w:r>
      <w:r w:rsidR="0019263D">
        <w:t>PP1M</w:t>
      </w:r>
      <w:r w:rsidR="00C9433B">
        <w:rPr>
          <w:noProof/>
        </w:rPr>
        <w:drawing>
          <wp:inline distT="0" distB="0" distL="0" distR="0" wp14:anchorId="13389E65" wp14:editId="11579DE5">
            <wp:extent cx="5677319" cy="4079240"/>
            <wp:effectExtent l="0" t="0" r="0" b="0"/>
            <wp:docPr id="555412382" name="Picture 5" descr="Figure 2: Time to relapse with PP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12382" name="Picture 5" descr="Figure 2: Time to relapse with PP1M"/>
                    <pic:cNvPicPr/>
                  </pic:nvPicPr>
                  <pic:blipFill>
                    <a:blip r:embed="rId12"/>
                    <a:stretch>
                      <a:fillRect/>
                    </a:stretch>
                  </pic:blipFill>
                  <pic:spPr>
                    <a:xfrm>
                      <a:off x="0" y="0"/>
                      <a:ext cx="5708578" cy="4101700"/>
                    </a:xfrm>
                    <a:prstGeom prst="rect">
                      <a:avLst/>
                    </a:prstGeom>
                  </pic:spPr>
                </pic:pic>
              </a:graphicData>
            </a:graphic>
          </wp:inline>
        </w:drawing>
      </w:r>
    </w:p>
    <w:p w14:paraId="08FFED95" w14:textId="243E4217" w:rsidR="00FC7010" w:rsidRDefault="004C324F" w:rsidP="004C324F">
      <w:pPr>
        <w:pStyle w:val="TableFigureFooter"/>
      </w:pPr>
      <w:r>
        <w:t>Source: Figure 2</w:t>
      </w:r>
      <w:r w:rsidR="002D15C9">
        <w:noBreakHyphen/>
      </w:r>
      <w:r>
        <w:t>9, p131 of the submission.</w:t>
      </w:r>
    </w:p>
    <w:p w14:paraId="0D56467F" w14:textId="221AAFCC" w:rsidR="004C324F" w:rsidRDefault="00FC7010" w:rsidP="004C324F">
      <w:pPr>
        <w:pStyle w:val="TableFigureFooter"/>
      </w:pPr>
      <w:r>
        <w:t>PP1M = paliperidone</w:t>
      </w:r>
      <w:r w:rsidR="004C324F">
        <w:t>.</w:t>
      </w:r>
    </w:p>
    <w:p w14:paraId="3B3D5405" w14:textId="333A1491" w:rsidR="00E154E6" w:rsidRDefault="0050128D" w:rsidP="0050128D">
      <w:pPr>
        <w:pStyle w:val="TableFigureHeading"/>
      </w:pPr>
      <w:bookmarkStart w:id="25" w:name="_Ref215049262"/>
      <w:r w:rsidRPr="0050128D">
        <w:lastRenderedPageBreak/>
        <w:t xml:space="preserve">Figure </w:t>
      </w:r>
      <w:fldSimple w:instr=" SEQ Figure \* ARABIC ">
        <w:r w:rsidRPr="0050128D">
          <w:t>3</w:t>
        </w:r>
      </w:fldSimple>
      <w:bookmarkEnd w:id="25"/>
      <w:r w:rsidRPr="0050128D">
        <w:t xml:space="preserve">: </w:t>
      </w:r>
      <w:r w:rsidR="00E154E6" w:rsidRPr="0050128D">
        <w:t xml:space="preserve">Time to relapse with </w:t>
      </w:r>
      <w:r w:rsidR="007D37F7">
        <w:t>A1M</w:t>
      </w:r>
      <w:r w:rsidR="0019263D">
        <w:t xml:space="preserve"> </w:t>
      </w:r>
      <w:r w:rsidR="00C9433B">
        <w:rPr>
          <w:noProof/>
          <w:color w:val="000000" w:themeColor="text1"/>
        </w:rPr>
        <w:drawing>
          <wp:inline distT="0" distB="0" distL="0" distR="0" wp14:anchorId="1DC3EA96" wp14:editId="41B1B93F">
            <wp:extent cx="5714318" cy="3511126"/>
            <wp:effectExtent l="0" t="0" r="1270" b="0"/>
            <wp:docPr id="967442542" name="Picture 4" descr="Figure 3: Time to relapse with A1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42542" name="Picture 4" descr="Figure 3: Time to relapse with A1M "/>
                    <pic:cNvPicPr/>
                  </pic:nvPicPr>
                  <pic:blipFill>
                    <a:blip r:embed="rId13"/>
                    <a:stretch>
                      <a:fillRect/>
                    </a:stretch>
                  </pic:blipFill>
                  <pic:spPr>
                    <a:xfrm>
                      <a:off x="0" y="0"/>
                      <a:ext cx="5757348" cy="3537566"/>
                    </a:xfrm>
                    <a:prstGeom prst="rect">
                      <a:avLst/>
                    </a:prstGeom>
                  </pic:spPr>
                </pic:pic>
              </a:graphicData>
            </a:graphic>
          </wp:inline>
        </w:drawing>
      </w:r>
    </w:p>
    <w:p w14:paraId="3E8A773D" w14:textId="04C41F43" w:rsidR="00D834B4" w:rsidRDefault="004C324F" w:rsidP="004C324F">
      <w:pPr>
        <w:pStyle w:val="TableFigureFooter"/>
      </w:pPr>
      <w:r>
        <w:t>Source: Figure 2</w:t>
      </w:r>
      <w:r w:rsidR="002D15C9">
        <w:noBreakHyphen/>
      </w:r>
      <w:r>
        <w:t>10, p131 of the submission.</w:t>
      </w:r>
    </w:p>
    <w:p w14:paraId="1E385A59" w14:textId="5633E03B" w:rsidR="004C324F" w:rsidRPr="00E154E6" w:rsidRDefault="007D37F7" w:rsidP="004C324F">
      <w:pPr>
        <w:pStyle w:val="TableFigureFooter"/>
      </w:pPr>
      <w:r>
        <w:t>A1M</w:t>
      </w:r>
      <w:r w:rsidR="00D834B4">
        <w:t xml:space="preserve"> = arip</w:t>
      </w:r>
      <w:r w:rsidR="00FC7010">
        <w:t>iprazole</w:t>
      </w:r>
      <w:r w:rsidR="004C324F">
        <w:t xml:space="preserve">. </w:t>
      </w:r>
    </w:p>
    <w:p w14:paraId="5A1443AF" w14:textId="439EC7E5" w:rsidR="005F4F8A" w:rsidRPr="009E128D" w:rsidRDefault="00E154E6" w:rsidP="00EC5836">
      <w:pPr>
        <w:pStyle w:val="3-BodyText"/>
        <w:rPr>
          <w:color w:val="000000" w:themeColor="text1"/>
        </w:rPr>
      </w:pPr>
      <w:r>
        <w:t>The active treatment arms had longer time to event than the placebo arms. However, the number of events was small in the active treatment arms</w:t>
      </w:r>
      <w:r w:rsidR="005F4F8A">
        <w:t>, especially in the RISE trial (</w:t>
      </w:r>
      <w:r w:rsidR="00BD3D57">
        <w:fldChar w:fldCharType="begin"/>
      </w:r>
      <w:r w:rsidR="00BD3D57">
        <w:instrText xml:space="preserve"> REF _Ref215049526 \h </w:instrText>
      </w:r>
      <w:r w:rsidR="00BD3D57">
        <w:fldChar w:fldCharType="separate"/>
      </w:r>
      <w:r w:rsidR="00BD3D57">
        <w:t xml:space="preserve">Table </w:t>
      </w:r>
      <w:r w:rsidR="00BD3D57">
        <w:rPr>
          <w:noProof/>
        </w:rPr>
        <w:t>4</w:t>
      </w:r>
      <w:r w:rsidR="00BD3D57">
        <w:fldChar w:fldCharType="end"/>
      </w:r>
      <w:r w:rsidR="005F4F8A">
        <w:t>).</w:t>
      </w:r>
    </w:p>
    <w:p w14:paraId="1F0141E8" w14:textId="3C409377" w:rsidR="009E128D" w:rsidRPr="001A4191" w:rsidRDefault="009E128D" w:rsidP="00EC5836">
      <w:pPr>
        <w:pStyle w:val="3-BodyText"/>
        <w:rPr>
          <w:color w:val="000000" w:themeColor="text1"/>
        </w:rPr>
      </w:pPr>
      <w:r>
        <w:t>The event rate in the placebo arm was much lower in RISE than in the other trials.</w:t>
      </w:r>
    </w:p>
    <w:p w14:paraId="272C4631" w14:textId="33870783" w:rsidR="001A4191" w:rsidRPr="001A4191" w:rsidRDefault="005952A9" w:rsidP="00EC5836">
      <w:pPr>
        <w:pStyle w:val="3-BodyText"/>
        <w:rPr>
          <w:color w:val="000000" w:themeColor="text1"/>
        </w:rPr>
      </w:pPr>
      <w:r>
        <w:rPr>
          <w:color w:val="000000" w:themeColor="text1"/>
        </w:rPr>
        <w:fldChar w:fldCharType="begin"/>
      </w:r>
      <w:r>
        <w:rPr>
          <w:color w:val="000000" w:themeColor="text1"/>
        </w:rPr>
        <w:instrText xml:space="preserve"> REF _Ref215049526 \h </w:instrText>
      </w:r>
      <w:r>
        <w:rPr>
          <w:color w:val="000000" w:themeColor="text1"/>
        </w:rPr>
      </w:r>
      <w:r>
        <w:rPr>
          <w:color w:val="000000" w:themeColor="text1"/>
        </w:rPr>
        <w:fldChar w:fldCharType="separate"/>
      </w:r>
      <w:r>
        <w:t xml:space="preserve">Table </w:t>
      </w:r>
      <w:r>
        <w:rPr>
          <w:noProof/>
        </w:rPr>
        <w:t>4</w:t>
      </w:r>
      <w:r>
        <w:rPr>
          <w:color w:val="000000" w:themeColor="text1"/>
        </w:rPr>
        <w:fldChar w:fldCharType="end"/>
      </w:r>
      <w:r>
        <w:rPr>
          <w:color w:val="000000" w:themeColor="text1"/>
        </w:rPr>
        <w:t xml:space="preserve"> shows the s</w:t>
      </w:r>
      <w:r w:rsidR="001A4191">
        <w:rPr>
          <w:color w:val="000000" w:themeColor="text1"/>
        </w:rPr>
        <w:t>econdary e</w:t>
      </w:r>
      <w:r w:rsidR="001A4191" w:rsidRPr="003B3206">
        <w:rPr>
          <w:color w:val="000000" w:themeColor="text1"/>
        </w:rPr>
        <w:t xml:space="preserve">fficacy results </w:t>
      </w:r>
      <w:r w:rsidR="001A4191">
        <w:rPr>
          <w:color w:val="000000" w:themeColor="text1"/>
        </w:rPr>
        <w:t xml:space="preserve">in </w:t>
      </w:r>
      <w:r w:rsidR="002329DF">
        <w:rPr>
          <w:color w:val="000000" w:themeColor="text1"/>
        </w:rPr>
        <w:t xml:space="preserve">patients randomised to monthly MRSC risperidone in </w:t>
      </w:r>
      <w:r w:rsidR="001A4191">
        <w:rPr>
          <w:color w:val="000000" w:themeColor="text1"/>
        </w:rPr>
        <w:t xml:space="preserve">RISE and </w:t>
      </w:r>
      <w:r>
        <w:rPr>
          <w:color w:val="000000" w:themeColor="text1"/>
        </w:rPr>
        <w:t xml:space="preserve">other trials </w:t>
      </w:r>
      <w:r w:rsidR="001A4191">
        <w:rPr>
          <w:color w:val="000000" w:themeColor="text1"/>
        </w:rPr>
        <w:t xml:space="preserve">where similar outcomes </w:t>
      </w:r>
      <w:r>
        <w:rPr>
          <w:color w:val="000000" w:themeColor="text1"/>
        </w:rPr>
        <w:t xml:space="preserve">were </w:t>
      </w:r>
      <w:r w:rsidR="001A4191">
        <w:rPr>
          <w:color w:val="000000" w:themeColor="text1"/>
        </w:rPr>
        <w:t>reported.</w:t>
      </w:r>
    </w:p>
    <w:p w14:paraId="5909A484" w14:textId="5E37FC77" w:rsidR="006F25ED" w:rsidRPr="007033ED" w:rsidRDefault="00E154E6" w:rsidP="00EC5836">
      <w:pPr>
        <w:pStyle w:val="3-BodyText"/>
        <w:rPr>
          <w:color w:val="000000" w:themeColor="text1"/>
        </w:rPr>
      </w:pPr>
      <w:r>
        <w:t xml:space="preserve">A large majority </w:t>
      </w:r>
      <w:r w:rsidR="006F25ED">
        <w:t xml:space="preserve">of patients who met the criteria for relapse </w:t>
      </w:r>
      <w:r w:rsidR="00BB0170">
        <w:t xml:space="preserve">also </w:t>
      </w:r>
      <w:r w:rsidR="006F25ED">
        <w:t xml:space="preserve">satisfied the </w:t>
      </w:r>
      <w:r w:rsidR="00627993">
        <w:t>clinical global impression (</w:t>
      </w:r>
      <w:r w:rsidR="006F25ED">
        <w:t>CGI</w:t>
      </w:r>
      <w:r w:rsidR="00627993">
        <w:t>)</w:t>
      </w:r>
      <w:r w:rsidR="006F25ED">
        <w:t xml:space="preserve"> and PANSS criteria. Events of suicidality and violence were uncommon and not </w:t>
      </w:r>
      <w:r w:rsidR="002E2D1A">
        <w:t xml:space="preserve">clearly </w:t>
      </w:r>
      <w:r w:rsidR="006F25ED">
        <w:t xml:space="preserve">different between placebo and </w:t>
      </w:r>
      <w:r w:rsidR="0019263D">
        <w:t xml:space="preserve">MRSC </w:t>
      </w:r>
      <w:r w:rsidR="006F25ED">
        <w:t>risperidone.</w:t>
      </w:r>
    </w:p>
    <w:p w14:paraId="2C4CD4D6" w14:textId="7D563858" w:rsidR="0054183A" w:rsidRPr="00C7236D" w:rsidRDefault="0054183A">
      <w:pPr>
        <w:pStyle w:val="3-BodyText"/>
        <w:rPr>
          <w:iCs/>
          <w:color w:val="000000" w:themeColor="text1"/>
        </w:rPr>
      </w:pPr>
      <w:r w:rsidRPr="00C7236D">
        <w:rPr>
          <w:iCs/>
        </w:rPr>
        <w:t xml:space="preserve">In this context, the </w:t>
      </w:r>
      <w:r w:rsidR="00A56453">
        <w:rPr>
          <w:iCs/>
        </w:rPr>
        <w:t xml:space="preserve">evaluation considered the </w:t>
      </w:r>
      <w:r w:rsidRPr="00C7236D">
        <w:rPr>
          <w:iCs/>
        </w:rPr>
        <w:t>possibility of unblinding</w:t>
      </w:r>
      <w:r w:rsidR="00A56453">
        <w:rPr>
          <w:iCs/>
        </w:rPr>
        <w:t xml:space="preserve"> important</w:t>
      </w:r>
      <w:r w:rsidRPr="00C7236D">
        <w:rPr>
          <w:iCs/>
        </w:rPr>
        <w:t xml:space="preserve"> because placebo and active pre</w:t>
      </w:r>
      <w:r w:rsidR="002D15C9">
        <w:rPr>
          <w:iCs/>
        </w:rPr>
        <w:noBreakHyphen/>
      </w:r>
      <w:r w:rsidRPr="00C7236D">
        <w:rPr>
          <w:iCs/>
        </w:rPr>
        <w:t>filled syringes were not identical and all treatments were administered by an unblinded study nurse.</w:t>
      </w:r>
    </w:p>
    <w:p w14:paraId="025F5D26" w14:textId="3C8B88D6" w:rsidR="00803E9D" w:rsidRDefault="00565F0D">
      <w:pPr>
        <w:pStyle w:val="3-BodyText"/>
      </w:pPr>
      <w:r>
        <w:t>In RISE, k</w:t>
      </w:r>
      <w:r w:rsidR="006F25ED">
        <w:t>ey secondary efficacy outcomes were the proportion of patients</w:t>
      </w:r>
      <w:r w:rsidR="00153FFF">
        <w:t>, at study endpoint, who were</w:t>
      </w:r>
      <w:r w:rsidR="006F25ED">
        <w:t xml:space="preserve"> stable </w:t>
      </w:r>
      <w:r w:rsidR="00153FFF">
        <w:t>or</w:t>
      </w:r>
      <w:r w:rsidR="006F25ED">
        <w:t xml:space="preserve"> in remission. </w:t>
      </w:r>
      <w:r w:rsidR="00937D81">
        <w:t>Stability was defined as meeting all the following for 4 consecutive weeks:</w:t>
      </w:r>
    </w:p>
    <w:p w14:paraId="3190CBB9" w14:textId="500D55FA" w:rsidR="00803E9D" w:rsidRDefault="00937D81" w:rsidP="00F43608">
      <w:pPr>
        <w:pStyle w:val="ListParagraph"/>
        <w:numPr>
          <w:ilvl w:val="1"/>
          <w:numId w:val="6"/>
        </w:numPr>
      </w:pPr>
      <w:r>
        <w:t>not in hospital</w:t>
      </w:r>
    </w:p>
    <w:p w14:paraId="05932F1C" w14:textId="2AA848AA" w:rsidR="00803E9D" w:rsidRDefault="00937D81" w:rsidP="00F43608">
      <w:pPr>
        <w:pStyle w:val="ListParagraph"/>
        <w:numPr>
          <w:ilvl w:val="1"/>
          <w:numId w:val="6"/>
        </w:numPr>
      </w:pPr>
      <w:r w:rsidRPr="00937D81">
        <w:t>PANSS total score ≤80</w:t>
      </w:r>
    </w:p>
    <w:p w14:paraId="0027BFF2" w14:textId="61116A26" w:rsidR="00803E9D" w:rsidRDefault="00937D81" w:rsidP="00F43608">
      <w:pPr>
        <w:pStyle w:val="ListParagraph"/>
        <w:numPr>
          <w:ilvl w:val="1"/>
          <w:numId w:val="6"/>
        </w:numPr>
      </w:pPr>
      <w:r w:rsidRPr="00937D81">
        <w:t xml:space="preserve">PANSS score ≤4 on </w:t>
      </w:r>
      <w:r>
        <w:t xml:space="preserve">all </w:t>
      </w:r>
      <w:r w:rsidRPr="00937D81">
        <w:t>conceptual</w:t>
      </w:r>
      <w:r>
        <w:t xml:space="preserve"> </w:t>
      </w:r>
      <w:r w:rsidR="00803E9D" w:rsidRPr="00937D81">
        <w:t>disorgani</w:t>
      </w:r>
      <w:r w:rsidR="00803E9D">
        <w:t>s</w:t>
      </w:r>
      <w:r w:rsidR="00803E9D" w:rsidRPr="00937D81">
        <w:t>ation</w:t>
      </w:r>
      <w:r w:rsidRPr="00937D81">
        <w:t>, suspiciousness, hallucinatory behavio</w:t>
      </w:r>
      <w:r w:rsidR="004E3896">
        <w:t>u</w:t>
      </w:r>
      <w:r w:rsidRPr="00937D81">
        <w:t>r, and unusual thought content</w:t>
      </w:r>
    </w:p>
    <w:p w14:paraId="00FA40D9" w14:textId="318A8952" w:rsidR="00937D81" w:rsidRPr="00937D81" w:rsidRDefault="00937D81" w:rsidP="00F43608">
      <w:pPr>
        <w:pStyle w:val="ListParagraph"/>
        <w:numPr>
          <w:ilvl w:val="1"/>
          <w:numId w:val="6"/>
        </w:numPr>
      </w:pPr>
      <w:r w:rsidRPr="00937D81">
        <w:lastRenderedPageBreak/>
        <w:t>CGI</w:t>
      </w:r>
      <w:r w:rsidR="002D15C9">
        <w:noBreakHyphen/>
      </w:r>
      <w:r w:rsidRPr="00937D81">
        <w:t>S</w:t>
      </w:r>
      <w:r>
        <w:t xml:space="preserve"> s</w:t>
      </w:r>
      <w:r w:rsidRPr="00937D81">
        <w:t>core ≤4 (moderately ill); and CGI</w:t>
      </w:r>
      <w:r w:rsidR="002D15C9">
        <w:noBreakHyphen/>
      </w:r>
      <w:r w:rsidRPr="00937D81">
        <w:t>SS score ≤2 (mildly suicidal) on Part 1 and ≤5 (minimally</w:t>
      </w:r>
      <w:r>
        <w:t xml:space="preserve"> </w:t>
      </w:r>
      <w:r w:rsidRPr="00937D81">
        <w:t>worsened) on Part 2.</w:t>
      </w:r>
    </w:p>
    <w:p w14:paraId="3F123B66" w14:textId="18D7E159" w:rsidR="006F25ED" w:rsidRPr="006F25ED" w:rsidRDefault="00565F0D" w:rsidP="006F25ED">
      <w:pPr>
        <w:pStyle w:val="3-BodyText"/>
      </w:pPr>
      <w:r>
        <w:t>R</w:t>
      </w:r>
      <w:r w:rsidR="006F25ED">
        <w:t>emission was defined as not me</w:t>
      </w:r>
      <w:r w:rsidR="00CB4522">
        <w:t>e</w:t>
      </w:r>
      <w:r w:rsidR="006F25ED">
        <w:t>t</w:t>
      </w:r>
      <w:r w:rsidR="00CB4522">
        <w:t>ing</w:t>
      </w:r>
      <w:r w:rsidR="00673794">
        <w:t xml:space="preserve"> the</w:t>
      </w:r>
      <w:r w:rsidR="006F25ED">
        <w:t xml:space="preserve"> relapse criteria during the study </w:t>
      </w:r>
      <w:r w:rsidR="006F25ED" w:rsidRPr="00D9503E">
        <w:rPr>
          <w:bCs/>
        </w:rPr>
        <w:t>and</w:t>
      </w:r>
      <w:r w:rsidR="00DD7212">
        <w:rPr>
          <w:bCs/>
        </w:rPr>
        <w:t>,</w:t>
      </w:r>
      <w:r w:rsidR="006F25ED">
        <w:t xml:space="preserve"> for at least 6 months before the study endpoint</w:t>
      </w:r>
      <w:r w:rsidR="00DD7212">
        <w:t>,</w:t>
      </w:r>
      <w:r w:rsidR="006F25ED">
        <w:t xml:space="preserve"> maintain</w:t>
      </w:r>
      <w:r w:rsidR="00CB4522">
        <w:t>ing</w:t>
      </w:r>
      <w:r w:rsidR="006F25ED">
        <w:t xml:space="preserve"> </w:t>
      </w:r>
      <w:r w:rsidR="006F25ED" w:rsidRPr="006F25ED">
        <w:t>scores of ≤3 on</w:t>
      </w:r>
      <w:r w:rsidR="006F25ED">
        <w:t xml:space="preserve"> </w:t>
      </w:r>
      <w:r w:rsidR="006F25ED" w:rsidRPr="006F25ED">
        <w:t>each of the PANSS items delusions</w:t>
      </w:r>
      <w:r w:rsidR="006F25ED">
        <w:t xml:space="preserve">, </w:t>
      </w:r>
      <w:r w:rsidR="006F25ED" w:rsidRPr="006F25ED">
        <w:t>unusual thought content</w:t>
      </w:r>
      <w:r w:rsidR="006F25ED">
        <w:t xml:space="preserve">, </w:t>
      </w:r>
      <w:r w:rsidR="006F25ED" w:rsidRPr="006F25ED">
        <w:t>hallucinatory behavio</w:t>
      </w:r>
      <w:r>
        <w:t>u</w:t>
      </w:r>
      <w:r w:rsidR="006F25ED" w:rsidRPr="006F25ED">
        <w:t>r</w:t>
      </w:r>
      <w:r w:rsidR="006F25ED">
        <w:t xml:space="preserve">, </w:t>
      </w:r>
      <w:r w:rsidR="006F25ED" w:rsidRPr="006F25ED">
        <w:t xml:space="preserve">conceptual </w:t>
      </w:r>
      <w:r w:rsidR="00DD7212" w:rsidRPr="006F25ED">
        <w:t>disorgani</w:t>
      </w:r>
      <w:r w:rsidR="00DD7212">
        <w:t>s</w:t>
      </w:r>
      <w:r w:rsidR="00DD7212" w:rsidRPr="006F25ED">
        <w:t>ation</w:t>
      </w:r>
      <w:r w:rsidR="006F25ED">
        <w:t xml:space="preserve">, </w:t>
      </w:r>
      <w:r w:rsidR="006F25ED" w:rsidRPr="006F25ED">
        <w:t>mannerisms/posturing</w:t>
      </w:r>
      <w:r w:rsidR="006F25ED">
        <w:t xml:space="preserve">, </w:t>
      </w:r>
      <w:r w:rsidR="006F25ED" w:rsidRPr="006F25ED">
        <w:t>blunted affect</w:t>
      </w:r>
      <w:r w:rsidR="006F25ED">
        <w:t xml:space="preserve">, </w:t>
      </w:r>
      <w:r w:rsidR="006F25ED" w:rsidRPr="006F25ED">
        <w:t>social withdrawal</w:t>
      </w:r>
      <w:r w:rsidR="006F25ED">
        <w:t xml:space="preserve">, and </w:t>
      </w:r>
      <w:r w:rsidR="006F25ED" w:rsidRPr="006F25ED">
        <w:t>lack of spontaneity.</w:t>
      </w:r>
    </w:p>
    <w:p w14:paraId="79C9C6D3" w14:textId="5A14265B" w:rsidR="006F25ED" w:rsidRDefault="00C9433B" w:rsidP="00EC5836">
      <w:pPr>
        <w:pStyle w:val="3-BodyText"/>
        <w:rPr>
          <w:color w:val="000000" w:themeColor="text1"/>
        </w:rPr>
      </w:pPr>
      <w:r>
        <w:rPr>
          <w:color w:val="000000" w:themeColor="text1"/>
        </w:rPr>
        <w:t xml:space="preserve">Stability and remission at </w:t>
      </w:r>
      <w:r w:rsidR="00DD7212">
        <w:rPr>
          <w:color w:val="000000" w:themeColor="text1"/>
        </w:rPr>
        <w:t xml:space="preserve">the </w:t>
      </w:r>
      <w:r>
        <w:rPr>
          <w:color w:val="000000" w:themeColor="text1"/>
        </w:rPr>
        <w:t xml:space="preserve">study endpoint were </w:t>
      </w:r>
      <w:r w:rsidR="00FE2DE2">
        <w:rPr>
          <w:color w:val="000000" w:themeColor="text1"/>
        </w:rPr>
        <w:t xml:space="preserve">more common </w:t>
      </w:r>
      <w:r>
        <w:rPr>
          <w:color w:val="000000" w:themeColor="text1"/>
        </w:rPr>
        <w:t xml:space="preserve">in </w:t>
      </w:r>
      <w:r w:rsidR="00DE0A34">
        <w:rPr>
          <w:color w:val="000000" w:themeColor="text1"/>
        </w:rPr>
        <w:t xml:space="preserve">the </w:t>
      </w:r>
      <w:r>
        <w:rPr>
          <w:color w:val="000000" w:themeColor="text1"/>
        </w:rPr>
        <w:t>risperidone</w:t>
      </w:r>
      <w:r w:rsidR="002D15C9">
        <w:rPr>
          <w:color w:val="000000" w:themeColor="text1"/>
        </w:rPr>
        <w:noBreakHyphen/>
      </w:r>
      <w:r>
        <w:rPr>
          <w:color w:val="000000" w:themeColor="text1"/>
        </w:rPr>
        <w:t>treated patients in RISE. This difference was statistically significant for stability (P&lt;0.0001 by Cochrane</w:t>
      </w:r>
      <w:r w:rsidR="002D15C9">
        <w:rPr>
          <w:color w:val="000000" w:themeColor="text1"/>
        </w:rPr>
        <w:noBreakHyphen/>
      </w:r>
      <w:r>
        <w:rPr>
          <w:color w:val="000000" w:themeColor="text1"/>
        </w:rPr>
        <w:t>Mantel</w:t>
      </w:r>
      <w:r w:rsidR="002D15C9">
        <w:rPr>
          <w:color w:val="000000" w:themeColor="text1"/>
        </w:rPr>
        <w:noBreakHyphen/>
      </w:r>
      <w:r>
        <w:rPr>
          <w:color w:val="000000" w:themeColor="text1"/>
        </w:rPr>
        <w:t xml:space="preserve">Haenszel test) but not for remission (P=0.12). </w:t>
      </w:r>
    </w:p>
    <w:p w14:paraId="048770E1" w14:textId="0EEF6D03" w:rsidR="003B3206" w:rsidRDefault="00BD3D57" w:rsidP="00BD3D57">
      <w:pPr>
        <w:pStyle w:val="Caption"/>
      </w:pPr>
      <w:bookmarkStart w:id="26" w:name="_Ref215049526"/>
      <w:r>
        <w:lastRenderedPageBreak/>
        <w:t xml:space="preserve">Table </w:t>
      </w:r>
      <w:fldSimple w:instr=" SEQ Table \* ARABIC ">
        <w:r w:rsidR="002D15C9">
          <w:rPr>
            <w:noProof/>
          </w:rPr>
          <w:t>4</w:t>
        </w:r>
      </w:fldSimple>
      <w:bookmarkEnd w:id="26"/>
      <w:r>
        <w:t xml:space="preserve">: </w:t>
      </w:r>
      <w:r w:rsidR="001A4191">
        <w:t>Secondary e</w:t>
      </w:r>
      <w:r w:rsidR="003B3206">
        <w:t>fficacy outcomes in the submitted trials.</w:t>
      </w:r>
    </w:p>
    <w:tbl>
      <w:tblPr>
        <w:tblStyle w:val="TableGrid"/>
        <w:tblW w:w="9021" w:type="dxa"/>
        <w:tblLayout w:type="fixed"/>
        <w:tblLook w:val="04A0" w:firstRow="1" w:lastRow="0" w:firstColumn="1" w:lastColumn="0" w:noHBand="0" w:noVBand="1"/>
        <w:tblCaption w:val="Table 4: Secondary efficacy outcomes in the submitted trials."/>
      </w:tblPr>
      <w:tblGrid>
        <w:gridCol w:w="1997"/>
        <w:gridCol w:w="1259"/>
        <w:gridCol w:w="1275"/>
        <w:gridCol w:w="1134"/>
        <w:gridCol w:w="1135"/>
        <w:gridCol w:w="1164"/>
        <w:gridCol w:w="1057"/>
      </w:tblGrid>
      <w:tr w:rsidR="007F3BDD" w14:paraId="61CB6AB4" w14:textId="77777777" w:rsidTr="009218AC">
        <w:tc>
          <w:tcPr>
            <w:tcW w:w="1997" w:type="dxa"/>
          </w:tcPr>
          <w:p w14:paraId="0D7B78D5" w14:textId="77777777" w:rsidR="007F3BDD" w:rsidRDefault="007F3BDD" w:rsidP="003B3206">
            <w:pPr>
              <w:pStyle w:val="TableFigureHeading"/>
            </w:pPr>
          </w:p>
        </w:tc>
        <w:tc>
          <w:tcPr>
            <w:tcW w:w="1259" w:type="dxa"/>
          </w:tcPr>
          <w:p w14:paraId="33C5CF6F" w14:textId="77777777" w:rsidR="007F3BDD" w:rsidRDefault="007F3BDD" w:rsidP="003B3206">
            <w:pPr>
              <w:pStyle w:val="TableFigureHeading"/>
            </w:pPr>
            <w:r>
              <w:t>RISE</w:t>
            </w:r>
          </w:p>
        </w:tc>
        <w:tc>
          <w:tcPr>
            <w:tcW w:w="1275" w:type="dxa"/>
          </w:tcPr>
          <w:p w14:paraId="54D72CD0" w14:textId="2F3AB9C6" w:rsidR="007F3BDD" w:rsidRDefault="007F3BDD" w:rsidP="003B3206">
            <w:pPr>
              <w:pStyle w:val="TableFigureHeading"/>
            </w:pPr>
            <w:r w:rsidRPr="00C07F46">
              <w:t>RISE</w:t>
            </w:r>
          </w:p>
        </w:tc>
        <w:tc>
          <w:tcPr>
            <w:tcW w:w="1134" w:type="dxa"/>
          </w:tcPr>
          <w:p w14:paraId="4C0609BD" w14:textId="77777777" w:rsidR="007F3BDD" w:rsidRDefault="007F3BDD" w:rsidP="003B3206">
            <w:pPr>
              <w:pStyle w:val="TableFigureHeading"/>
            </w:pPr>
            <w:r>
              <w:t>Hough, 2010</w:t>
            </w:r>
          </w:p>
        </w:tc>
        <w:tc>
          <w:tcPr>
            <w:tcW w:w="1135" w:type="dxa"/>
          </w:tcPr>
          <w:p w14:paraId="5DDF128F" w14:textId="65B53AFC" w:rsidR="007F3BDD" w:rsidRDefault="007F3BDD" w:rsidP="003B3206">
            <w:pPr>
              <w:pStyle w:val="TableFigureHeading"/>
            </w:pPr>
            <w:r w:rsidRPr="00C07F46">
              <w:t>Hough, 2010</w:t>
            </w:r>
          </w:p>
        </w:tc>
        <w:tc>
          <w:tcPr>
            <w:tcW w:w="1164" w:type="dxa"/>
          </w:tcPr>
          <w:p w14:paraId="3071B1D7" w14:textId="77777777" w:rsidR="007F3BDD" w:rsidRDefault="007F3BDD" w:rsidP="003B3206">
            <w:pPr>
              <w:pStyle w:val="TableFigureHeading"/>
            </w:pPr>
            <w:r>
              <w:t>ASPIRE</w:t>
            </w:r>
          </w:p>
        </w:tc>
        <w:tc>
          <w:tcPr>
            <w:tcW w:w="1057" w:type="dxa"/>
          </w:tcPr>
          <w:p w14:paraId="51D7E079" w14:textId="165A2F32" w:rsidR="007F3BDD" w:rsidRDefault="00951F76" w:rsidP="003B3206">
            <w:pPr>
              <w:pStyle w:val="TableFigureHeading"/>
            </w:pPr>
            <w:r w:rsidRPr="00C07F46">
              <w:t>ASPIRE</w:t>
            </w:r>
          </w:p>
        </w:tc>
      </w:tr>
      <w:tr w:rsidR="00D34082" w14:paraId="3632A31E" w14:textId="77777777" w:rsidTr="009218AC">
        <w:tc>
          <w:tcPr>
            <w:tcW w:w="1997" w:type="dxa"/>
          </w:tcPr>
          <w:p w14:paraId="53C9790B" w14:textId="77777777" w:rsidR="00D34082" w:rsidRDefault="00D34082" w:rsidP="00057F6E">
            <w:pPr>
              <w:pStyle w:val="TableFigureHeading"/>
            </w:pPr>
          </w:p>
        </w:tc>
        <w:tc>
          <w:tcPr>
            <w:tcW w:w="1259" w:type="dxa"/>
          </w:tcPr>
          <w:p w14:paraId="0F8A1C04" w14:textId="4D20F920" w:rsidR="00D34082" w:rsidRDefault="00D34082" w:rsidP="00057F6E">
            <w:pPr>
              <w:pStyle w:val="TableFigureHeading"/>
            </w:pPr>
            <w:r>
              <w:rPr>
                <w:lang w:eastAsia="en-US"/>
              </w:rPr>
              <w:t>MSCR risperidone</w:t>
            </w:r>
            <w:r>
              <w:t xml:space="preserve"> q1m</w:t>
            </w:r>
          </w:p>
          <w:p w14:paraId="6699586B" w14:textId="6CA70EFE" w:rsidR="00D34082" w:rsidRDefault="00D34082" w:rsidP="00057F6E">
            <w:pPr>
              <w:pStyle w:val="TableFigureHeading"/>
            </w:pPr>
            <w:r>
              <w:t>N = 183</w:t>
            </w:r>
          </w:p>
        </w:tc>
        <w:tc>
          <w:tcPr>
            <w:tcW w:w="1275" w:type="dxa"/>
          </w:tcPr>
          <w:p w14:paraId="307B8861" w14:textId="77777777" w:rsidR="00D34082" w:rsidRDefault="00D34082" w:rsidP="00057F6E">
            <w:pPr>
              <w:pStyle w:val="TableFigureHeading"/>
            </w:pPr>
            <w:r>
              <w:t>Placebo</w:t>
            </w:r>
          </w:p>
          <w:p w14:paraId="73358C49" w14:textId="0E2BC83C" w:rsidR="00D34082" w:rsidRDefault="00D34082" w:rsidP="00057F6E">
            <w:pPr>
              <w:pStyle w:val="TableFigureHeading"/>
            </w:pPr>
            <w:r>
              <w:t>N = 181</w:t>
            </w:r>
          </w:p>
        </w:tc>
        <w:tc>
          <w:tcPr>
            <w:tcW w:w="1134" w:type="dxa"/>
          </w:tcPr>
          <w:p w14:paraId="40AD54DA" w14:textId="60A76778" w:rsidR="00D34082" w:rsidRDefault="00D34082" w:rsidP="00057F6E">
            <w:pPr>
              <w:pStyle w:val="TableFigureHeading"/>
            </w:pPr>
            <w:r>
              <w:t>PP1M</w:t>
            </w:r>
          </w:p>
          <w:p w14:paraId="0AE8F0A6" w14:textId="549D0BBB" w:rsidR="00D34082" w:rsidRDefault="00D34082" w:rsidP="00057F6E">
            <w:pPr>
              <w:pStyle w:val="TableFigureHeading"/>
            </w:pPr>
            <w:r>
              <w:t>N = 205</w:t>
            </w:r>
          </w:p>
        </w:tc>
        <w:tc>
          <w:tcPr>
            <w:tcW w:w="1135" w:type="dxa"/>
          </w:tcPr>
          <w:p w14:paraId="27D7EB4A" w14:textId="77777777" w:rsidR="00D34082" w:rsidRDefault="00D34082" w:rsidP="00057F6E">
            <w:pPr>
              <w:pStyle w:val="TableFigureHeading"/>
            </w:pPr>
            <w:r>
              <w:t>Placebo</w:t>
            </w:r>
          </w:p>
          <w:p w14:paraId="6853BEEF" w14:textId="216A2E02" w:rsidR="00D34082" w:rsidRDefault="00D34082" w:rsidP="00057F6E">
            <w:pPr>
              <w:pStyle w:val="TableFigureHeading"/>
            </w:pPr>
            <w:r>
              <w:t>N = 203</w:t>
            </w:r>
          </w:p>
        </w:tc>
        <w:tc>
          <w:tcPr>
            <w:tcW w:w="1164" w:type="dxa"/>
          </w:tcPr>
          <w:p w14:paraId="0173B814" w14:textId="1F2E244F" w:rsidR="00D34082" w:rsidRDefault="007D37F7" w:rsidP="00057F6E">
            <w:pPr>
              <w:pStyle w:val="TableFigureHeading"/>
            </w:pPr>
            <w:r>
              <w:t>A1M</w:t>
            </w:r>
          </w:p>
          <w:p w14:paraId="5DBFD7ED" w14:textId="4F699754" w:rsidR="00D34082" w:rsidRDefault="00D34082" w:rsidP="00057F6E">
            <w:pPr>
              <w:pStyle w:val="TableFigureHeading"/>
            </w:pPr>
            <w:r>
              <w:t>N = 269</w:t>
            </w:r>
          </w:p>
        </w:tc>
        <w:tc>
          <w:tcPr>
            <w:tcW w:w="1057" w:type="dxa"/>
          </w:tcPr>
          <w:p w14:paraId="20DF56F9" w14:textId="77777777" w:rsidR="00D34082" w:rsidRDefault="00D34082" w:rsidP="00057F6E">
            <w:pPr>
              <w:pStyle w:val="TableFigureHeading"/>
            </w:pPr>
            <w:r>
              <w:t>Placebo</w:t>
            </w:r>
          </w:p>
          <w:p w14:paraId="6FD0BEBF" w14:textId="33184B26" w:rsidR="00D34082" w:rsidRDefault="00D34082" w:rsidP="00057F6E">
            <w:pPr>
              <w:pStyle w:val="TableFigureHeading"/>
            </w:pPr>
            <w:r>
              <w:t>N = 134</w:t>
            </w:r>
          </w:p>
        </w:tc>
      </w:tr>
      <w:tr w:rsidR="00246AE7" w14:paraId="5FA111A4" w14:textId="77777777" w:rsidTr="00951F76">
        <w:tc>
          <w:tcPr>
            <w:tcW w:w="1997" w:type="dxa"/>
          </w:tcPr>
          <w:p w14:paraId="4B974169" w14:textId="77777777" w:rsidR="003B3206" w:rsidRDefault="001E5C2F" w:rsidP="003B3206">
            <w:pPr>
              <w:pStyle w:val="TableFigureHeading"/>
              <w:rPr>
                <w:b w:val="0"/>
                <w:bCs w:val="0"/>
              </w:rPr>
            </w:pPr>
            <w:r>
              <w:rPr>
                <w:b w:val="0"/>
                <w:bCs w:val="0"/>
              </w:rPr>
              <w:t>Patients meeting the relapse criteria, n (%)</w:t>
            </w:r>
          </w:p>
          <w:p w14:paraId="04FAAF7B" w14:textId="0EC033B5" w:rsidR="001E5C2F" w:rsidRDefault="001E5C2F" w:rsidP="001E5C2F">
            <w:pPr>
              <w:pStyle w:val="TableFigureHeading"/>
              <w:jc w:val="right"/>
              <w:rPr>
                <w:b w:val="0"/>
                <w:bCs w:val="0"/>
              </w:rPr>
            </w:pPr>
            <w:r>
              <w:rPr>
                <w:b w:val="0"/>
                <w:bCs w:val="0"/>
              </w:rPr>
              <w:t>CGI + PANSS</w:t>
            </w:r>
          </w:p>
          <w:p w14:paraId="19337D29" w14:textId="7D960178" w:rsidR="001E5C2F" w:rsidRDefault="001E5C2F" w:rsidP="001E5C2F">
            <w:pPr>
              <w:pStyle w:val="TableFigureHeading"/>
              <w:jc w:val="right"/>
              <w:rPr>
                <w:b w:val="0"/>
                <w:bCs w:val="0"/>
              </w:rPr>
            </w:pPr>
            <w:r>
              <w:rPr>
                <w:b w:val="0"/>
                <w:bCs w:val="0"/>
              </w:rPr>
              <w:t>Hospitalisation</w:t>
            </w:r>
          </w:p>
          <w:p w14:paraId="59C135DF" w14:textId="77777777" w:rsidR="001E5C2F" w:rsidRDefault="001E5C2F" w:rsidP="001E5C2F">
            <w:pPr>
              <w:pStyle w:val="TableFigureHeading"/>
              <w:jc w:val="right"/>
              <w:rPr>
                <w:b w:val="0"/>
                <w:bCs w:val="0"/>
              </w:rPr>
            </w:pPr>
            <w:r>
              <w:rPr>
                <w:b w:val="0"/>
                <w:bCs w:val="0"/>
              </w:rPr>
              <w:t>Suicidality</w:t>
            </w:r>
          </w:p>
          <w:p w14:paraId="1B161EE6" w14:textId="56B4B701" w:rsidR="001E5C2F" w:rsidRPr="001E5C2F" w:rsidRDefault="001E5C2F" w:rsidP="001E5C2F">
            <w:pPr>
              <w:pStyle w:val="TableFigureHeading"/>
              <w:jc w:val="right"/>
              <w:rPr>
                <w:b w:val="0"/>
                <w:bCs w:val="0"/>
              </w:rPr>
            </w:pPr>
            <w:r>
              <w:rPr>
                <w:b w:val="0"/>
                <w:bCs w:val="0"/>
              </w:rPr>
              <w:t>Violence</w:t>
            </w:r>
          </w:p>
        </w:tc>
        <w:tc>
          <w:tcPr>
            <w:tcW w:w="1259" w:type="dxa"/>
          </w:tcPr>
          <w:p w14:paraId="26A6FAE3" w14:textId="77777777" w:rsidR="001E5C2F" w:rsidRDefault="001E5C2F" w:rsidP="003B3206">
            <w:pPr>
              <w:pStyle w:val="TableFigureHeading"/>
              <w:rPr>
                <w:b w:val="0"/>
                <w:bCs w:val="0"/>
              </w:rPr>
            </w:pPr>
          </w:p>
          <w:p w14:paraId="6B2A678E" w14:textId="77777777" w:rsidR="003B3206" w:rsidRPr="00653025" w:rsidRDefault="001E5C2F" w:rsidP="003B3206">
            <w:pPr>
              <w:pStyle w:val="TableFigureHeading"/>
            </w:pPr>
            <w:r w:rsidRPr="00653025">
              <w:t>13 (7%)</w:t>
            </w:r>
          </w:p>
          <w:p w14:paraId="7EC51224" w14:textId="19A07626" w:rsidR="001E5C2F" w:rsidRPr="00653025" w:rsidRDefault="001E5C2F" w:rsidP="003B3206">
            <w:pPr>
              <w:pStyle w:val="TableFigureHeading"/>
            </w:pPr>
            <w:r w:rsidRPr="00653025">
              <w:t>10</w:t>
            </w:r>
            <w:r w:rsidR="005F4F8A" w:rsidRPr="00653025">
              <w:t xml:space="preserve"> (5.5%)</w:t>
            </w:r>
          </w:p>
          <w:p w14:paraId="49022F25" w14:textId="2D382505" w:rsidR="001E5C2F" w:rsidRDefault="001E5C2F" w:rsidP="003B3206">
            <w:pPr>
              <w:pStyle w:val="TableFigureHeading"/>
              <w:rPr>
                <w:b w:val="0"/>
                <w:bCs w:val="0"/>
              </w:rPr>
            </w:pPr>
            <w:r>
              <w:rPr>
                <w:b w:val="0"/>
                <w:bCs w:val="0"/>
              </w:rPr>
              <w:t>2</w:t>
            </w:r>
            <w:r w:rsidR="005F4F8A">
              <w:rPr>
                <w:b w:val="0"/>
                <w:bCs w:val="0"/>
              </w:rPr>
              <w:t xml:space="preserve"> (1%)</w:t>
            </w:r>
          </w:p>
          <w:p w14:paraId="09B84607" w14:textId="5F39FE1A" w:rsidR="001E5C2F" w:rsidRDefault="001E5C2F" w:rsidP="003B3206">
            <w:pPr>
              <w:pStyle w:val="TableFigureHeading"/>
              <w:rPr>
                <w:b w:val="0"/>
                <w:bCs w:val="0"/>
              </w:rPr>
            </w:pPr>
            <w:r>
              <w:rPr>
                <w:b w:val="0"/>
                <w:bCs w:val="0"/>
              </w:rPr>
              <w:t>2</w:t>
            </w:r>
            <w:r w:rsidR="005F4F8A">
              <w:rPr>
                <w:b w:val="0"/>
                <w:bCs w:val="0"/>
              </w:rPr>
              <w:t xml:space="preserve"> (1%)</w:t>
            </w:r>
          </w:p>
          <w:p w14:paraId="0BD65C9F" w14:textId="2F2CD9B6" w:rsidR="001E5C2F" w:rsidRPr="001E5C2F" w:rsidRDefault="001E5C2F" w:rsidP="003B3206">
            <w:pPr>
              <w:pStyle w:val="TableFigureHeading"/>
              <w:rPr>
                <w:b w:val="0"/>
                <w:bCs w:val="0"/>
              </w:rPr>
            </w:pPr>
            <w:r>
              <w:rPr>
                <w:b w:val="0"/>
                <w:bCs w:val="0"/>
              </w:rPr>
              <w:t>0</w:t>
            </w:r>
          </w:p>
        </w:tc>
        <w:tc>
          <w:tcPr>
            <w:tcW w:w="1275" w:type="dxa"/>
          </w:tcPr>
          <w:p w14:paraId="11026896" w14:textId="77777777" w:rsidR="001E5C2F" w:rsidRDefault="001E5C2F" w:rsidP="003B3206">
            <w:pPr>
              <w:pStyle w:val="TableFigureHeading"/>
              <w:rPr>
                <w:b w:val="0"/>
                <w:bCs w:val="0"/>
              </w:rPr>
            </w:pPr>
          </w:p>
          <w:p w14:paraId="646375F4" w14:textId="77777777" w:rsidR="003B3206" w:rsidRDefault="001E5C2F" w:rsidP="003B3206">
            <w:pPr>
              <w:pStyle w:val="TableFigureHeading"/>
              <w:rPr>
                <w:b w:val="0"/>
                <w:bCs w:val="0"/>
              </w:rPr>
            </w:pPr>
            <w:r>
              <w:rPr>
                <w:b w:val="0"/>
                <w:bCs w:val="0"/>
              </w:rPr>
              <w:t>53 (29%)</w:t>
            </w:r>
          </w:p>
          <w:p w14:paraId="52F63EF0" w14:textId="4F350CD3" w:rsidR="001E5C2F" w:rsidRDefault="001E5C2F" w:rsidP="003B3206">
            <w:pPr>
              <w:pStyle w:val="TableFigureHeading"/>
              <w:rPr>
                <w:b w:val="0"/>
                <w:bCs w:val="0"/>
              </w:rPr>
            </w:pPr>
            <w:r>
              <w:rPr>
                <w:b w:val="0"/>
                <w:bCs w:val="0"/>
              </w:rPr>
              <w:t>45</w:t>
            </w:r>
            <w:r w:rsidR="005F4F8A">
              <w:rPr>
                <w:b w:val="0"/>
                <w:bCs w:val="0"/>
              </w:rPr>
              <w:t xml:space="preserve"> (25%)</w:t>
            </w:r>
          </w:p>
          <w:p w14:paraId="74073534" w14:textId="1F42E087" w:rsidR="001E5C2F" w:rsidRDefault="001E5C2F" w:rsidP="003B3206">
            <w:pPr>
              <w:pStyle w:val="TableFigureHeading"/>
              <w:rPr>
                <w:b w:val="0"/>
                <w:bCs w:val="0"/>
              </w:rPr>
            </w:pPr>
            <w:r>
              <w:rPr>
                <w:b w:val="0"/>
                <w:bCs w:val="0"/>
              </w:rPr>
              <w:t>7</w:t>
            </w:r>
            <w:r w:rsidR="005F4F8A">
              <w:rPr>
                <w:b w:val="0"/>
                <w:bCs w:val="0"/>
              </w:rPr>
              <w:t xml:space="preserve"> (4%)</w:t>
            </w:r>
          </w:p>
          <w:p w14:paraId="10AAC993" w14:textId="02101A23" w:rsidR="001E5C2F" w:rsidRDefault="001E5C2F" w:rsidP="003B3206">
            <w:pPr>
              <w:pStyle w:val="TableFigureHeading"/>
              <w:rPr>
                <w:b w:val="0"/>
                <w:bCs w:val="0"/>
              </w:rPr>
            </w:pPr>
            <w:r>
              <w:rPr>
                <w:b w:val="0"/>
                <w:bCs w:val="0"/>
              </w:rPr>
              <w:t>2</w:t>
            </w:r>
            <w:r w:rsidR="005F4F8A">
              <w:rPr>
                <w:b w:val="0"/>
                <w:bCs w:val="0"/>
              </w:rPr>
              <w:t xml:space="preserve"> (1%)</w:t>
            </w:r>
          </w:p>
          <w:p w14:paraId="3AAC1155" w14:textId="78FC7672" w:rsidR="001E5C2F" w:rsidRPr="001E5C2F" w:rsidRDefault="001E5C2F" w:rsidP="003B3206">
            <w:pPr>
              <w:pStyle w:val="TableFigureHeading"/>
              <w:rPr>
                <w:b w:val="0"/>
                <w:bCs w:val="0"/>
              </w:rPr>
            </w:pPr>
            <w:r>
              <w:rPr>
                <w:b w:val="0"/>
                <w:bCs w:val="0"/>
              </w:rPr>
              <w:t>1</w:t>
            </w:r>
            <w:r w:rsidR="005F4F8A">
              <w:rPr>
                <w:b w:val="0"/>
                <w:bCs w:val="0"/>
              </w:rPr>
              <w:t xml:space="preserve"> (0.5%)</w:t>
            </w:r>
          </w:p>
        </w:tc>
        <w:tc>
          <w:tcPr>
            <w:tcW w:w="1134" w:type="dxa"/>
          </w:tcPr>
          <w:p w14:paraId="409BC85E" w14:textId="77777777" w:rsidR="003B3206" w:rsidRDefault="003B3206" w:rsidP="003B3206">
            <w:pPr>
              <w:pStyle w:val="TableFigureHeading"/>
              <w:rPr>
                <w:b w:val="0"/>
                <w:bCs w:val="0"/>
              </w:rPr>
            </w:pPr>
          </w:p>
          <w:p w14:paraId="3427C786" w14:textId="77777777" w:rsidR="00CB4522" w:rsidRDefault="00CB4522" w:rsidP="003B3206">
            <w:pPr>
              <w:pStyle w:val="TableFigureHeading"/>
              <w:rPr>
                <w:b w:val="0"/>
                <w:bCs w:val="0"/>
              </w:rPr>
            </w:pPr>
            <w:r>
              <w:rPr>
                <w:b w:val="0"/>
                <w:bCs w:val="0"/>
              </w:rPr>
              <w:t>36 (18%)</w:t>
            </w:r>
          </w:p>
          <w:p w14:paraId="2138B005" w14:textId="77777777" w:rsidR="00CB4522" w:rsidRDefault="00CB4522" w:rsidP="003B3206">
            <w:pPr>
              <w:pStyle w:val="TableFigureHeading"/>
              <w:rPr>
                <w:b w:val="0"/>
                <w:bCs w:val="0"/>
              </w:rPr>
            </w:pPr>
          </w:p>
          <w:p w14:paraId="5B591FAB" w14:textId="41CA91E4" w:rsidR="00CB4522" w:rsidRPr="001E5C2F" w:rsidRDefault="00CB4522" w:rsidP="003B3206">
            <w:pPr>
              <w:pStyle w:val="TableFigureHeading"/>
              <w:rPr>
                <w:b w:val="0"/>
                <w:bCs w:val="0"/>
              </w:rPr>
            </w:pPr>
            <w:r>
              <w:rPr>
                <w:b w:val="0"/>
                <w:bCs w:val="0"/>
              </w:rPr>
              <w:t>NR</w:t>
            </w:r>
          </w:p>
        </w:tc>
        <w:tc>
          <w:tcPr>
            <w:tcW w:w="1135" w:type="dxa"/>
          </w:tcPr>
          <w:p w14:paraId="4FD54642" w14:textId="77777777" w:rsidR="003B3206" w:rsidRDefault="003B3206" w:rsidP="003B3206">
            <w:pPr>
              <w:pStyle w:val="TableFigureHeading"/>
              <w:rPr>
                <w:b w:val="0"/>
                <w:bCs w:val="0"/>
              </w:rPr>
            </w:pPr>
          </w:p>
          <w:p w14:paraId="5945064B" w14:textId="77777777" w:rsidR="00CB4522" w:rsidRDefault="00CB4522" w:rsidP="003B3206">
            <w:pPr>
              <w:pStyle w:val="TableFigureHeading"/>
              <w:rPr>
                <w:b w:val="0"/>
                <w:bCs w:val="0"/>
              </w:rPr>
            </w:pPr>
            <w:r>
              <w:rPr>
                <w:b w:val="0"/>
                <w:bCs w:val="0"/>
              </w:rPr>
              <w:t>97 (48%)</w:t>
            </w:r>
          </w:p>
          <w:p w14:paraId="0E1C202F" w14:textId="77777777" w:rsidR="00CB4522" w:rsidRDefault="00CB4522" w:rsidP="003B3206">
            <w:pPr>
              <w:pStyle w:val="TableFigureHeading"/>
              <w:rPr>
                <w:b w:val="0"/>
                <w:bCs w:val="0"/>
              </w:rPr>
            </w:pPr>
          </w:p>
          <w:p w14:paraId="7621B10F" w14:textId="16F7DBBE" w:rsidR="00CB4522" w:rsidRPr="001E5C2F" w:rsidRDefault="00CB4522" w:rsidP="003B3206">
            <w:pPr>
              <w:pStyle w:val="TableFigureHeading"/>
              <w:rPr>
                <w:b w:val="0"/>
                <w:bCs w:val="0"/>
              </w:rPr>
            </w:pPr>
            <w:r>
              <w:rPr>
                <w:b w:val="0"/>
                <w:bCs w:val="0"/>
              </w:rPr>
              <w:t>NR</w:t>
            </w:r>
          </w:p>
        </w:tc>
        <w:tc>
          <w:tcPr>
            <w:tcW w:w="1164" w:type="dxa"/>
          </w:tcPr>
          <w:p w14:paraId="4CF53A47" w14:textId="77777777" w:rsidR="003B3206" w:rsidRDefault="003B3206" w:rsidP="003B3206">
            <w:pPr>
              <w:pStyle w:val="TableFigureHeading"/>
              <w:rPr>
                <w:b w:val="0"/>
                <w:bCs w:val="0"/>
              </w:rPr>
            </w:pPr>
          </w:p>
          <w:p w14:paraId="6D451922" w14:textId="77777777" w:rsidR="00CB4522" w:rsidRDefault="00CB4522" w:rsidP="003B3206">
            <w:pPr>
              <w:pStyle w:val="TableFigureHeading"/>
              <w:rPr>
                <w:b w:val="0"/>
                <w:bCs w:val="0"/>
              </w:rPr>
            </w:pPr>
            <w:r>
              <w:rPr>
                <w:b w:val="0"/>
                <w:bCs w:val="0"/>
              </w:rPr>
              <w:t>27 (10%)</w:t>
            </w:r>
          </w:p>
          <w:p w14:paraId="4F422828" w14:textId="293F08AE" w:rsidR="00565F0D" w:rsidRDefault="00565F0D" w:rsidP="003B3206">
            <w:pPr>
              <w:pStyle w:val="TableFigureHeading"/>
              <w:rPr>
                <w:b w:val="0"/>
                <w:bCs w:val="0"/>
              </w:rPr>
            </w:pPr>
            <w:r>
              <w:rPr>
                <w:b w:val="0"/>
                <w:bCs w:val="0"/>
              </w:rPr>
              <w:t>20</w:t>
            </w:r>
            <w:r w:rsidR="005F4F8A">
              <w:rPr>
                <w:b w:val="0"/>
                <w:bCs w:val="0"/>
              </w:rPr>
              <w:t xml:space="preserve"> (7%)</w:t>
            </w:r>
          </w:p>
          <w:p w14:paraId="7C087E90" w14:textId="2FB333C5" w:rsidR="00565F0D" w:rsidRDefault="00565F0D" w:rsidP="003B3206">
            <w:pPr>
              <w:pStyle w:val="TableFigureHeading"/>
              <w:rPr>
                <w:b w:val="0"/>
                <w:bCs w:val="0"/>
              </w:rPr>
            </w:pPr>
            <w:r>
              <w:rPr>
                <w:b w:val="0"/>
                <w:bCs w:val="0"/>
              </w:rPr>
              <w:t>7</w:t>
            </w:r>
            <w:r w:rsidR="005F4F8A">
              <w:rPr>
                <w:b w:val="0"/>
                <w:bCs w:val="0"/>
              </w:rPr>
              <w:t xml:space="preserve"> (3%)</w:t>
            </w:r>
          </w:p>
          <w:p w14:paraId="104A732C" w14:textId="3D6705FA" w:rsidR="00565F0D" w:rsidRDefault="00565F0D" w:rsidP="003B3206">
            <w:pPr>
              <w:pStyle w:val="TableFigureHeading"/>
              <w:rPr>
                <w:b w:val="0"/>
                <w:bCs w:val="0"/>
              </w:rPr>
            </w:pPr>
            <w:r>
              <w:rPr>
                <w:b w:val="0"/>
                <w:bCs w:val="0"/>
              </w:rPr>
              <w:t>1</w:t>
            </w:r>
            <w:r w:rsidR="005F4F8A">
              <w:rPr>
                <w:b w:val="0"/>
                <w:bCs w:val="0"/>
              </w:rPr>
              <w:t xml:space="preserve"> (0.4%)</w:t>
            </w:r>
          </w:p>
          <w:p w14:paraId="2CA299EB" w14:textId="5C258C35" w:rsidR="00565F0D" w:rsidRPr="001E5C2F" w:rsidRDefault="00565F0D" w:rsidP="003B3206">
            <w:pPr>
              <w:pStyle w:val="TableFigureHeading"/>
              <w:rPr>
                <w:b w:val="0"/>
                <w:bCs w:val="0"/>
              </w:rPr>
            </w:pPr>
            <w:r>
              <w:rPr>
                <w:b w:val="0"/>
                <w:bCs w:val="0"/>
              </w:rPr>
              <w:t>1</w:t>
            </w:r>
            <w:r w:rsidR="005F4F8A">
              <w:rPr>
                <w:b w:val="0"/>
                <w:bCs w:val="0"/>
              </w:rPr>
              <w:t xml:space="preserve"> (0.4%)</w:t>
            </w:r>
          </w:p>
        </w:tc>
        <w:tc>
          <w:tcPr>
            <w:tcW w:w="1057" w:type="dxa"/>
          </w:tcPr>
          <w:p w14:paraId="56E93B84" w14:textId="77777777" w:rsidR="003B3206" w:rsidRDefault="003B3206" w:rsidP="003B3206">
            <w:pPr>
              <w:pStyle w:val="TableFigureHeading"/>
              <w:rPr>
                <w:b w:val="0"/>
                <w:bCs w:val="0"/>
              </w:rPr>
            </w:pPr>
          </w:p>
          <w:p w14:paraId="29939621" w14:textId="77777777" w:rsidR="00CB4522" w:rsidRDefault="00565F0D" w:rsidP="003B3206">
            <w:pPr>
              <w:pStyle w:val="TableFigureHeading"/>
              <w:rPr>
                <w:b w:val="0"/>
                <w:bCs w:val="0"/>
              </w:rPr>
            </w:pPr>
            <w:r>
              <w:rPr>
                <w:b w:val="0"/>
                <w:bCs w:val="0"/>
              </w:rPr>
              <w:t>53 (39.6%)</w:t>
            </w:r>
          </w:p>
          <w:p w14:paraId="54888D8D" w14:textId="0C4796AD" w:rsidR="00565F0D" w:rsidRDefault="00565F0D" w:rsidP="003B3206">
            <w:pPr>
              <w:pStyle w:val="TableFigureHeading"/>
              <w:rPr>
                <w:b w:val="0"/>
                <w:bCs w:val="0"/>
              </w:rPr>
            </w:pPr>
            <w:r>
              <w:rPr>
                <w:b w:val="0"/>
                <w:bCs w:val="0"/>
              </w:rPr>
              <w:t>46</w:t>
            </w:r>
            <w:r w:rsidR="005F4F8A">
              <w:rPr>
                <w:b w:val="0"/>
                <w:bCs w:val="0"/>
              </w:rPr>
              <w:t xml:space="preserve"> (34%)</w:t>
            </w:r>
          </w:p>
          <w:p w14:paraId="629AF64C" w14:textId="3D7BBA04" w:rsidR="00565F0D" w:rsidRDefault="00565F0D" w:rsidP="003B3206">
            <w:pPr>
              <w:pStyle w:val="TableFigureHeading"/>
              <w:rPr>
                <w:b w:val="0"/>
                <w:bCs w:val="0"/>
              </w:rPr>
            </w:pPr>
            <w:r>
              <w:rPr>
                <w:b w:val="0"/>
                <w:bCs w:val="0"/>
              </w:rPr>
              <w:t>5</w:t>
            </w:r>
            <w:r w:rsidR="005F4F8A">
              <w:rPr>
                <w:b w:val="0"/>
                <w:bCs w:val="0"/>
              </w:rPr>
              <w:t xml:space="preserve"> (4%)</w:t>
            </w:r>
          </w:p>
          <w:p w14:paraId="5B91DC5B" w14:textId="4A4F3ADE" w:rsidR="00565F0D" w:rsidRDefault="00565F0D" w:rsidP="003B3206">
            <w:pPr>
              <w:pStyle w:val="TableFigureHeading"/>
              <w:rPr>
                <w:b w:val="0"/>
                <w:bCs w:val="0"/>
              </w:rPr>
            </w:pPr>
            <w:r>
              <w:rPr>
                <w:b w:val="0"/>
                <w:bCs w:val="0"/>
              </w:rPr>
              <w:t>1</w:t>
            </w:r>
            <w:r w:rsidR="005F4F8A">
              <w:rPr>
                <w:b w:val="0"/>
                <w:bCs w:val="0"/>
              </w:rPr>
              <w:t xml:space="preserve"> (1%)</w:t>
            </w:r>
          </w:p>
          <w:p w14:paraId="05927BB9" w14:textId="5CEA4C2A" w:rsidR="00565F0D" w:rsidRPr="001E5C2F" w:rsidRDefault="00565F0D" w:rsidP="003B3206">
            <w:pPr>
              <w:pStyle w:val="TableFigureHeading"/>
              <w:rPr>
                <w:b w:val="0"/>
                <w:bCs w:val="0"/>
              </w:rPr>
            </w:pPr>
            <w:r>
              <w:rPr>
                <w:b w:val="0"/>
                <w:bCs w:val="0"/>
              </w:rPr>
              <w:t>4</w:t>
            </w:r>
            <w:r w:rsidR="005F4F8A">
              <w:rPr>
                <w:b w:val="0"/>
                <w:bCs w:val="0"/>
              </w:rPr>
              <w:t xml:space="preserve"> (3%)</w:t>
            </w:r>
          </w:p>
        </w:tc>
      </w:tr>
      <w:tr w:rsidR="006F25ED" w:rsidRPr="00D9503E" w14:paraId="6EB876F3" w14:textId="77777777" w:rsidTr="00951F76">
        <w:tc>
          <w:tcPr>
            <w:tcW w:w="1997" w:type="dxa"/>
          </w:tcPr>
          <w:p w14:paraId="23BA91C1" w14:textId="24DE6923" w:rsidR="006F25ED" w:rsidRPr="00D9503E" w:rsidRDefault="006F25ED" w:rsidP="003B3206">
            <w:pPr>
              <w:pStyle w:val="TableFigureHeading"/>
              <w:rPr>
                <w:b w:val="0"/>
                <w:bCs w:val="0"/>
              </w:rPr>
            </w:pPr>
            <w:r w:rsidRPr="00D9503E">
              <w:rPr>
                <w:b w:val="0"/>
                <w:bCs w:val="0"/>
              </w:rPr>
              <w:t>Patients stable at study endpoint, n (%)</w:t>
            </w:r>
          </w:p>
        </w:tc>
        <w:tc>
          <w:tcPr>
            <w:tcW w:w="1259" w:type="dxa"/>
          </w:tcPr>
          <w:p w14:paraId="47766D8F" w14:textId="43BC419C" w:rsidR="006F25ED" w:rsidRPr="00D9503E" w:rsidRDefault="00937D81" w:rsidP="003B3206">
            <w:pPr>
              <w:pStyle w:val="TableFigureHeading"/>
              <w:rPr>
                <w:b w:val="0"/>
              </w:rPr>
            </w:pPr>
            <w:r w:rsidRPr="00D9503E">
              <w:rPr>
                <w:b w:val="0"/>
              </w:rPr>
              <w:t>159 (87%)</w:t>
            </w:r>
          </w:p>
        </w:tc>
        <w:tc>
          <w:tcPr>
            <w:tcW w:w="1275" w:type="dxa"/>
          </w:tcPr>
          <w:p w14:paraId="2555D5A0" w14:textId="3EFFC971" w:rsidR="006F25ED" w:rsidRPr="00D9503E" w:rsidRDefault="00937D81" w:rsidP="003B3206">
            <w:pPr>
              <w:pStyle w:val="TableFigureHeading"/>
              <w:rPr>
                <w:b w:val="0"/>
                <w:bCs w:val="0"/>
              </w:rPr>
            </w:pPr>
            <w:r w:rsidRPr="00D9503E">
              <w:rPr>
                <w:b w:val="0"/>
                <w:bCs w:val="0"/>
              </w:rPr>
              <w:t>110 (61%)</w:t>
            </w:r>
          </w:p>
        </w:tc>
        <w:tc>
          <w:tcPr>
            <w:tcW w:w="1134" w:type="dxa"/>
          </w:tcPr>
          <w:p w14:paraId="68F12A52" w14:textId="01EC57E6" w:rsidR="006F25ED" w:rsidRPr="00D9503E" w:rsidRDefault="00CB4522" w:rsidP="003B3206">
            <w:pPr>
              <w:pStyle w:val="TableFigureHeading"/>
              <w:rPr>
                <w:b w:val="0"/>
                <w:bCs w:val="0"/>
              </w:rPr>
            </w:pPr>
            <w:r w:rsidRPr="00D9503E">
              <w:rPr>
                <w:b w:val="0"/>
                <w:bCs w:val="0"/>
              </w:rPr>
              <w:t>NR</w:t>
            </w:r>
          </w:p>
        </w:tc>
        <w:tc>
          <w:tcPr>
            <w:tcW w:w="1135" w:type="dxa"/>
          </w:tcPr>
          <w:p w14:paraId="06F18BC5" w14:textId="615E4999" w:rsidR="006F25ED" w:rsidRPr="00D9503E" w:rsidRDefault="00CB4522" w:rsidP="003B3206">
            <w:pPr>
              <w:pStyle w:val="TableFigureHeading"/>
              <w:rPr>
                <w:b w:val="0"/>
                <w:bCs w:val="0"/>
              </w:rPr>
            </w:pPr>
            <w:r w:rsidRPr="00D9503E">
              <w:rPr>
                <w:b w:val="0"/>
                <w:bCs w:val="0"/>
              </w:rPr>
              <w:t>NR</w:t>
            </w:r>
          </w:p>
        </w:tc>
        <w:tc>
          <w:tcPr>
            <w:tcW w:w="1164" w:type="dxa"/>
          </w:tcPr>
          <w:p w14:paraId="7B8BC154" w14:textId="62F295AB" w:rsidR="006F25ED" w:rsidRPr="00D9503E" w:rsidRDefault="00565F0D" w:rsidP="003B3206">
            <w:pPr>
              <w:pStyle w:val="TableFigureHeading"/>
              <w:rPr>
                <w:b w:val="0"/>
                <w:bCs w:val="0"/>
              </w:rPr>
            </w:pPr>
            <w:r w:rsidRPr="00D9503E">
              <w:rPr>
                <w:b w:val="0"/>
                <w:bCs w:val="0"/>
              </w:rPr>
              <w:t>NR</w:t>
            </w:r>
          </w:p>
        </w:tc>
        <w:tc>
          <w:tcPr>
            <w:tcW w:w="1057" w:type="dxa"/>
          </w:tcPr>
          <w:p w14:paraId="3B84BFA2" w14:textId="2445C243" w:rsidR="006F25ED" w:rsidRPr="00D9503E" w:rsidRDefault="00565F0D" w:rsidP="003B3206">
            <w:pPr>
              <w:pStyle w:val="TableFigureHeading"/>
              <w:rPr>
                <w:b w:val="0"/>
                <w:bCs w:val="0"/>
              </w:rPr>
            </w:pPr>
            <w:r w:rsidRPr="00D9503E">
              <w:rPr>
                <w:b w:val="0"/>
                <w:bCs w:val="0"/>
              </w:rPr>
              <w:t>NR</w:t>
            </w:r>
          </w:p>
        </w:tc>
      </w:tr>
      <w:tr w:rsidR="00246AE7" w14:paraId="1042148E" w14:textId="77777777" w:rsidTr="00951F76">
        <w:tc>
          <w:tcPr>
            <w:tcW w:w="1997" w:type="dxa"/>
          </w:tcPr>
          <w:p w14:paraId="412EAB93" w14:textId="2943756A" w:rsidR="003B3206" w:rsidRPr="001E5C2F" w:rsidRDefault="001E5C2F" w:rsidP="003B3206">
            <w:pPr>
              <w:pStyle w:val="TableFigureHeading"/>
              <w:rPr>
                <w:b w:val="0"/>
                <w:bCs w:val="0"/>
              </w:rPr>
            </w:pPr>
            <w:r>
              <w:rPr>
                <w:b w:val="0"/>
                <w:bCs w:val="0"/>
              </w:rPr>
              <w:t>Patients in remission at study endpoint, n (%)</w:t>
            </w:r>
          </w:p>
        </w:tc>
        <w:tc>
          <w:tcPr>
            <w:tcW w:w="1259" w:type="dxa"/>
          </w:tcPr>
          <w:p w14:paraId="6571660A" w14:textId="2A98877A" w:rsidR="003B3206" w:rsidRPr="001E5C2F" w:rsidRDefault="006F25ED" w:rsidP="003B3206">
            <w:pPr>
              <w:pStyle w:val="TableFigureHeading"/>
              <w:rPr>
                <w:b w:val="0"/>
                <w:bCs w:val="0"/>
              </w:rPr>
            </w:pPr>
            <w:r>
              <w:rPr>
                <w:b w:val="0"/>
                <w:bCs w:val="0"/>
              </w:rPr>
              <w:t>39 (29%)</w:t>
            </w:r>
          </w:p>
        </w:tc>
        <w:tc>
          <w:tcPr>
            <w:tcW w:w="1275" w:type="dxa"/>
          </w:tcPr>
          <w:p w14:paraId="36790EEE" w14:textId="7657BDAD" w:rsidR="003B3206" w:rsidRPr="001E5C2F" w:rsidRDefault="006F25ED" w:rsidP="003B3206">
            <w:pPr>
              <w:pStyle w:val="TableFigureHeading"/>
              <w:rPr>
                <w:b w:val="0"/>
                <w:bCs w:val="0"/>
              </w:rPr>
            </w:pPr>
            <w:r>
              <w:rPr>
                <w:b w:val="0"/>
                <w:bCs w:val="0"/>
              </w:rPr>
              <w:t>30 (23%)</w:t>
            </w:r>
          </w:p>
        </w:tc>
        <w:tc>
          <w:tcPr>
            <w:tcW w:w="1134" w:type="dxa"/>
          </w:tcPr>
          <w:p w14:paraId="46531FC0" w14:textId="7134A625" w:rsidR="003B3206" w:rsidRPr="001E5C2F" w:rsidRDefault="00CB4522" w:rsidP="003B3206">
            <w:pPr>
              <w:pStyle w:val="TableFigureHeading"/>
              <w:rPr>
                <w:b w:val="0"/>
                <w:bCs w:val="0"/>
              </w:rPr>
            </w:pPr>
            <w:r>
              <w:rPr>
                <w:b w:val="0"/>
                <w:bCs w:val="0"/>
              </w:rPr>
              <w:t>NR</w:t>
            </w:r>
          </w:p>
        </w:tc>
        <w:tc>
          <w:tcPr>
            <w:tcW w:w="1135" w:type="dxa"/>
          </w:tcPr>
          <w:p w14:paraId="5D3E82D9" w14:textId="7229344D" w:rsidR="003B3206" w:rsidRPr="001E5C2F" w:rsidRDefault="00CB4522" w:rsidP="003B3206">
            <w:pPr>
              <w:pStyle w:val="TableFigureHeading"/>
              <w:rPr>
                <w:b w:val="0"/>
                <w:bCs w:val="0"/>
              </w:rPr>
            </w:pPr>
            <w:r>
              <w:rPr>
                <w:b w:val="0"/>
                <w:bCs w:val="0"/>
              </w:rPr>
              <w:t>NR</w:t>
            </w:r>
          </w:p>
        </w:tc>
        <w:tc>
          <w:tcPr>
            <w:tcW w:w="1164" w:type="dxa"/>
          </w:tcPr>
          <w:p w14:paraId="41258059" w14:textId="1792467C" w:rsidR="003B3206" w:rsidRPr="001E5C2F" w:rsidRDefault="00565F0D" w:rsidP="003B3206">
            <w:pPr>
              <w:pStyle w:val="TableFigureHeading"/>
              <w:rPr>
                <w:b w:val="0"/>
                <w:bCs w:val="0"/>
              </w:rPr>
            </w:pPr>
            <w:r>
              <w:rPr>
                <w:b w:val="0"/>
                <w:bCs w:val="0"/>
              </w:rPr>
              <w:t>NR</w:t>
            </w:r>
          </w:p>
        </w:tc>
        <w:tc>
          <w:tcPr>
            <w:tcW w:w="1057" w:type="dxa"/>
          </w:tcPr>
          <w:p w14:paraId="422E9620" w14:textId="0DE902AB" w:rsidR="003B3206" w:rsidRPr="001E5C2F" w:rsidRDefault="00565F0D" w:rsidP="003B3206">
            <w:pPr>
              <w:pStyle w:val="TableFigureHeading"/>
              <w:rPr>
                <w:b w:val="0"/>
                <w:bCs w:val="0"/>
              </w:rPr>
            </w:pPr>
            <w:r>
              <w:rPr>
                <w:b w:val="0"/>
                <w:bCs w:val="0"/>
              </w:rPr>
              <w:t>NR</w:t>
            </w:r>
          </w:p>
        </w:tc>
      </w:tr>
      <w:tr w:rsidR="00246AE7" w14:paraId="07090BAA" w14:textId="77777777" w:rsidTr="00951F76">
        <w:tc>
          <w:tcPr>
            <w:tcW w:w="1997" w:type="dxa"/>
          </w:tcPr>
          <w:p w14:paraId="3F74A053" w14:textId="4116D1B9" w:rsidR="003B3206" w:rsidRDefault="00136163" w:rsidP="003B3206">
            <w:pPr>
              <w:pStyle w:val="TableFigureHeading"/>
              <w:rPr>
                <w:b w:val="0"/>
                <w:bCs w:val="0"/>
              </w:rPr>
            </w:pPr>
            <w:r>
              <w:rPr>
                <w:b w:val="0"/>
                <w:bCs w:val="0"/>
              </w:rPr>
              <w:t>Patients meeting the relapse criteria, n/N (%)</w:t>
            </w:r>
          </w:p>
          <w:p w14:paraId="39E0DD6A" w14:textId="068285E7" w:rsidR="00136163" w:rsidRDefault="00136163" w:rsidP="00136163">
            <w:pPr>
              <w:pStyle w:val="TableFigureHeading"/>
              <w:jc w:val="right"/>
              <w:rPr>
                <w:b w:val="0"/>
                <w:bCs w:val="0"/>
              </w:rPr>
            </w:pPr>
            <w:r>
              <w:rPr>
                <w:b w:val="0"/>
                <w:bCs w:val="0"/>
              </w:rPr>
              <w:t>White</w:t>
            </w:r>
          </w:p>
          <w:p w14:paraId="521B57A3" w14:textId="0BB163A4" w:rsidR="00136163" w:rsidRPr="001E5C2F" w:rsidRDefault="00136163" w:rsidP="00136163">
            <w:pPr>
              <w:pStyle w:val="TableFigureHeading"/>
              <w:jc w:val="right"/>
              <w:rPr>
                <w:b w:val="0"/>
                <w:bCs w:val="0"/>
              </w:rPr>
            </w:pPr>
            <w:r>
              <w:rPr>
                <w:b w:val="0"/>
                <w:bCs w:val="0"/>
              </w:rPr>
              <w:t>Black</w:t>
            </w:r>
          </w:p>
        </w:tc>
        <w:tc>
          <w:tcPr>
            <w:tcW w:w="1259" w:type="dxa"/>
          </w:tcPr>
          <w:p w14:paraId="5F4B4FBF" w14:textId="77777777" w:rsidR="003B3206" w:rsidRDefault="003B3206" w:rsidP="003B3206">
            <w:pPr>
              <w:pStyle w:val="TableFigureHeading"/>
              <w:rPr>
                <w:b w:val="0"/>
                <w:bCs w:val="0"/>
              </w:rPr>
            </w:pPr>
          </w:p>
          <w:p w14:paraId="019E300F" w14:textId="77777777" w:rsidR="00136163" w:rsidRDefault="00136163" w:rsidP="003B3206">
            <w:pPr>
              <w:pStyle w:val="TableFigureHeading"/>
              <w:rPr>
                <w:b w:val="0"/>
                <w:bCs w:val="0"/>
              </w:rPr>
            </w:pPr>
          </w:p>
          <w:p w14:paraId="464478C4" w14:textId="77777777" w:rsidR="00136163" w:rsidRDefault="00246AE7" w:rsidP="003B3206">
            <w:pPr>
              <w:pStyle w:val="TableFigureHeading"/>
              <w:rPr>
                <w:b w:val="0"/>
                <w:bCs w:val="0"/>
              </w:rPr>
            </w:pPr>
            <w:r>
              <w:rPr>
                <w:b w:val="0"/>
                <w:bCs w:val="0"/>
              </w:rPr>
              <w:t>6/72 (8%)</w:t>
            </w:r>
          </w:p>
          <w:p w14:paraId="20B1A4AD" w14:textId="527C3D5A" w:rsidR="00246AE7" w:rsidRPr="001E5C2F" w:rsidRDefault="00246AE7" w:rsidP="003B3206">
            <w:pPr>
              <w:pStyle w:val="TableFigureHeading"/>
              <w:rPr>
                <w:b w:val="0"/>
                <w:bCs w:val="0"/>
              </w:rPr>
            </w:pPr>
            <w:r>
              <w:rPr>
                <w:b w:val="0"/>
                <w:bCs w:val="0"/>
              </w:rPr>
              <w:t>7/108 (6%)</w:t>
            </w:r>
          </w:p>
        </w:tc>
        <w:tc>
          <w:tcPr>
            <w:tcW w:w="1275" w:type="dxa"/>
          </w:tcPr>
          <w:p w14:paraId="5FC51B01" w14:textId="77777777" w:rsidR="003B3206" w:rsidRDefault="003B3206" w:rsidP="003B3206">
            <w:pPr>
              <w:pStyle w:val="TableFigureHeading"/>
              <w:rPr>
                <w:b w:val="0"/>
                <w:bCs w:val="0"/>
              </w:rPr>
            </w:pPr>
          </w:p>
          <w:p w14:paraId="3A535A7C" w14:textId="77777777" w:rsidR="00246AE7" w:rsidRDefault="00246AE7" w:rsidP="003B3206">
            <w:pPr>
              <w:pStyle w:val="TableFigureHeading"/>
              <w:rPr>
                <w:b w:val="0"/>
                <w:bCs w:val="0"/>
              </w:rPr>
            </w:pPr>
          </w:p>
          <w:p w14:paraId="288943D3" w14:textId="77777777" w:rsidR="00246AE7" w:rsidRDefault="00246AE7" w:rsidP="003B3206">
            <w:pPr>
              <w:pStyle w:val="TableFigureHeading"/>
              <w:rPr>
                <w:b w:val="0"/>
                <w:bCs w:val="0"/>
              </w:rPr>
            </w:pPr>
            <w:r>
              <w:rPr>
                <w:b w:val="0"/>
                <w:bCs w:val="0"/>
              </w:rPr>
              <w:t>22/68 (32%)</w:t>
            </w:r>
          </w:p>
          <w:p w14:paraId="7DFDF010" w14:textId="3022E7B3" w:rsidR="00246AE7" w:rsidRPr="001E5C2F" w:rsidRDefault="00246AE7" w:rsidP="003B3206">
            <w:pPr>
              <w:pStyle w:val="TableFigureHeading"/>
              <w:rPr>
                <w:b w:val="0"/>
                <w:bCs w:val="0"/>
              </w:rPr>
            </w:pPr>
            <w:r>
              <w:rPr>
                <w:b w:val="0"/>
                <w:bCs w:val="0"/>
              </w:rPr>
              <w:t>29/104 (28%)</w:t>
            </w:r>
          </w:p>
        </w:tc>
        <w:tc>
          <w:tcPr>
            <w:tcW w:w="1134" w:type="dxa"/>
          </w:tcPr>
          <w:p w14:paraId="5B310645" w14:textId="77777777" w:rsidR="003B3206" w:rsidRDefault="003B3206" w:rsidP="003B3206">
            <w:pPr>
              <w:pStyle w:val="TableFigureHeading"/>
              <w:rPr>
                <w:b w:val="0"/>
                <w:bCs w:val="0"/>
              </w:rPr>
            </w:pPr>
          </w:p>
          <w:p w14:paraId="298808DF" w14:textId="77777777" w:rsidR="00246AE7" w:rsidRDefault="00246AE7" w:rsidP="003B3206">
            <w:pPr>
              <w:pStyle w:val="TableFigureHeading"/>
              <w:rPr>
                <w:b w:val="0"/>
                <w:bCs w:val="0"/>
              </w:rPr>
            </w:pPr>
          </w:p>
          <w:p w14:paraId="10B2CA1C" w14:textId="572FD962" w:rsidR="00246AE7" w:rsidRPr="001E5C2F" w:rsidRDefault="00246AE7" w:rsidP="003B3206">
            <w:pPr>
              <w:pStyle w:val="TableFigureHeading"/>
              <w:rPr>
                <w:b w:val="0"/>
                <w:bCs w:val="0"/>
              </w:rPr>
            </w:pPr>
            <w:r>
              <w:rPr>
                <w:b w:val="0"/>
                <w:bCs w:val="0"/>
              </w:rPr>
              <w:t>NR</w:t>
            </w:r>
          </w:p>
        </w:tc>
        <w:tc>
          <w:tcPr>
            <w:tcW w:w="1135" w:type="dxa"/>
          </w:tcPr>
          <w:p w14:paraId="3A93D734" w14:textId="77777777" w:rsidR="003B3206" w:rsidRDefault="003B3206" w:rsidP="003B3206">
            <w:pPr>
              <w:pStyle w:val="TableFigureHeading"/>
              <w:rPr>
                <w:b w:val="0"/>
                <w:bCs w:val="0"/>
              </w:rPr>
            </w:pPr>
          </w:p>
          <w:p w14:paraId="0F5EF424" w14:textId="77777777" w:rsidR="00246AE7" w:rsidRDefault="00246AE7" w:rsidP="003B3206">
            <w:pPr>
              <w:pStyle w:val="TableFigureHeading"/>
              <w:rPr>
                <w:b w:val="0"/>
                <w:bCs w:val="0"/>
              </w:rPr>
            </w:pPr>
          </w:p>
          <w:p w14:paraId="11EF8C94" w14:textId="5B82BC64" w:rsidR="00246AE7" w:rsidRPr="001E5C2F" w:rsidRDefault="00246AE7" w:rsidP="003B3206">
            <w:pPr>
              <w:pStyle w:val="TableFigureHeading"/>
              <w:rPr>
                <w:b w:val="0"/>
                <w:bCs w:val="0"/>
              </w:rPr>
            </w:pPr>
            <w:r>
              <w:rPr>
                <w:b w:val="0"/>
                <w:bCs w:val="0"/>
              </w:rPr>
              <w:t>NR</w:t>
            </w:r>
          </w:p>
        </w:tc>
        <w:tc>
          <w:tcPr>
            <w:tcW w:w="1164" w:type="dxa"/>
          </w:tcPr>
          <w:p w14:paraId="38A4DA73" w14:textId="77777777" w:rsidR="003B3206" w:rsidRDefault="003B3206" w:rsidP="003B3206">
            <w:pPr>
              <w:pStyle w:val="TableFigureHeading"/>
              <w:rPr>
                <w:b w:val="0"/>
                <w:bCs w:val="0"/>
              </w:rPr>
            </w:pPr>
          </w:p>
          <w:p w14:paraId="3E6962E7" w14:textId="77777777" w:rsidR="00246AE7" w:rsidRDefault="00246AE7" w:rsidP="003B3206">
            <w:pPr>
              <w:pStyle w:val="TableFigureHeading"/>
              <w:rPr>
                <w:b w:val="0"/>
                <w:bCs w:val="0"/>
              </w:rPr>
            </w:pPr>
          </w:p>
          <w:p w14:paraId="36802BDB" w14:textId="70F0EAC1" w:rsidR="00246AE7" w:rsidRPr="001E5C2F" w:rsidRDefault="00246AE7" w:rsidP="003B3206">
            <w:pPr>
              <w:pStyle w:val="TableFigureHeading"/>
              <w:rPr>
                <w:b w:val="0"/>
                <w:bCs w:val="0"/>
              </w:rPr>
            </w:pPr>
            <w:r>
              <w:rPr>
                <w:b w:val="0"/>
                <w:bCs w:val="0"/>
              </w:rPr>
              <w:t>NR</w:t>
            </w:r>
          </w:p>
        </w:tc>
        <w:tc>
          <w:tcPr>
            <w:tcW w:w="1057" w:type="dxa"/>
          </w:tcPr>
          <w:p w14:paraId="1D358806" w14:textId="77777777" w:rsidR="00246AE7" w:rsidRDefault="00246AE7" w:rsidP="003B3206">
            <w:pPr>
              <w:pStyle w:val="TableFigureHeading"/>
              <w:rPr>
                <w:b w:val="0"/>
                <w:bCs w:val="0"/>
              </w:rPr>
            </w:pPr>
          </w:p>
          <w:p w14:paraId="634198EA" w14:textId="77777777" w:rsidR="00246AE7" w:rsidRDefault="00246AE7" w:rsidP="003B3206">
            <w:pPr>
              <w:pStyle w:val="TableFigureHeading"/>
              <w:rPr>
                <w:b w:val="0"/>
                <w:bCs w:val="0"/>
              </w:rPr>
            </w:pPr>
          </w:p>
          <w:p w14:paraId="2DF0B97F" w14:textId="29B015D0" w:rsidR="003B3206" w:rsidRPr="001E5C2F" w:rsidRDefault="00246AE7" w:rsidP="003B3206">
            <w:pPr>
              <w:pStyle w:val="TableFigureHeading"/>
              <w:rPr>
                <w:b w:val="0"/>
                <w:bCs w:val="0"/>
              </w:rPr>
            </w:pPr>
            <w:r>
              <w:rPr>
                <w:b w:val="0"/>
                <w:bCs w:val="0"/>
              </w:rPr>
              <w:t>NR</w:t>
            </w:r>
          </w:p>
        </w:tc>
      </w:tr>
      <w:tr w:rsidR="00246AE7" w14:paraId="7AC1285E" w14:textId="77777777" w:rsidTr="00951F76">
        <w:tc>
          <w:tcPr>
            <w:tcW w:w="1997" w:type="dxa"/>
          </w:tcPr>
          <w:p w14:paraId="7FC6DDBC" w14:textId="1600066D" w:rsidR="003E45BF" w:rsidRDefault="003E45BF" w:rsidP="003B3206">
            <w:pPr>
              <w:pStyle w:val="TableFigureHeading"/>
              <w:rPr>
                <w:b w:val="0"/>
                <w:bCs w:val="0"/>
              </w:rPr>
            </w:pPr>
            <w:r>
              <w:rPr>
                <w:b w:val="0"/>
                <w:bCs w:val="0"/>
              </w:rPr>
              <w:t>EQ VAS Score, baseline</w:t>
            </w:r>
          </w:p>
          <w:p w14:paraId="488E34F9" w14:textId="52899B6D" w:rsidR="003E45BF" w:rsidRDefault="003E45BF" w:rsidP="003B3206">
            <w:pPr>
              <w:pStyle w:val="TableFigureHeading"/>
              <w:rPr>
                <w:b w:val="0"/>
                <w:bCs w:val="0"/>
              </w:rPr>
            </w:pPr>
            <w:r>
              <w:rPr>
                <w:b w:val="0"/>
                <w:bCs w:val="0"/>
              </w:rPr>
              <w:t>Mean (SD)</w:t>
            </w:r>
          </w:p>
          <w:p w14:paraId="6C3FFD7D" w14:textId="1996A788" w:rsidR="003B3206" w:rsidRPr="001E5C2F" w:rsidRDefault="003E45BF" w:rsidP="003B3206">
            <w:pPr>
              <w:pStyle w:val="TableFigureHeading"/>
              <w:rPr>
                <w:b w:val="0"/>
                <w:bCs w:val="0"/>
              </w:rPr>
            </w:pPr>
            <w:r>
              <w:rPr>
                <w:b w:val="0"/>
                <w:bCs w:val="0"/>
              </w:rPr>
              <w:t>Median (range)</w:t>
            </w:r>
          </w:p>
        </w:tc>
        <w:tc>
          <w:tcPr>
            <w:tcW w:w="1259" w:type="dxa"/>
          </w:tcPr>
          <w:p w14:paraId="2D0B3D7C" w14:textId="77777777" w:rsidR="003B3206" w:rsidRDefault="003B3206" w:rsidP="003B3206">
            <w:pPr>
              <w:pStyle w:val="TableFigureHeading"/>
              <w:rPr>
                <w:b w:val="0"/>
                <w:bCs w:val="0"/>
              </w:rPr>
            </w:pPr>
          </w:p>
          <w:p w14:paraId="1D444928" w14:textId="77777777" w:rsidR="00940330" w:rsidRDefault="00940330" w:rsidP="003B3206">
            <w:pPr>
              <w:pStyle w:val="TableFigureHeading"/>
              <w:rPr>
                <w:b w:val="0"/>
                <w:bCs w:val="0"/>
              </w:rPr>
            </w:pPr>
          </w:p>
          <w:p w14:paraId="1DA0053E" w14:textId="4ED35A84" w:rsidR="003E45BF" w:rsidRDefault="003E45BF" w:rsidP="003B3206">
            <w:pPr>
              <w:pStyle w:val="TableFigureHeading"/>
              <w:rPr>
                <w:b w:val="0"/>
                <w:bCs w:val="0"/>
              </w:rPr>
            </w:pPr>
            <w:r>
              <w:rPr>
                <w:b w:val="0"/>
                <w:bCs w:val="0"/>
              </w:rPr>
              <w:t>79.1 (17.2)</w:t>
            </w:r>
          </w:p>
          <w:p w14:paraId="4D0EC09C" w14:textId="6998B547" w:rsidR="003E45BF" w:rsidRPr="001E5C2F" w:rsidRDefault="003E45BF" w:rsidP="003B3206">
            <w:pPr>
              <w:pStyle w:val="TableFigureHeading"/>
              <w:rPr>
                <w:b w:val="0"/>
                <w:bCs w:val="0"/>
              </w:rPr>
            </w:pPr>
            <w:r>
              <w:rPr>
                <w:b w:val="0"/>
                <w:bCs w:val="0"/>
              </w:rPr>
              <w:t>82.0 (3, 100)</w:t>
            </w:r>
          </w:p>
        </w:tc>
        <w:tc>
          <w:tcPr>
            <w:tcW w:w="1275" w:type="dxa"/>
          </w:tcPr>
          <w:p w14:paraId="0B6CC2A9" w14:textId="77777777" w:rsidR="003B3206" w:rsidRDefault="003B3206" w:rsidP="003B3206">
            <w:pPr>
              <w:pStyle w:val="TableFigureHeading"/>
              <w:rPr>
                <w:b w:val="0"/>
                <w:bCs w:val="0"/>
              </w:rPr>
            </w:pPr>
          </w:p>
          <w:p w14:paraId="12BD79CA" w14:textId="77777777" w:rsidR="00940330" w:rsidRDefault="00940330" w:rsidP="003B3206">
            <w:pPr>
              <w:pStyle w:val="TableFigureHeading"/>
              <w:rPr>
                <w:b w:val="0"/>
                <w:bCs w:val="0"/>
              </w:rPr>
            </w:pPr>
          </w:p>
          <w:p w14:paraId="6633DB21" w14:textId="5FB736C8" w:rsidR="003E45BF" w:rsidRDefault="003E45BF" w:rsidP="003B3206">
            <w:pPr>
              <w:pStyle w:val="TableFigureHeading"/>
              <w:rPr>
                <w:b w:val="0"/>
                <w:bCs w:val="0"/>
              </w:rPr>
            </w:pPr>
            <w:r>
              <w:rPr>
                <w:b w:val="0"/>
                <w:bCs w:val="0"/>
              </w:rPr>
              <w:t>80.0 (17.4)</w:t>
            </w:r>
          </w:p>
          <w:p w14:paraId="6DEC8298" w14:textId="4C39D5D9" w:rsidR="003E45BF" w:rsidRPr="001E5C2F" w:rsidRDefault="003E45BF" w:rsidP="003B3206">
            <w:pPr>
              <w:pStyle w:val="TableFigureHeading"/>
              <w:rPr>
                <w:b w:val="0"/>
                <w:bCs w:val="0"/>
              </w:rPr>
            </w:pPr>
            <w:r>
              <w:rPr>
                <w:b w:val="0"/>
                <w:bCs w:val="0"/>
              </w:rPr>
              <w:t>83.5 (8, 100)</w:t>
            </w:r>
          </w:p>
        </w:tc>
        <w:tc>
          <w:tcPr>
            <w:tcW w:w="1134" w:type="dxa"/>
          </w:tcPr>
          <w:p w14:paraId="67F8D0F6" w14:textId="77777777" w:rsidR="003B3206" w:rsidRDefault="003B3206" w:rsidP="003B3206">
            <w:pPr>
              <w:pStyle w:val="TableFigureHeading"/>
              <w:rPr>
                <w:b w:val="0"/>
                <w:bCs w:val="0"/>
              </w:rPr>
            </w:pPr>
          </w:p>
          <w:p w14:paraId="07292EED" w14:textId="64B4A5D5" w:rsidR="004117DE" w:rsidRPr="001E5C2F" w:rsidRDefault="004117DE" w:rsidP="003B3206">
            <w:pPr>
              <w:pStyle w:val="TableFigureHeading"/>
              <w:rPr>
                <w:b w:val="0"/>
                <w:bCs w:val="0"/>
              </w:rPr>
            </w:pPr>
            <w:r>
              <w:rPr>
                <w:b w:val="0"/>
                <w:bCs w:val="0"/>
              </w:rPr>
              <w:t>NR</w:t>
            </w:r>
          </w:p>
        </w:tc>
        <w:tc>
          <w:tcPr>
            <w:tcW w:w="1135" w:type="dxa"/>
          </w:tcPr>
          <w:p w14:paraId="1414DD92" w14:textId="77777777" w:rsidR="004117DE" w:rsidRDefault="004117DE" w:rsidP="003B3206">
            <w:pPr>
              <w:pStyle w:val="TableFigureHeading"/>
              <w:rPr>
                <w:b w:val="0"/>
                <w:bCs w:val="0"/>
              </w:rPr>
            </w:pPr>
          </w:p>
          <w:p w14:paraId="255AE77F" w14:textId="7F84F873" w:rsidR="003B3206" w:rsidRPr="001E5C2F" w:rsidRDefault="004117DE" w:rsidP="003B3206">
            <w:pPr>
              <w:pStyle w:val="TableFigureHeading"/>
              <w:rPr>
                <w:b w:val="0"/>
                <w:bCs w:val="0"/>
              </w:rPr>
            </w:pPr>
            <w:r>
              <w:rPr>
                <w:b w:val="0"/>
                <w:bCs w:val="0"/>
              </w:rPr>
              <w:t>NR</w:t>
            </w:r>
          </w:p>
        </w:tc>
        <w:tc>
          <w:tcPr>
            <w:tcW w:w="1164" w:type="dxa"/>
          </w:tcPr>
          <w:p w14:paraId="464CC002" w14:textId="77777777" w:rsidR="003B3206" w:rsidRDefault="003B3206" w:rsidP="003B3206">
            <w:pPr>
              <w:pStyle w:val="TableFigureHeading"/>
              <w:rPr>
                <w:b w:val="0"/>
                <w:bCs w:val="0"/>
              </w:rPr>
            </w:pPr>
          </w:p>
          <w:p w14:paraId="69A6810D" w14:textId="7F03152C" w:rsidR="004117DE" w:rsidRPr="001E5C2F" w:rsidRDefault="004117DE" w:rsidP="003B3206">
            <w:pPr>
              <w:pStyle w:val="TableFigureHeading"/>
              <w:rPr>
                <w:b w:val="0"/>
                <w:bCs w:val="0"/>
              </w:rPr>
            </w:pPr>
            <w:r>
              <w:rPr>
                <w:b w:val="0"/>
                <w:bCs w:val="0"/>
              </w:rPr>
              <w:t>NR</w:t>
            </w:r>
          </w:p>
        </w:tc>
        <w:tc>
          <w:tcPr>
            <w:tcW w:w="1057" w:type="dxa"/>
          </w:tcPr>
          <w:p w14:paraId="02E88C9F" w14:textId="77777777" w:rsidR="003B3206" w:rsidRDefault="003B3206" w:rsidP="003B3206">
            <w:pPr>
              <w:pStyle w:val="TableFigureHeading"/>
              <w:rPr>
                <w:b w:val="0"/>
                <w:bCs w:val="0"/>
              </w:rPr>
            </w:pPr>
          </w:p>
          <w:p w14:paraId="2B6FCABB" w14:textId="5028C365" w:rsidR="004117DE" w:rsidRPr="001E5C2F" w:rsidRDefault="004117DE" w:rsidP="003B3206">
            <w:pPr>
              <w:pStyle w:val="TableFigureHeading"/>
              <w:rPr>
                <w:b w:val="0"/>
                <w:bCs w:val="0"/>
              </w:rPr>
            </w:pPr>
            <w:r>
              <w:rPr>
                <w:b w:val="0"/>
                <w:bCs w:val="0"/>
              </w:rPr>
              <w:t>NR</w:t>
            </w:r>
          </w:p>
        </w:tc>
      </w:tr>
      <w:tr w:rsidR="00246AE7" w14:paraId="0D08F83B" w14:textId="77777777" w:rsidTr="00951F76">
        <w:tc>
          <w:tcPr>
            <w:tcW w:w="1997" w:type="dxa"/>
          </w:tcPr>
          <w:p w14:paraId="4BEC0588" w14:textId="77777777" w:rsidR="003B3206" w:rsidRDefault="004117DE" w:rsidP="003B3206">
            <w:pPr>
              <w:pStyle w:val="TableFigureHeading"/>
              <w:rPr>
                <w:b w:val="0"/>
                <w:bCs w:val="0"/>
              </w:rPr>
            </w:pPr>
            <w:r>
              <w:rPr>
                <w:b w:val="0"/>
                <w:bCs w:val="0"/>
              </w:rPr>
              <w:t>EQ VAS score, end of treatment,</w:t>
            </w:r>
          </w:p>
          <w:p w14:paraId="75D27521" w14:textId="77777777" w:rsidR="004117DE" w:rsidRDefault="004117DE" w:rsidP="003B3206">
            <w:pPr>
              <w:pStyle w:val="TableFigureHeading"/>
              <w:rPr>
                <w:b w:val="0"/>
                <w:bCs w:val="0"/>
              </w:rPr>
            </w:pPr>
            <w:r>
              <w:rPr>
                <w:b w:val="0"/>
                <w:bCs w:val="0"/>
              </w:rPr>
              <w:t>Mean (SD)</w:t>
            </w:r>
          </w:p>
          <w:p w14:paraId="3C7BEE08" w14:textId="154DD4DC" w:rsidR="00940330" w:rsidRDefault="004117DE" w:rsidP="003B3206">
            <w:pPr>
              <w:pStyle w:val="TableFigureHeading"/>
              <w:rPr>
                <w:b w:val="0"/>
                <w:bCs w:val="0"/>
              </w:rPr>
            </w:pPr>
            <w:r>
              <w:rPr>
                <w:b w:val="0"/>
                <w:bCs w:val="0"/>
              </w:rPr>
              <w:t>Median (range)</w:t>
            </w:r>
          </w:p>
          <w:p w14:paraId="1C98E4C8" w14:textId="09F5F9C7" w:rsidR="004117DE" w:rsidRDefault="004117DE" w:rsidP="003B3206">
            <w:pPr>
              <w:pStyle w:val="TableFigureHeading"/>
              <w:rPr>
                <w:b w:val="0"/>
                <w:bCs w:val="0"/>
              </w:rPr>
            </w:pPr>
            <w:r>
              <w:rPr>
                <w:b w:val="0"/>
                <w:bCs w:val="0"/>
              </w:rPr>
              <w:t>LS mean change (SE)</w:t>
            </w:r>
          </w:p>
          <w:p w14:paraId="5F36A671" w14:textId="134F4AFE" w:rsidR="00653025" w:rsidRPr="001E5C2F" w:rsidRDefault="00653025" w:rsidP="003B3206">
            <w:pPr>
              <w:pStyle w:val="TableFigureHeading"/>
              <w:rPr>
                <w:b w:val="0"/>
                <w:bCs w:val="0"/>
              </w:rPr>
            </w:pPr>
            <w:r>
              <w:rPr>
                <w:b w:val="0"/>
                <w:bCs w:val="0"/>
              </w:rPr>
              <w:t>LS mean difference vs placebo (95% CI))</w:t>
            </w:r>
          </w:p>
        </w:tc>
        <w:tc>
          <w:tcPr>
            <w:tcW w:w="1259" w:type="dxa"/>
          </w:tcPr>
          <w:p w14:paraId="6E282789" w14:textId="77777777" w:rsidR="003B3206" w:rsidRDefault="003B3206" w:rsidP="003B3206">
            <w:pPr>
              <w:pStyle w:val="TableFigureHeading"/>
              <w:rPr>
                <w:b w:val="0"/>
                <w:bCs w:val="0"/>
              </w:rPr>
            </w:pPr>
          </w:p>
          <w:p w14:paraId="2A8B19EA" w14:textId="77777777" w:rsidR="004117DE" w:rsidRDefault="004117DE" w:rsidP="003B3206">
            <w:pPr>
              <w:pStyle w:val="TableFigureHeading"/>
              <w:rPr>
                <w:b w:val="0"/>
                <w:bCs w:val="0"/>
              </w:rPr>
            </w:pPr>
          </w:p>
          <w:p w14:paraId="6DE89A3A" w14:textId="77777777" w:rsidR="004117DE" w:rsidRDefault="004117DE" w:rsidP="003B3206">
            <w:pPr>
              <w:pStyle w:val="TableFigureHeading"/>
              <w:rPr>
                <w:b w:val="0"/>
                <w:bCs w:val="0"/>
              </w:rPr>
            </w:pPr>
            <w:r>
              <w:rPr>
                <w:b w:val="0"/>
                <w:bCs w:val="0"/>
              </w:rPr>
              <w:t>84.0 (14.1)</w:t>
            </w:r>
          </w:p>
          <w:p w14:paraId="12889124" w14:textId="65EBC5B9" w:rsidR="00940330" w:rsidRDefault="004117DE" w:rsidP="003B3206">
            <w:pPr>
              <w:pStyle w:val="TableFigureHeading"/>
              <w:rPr>
                <w:b w:val="0"/>
                <w:bCs w:val="0"/>
              </w:rPr>
            </w:pPr>
            <w:r>
              <w:rPr>
                <w:b w:val="0"/>
                <w:bCs w:val="0"/>
              </w:rPr>
              <w:t>89.0 (50, 100)</w:t>
            </w:r>
          </w:p>
          <w:p w14:paraId="0F053BA7" w14:textId="79677F38" w:rsidR="004117DE" w:rsidRDefault="004117DE" w:rsidP="003B3206">
            <w:pPr>
              <w:pStyle w:val="TableFigureHeading"/>
              <w:rPr>
                <w:b w:val="0"/>
                <w:bCs w:val="0"/>
              </w:rPr>
            </w:pPr>
            <w:r>
              <w:rPr>
                <w:b w:val="0"/>
                <w:bCs w:val="0"/>
              </w:rPr>
              <w:t>2.3 (1.1)</w:t>
            </w:r>
          </w:p>
          <w:p w14:paraId="3E15E1BA" w14:textId="77777777" w:rsidR="00653025" w:rsidRDefault="00653025" w:rsidP="003B3206">
            <w:pPr>
              <w:pStyle w:val="TableFigureHeading"/>
              <w:rPr>
                <w:b w:val="0"/>
                <w:bCs w:val="0"/>
              </w:rPr>
            </w:pPr>
          </w:p>
          <w:p w14:paraId="7F84B69E" w14:textId="43E74CC1" w:rsidR="00653025" w:rsidRPr="00653025" w:rsidRDefault="00653025" w:rsidP="003B3206">
            <w:pPr>
              <w:pStyle w:val="TableFigureHeading"/>
            </w:pPr>
            <w:r w:rsidRPr="00D9503E">
              <w:rPr>
                <w:b w:val="0"/>
              </w:rPr>
              <w:t>4.73 (1.5, 8.0)</w:t>
            </w:r>
          </w:p>
        </w:tc>
        <w:tc>
          <w:tcPr>
            <w:tcW w:w="1275" w:type="dxa"/>
          </w:tcPr>
          <w:p w14:paraId="3909A13E" w14:textId="77777777" w:rsidR="003B3206" w:rsidRDefault="003B3206" w:rsidP="003B3206">
            <w:pPr>
              <w:pStyle w:val="TableFigureHeading"/>
              <w:rPr>
                <w:b w:val="0"/>
                <w:bCs w:val="0"/>
              </w:rPr>
            </w:pPr>
          </w:p>
          <w:p w14:paraId="4037AF75" w14:textId="77777777" w:rsidR="004117DE" w:rsidRDefault="004117DE" w:rsidP="003B3206">
            <w:pPr>
              <w:pStyle w:val="TableFigureHeading"/>
              <w:rPr>
                <w:b w:val="0"/>
                <w:bCs w:val="0"/>
              </w:rPr>
            </w:pPr>
          </w:p>
          <w:p w14:paraId="24062B91" w14:textId="77777777" w:rsidR="004117DE" w:rsidRDefault="004117DE" w:rsidP="003B3206">
            <w:pPr>
              <w:pStyle w:val="TableFigureHeading"/>
              <w:rPr>
                <w:b w:val="0"/>
                <w:bCs w:val="0"/>
              </w:rPr>
            </w:pPr>
            <w:r>
              <w:rPr>
                <w:b w:val="0"/>
                <w:bCs w:val="0"/>
              </w:rPr>
              <w:t>79.0 (13.4)</w:t>
            </w:r>
          </w:p>
          <w:p w14:paraId="16D1B0E3" w14:textId="77777777" w:rsidR="004117DE" w:rsidRDefault="004117DE" w:rsidP="003B3206">
            <w:pPr>
              <w:pStyle w:val="TableFigureHeading"/>
              <w:rPr>
                <w:b w:val="0"/>
                <w:bCs w:val="0"/>
              </w:rPr>
            </w:pPr>
            <w:r>
              <w:rPr>
                <w:b w:val="0"/>
                <w:bCs w:val="0"/>
              </w:rPr>
              <w:t>81.0 (25, 100)</w:t>
            </w:r>
          </w:p>
          <w:p w14:paraId="4E9C2679" w14:textId="5774DB73" w:rsidR="004117DE" w:rsidRPr="001E5C2F" w:rsidRDefault="002D15C9" w:rsidP="003B3206">
            <w:pPr>
              <w:pStyle w:val="TableFigureHeading"/>
              <w:rPr>
                <w:b w:val="0"/>
                <w:bCs w:val="0"/>
              </w:rPr>
            </w:pPr>
            <w:r>
              <w:rPr>
                <w:b w:val="0"/>
                <w:bCs w:val="0"/>
              </w:rPr>
              <w:noBreakHyphen/>
            </w:r>
            <w:r w:rsidR="00653025">
              <w:rPr>
                <w:b w:val="0"/>
                <w:bCs w:val="0"/>
              </w:rPr>
              <w:t>2.5</w:t>
            </w:r>
            <w:r w:rsidR="004117DE">
              <w:rPr>
                <w:b w:val="0"/>
                <w:bCs w:val="0"/>
              </w:rPr>
              <w:t xml:space="preserve"> (1.</w:t>
            </w:r>
            <w:r w:rsidR="00653025">
              <w:rPr>
                <w:b w:val="0"/>
                <w:bCs w:val="0"/>
              </w:rPr>
              <w:t>3</w:t>
            </w:r>
            <w:r w:rsidR="004117DE">
              <w:rPr>
                <w:b w:val="0"/>
                <w:bCs w:val="0"/>
              </w:rPr>
              <w:t>)</w:t>
            </w:r>
          </w:p>
        </w:tc>
        <w:tc>
          <w:tcPr>
            <w:tcW w:w="1134" w:type="dxa"/>
          </w:tcPr>
          <w:p w14:paraId="1F362AE5" w14:textId="77777777" w:rsidR="003B3206" w:rsidRDefault="003B3206" w:rsidP="003B3206">
            <w:pPr>
              <w:pStyle w:val="TableFigureHeading"/>
              <w:rPr>
                <w:b w:val="0"/>
                <w:bCs w:val="0"/>
              </w:rPr>
            </w:pPr>
          </w:p>
          <w:p w14:paraId="4A16E2E5" w14:textId="77777777" w:rsidR="004117DE" w:rsidRDefault="004117DE" w:rsidP="003B3206">
            <w:pPr>
              <w:pStyle w:val="TableFigureHeading"/>
              <w:rPr>
                <w:b w:val="0"/>
                <w:bCs w:val="0"/>
              </w:rPr>
            </w:pPr>
          </w:p>
          <w:p w14:paraId="7DC68C54" w14:textId="2DA5B013" w:rsidR="004117DE" w:rsidRPr="001E5C2F" w:rsidRDefault="004117DE" w:rsidP="003B3206">
            <w:pPr>
              <w:pStyle w:val="TableFigureHeading"/>
              <w:rPr>
                <w:b w:val="0"/>
                <w:bCs w:val="0"/>
              </w:rPr>
            </w:pPr>
            <w:r>
              <w:rPr>
                <w:b w:val="0"/>
                <w:bCs w:val="0"/>
              </w:rPr>
              <w:t>NR</w:t>
            </w:r>
          </w:p>
        </w:tc>
        <w:tc>
          <w:tcPr>
            <w:tcW w:w="1135" w:type="dxa"/>
          </w:tcPr>
          <w:p w14:paraId="3D5EAF8F" w14:textId="77777777" w:rsidR="003B3206" w:rsidRDefault="003B3206" w:rsidP="003B3206">
            <w:pPr>
              <w:pStyle w:val="TableFigureHeading"/>
              <w:rPr>
                <w:b w:val="0"/>
                <w:bCs w:val="0"/>
              </w:rPr>
            </w:pPr>
          </w:p>
          <w:p w14:paraId="34C48848" w14:textId="77777777" w:rsidR="004117DE" w:rsidRDefault="004117DE" w:rsidP="003B3206">
            <w:pPr>
              <w:pStyle w:val="TableFigureHeading"/>
              <w:rPr>
                <w:b w:val="0"/>
                <w:bCs w:val="0"/>
              </w:rPr>
            </w:pPr>
          </w:p>
          <w:p w14:paraId="577CDF99" w14:textId="6FEC32C2" w:rsidR="004117DE" w:rsidRPr="001E5C2F" w:rsidRDefault="004117DE" w:rsidP="003B3206">
            <w:pPr>
              <w:pStyle w:val="TableFigureHeading"/>
              <w:rPr>
                <w:b w:val="0"/>
                <w:bCs w:val="0"/>
              </w:rPr>
            </w:pPr>
            <w:r>
              <w:rPr>
                <w:b w:val="0"/>
                <w:bCs w:val="0"/>
              </w:rPr>
              <w:t>NR</w:t>
            </w:r>
          </w:p>
        </w:tc>
        <w:tc>
          <w:tcPr>
            <w:tcW w:w="1164" w:type="dxa"/>
          </w:tcPr>
          <w:p w14:paraId="47F16B87" w14:textId="77777777" w:rsidR="003B3206" w:rsidRDefault="003B3206" w:rsidP="003B3206">
            <w:pPr>
              <w:pStyle w:val="TableFigureHeading"/>
              <w:rPr>
                <w:b w:val="0"/>
                <w:bCs w:val="0"/>
              </w:rPr>
            </w:pPr>
          </w:p>
          <w:p w14:paraId="6ABFED67" w14:textId="77777777" w:rsidR="004117DE" w:rsidRDefault="004117DE" w:rsidP="003B3206">
            <w:pPr>
              <w:pStyle w:val="TableFigureHeading"/>
              <w:rPr>
                <w:b w:val="0"/>
                <w:bCs w:val="0"/>
              </w:rPr>
            </w:pPr>
          </w:p>
          <w:p w14:paraId="3566F5C1" w14:textId="0163BB89" w:rsidR="004117DE" w:rsidRPr="001E5C2F" w:rsidRDefault="004117DE" w:rsidP="003B3206">
            <w:pPr>
              <w:pStyle w:val="TableFigureHeading"/>
              <w:rPr>
                <w:b w:val="0"/>
                <w:bCs w:val="0"/>
              </w:rPr>
            </w:pPr>
            <w:r>
              <w:rPr>
                <w:b w:val="0"/>
                <w:bCs w:val="0"/>
              </w:rPr>
              <w:t>NR</w:t>
            </w:r>
          </w:p>
        </w:tc>
        <w:tc>
          <w:tcPr>
            <w:tcW w:w="1057" w:type="dxa"/>
          </w:tcPr>
          <w:p w14:paraId="2089F89C" w14:textId="77777777" w:rsidR="003B3206" w:rsidRDefault="003B3206" w:rsidP="003B3206">
            <w:pPr>
              <w:pStyle w:val="TableFigureHeading"/>
              <w:rPr>
                <w:b w:val="0"/>
                <w:bCs w:val="0"/>
              </w:rPr>
            </w:pPr>
          </w:p>
          <w:p w14:paraId="4235839D" w14:textId="77777777" w:rsidR="004117DE" w:rsidRDefault="004117DE" w:rsidP="003B3206">
            <w:pPr>
              <w:pStyle w:val="TableFigureHeading"/>
              <w:rPr>
                <w:b w:val="0"/>
                <w:bCs w:val="0"/>
              </w:rPr>
            </w:pPr>
          </w:p>
          <w:p w14:paraId="6C9AE325" w14:textId="1AD2C1DB" w:rsidR="004117DE" w:rsidRPr="001E5C2F" w:rsidRDefault="004117DE" w:rsidP="003B3206">
            <w:pPr>
              <w:pStyle w:val="TableFigureHeading"/>
              <w:rPr>
                <w:b w:val="0"/>
                <w:bCs w:val="0"/>
              </w:rPr>
            </w:pPr>
            <w:r>
              <w:rPr>
                <w:b w:val="0"/>
                <w:bCs w:val="0"/>
              </w:rPr>
              <w:t>NR</w:t>
            </w:r>
          </w:p>
        </w:tc>
      </w:tr>
      <w:tr w:rsidR="00726614" w14:paraId="27A921EE" w14:textId="77777777" w:rsidTr="00951F76">
        <w:tc>
          <w:tcPr>
            <w:tcW w:w="1997" w:type="dxa"/>
          </w:tcPr>
          <w:p w14:paraId="41FC8C4F" w14:textId="513D5108" w:rsidR="00726614" w:rsidRDefault="00726614" w:rsidP="003B3206">
            <w:pPr>
              <w:pStyle w:val="TableFigureHeading"/>
              <w:rPr>
                <w:b w:val="0"/>
                <w:bCs w:val="0"/>
              </w:rPr>
            </w:pPr>
            <w:r>
              <w:rPr>
                <w:b w:val="0"/>
                <w:bCs w:val="0"/>
              </w:rPr>
              <w:t>PSP Scale, baseline</w:t>
            </w:r>
          </w:p>
          <w:p w14:paraId="4F0D750F" w14:textId="75007115" w:rsidR="00726614" w:rsidRDefault="00726614" w:rsidP="003B3206">
            <w:pPr>
              <w:pStyle w:val="TableFigureHeading"/>
              <w:rPr>
                <w:b w:val="0"/>
                <w:bCs w:val="0"/>
              </w:rPr>
            </w:pPr>
            <w:r>
              <w:rPr>
                <w:b w:val="0"/>
                <w:bCs w:val="0"/>
              </w:rPr>
              <w:t>Mean (SD)</w:t>
            </w:r>
          </w:p>
        </w:tc>
        <w:tc>
          <w:tcPr>
            <w:tcW w:w="1259" w:type="dxa"/>
          </w:tcPr>
          <w:p w14:paraId="4FBF6312" w14:textId="77777777" w:rsidR="00726614" w:rsidRDefault="00726614" w:rsidP="003B3206">
            <w:pPr>
              <w:pStyle w:val="TableFigureHeading"/>
              <w:rPr>
                <w:b w:val="0"/>
                <w:bCs w:val="0"/>
              </w:rPr>
            </w:pPr>
          </w:p>
          <w:p w14:paraId="5250A2C1" w14:textId="4AF5B5A8" w:rsidR="00726614" w:rsidRDefault="00726614" w:rsidP="003B3206">
            <w:pPr>
              <w:pStyle w:val="TableFigureHeading"/>
              <w:rPr>
                <w:b w:val="0"/>
                <w:bCs w:val="0"/>
              </w:rPr>
            </w:pPr>
            <w:r>
              <w:rPr>
                <w:b w:val="0"/>
                <w:bCs w:val="0"/>
              </w:rPr>
              <w:t>63.3 (11.7)</w:t>
            </w:r>
          </w:p>
        </w:tc>
        <w:tc>
          <w:tcPr>
            <w:tcW w:w="1275" w:type="dxa"/>
          </w:tcPr>
          <w:p w14:paraId="61303C2C" w14:textId="77777777" w:rsidR="00726614" w:rsidRDefault="00726614" w:rsidP="003B3206">
            <w:pPr>
              <w:pStyle w:val="TableFigureHeading"/>
              <w:rPr>
                <w:b w:val="0"/>
                <w:bCs w:val="0"/>
              </w:rPr>
            </w:pPr>
          </w:p>
          <w:p w14:paraId="7A80ABF0" w14:textId="4AFE0465" w:rsidR="00726614" w:rsidRDefault="00726614" w:rsidP="003B3206">
            <w:pPr>
              <w:pStyle w:val="TableFigureHeading"/>
              <w:rPr>
                <w:b w:val="0"/>
                <w:bCs w:val="0"/>
              </w:rPr>
            </w:pPr>
            <w:r>
              <w:rPr>
                <w:b w:val="0"/>
                <w:bCs w:val="0"/>
              </w:rPr>
              <w:t>63.7 (11.5)</w:t>
            </w:r>
          </w:p>
        </w:tc>
        <w:tc>
          <w:tcPr>
            <w:tcW w:w="1134" w:type="dxa"/>
          </w:tcPr>
          <w:p w14:paraId="0E10A82E" w14:textId="77777777" w:rsidR="00726614" w:rsidRDefault="00726614" w:rsidP="003B3206">
            <w:pPr>
              <w:pStyle w:val="TableFigureHeading"/>
              <w:rPr>
                <w:b w:val="0"/>
                <w:bCs w:val="0"/>
              </w:rPr>
            </w:pPr>
          </w:p>
          <w:p w14:paraId="3551109F" w14:textId="1EC2F2C5" w:rsidR="00726614" w:rsidRDefault="00726614" w:rsidP="003B3206">
            <w:pPr>
              <w:pStyle w:val="TableFigureHeading"/>
              <w:rPr>
                <w:b w:val="0"/>
                <w:bCs w:val="0"/>
              </w:rPr>
            </w:pPr>
            <w:r>
              <w:rPr>
                <w:b w:val="0"/>
                <w:bCs w:val="0"/>
              </w:rPr>
              <w:t>72.0 (10.6)</w:t>
            </w:r>
          </w:p>
        </w:tc>
        <w:tc>
          <w:tcPr>
            <w:tcW w:w="1135" w:type="dxa"/>
          </w:tcPr>
          <w:p w14:paraId="0E55A628" w14:textId="77777777" w:rsidR="00726614" w:rsidRDefault="00726614" w:rsidP="003B3206">
            <w:pPr>
              <w:pStyle w:val="TableFigureHeading"/>
              <w:rPr>
                <w:b w:val="0"/>
                <w:bCs w:val="0"/>
              </w:rPr>
            </w:pPr>
          </w:p>
          <w:p w14:paraId="01F775F6" w14:textId="09080724" w:rsidR="00726614" w:rsidRDefault="00726614" w:rsidP="003B3206">
            <w:pPr>
              <w:pStyle w:val="TableFigureHeading"/>
              <w:rPr>
                <w:b w:val="0"/>
                <w:bCs w:val="0"/>
              </w:rPr>
            </w:pPr>
            <w:r>
              <w:rPr>
                <w:b w:val="0"/>
                <w:bCs w:val="0"/>
              </w:rPr>
              <w:t>72.9 (10.7)</w:t>
            </w:r>
          </w:p>
        </w:tc>
        <w:tc>
          <w:tcPr>
            <w:tcW w:w="1164" w:type="dxa"/>
          </w:tcPr>
          <w:p w14:paraId="6ACA8630" w14:textId="77777777" w:rsidR="00726614" w:rsidRDefault="00726614" w:rsidP="003B3206">
            <w:pPr>
              <w:pStyle w:val="TableFigureHeading"/>
              <w:rPr>
                <w:b w:val="0"/>
                <w:bCs w:val="0"/>
              </w:rPr>
            </w:pPr>
          </w:p>
          <w:p w14:paraId="0D751BD0" w14:textId="44515AC3" w:rsidR="00EC608F" w:rsidRDefault="00EC608F" w:rsidP="003B3206">
            <w:pPr>
              <w:pStyle w:val="TableFigureHeading"/>
              <w:rPr>
                <w:b w:val="0"/>
                <w:bCs w:val="0"/>
              </w:rPr>
            </w:pPr>
            <w:r>
              <w:rPr>
                <w:b w:val="0"/>
                <w:bCs w:val="0"/>
              </w:rPr>
              <w:t>NR</w:t>
            </w:r>
          </w:p>
        </w:tc>
        <w:tc>
          <w:tcPr>
            <w:tcW w:w="1057" w:type="dxa"/>
          </w:tcPr>
          <w:p w14:paraId="7BC4B78C" w14:textId="77777777" w:rsidR="00EC608F" w:rsidRDefault="00EC608F" w:rsidP="003B3206">
            <w:pPr>
              <w:pStyle w:val="TableFigureHeading"/>
              <w:rPr>
                <w:b w:val="0"/>
                <w:bCs w:val="0"/>
              </w:rPr>
            </w:pPr>
          </w:p>
          <w:p w14:paraId="60B8ABF1" w14:textId="46BA7FC6" w:rsidR="00726614" w:rsidRDefault="00EC608F" w:rsidP="003B3206">
            <w:pPr>
              <w:pStyle w:val="TableFigureHeading"/>
              <w:rPr>
                <w:b w:val="0"/>
                <w:bCs w:val="0"/>
              </w:rPr>
            </w:pPr>
            <w:r>
              <w:rPr>
                <w:b w:val="0"/>
                <w:bCs w:val="0"/>
              </w:rPr>
              <w:t>NR</w:t>
            </w:r>
          </w:p>
        </w:tc>
      </w:tr>
      <w:tr w:rsidR="00726614" w14:paraId="4E98D292" w14:textId="77777777" w:rsidTr="00951F76">
        <w:tc>
          <w:tcPr>
            <w:tcW w:w="1997" w:type="dxa"/>
          </w:tcPr>
          <w:p w14:paraId="74F3C33A" w14:textId="0BFA0954" w:rsidR="00726614" w:rsidRDefault="00726614" w:rsidP="00726614">
            <w:pPr>
              <w:pStyle w:val="TableFigureHeading"/>
              <w:rPr>
                <w:b w:val="0"/>
                <w:bCs w:val="0"/>
              </w:rPr>
            </w:pPr>
            <w:r>
              <w:rPr>
                <w:b w:val="0"/>
                <w:bCs w:val="0"/>
              </w:rPr>
              <w:t>PSP Scale, change from baseline to end of study</w:t>
            </w:r>
          </w:p>
          <w:p w14:paraId="5145CB4A" w14:textId="77777777" w:rsidR="00726614" w:rsidRDefault="00726614" w:rsidP="00726614">
            <w:pPr>
              <w:pStyle w:val="TableFigureHeading"/>
              <w:rPr>
                <w:b w:val="0"/>
                <w:bCs w:val="0"/>
              </w:rPr>
            </w:pPr>
            <w:r>
              <w:rPr>
                <w:b w:val="0"/>
                <w:bCs w:val="0"/>
              </w:rPr>
              <w:t>Mean (SD)</w:t>
            </w:r>
          </w:p>
          <w:p w14:paraId="2931DCE0" w14:textId="77777777" w:rsidR="001A3F1C" w:rsidRDefault="001A3F1C" w:rsidP="00726614">
            <w:pPr>
              <w:pStyle w:val="TableFigureHeading"/>
              <w:rPr>
                <w:b w:val="0"/>
                <w:bCs w:val="0"/>
              </w:rPr>
            </w:pPr>
            <w:r>
              <w:rPr>
                <w:b w:val="0"/>
                <w:bCs w:val="0"/>
              </w:rPr>
              <w:t>LS mean change (SE)</w:t>
            </w:r>
          </w:p>
          <w:p w14:paraId="2AEE3969" w14:textId="78F354E3" w:rsidR="001A3F1C" w:rsidRDefault="001A3F1C" w:rsidP="00726614">
            <w:pPr>
              <w:pStyle w:val="TableFigureHeading"/>
              <w:rPr>
                <w:b w:val="0"/>
                <w:bCs w:val="0"/>
              </w:rPr>
            </w:pPr>
            <w:r>
              <w:rPr>
                <w:b w:val="0"/>
                <w:bCs w:val="0"/>
              </w:rPr>
              <w:t>LS mean difference vs placebo (95% CI))</w:t>
            </w:r>
          </w:p>
        </w:tc>
        <w:tc>
          <w:tcPr>
            <w:tcW w:w="1259" w:type="dxa"/>
          </w:tcPr>
          <w:p w14:paraId="6012D8A6" w14:textId="77777777" w:rsidR="00726614" w:rsidRDefault="00726614" w:rsidP="003B3206">
            <w:pPr>
              <w:pStyle w:val="TableFigureHeading"/>
              <w:rPr>
                <w:b w:val="0"/>
                <w:bCs w:val="0"/>
              </w:rPr>
            </w:pPr>
          </w:p>
          <w:p w14:paraId="13BD2F10" w14:textId="77777777" w:rsidR="00726614" w:rsidRDefault="00726614" w:rsidP="003B3206">
            <w:pPr>
              <w:pStyle w:val="TableFigureHeading"/>
              <w:rPr>
                <w:b w:val="0"/>
                <w:bCs w:val="0"/>
              </w:rPr>
            </w:pPr>
          </w:p>
          <w:p w14:paraId="69926409" w14:textId="77777777" w:rsidR="00726614" w:rsidRDefault="00726614" w:rsidP="003B3206">
            <w:pPr>
              <w:pStyle w:val="TableFigureHeading"/>
              <w:rPr>
                <w:b w:val="0"/>
                <w:bCs w:val="0"/>
              </w:rPr>
            </w:pPr>
          </w:p>
          <w:p w14:paraId="40CBC52F" w14:textId="77777777" w:rsidR="00726614" w:rsidRDefault="00726614" w:rsidP="003B3206">
            <w:pPr>
              <w:pStyle w:val="TableFigureHeading"/>
              <w:rPr>
                <w:b w:val="0"/>
                <w:bCs w:val="0"/>
              </w:rPr>
            </w:pPr>
            <w:r>
              <w:rPr>
                <w:b w:val="0"/>
                <w:bCs w:val="0"/>
              </w:rPr>
              <w:t>2.1 (8.9)</w:t>
            </w:r>
          </w:p>
          <w:p w14:paraId="3EC9CF86" w14:textId="77777777" w:rsidR="001A3F1C" w:rsidRDefault="001A3F1C" w:rsidP="003B3206">
            <w:pPr>
              <w:pStyle w:val="TableFigureHeading"/>
              <w:rPr>
                <w:b w:val="0"/>
                <w:bCs w:val="0"/>
              </w:rPr>
            </w:pPr>
            <w:r>
              <w:rPr>
                <w:b w:val="0"/>
                <w:bCs w:val="0"/>
              </w:rPr>
              <w:t>1.2 (0.7)</w:t>
            </w:r>
          </w:p>
          <w:p w14:paraId="1241F90E" w14:textId="77777777" w:rsidR="001A3F1C" w:rsidRDefault="001A3F1C" w:rsidP="003B3206">
            <w:pPr>
              <w:pStyle w:val="TableFigureHeading"/>
              <w:rPr>
                <w:b w:val="0"/>
                <w:bCs w:val="0"/>
              </w:rPr>
            </w:pPr>
          </w:p>
          <w:p w14:paraId="101D27EC" w14:textId="40F29AD5" w:rsidR="001A3F1C" w:rsidRDefault="001A3F1C" w:rsidP="003B3206">
            <w:pPr>
              <w:pStyle w:val="TableFigureHeading"/>
              <w:rPr>
                <w:b w:val="0"/>
                <w:bCs w:val="0"/>
              </w:rPr>
            </w:pPr>
            <w:r>
              <w:rPr>
                <w:b w:val="0"/>
                <w:bCs w:val="0"/>
              </w:rPr>
              <w:t>1.1 (</w:t>
            </w:r>
            <w:r w:rsidR="002D15C9">
              <w:rPr>
                <w:b w:val="0"/>
                <w:bCs w:val="0"/>
              </w:rPr>
              <w:noBreakHyphen/>
            </w:r>
            <w:r>
              <w:rPr>
                <w:b w:val="0"/>
                <w:bCs w:val="0"/>
              </w:rPr>
              <w:t>0.9, 3.2)</w:t>
            </w:r>
          </w:p>
        </w:tc>
        <w:tc>
          <w:tcPr>
            <w:tcW w:w="1275" w:type="dxa"/>
          </w:tcPr>
          <w:p w14:paraId="410317DD" w14:textId="77777777" w:rsidR="00726614" w:rsidRDefault="00726614" w:rsidP="003B3206">
            <w:pPr>
              <w:pStyle w:val="TableFigureHeading"/>
              <w:rPr>
                <w:b w:val="0"/>
                <w:bCs w:val="0"/>
              </w:rPr>
            </w:pPr>
          </w:p>
          <w:p w14:paraId="48536E71" w14:textId="77777777" w:rsidR="00726614" w:rsidRDefault="00726614" w:rsidP="003B3206">
            <w:pPr>
              <w:pStyle w:val="TableFigureHeading"/>
              <w:rPr>
                <w:b w:val="0"/>
                <w:bCs w:val="0"/>
              </w:rPr>
            </w:pPr>
          </w:p>
          <w:p w14:paraId="526579A6" w14:textId="77777777" w:rsidR="00726614" w:rsidRDefault="00726614" w:rsidP="003B3206">
            <w:pPr>
              <w:pStyle w:val="TableFigureHeading"/>
              <w:rPr>
                <w:b w:val="0"/>
                <w:bCs w:val="0"/>
              </w:rPr>
            </w:pPr>
          </w:p>
          <w:p w14:paraId="24D73349" w14:textId="77777777" w:rsidR="00726614" w:rsidRDefault="00726614" w:rsidP="003B3206">
            <w:pPr>
              <w:pStyle w:val="TableFigureHeading"/>
              <w:rPr>
                <w:b w:val="0"/>
                <w:bCs w:val="0"/>
              </w:rPr>
            </w:pPr>
            <w:r>
              <w:rPr>
                <w:b w:val="0"/>
                <w:bCs w:val="0"/>
              </w:rPr>
              <w:t>2.1 (6.9)</w:t>
            </w:r>
          </w:p>
          <w:p w14:paraId="499133BE" w14:textId="71BCC130" w:rsidR="001A3F1C" w:rsidRDefault="001A3F1C" w:rsidP="003B3206">
            <w:pPr>
              <w:pStyle w:val="TableFigureHeading"/>
              <w:rPr>
                <w:b w:val="0"/>
                <w:bCs w:val="0"/>
              </w:rPr>
            </w:pPr>
            <w:r>
              <w:rPr>
                <w:b w:val="0"/>
                <w:bCs w:val="0"/>
              </w:rPr>
              <w:t>0.1 (0.8)</w:t>
            </w:r>
          </w:p>
        </w:tc>
        <w:tc>
          <w:tcPr>
            <w:tcW w:w="1134" w:type="dxa"/>
          </w:tcPr>
          <w:p w14:paraId="2FC1D8C6" w14:textId="77777777" w:rsidR="00726614" w:rsidRDefault="00726614" w:rsidP="003B3206">
            <w:pPr>
              <w:pStyle w:val="TableFigureHeading"/>
              <w:rPr>
                <w:b w:val="0"/>
                <w:bCs w:val="0"/>
              </w:rPr>
            </w:pPr>
          </w:p>
          <w:p w14:paraId="0AFCF7A6" w14:textId="77777777" w:rsidR="00726614" w:rsidRDefault="00726614" w:rsidP="003B3206">
            <w:pPr>
              <w:pStyle w:val="TableFigureHeading"/>
              <w:rPr>
                <w:b w:val="0"/>
                <w:bCs w:val="0"/>
              </w:rPr>
            </w:pPr>
          </w:p>
          <w:p w14:paraId="5FFD4251" w14:textId="77777777" w:rsidR="00726614" w:rsidRDefault="00726614" w:rsidP="003B3206">
            <w:pPr>
              <w:pStyle w:val="TableFigureHeading"/>
              <w:rPr>
                <w:b w:val="0"/>
                <w:bCs w:val="0"/>
              </w:rPr>
            </w:pPr>
          </w:p>
          <w:p w14:paraId="156C529B" w14:textId="1C821686" w:rsidR="00726614" w:rsidRPr="00D9503E" w:rsidRDefault="002D15C9" w:rsidP="003B3206">
            <w:pPr>
              <w:pStyle w:val="TableFigureHeading"/>
              <w:rPr>
                <w:b w:val="0"/>
              </w:rPr>
            </w:pPr>
            <w:r>
              <w:rPr>
                <w:b w:val="0"/>
              </w:rPr>
              <w:noBreakHyphen/>
            </w:r>
            <w:r w:rsidR="00726614" w:rsidRPr="00D9503E">
              <w:rPr>
                <w:b w:val="0"/>
              </w:rPr>
              <w:t>1.5 (11.5)</w:t>
            </w:r>
          </w:p>
          <w:p w14:paraId="627AE3E7" w14:textId="47E7CA11" w:rsidR="001A3F1C" w:rsidRPr="001A3F1C" w:rsidRDefault="001A3F1C" w:rsidP="003B3206">
            <w:pPr>
              <w:pStyle w:val="TableFigureHeading"/>
              <w:rPr>
                <w:b w:val="0"/>
                <w:bCs w:val="0"/>
              </w:rPr>
            </w:pPr>
            <w:r w:rsidRPr="001A3F1C">
              <w:rPr>
                <w:b w:val="0"/>
                <w:bCs w:val="0"/>
              </w:rPr>
              <w:t>NR</w:t>
            </w:r>
          </w:p>
        </w:tc>
        <w:tc>
          <w:tcPr>
            <w:tcW w:w="1135" w:type="dxa"/>
          </w:tcPr>
          <w:p w14:paraId="70D1DE7A" w14:textId="77777777" w:rsidR="00726614" w:rsidRDefault="00726614" w:rsidP="003B3206">
            <w:pPr>
              <w:pStyle w:val="TableFigureHeading"/>
              <w:rPr>
                <w:b w:val="0"/>
                <w:bCs w:val="0"/>
              </w:rPr>
            </w:pPr>
          </w:p>
          <w:p w14:paraId="408DEB6E" w14:textId="77777777" w:rsidR="00726614" w:rsidRDefault="00726614" w:rsidP="003B3206">
            <w:pPr>
              <w:pStyle w:val="TableFigureHeading"/>
              <w:rPr>
                <w:b w:val="0"/>
                <w:bCs w:val="0"/>
              </w:rPr>
            </w:pPr>
          </w:p>
          <w:p w14:paraId="5AD1B548" w14:textId="77777777" w:rsidR="00726614" w:rsidRDefault="00726614" w:rsidP="003B3206">
            <w:pPr>
              <w:pStyle w:val="TableFigureHeading"/>
              <w:rPr>
                <w:b w:val="0"/>
                <w:bCs w:val="0"/>
              </w:rPr>
            </w:pPr>
          </w:p>
          <w:p w14:paraId="43ECA9C3" w14:textId="2ADBB4E5" w:rsidR="00726614" w:rsidRDefault="002D15C9" w:rsidP="003B3206">
            <w:pPr>
              <w:pStyle w:val="TableFigureHeading"/>
              <w:rPr>
                <w:b w:val="0"/>
                <w:bCs w:val="0"/>
              </w:rPr>
            </w:pPr>
            <w:r>
              <w:rPr>
                <w:b w:val="0"/>
                <w:bCs w:val="0"/>
              </w:rPr>
              <w:noBreakHyphen/>
            </w:r>
            <w:r w:rsidR="00726614">
              <w:rPr>
                <w:b w:val="0"/>
                <w:bCs w:val="0"/>
              </w:rPr>
              <w:t>7.2 (13.0</w:t>
            </w:r>
            <w:r w:rsidR="001A3F1C">
              <w:rPr>
                <w:b w:val="0"/>
                <w:bCs w:val="0"/>
              </w:rPr>
              <w:t>)</w:t>
            </w:r>
          </w:p>
          <w:p w14:paraId="1F85F3A1" w14:textId="5BFEE7E6" w:rsidR="001A3F1C" w:rsidRDefault="001A3F1C" w:rsidP="003B3206">
            <w:pPr>
              <w:pStyle w:val="TableFigureHeading"/>
              <w:rPr>
                <w:b w:val="0"/>
                <w:bCs w:val="0"/>
              </w:rPr>
            </w:pPr>
            <w:r>
              <w:rPr>
                <w:b w:val="0"/>
                <w:bCs w:val="0"/>
              </w:rPr>
              <w:t>NR</w:t>
            </w:r>
          </w:p>
        </w:tc>
        <w:tc>
          <w:tcPr>
            <w:tcW w:w="1164" w:type="dxa"/>
          </w:tcPr>
          <w:p w14:paraId="2EF4F254" w14:textId="77777777" w:rsidR="00726614" w:rsidRDefault="00726614" w:rsidP="003B3206">
            <w:pPr>
              <w:pStyle w:val="TableFigureHeading"/>
              <w:rPr>
                <w:b w:val="0"/>
                <w:bCs w:val="0"/>
              </w:rPr>
            </w:pPr>
          </w:p>
          <w:p w14:paraId="7D16A52D" w14:textId="77777777" w:rsidR="00EC608F" w:rsidRDefault="00EC608F" w:rsidP="003B3206">
            <w:pPr>
              <w:pStyle w:val="TableFigureHeading"/>
              <w:rPr>
                <w:b w:val="0"/>
                <w:bCs w:val="0"/>
              </w:rPr>
            </w:pPr>
          </w:p>
          <w:p w14:paraId="675FD9E2" w14:textId="77777777" w:rsidR="00EC608F" w:rsidRDefault="00EC608F" w:rsidP="003B3206">
            <w:pPr>
              <w:pStyle w:val="TableFigureHeading"/>
              <w:rPr>
                <w:b w:val="0"/>
                <w:bCs w:val="0"/>
              </w:rPr>
            </w:pPr>
          </w:p>
          <w:p w14:paraId="70E031BD" w14:textId="42E2FC05" w:rsidR="00EC608F" w:rsidRDefault="00EC608F" w:rsidP="003B3206">
            <w:pPr>
              <w:pStyle w:val="TableFigureHeading"/>
              <w:rPr>
                <w:b w:val="0"/>
                <w:bCs w:val="0"/>
              </w:rPr>
            </w:pPr>
            <w:r>
              <w:rPr>
                <w:b w:val="0"/>
                <w:bCs w:val="0"/>
              </w:rPr>
              <w:t>NR</w:t>
            </w:r>
          </w:p>
        </w:tc>
        <w:tc>
          <w:tcPr>
            <w:tcW w:w="1057" w:type="dxa"/>
          </w:tcPr>
          <w:p w14:paraId="0ECB9E52" w14:textId="77777777" w:rsidR="00726614" w:rsidRDefault="00726614" w:rsidP="003B3206">
            <w:pPr>
              <w:pStyle w:val="TableFigureHeading"/>
              <w:rPr>
                <w:b w:val="0"/>
                <w:bCs w:val="0"/>
              </w:rPr>
            </w:pPr>
          </w:p>
          <w:p w14:paraId="7CF8D0F7" w14:textId="77777777" w:rsidR="00EC608F" w:rsidRDefault="00EC608F" w:rsidP="003B3206">
            <w:pPr>
              <w:pStyle w:val="TableFigureHeading"/>
              <w:rPr>
                <w:b w:val="0"/>
                <w:bCs w:val="0"/>
              </w:rPr>
            </w:pPr>
          </w:p>
          <w:p w14:paraId="69C1A91B" w14:textId="77777777" w:rsidR="00EC608F" w:rsidRDefault="00EC608F" w:rsidP="003B3206">
            <w:pPr>
              <w:pStyle w:val="TableFigureHeading"/>
              <w:rPr>
                <w:b w:val="0"/>
                <w:bCs w:val="0"/>
              </w:rPr>
            </w:pPr>
          </w:p>
          <w:p w14:paraId="63E12016" w14:textId="0FF0A7C0" w:rsidR="00EC608F" w:rsidRDefault="00EC608F" w:rsidP="003B3206">
            <w:pPr>
              <w:pStyle w:val="TableFigureHeading"/>
              <w:rPr>
                <w:b w:val="0"/>
                <w:bCs w:val="0"/>
              </w:rPr>
            </w:pPr>
            <w:r>
              <w:rPr>
                <w:b w:val="0"/>
                <w:bCs w:val="0"/>
              </w:rPr>
              <w:t>NR</w:t>
            </w:r>
          </w:p>
        </w:tc>
      </w:tr>
    </w:tbl>
    <w:p w14:paraId="2CA207AD" w14:textId="77777777" w:rsidR="00940330" w:rsidRDefault="00CB4522" w:rsidP="004117DE">
      <w:pPr>
        <w:pStyle w:val="TableFigureFooter"/>
      </w:pPr>
      <w:r>
        <w:t xml:space="preserve">Source: RISE CSR, Tables </w:t>
      </w:r>
      <w:r w:rsidR="00136163">
        <w:t xml:space="preserve">15.10.2, </w:t>
      </w:r>
      <w:r>
        <w:t xml:space="preserve">15.11.2; 15.11.3; </w:t>
      </w:r>
      <w:r w:rsidR="00451D2D">
        <w:t xml:space="preserve">15.11.6; </w:t>
      </w:r>
      <w:r w:rsidR="00386615">
        <w:t>15.12.4</w:t>
      </w:r>
      <w:r w:rsidR="00653025">
        <w:t xml:space="preserve"> (</w:t>
      </w:r>
      <w:r w:rsidR="00386615">
        <w:t>pp77, 88</w:t>
      </w:r>
      <w:r w:rsidR="00653025">
        <w:t>)</w:t>
      </w:r>
      <w:r w:rsidR="00386615">
        <w:t xml:space="preserve">; </w:t>
      </w:r>
      <w:r w:rsidR="00C9433B">
        <w:t xml:space="preserve">Kane, 2023, Hough, 2010 and Kane, 2012. </w:t>
      </w:r>
    </w:p>
    <w:p w14:paraId="661800F2" w14:textId="41E94251" w:rsidR="00940330" w:rsidRDefault="00653025" w:rsidP="004117DE">
      <w:pPr>
        <w:pStyle w:val="TableFigureFooter"/>
      </w:pPr>
      <w:r>
        <w:t xml:space="preserve">Results in </w:t>
      </w:r>
      <w:r w:rsidRPr="00653025">
        <w:rPr>
          <w:b/>
        </w:rPr>
        <w:t xml:space="preserve">bold </w:t>
      </w:r>
      <w:r>
        <w:t xml:space="preserve">are statistically significant vs placebo. </w:t>
      </w:r>
    </w:p>
    <w:p w14:paraId="72321158" w14:textId="7ED7DB0F" w:rsidR="003B3206" w:rsidRPr="003B3206" w:rsidRDefault="007D37F7" w:rsidP="004117DE">
      <w:pPr>
        <w:pStyle w:val="TableFigureFooter"/>
      </w:pPr>
      <w:r>
        <w:t>A1M</w:t>
      </w:r>
      <w:r w:rsidR="00940330">
        <w:t xml:space="preserve"> = aripiprazole; CGI = clinical global impression; CI = confidence interval; EQ VAS. = </w:t>
      </w:r>
      <w:r w:rsidR="00DA7417">
        <w:t>EuroQoL</w:t>
      </w:r>
      <w:r w:rsidR="00940330">
        <w:t xml:space="preserve"> visual analogue scale, 0 = worst imaginable health, 100 = best imaginable health; LS = least squares; PANSS = positive and negative syndrome scale; </w:t>
      </w:r>
      <w:r w:rsidR="000A1662">
        <w:t xml:space="preserve">PP1M </w:t>
      </w:r>
      <w:r w:rsidR="00F957C5">
        <w:t xml:space="preserve">= </w:t>
      </w:r>
      <w:r w:rsidR="003B37B3">
        <w:t xml:space="preserve">paliperidone; </w:t>
      </w:r>
      <w:r w:rsidR="00726614">
        <w:t>PSP = personal and social performance, higher scores = better performance</w:t>
      </w:r>
      <w:r w:rsidR="00940330">
        <w:t>;</w:t>
      </w:r>
      <w:r w:rsidR="00723D5E">
        <w:t xml:space="preserve"> </w:t>
      </w:r>
      <w:r w:rsidR="00940330">
        <w:t xml:space="preserve">SE = standard error. </w:t>
      </w:r>
    </w:p>
    <w:p w14:paraId="70C2B796" w14:textId="5C6055A7" w:rsidR="00961D1B" w:rsidRPr="00961D1B" w:rsidRDefault="00653025" w:rsidP="00EC5836">
      <w:pPr>
        <w:pStyle w:val="3-BodyText"/>
        <w:rPr>
          <w:color w:val="0066FF"/>
        </w:rPr>
      </w:pPr>
      <w:r>
        <w:rPr>
          <w:color w:val="000000" w:themeColor="text1"/>
        </w:rPr>
        <w:t xml:space="preserve">There was statistically and </w:t>
      </w:r>
      <w:r w:rsidR="00961D1B">
        <w:rPr>
          <w:color w:val="000000" w:themeColor="text1"/>
        </w:rPr>
        <w:t>marginally</w:t>
      </w:r>
      <w:r>
        <w:rPr>
          <w:color w:val="000000" w:themeColor="text1"/>
        </w:rPr>
        <w:t xml:space="preserve"> clinically meaningful improvement in quality of life associated with </w:t>
      </w:r>
      <w:r w:rsidR="0019263D">
        <w:rPr>
          <w:color w:val="000000" w:themeColor="text1"/>
        </w:rPr>
        <w:t xml:space="preserve">MRSC </w:t>
      </w:r>
      <w:r>
        <w:rPr>
          <w:color w:val="000000" w:themeColor="text1"/>
        </w:rPr>
        <w:t>risperidone treatment</w:t>
      </w:r>
      <w:r w:rsidR="00961D1B">
        <w:rPr>
          <w:color w:val="000000" w:themeColor="text1"/>
        </w:rPr>
        <w:t xml:space="preserve">. </w:t>
      </w:r>
    </w:p>
    <w:p w14:paraId="74164207" w14:textId="0639994E" w:rsidR="00653025" w:rsidRPr="00940330" w:rsidRDefault="00961D1B" w:rsidP="00EC5836">
      <w:pPr>
        <w:pStyle w:val="3-BodyText"/>
        <w:rPr>
          <w:color w:val="0066FF"/>
        </w:rPr>
      </w:pPr>
      <w:r>
        <w:rPr>
          <w:color w:val="000000" w:themeColor="text1"/>
        </w:rPr>
        <w:t xml:space="preserve">The EuroQoL Visual Analogue Scale </w:t>
      </w:r>
      <w:r w:rsidR="0054183A">
        <w:rPr>
          <w:color w:val="000000" w:themeColor="text1"/>
        </w:rPr>
        <w:t xml:space="preserve">asks patients </w:t>
      </w:r>
      <w:r w:rsidR="00020DBE">
        <w:rPr>
          <w:color w:val="000000" w:themeColor="text1"/>
        </w:rPr>
        <w:t>for a summary</w:t>
      </w:r>
      <w:r w:rsidR="0054183A">
        <w:rPr>
          <w:color w:val="000000" w:themeColor="text1"/>
        </w:rPr>
        <w:t xml:space="preserve"> estimate of </w:t>
      </w:r>
      <w:r w:rsidR="001A3F1C">
        <w:rPr>
          <w:color w:val="000000" w:themeColor="text1"/>
        </w:rPr>
        <w:t xml:space="preserve">their current </w:t>
      </w:r>
      <w:r w:rsidR="0054183A">
        <w:rPr>
          <w:color w:val="000000" w:themeColor="text1"/>
        </w:rPr>
        <w:t>health</w:t>
      </w:r>
      <w:r w:rsidR="002D15C9">
        <w:rPr>
          <w:color w:val="000000" w:themeColor="text1"/>
        </w:rPr>
        <w:noBreakHyphen/>
      </w:r>
      <w:r w:rsidR="0054183A">
        <w:rPr>
          <w:color w:val="000000" w:themeColor="text1"/>
        </w:rPr>
        <w:t xml:space="preserve">related quality of life, from 0 = "worst health you can imagine" to 100 = "best health you can imagine" (the description on p121 of the submission is incorrect). EQ VAS </w:t>
      </w:r>
      <w:r>
        <w:rPr>
          <w:color w:val="000000" w:themeColor="text1"/>
        </w:rPr>
        <w:t xml:space="preserve">scores increased in patients treated with </w:t>
      </w:r>
      <w:r w:rsidR="0019263D">
        <w:rPr>
          <w:color w:val="000000" w:themeColor="text1"/>
        </w:rPr>
        <w:t xml:space="preserve">MRSC </w:t>
      </w:r>
      <w:r>
        <w:rPr>
          <w:color w:val="000000" w:themeColor="text1"/>
        </w:rPr>
        <w:t>risperidone</w:t>
      </w:r>
      <w:r w:rsidR="0077734E">
        <w:rPr>
          <w:color w:val="000000" w:themeColor="text1"/>
        </w:rPr>
        <w:t xml:space="preserve"> </w:t>
      </w:r>
      <w:r>
        <w:rPr>
          <w:color w:val="000000" w:themeColor="text1"/>
        </w:rPr>
        <w:t>and fell in placebo</w:t>
      </w:r>
      <w:r w:rsidR="002D15C9">
        <w:rPr>
          <w:color w:val="000000" w:themeColor="text1"/>
        </w:rPr>
        <w:noBreakHyphen/>
      </w:r>
      <w:r>
        <w:rPr>
          <w:color w:val="000000" w:themeColor="text1"/>
        </w:rPr>
        <w:t xml:space="preserve">treated patients, </w:t>
      </w:r>
      <w:r w:rsidR="00653025">
        <w:rPr>
          <w:color w:val="000000" w:themeColor="text1"/>
        </w:rPr>
        <w:t>although in both groups</w:t>
      </w:r>
      <w:r w:rsidR="00E241F3">
        <w:rPr>
          <w:color w:val="000000" w:themeColor="text1"/>
        </w:rPr>
        <w:t xml:space="preserve"> the</w:t>
      </w:r>
      <w:r w:rsidR="00653025">
        <w:rPr>
          <w:color w:val="000000" w:themeColor="text1"/>
        </w:rPr>
        <w:t xml:space="preserve"> </w:t>
      </w:r>
      <w:r w:rsidR="00020DBE">
        <w:rPr>
          <w:color w:val="000000" w:themeColor="text1"/>
        </w:rPr>
        <w:t>scores</w:t>
      </w:r>
      <w:r w:rsidR="00653025">
        <w:rPr>
          <w:color w:val="000000" w:themeColor="text1"/>
        </w:rPr>
        <w:t xml:space="preserve"> </w:t>
      </w:r>
      <w:r>
        <w:rPr>
          <w:color w:val="000000" w:themeColor="text1"/>
        </w:rPr>
        <w:t xml:space="preserve">remained </w:t>
      </w:r>
      <w:r w:rsidR="00653025">
        <w:rPr>
          <w:color w:val="000000" w:themeColor="text1"/>
        </w:rPr>
        <w:t xml:space="preserve">around the </w:t>
      </w:r>
      <w:r w:rsidR="00653025">
        <w:rPr>
          <w:color w:val="000000" w:themeColor="text1"/>
        </w:rPr>
        <w:lastRenderedPageBreak/>
        <w:t xml:space="preserve">middle of the range seen in random samples of the population. </w:t>
      </w:r>
      <w:r w:rsidR="00855851" w:rsidRPr="00855851">
        <w:rPr>
          <w:color w:val="000000" w:themeColor="text1"/>
        </w:rPr>
        <w:t>In a</w:t>
      </w:r>
      <w:r w:rsidR="00020DBE">
        <w:rPr>
          <w:color w:val="000000" w:themeColor="text1"/>
        </w:rPr>
        <w:t>n</w:t>
      </w:r>
      <w:r w:rsidR="00855851" w:rsidRPr="00855851">
        <w:rPr>
          <w:color w:val="000000" w:themeColor="text1"/>
        </w:rPr>
        <w:t xml:space="preserve"> Australian sample,</w:t>
      </w:r>
      <w:r w:rsidR="00653025">
        <w:rPr>
          <w:color w:val="000000" w:themeColor="text1"/>
        </w:rPr>
        <w:t xml:space="preserve"> </w:t>
      </w:r>
      <w:r w:rsidR="00627F33">
        <w:rPr>
          <w:color w:val="000000" w:themeColor="text1"/>
        </w:rPr>
        <w:t>e.g.</w:t>
      </w:r>
      <w:r w:rsidR="00653025">
        <w:rPr>
          <w:color w:val="000000" w:themeColor="text1"/>
        </w:rPr>
        <w:t>,</w:t>
      </w:r>
      <w:r w:rsidR="00855851" w:rsidRPr="00855851">
        <w:rPr>
          <w:color w:val="000000" w:themeColor="text1"/>
        </w:rPr>
        <w:t xml:space="preserve"> mean (SD) EQ VAS varied with age</w:t>
      </w:r>
      <w:r w:rsidR="00653025">
        <w:rPr>
          <w:color w:val="000000" w:themeColor="text1"/>
        </w:rPr>
        <w:t>, but</w:t>
      </w:r>
      <w:r w:rsidR="00855851" w:rsidRPr="00855851">
        <w:rPr>
          <w:color w:val="000000" w:themeColor="text1"/>
        </w:rPr>
        <w:t xml:space="preserve"> at the lower end of the age range studied in RISE it was 82.0 (14.1) and at the upper end it was 78.9 (16.8).</w:t>
      </w:r>
      <w:r w:rsidR="00855851">
        <w:rPr>
          <w:rStyle w:val="FootnoteReference"/>
          <w:color w:val="000000" w:themeColor="text1"/>
        </w:rPr>
        <w:footnoteReference w:id="4"/>
      </w:r>
      <w:r w:rsidR="00386615">
        <w:rPr>
          <w:color w:val="000000" w:themeColor="text1"/>
        </w:rPr>
        <w:t xml:space="preserve"> The minimum clinically important difference varies with baseline score, but the range seen in RISE is of the order of 5.</w:t>
      </w:r>
      <w:r w:rsidR="00386615">
        <w:rPr>
          <w:rStyle w:val="FootnoteReference"/>
          <w:color w:val="000000" w:themeColor="text1"/>
        </w:rPr>
        <w:footnoteReference w:id="5"/>
      </w:r>
      <w:r w:rsidR="00386615">
        <w:rPr>
          <w:color w:val="000000" w:themeColor="text1"/>
        </w:rPr>
        <w:t xml:space="preserve"> </w:t>
      </w:r>
    </w:p>
    <w:p w14:paraId="289D49EB" w14:textId="18502D55" w:rsidR="00940330" w:rsidRPr="001C4687" w:rsidRDefault="00940330" w:rsidP="00940330">
      <w:pPr>
        <w:pStyle w:val="3-BodyText"/>
        <w:rPr>
          <w:color w:val="000000" w:themeColor="text1"/>
        </w:rPr>
      </w:pPr>
      <w:r>
        <w:rPr>
          <w:color w:val="000000" w:themeColor="text1"/>
        </w:rPr>
        <w:t>The EuroQoL 5</w:t>
      </w:r>
      <w:r w:rsidR="002D15C9">
        <w:rPr>
          <w:color w:val="000000" w:themeColor="text1"/>
        </w:rPr>
        <w:noBreakHyphen/>
      </w:r>
      <w:r>
        <w:rPr>
          <w:color w:val="000000" w:themeColor="text1"/>
        </w:rPr>
        <w:t>dimension 5</w:t>
      </w:r>
      <w:r w:rsidR="002D15C9">
        <w:rPr>
          <w:color w:val="000000" w:themeColor="text1"/>
        </w:rPr>
        <w:noBreakHyphen/>
      </w:r>
      <w:r>
        <w:rPr>
          <w:color w:val="000000" w:themeColor="text1"/>
        </w:rPr>
        <w:t>level (EQ</w:t>
      </w:r>
      <w:r w:rsidR="002D15C9">
        <w:rPr>
          <w:color w:val="000000" w:themeColor="text1"/>
        </w:rPr>
        <w:noBreakHyphen/>
      </w:r>
      <w:r>
        <w:rPr>
          <w:color w:val="000000" w:themeColor="text1"/>
        </w:rPr>
        <w:t>5D</w:t>
      </w:r>
      <w:r w:rsidR="002D15C9">
        <w:rPr>
          <w:color w:val="000000" w:themeColor="text1"/>
        </w:rPr>
        <w:noBreakHyphen/>
      </w:r>
      <w:r>
        <w:rPr>
          <w:color w:val="000000" w:themeColor="text1"/>
        </w:rPr>
        <w:t xml:space="preserve">5L) score change from baseline to end of study also favoured </w:t>
      </w:r>
      <w:r w:rsidR="0019263D">
        <w:rPr>
          <w:color w:val="000000" w:themeColor="text1"/>
        </w:rPr>
        <w:t xml:space="preserve">MRSC </w:t>
      </w:r>
      <w:r>
        <w:rPr>
          <w:color w:val="000000" w:themeColor="text1"/>
        </w:rPr>
        <w:t xml:space="preserve">risperidone: least squares mean (SE) change was </w:t>
      </w:r>
      <w:r w:rsidR="002D15C9">
        <w:rPr>
          <w:color w:val="000000" w:themeColor="text1"/>
        </w:rPr>
        <w:noBreakHyphen/>
      </w:r>
      <w:r>
        <w:rPr>
          <w:color w:val="000000" w:themeColor="text1"/>
        </w:rPr>
        <w:t xml:space="preserve">2.46 (1.32) for placebo and 2.28 (0.83) for pooled </w:t>
      </w:r>
      <w:r w:rsidR="00B40DA6">
        <w:rPr>
          <w:color w:val="000000" w:themeColor="text1"/>
        </w:rPr>
        <w:t>MRSC risperidone</w:t>
      </w:r>
      <w:r>
        <w:rPr>
          <w:color w:val="000000" w:themeColor="text1"/>
        </w:rPr>
        <w:t xml:space="preserve"> and 2nd monthly groups (RISE CSR, p124). </w:t>
      </w:r>
    </w:p>
    <w:p w14:paraId="63254A39" w14:textId="67B662D1" w:rsidR="00940330" w:rsidRDefault="00797C3D" w:rsidP="00EC5836">
      <w:pPr>
        <w:pStyle w:val="3-BodyText"/>
        <w:rPr>
          <w:color w:val="000000" w:themeColor="text1"/>
        </w:rPr>
      </w:pPr>
      <w:r>
        <w:rPr>
          <w:color w:val="000000" w:themeColor="text1"/>
        </w:rPr>
        <w:t xml:space="preserve">The </w:t>
      </w:r>
      <w:r w:rsidR="00EC608F" w:rsidRPr="00EC608F">
        <w:rPr>
          <w:color w:val="000000" w:themeColor="text1"/>
        </w:rPr>
        <w:t xml:space="preserve">Personal and Social Performance </w:t>
      </w:r>
      <w:r w:rsidR="007936EF">
        <w:rPr>
          <w:color w:val="000000" w:themeColor="text1"/>
        </w:rPr>
        <w:t xml:space="preserve">(PSP) </w:t>
      </w:r>
      <w:r w:rsidR="00EE4BF8">
        <w:rPr>
          <w:color w:val="000000" w:themeColor="text1"/>
        </w:rPr>
        <w:t>S</w:t>
      </w:r>
      <w:r w:rsidRPr="00EC608F">
        <w:rPr>
          <w:color w:val="000000" w:themeColor="text1"/>
        </w:rPr>
        <w:t xml:space="preserve">cale </w:t>
      </w:r>
      <w:r w:rsidR="00961D1B">
        <w:rPr>
          <w:color w:val="000000" w:themeColor="text1"/>
        </w:rPr>
        <w:t>measures four areas: socially useful activities (</w:t>
      </w:r>
      <w:r w:rsidR="00627F33">
        <w:rPr>
          <w:color w:val="000000" w:themeColor="text1"/>
        </w:rPr>
        <w:t>e.g.</w:t>
      </w:r>
      <w:r w:rsidR="00961D1B">
        <w:rPr>
          <w:color w:val="000000" w:themeColor="text1"/>
        </w:rPr>
        <w:t>, housework, work outside the home, study); personal and social relationships; self</w:t>
      </w:r>
      <w:r w:rsidR="002D15C9">
        <w:rPr>
          <w:color w:val="000000" w:themeColor="text1"/>
        </w:rPr>
        <w:noBreakHyphen/>
      </w:r>
      <w:r w:rsidR="00961D1B">
        <w:rPr>
          <w:color w:val="000000" w:themeColor="text1"/>
        </w:rPr>
        <w:t xml:space="preserve">care (hygiene and appearance); </w:t>
      </w:r>
      <w:r w:rsidR="00214F76">
        <w:rPr>
          <w:color w:val="000000" w:themeColor="text1"/>
        </w:rPr>
        <w:t xml:space="preserve">and </w:t>
      </w:r>
      <w:r w:rsidR="00961D1B">
        <w:rPr>
          <w:color w:val="000000" w:themeColor="text1"/>
        </w:rPr>
        <w:t xml:space="preserve">disturbing and aggressive behaviour. </w:t>
      </w:r>
      <w:r w:rsidR="006869E3">
        <w:rPr>
          <w:color w:val="000000" w:themeColor="text1"/>
        </w:rPr>
        <w:t xml:space="preserve">The </w:t>
      </w:r>
      <w:r w:rsidR="00F5551D">
        <w:rPr>
          <w:color w:val="000000" w:themeColor="text1"/>
        </w:rPr>
        <w:t>s</w:t>
      </w:r>
      <w:r w:rsidR="00F5551D" w:rsidRPr="00EC608F">
        <w:rPr>
          <w:color w:val="000000" w:themeColor="text1"/>
        </w:rPr>
        <w:t xml:space="preserve">cores </w:t>
      </w:r>
      <w:r w:rsidR="00EC608F" w:rsidRPr="00EC608F">
        <w:rPr>
          <w:color w:val="000000" w:themeColor="text1"/>
        </w:rPr>
        <w:t xml:space="preserve">did not change meaningfully during the RISE trial and there was no difference between placebo and </w:t>
      </w:r>
      <w:r w:rsidR="0019263D">
        <w:rPr>
          <w:color w:val="000000" w:themeColor="text1"/>
        </w:rPr>
        <w:t xml:space="preserve">MRSC </w:t>
      </w:r>
      <w:r w:rsidR="00EC608F" w:rsidRPr="00EC608F">
        <w:rPr>
          <w:color w:val="000000" w:themeColor="text1"/>
        </w:rPr>
        <w:t>risperidone</w:t>
      </w:r>
      <w:r w:rsidR="002D15C9">
        <w:rPr>
          <w:color w:val="000000" w:themeColor="text1"/>
        </w:rPr>
        <w:noBreakHyphen/>
      </w:r>
      <w:r w:rsidR="00EC608F" w:rsidRPr="00EC608F">
        <w:rPr>
          <w:color w:val="000000" w:themeColor="text1"/>
        </w:rPr>
        <w:t xml:space="preserve">treated patients. </w:t>
      </w:r>
      <w:r w:rsidR="007936EF" w:rsidRPr="00C7236D">
        <w:rPr>
          <w:iCs/>
          <w:color w:val="000000" w:themeColor="text1"/>
        </w:rPr>
        <w:t xml:space="preserve">The </w:t>
      </w:r>
      <w:r w:rsidR="00955FEE">
        <w:rPr>
          <w:iCs/>
          <w:color w:val="000000" w:themeColor="text1"/>
        </w:rPr>
        <w:t>minimal clinically important difference</w:t>
      </w:r>
      <w:r w:rsidR="007936EF" w:rsidRPr="00C7236D">
        <w:rPr>
          <w:iCs/>
          <w:color w:val="000000" w:themeColor="text1"/>
        </w:rPr>
        <w:t xml:space="preserve"> for the PSP Scale is around 8, so although the changes in Hough </w:t>
      </w:r>
      <w:r w:rsidR="00562AC7">
        <w:rPr>
          <w:iCs/>
          <w:color w:val="000000" w:themeColor="text1"/>
        </w:rPr>
        <w:t>(</w:t>
      </w:r>
      <w:r w:rsidR="007936EF" w:rsidRPr="00C7236D">
        <w:rPr>
          <w:iCs/>
          <w:color w:val="000000" w:themeColor="text1"/>
        </w:rPr>
        <w:t>2010</w:t>
      </w:r>
      <w:r w:rsidR="00562AC7">
        <w:rPr>
          <w:iCs/>
          <w:color w:val="000000" w:themeColor="text1"/>
        </w:rPr>
        <w:t>)</w:t>
      </w:r>
      <w:r w:rsidR="007936EF" w:rsidRPr="00C7236D">
        <w:rPr>
          <w:iCs/>
          <w:color w:val="000000" w:themeColor="text1"/>
        </w:rPr>
        <w:t xml:space="preserve">, were statistically significant they were </w:t>
      </w:r>
      <w:r w:rsidR="00961D1B" w:rsidRPr="00C7236D">
        <w:rPr>
          <w:iCs/>
          <w:color w:val="000000" w:themeColor="text1"/>
        </w:rPr>
        <w:t xml:space="preserve">probably </w:t>
      </w:r>
      <w:r w:rsidR="007936EF" w:rsidRPr="00C7236D">
        <w:rPr>
          <w:iCs/>
          <w:color w:val="000000" w:themeColor="text1"/>
        </w:rPr>
        <w:t>not clinically important.</w:t>
      </w:r>
      <w:r w:rsidR="007936EF">
        <w:rPr>
          <w:rStyle w:val="FootnoteReference"/>
          <w:color w:val="000000" w:themeColor="text1"/>
        </w:rPr>
        <w:footnoteReference w:id="6"/>
      </w:r>
      <w:r w:rsidR="007936EF">
        <w:rPr>
          <w:color w:val="000000" w:themeColor="text1"/>
        </w:rPr>
        <w:t xml:space="preserve"> </w:t>
      </w:r>
    </w:p>
    <w:p w14:paraId="246D64EA" w14:textId="2C62DA92" w:rsidR="00DB0707" w:rsidRDefault="00E27697" w:rsidP="00EC5836">
      <w:pPr>
        <w:pStyle w:val="3-BodyText"/>
        <w:rPr>
          <w:color w:val="000000" w:themeColor="text1"/>
        </w:rPr>
      </w:pPr>
      <w:r>
        <w:rPr>
          <w:color w:val="000000" w:themeColor="text1"/>
        </w:rPr>
        <w:t xml:space="preserve">Additional claims of efficacy </w:t>
      </w:r>
      <w:r w:rsidR="00723D5E">
        <w:rPr>
          <w:color w:val="000000" w:themeColor="text1"/>
        </w:rPr>
        <w:t xml:space="preserve">made in the submission but </w:t>
      </w:r>
      <w:r>
        <w:rPr>
          <w:color w:val="000000" w:themeColor="text1"/>
        </w:rPr>
        <w:t>not included in the formal clinical claim were that</w:t>
      </w:r>
      <w:r w:rsidR="00020DBE">
        <w:rPr>
          <w:color w:val="000000" w:themeColor="text1"/>
        </w:rPr>
        <w:t xml:space="preserve"> </w:t>
      </w:r>
      <w:r w:rsidR="0019263D">
        <w:rPr>
          <w:color w:val="000000" w:themeColor="text1"/>
        </w:rPr>
        <w:t xml:space="preserve">MRSC </w:t>
      </w:r>
      <w:r>
        <w:rPr>
          <w:color w:val="000000" w:themeColor="text1"/>
        </w:rPr>
        <w:t>risperidone will "</w:t>
      </w:r>
      <w:r w:rsidRPr="00E27697">
        <w:rPr>
          <w:color w:val="000000" w:themeColor="text1"/>
        </w:rPr>
        <w:t>reduce the overall treatment burden, promote patient preference, and may facilitate more person</w:t>
      </w:r>
      <w:r w:rsidR="002D15C9">
        <w:rPr>
          <w:color w:val="000000" w:themeColor="text1"/>
        </w:rPr>
        <w:noBreakHyphen/>
      </w:r>
      <w:r w:rsidRPr="00E27697">
        <w:rPr>
          <w:color w:val="000000" w:themeColor="text1"/>
        </w:rPr>
        <w:t>centred, community</w:t>
      </w:r>
      <w:r w:rsidR="002D15C9">
        <w:rPr>
          <w:color w:val="000000" w:themeColor="text1"/>
        </w:rPr>
        <w:noBreakHyphen/>
      </w:r>
      <w:r w:rsidRPr="00E27697">
        <w:rPr>
          <w:color w:val="000000" w:themeColor="text1"/>
        </w:rPr>
        <w:t>based care</w:t>
      </w:r>
      <w:r>
        <w:rPr>
          <w:color w:val="000000" w:themeColor="text1"/>
        </w:rPr>
        <w:t>" and "</w:t>
      </w:r>
      <w:r w:rsidRPr="00E27697">
        <w:rPr>
          <w:color w:val="000000" w:themeColor="text1"/>
        </w:rPr>
        <w:t>improve treatment adherence by addressing patient preferences impacting medication use related to convenience, comfort and control</w:t>
      </w:r>
      <w:r>
        <w:rPr>
          <w:color w:val="000000" w:themeColor="text1"/>
        </w:rPr>
        <w:t>"</w:t>
      </w:r>
      <w:r w:rsidR="00660845">
        <w:rPr>
          <w:color w:val="000000" w:themeColor="text1"/>
        </w:rPr>
        <w:t xml:space="preserve"> </w:t>
      </w:r>
      <w:r w:rsidR="006734FC">
        <w:rPr>
          <w:color w:val="000000" w:themeColor="text1"/>
        </w:rPr>
        <w:t>due to</w:t>
      </w:r>
      <w:r w:rsidR="00660845">
        <w:rPr>
          <w:color w:val="000000" w:themeColor="text1"/>
        </w:rPr>
        <w:t xml:space="preserve"> its subcutaneous route of administration</w:t>
      </w:r>
      <w:r>
        <w:rPr>
          <w:color w:val="000000" w:themeColor="text1"/>
        </w:rPr>
        <w:t xml:space="preserve">. </w:t>
      </w:r>
      <w:r w:rsidR="00382E98">
        <w:rPr>
          <w:color w:val="000000" w:themeColor="text1"/>
        </w:rPr>
        <w:t>No</w:t>
      </w:r>
      <w:r w:rsidRPr="00C7236D">
        <w:rPr>
          <w:iCs/>
          <w:color w:val="000000" w:themeColor="text1"/>
        </w:rPr>
        <w:t xml:space="preserve"> </w:t>
      </w:r>
      <w:r w:rsidR="000E1316">
        <w:rPr>
          <w:iCs/>
          <w:color w:val="000000" w:themeColor="text1"/>
        </w:rPr>
        <w:t>clinical</w:t>
      </w:r>
      <w:r w:rsidRPr="00C7236D">
        <w:rPr>
          <w:iCs/>
          <w:color w:val="000000" w:themeColor="text1"/>
        </w:rPr>
        <w:t xml:space="preserve"> evidence</w:t>
      </w:r>
      <w:r w:rsidR="00382E98">
        <w:rPr>
          <w:iCs/>
          <w:color w:val="000000" w:themeColor="text1"/>
        </w:rPr>
        <w:t>,</w:t>
      </w:r>
      <w:r w:rsidRPr="00C7236D">
        <w:rPr>
          <w:iCs/>
          <w:color w:val="000000" w:themeColor="text1"/>
        </w:rPr>
        <w:t xml:space="preserve"> </w:t>
      </w:r>
      <w:r w:rsidR="000E1316">
        <w:rPr>
          <w:iCs/>
          <w:color w:val="000000" w:themeColor="text1"/>
        </w:rPr>
        <w:t>specific to MRSC risperidone</w:t>
      </w:r>
      <w:r w:rsidR="00382E98">
        <w:rPr>
          <w:iCs/>
          <w:color w:val="000000" w:themeColor="text1"/>
        </w:rPr>
        <w:t>,</w:t>
      </w:r>
      <w:r w:rsidRPr="00C7236D">
        <w:rPr>
          <w:iCs/>
          <w:color w:val="000000" w:themeColor="text1"/>
        </w:rPr>
        <w:t xml:space="preserve"> to support these claims was provided.</w:t>
      </w:r>
      <w:r>
        <w:rPr>
          <w:color w:val="000000" w:themeColor="text1"/>
        </w:rPr>
        <w:t xml:space="preserve"> </w:t>
      </w:r>
    </w:p>
    <w:p w14:paraId="00FFC998" w14:textId="036E67B0" w:rsidR="00D91942" w:rsidRPr="00113C9D" w:rsidRDefault="00D91942" w:rsidP="00EC5836">
      <w:pPr>
        <w:pStyle w:val="3-BodyText"/>
        <w:rPr>
          <w:iCs/>
          <w:color w:val="000000" w:themeColor="text1"/>
        </w:rPr>
      </w:pPr>
      <w:r w:rsidRPr="00113C9D">
        <w:rPr>
          <w:iCs/>
          <w:color w:val="000000" w:themeColor="text1"/>
        </w:rPr>
        <w:t>The PSCR stated that oral antipsychotics, while first</w:t>
      </w:r>
      <w:r w:rsidRPr="00113C9D">
        <w:rPr>
          <w:rFonts w:ascii="Cambria Math" w:hAnsi="Cambria Math" w:cs="Cambria Math"/>
          <w:iCs/>
          <w:color w:val="000000" w:themeColor="text1"/>
        </w:rPr>
        <w:t>‑</w:t>
      </w:r>
      <w:r w:rsidRPr="00113C9D">
        <w:rPr>
          <w:iCs/>
          <w:color w:val="000000" w:themeColor="text1"/>
        </w:rPr>
        <w:t xml:space="preserve">line, are associated with poor adherence, and that IM LAIs may be avoided due to pain and gluteal exposure, as noted in Attachment 2 and Attachment 14 of the submission. It stated that SC administration is generally more acceptable, and that </w:t>
      </w:r>
      <w:r w:rsidR="008B454D" w:rsidRPr="00113C9D">
        <w:rPr>
          <w:iCs/>
          <w:color w:val="000000" w:themeColor="text1"/>
        </w:rPr>
        <w:t>MRSC</w:t>
      </w:r>
      <w:r w:rsidR="009809C7" w:rsidRPr="00113C9D">
        <w:rPr>
          <w:iCs/>
          <w:color w:val="000000" w:themeColor="text1"/>
        </w:rPr>
        <w:t xml:space="preserve"> risperidone</w:t>
      </w:r>
      <w:r w:rsidRPr="00113C9D">
        <w:rPr>
          <w:iCs/>
          <w:color w:val="000000" w:themeColor="text1"/>
        </w:rPr>
        <w:t xml:space="preserve"> monthly dosing, no oral overlap, and </w:t>
      </w:r>
      <w:r w:rsidR="009809C7" w:rsidRPr="00113C9D">
        <w:rPr>
          <w:iCs/>
          <w:color w:val="000000" w:themeColor="text1"/>
        </w:rPr>
        <w:t xml:space="preserve">the </w:t>
      </w:r>
      <w:r w:rsidRPr="00113C9D">
        <w:rPr>
          <w:iCs/>
          <w:color w:val="000000" w:themeColor="text1"/>
        </w:rPr>
        <w:t>prefilled syringe</w:t>
      </w:r>
      <w:r w:rsidR="009809C7" w:rsidRPr="00113C9D">
        <w:rPr>
          <w:iCs/>
          <w:color w:val="000000" w:themeColor="text1"/>
        </w:rPr>
        <w:t xml:space="preserve"> dose form</w:t>
      </w:r>
      <w:r w:rsidRPr="00113C9D">
        <w:rPr>
          <w:iCs/>
          <w:color w:val="000000" w:themeColor="text1"/>
        </w:rPr>
        <w:t xml:space="preserve"> reduce treatment burden. The PSCR </w:t>
      </w:r>
      <w:r w:rsidR="00B12ADC" w:rsidRPr="00113C9D">
        <w:rPr>
          <w:iCs/>
          <w:color w:val="000000" w:themeColor="text1"/>
        </w:rPr>
        <w:t>provided</w:t>
      </w:r>
      <w:r w:rsidR="000B1E65" w:rsidRPr="00113C9D">
        <w:rPr>
          <w:iCs/>
          <w:color w:val="000000" w:themeColor="text1"/>
        </w:rPr>
        <w:t xml:space="preserve"> additional evidence,</w:t>
      </w:r>
      <w:r w:rsidRPr="00113C9D">
        <w:rPr>
          <w:iCs/>
          <w:color w:val="000000" w:themeColor="text1"/>
        </w:rPr>
        <w:t xml:space="preserve"> stat</w:t>
      </w:r>
      <w:r w:rsidR="000B1E65" w:rsidRPr="00113C9D">
        <w:rPr>
          <w:iCs/>
          <w:color w:val="000000" w:themeColor="text1"/>
        </w:rPr>
        <w:t>ing</w:t>
      </w:r>
      <w:r w:rsidRPr="00113C9D">
        <w:rPr>
          <w:iCs/>
          <w:color w:val="000000" w:themeColor="text1"/>
        </w:rPr>
        <w:t xml:space="preserve"> that RISE and SHINE, showed improvements in quality</w:t>
      </w:r>
      <w:r w:rsidRPr="00113C9D">
        <w:rPr>
          <w:rFonts w:ascii="Cambria Math" w:hAnsi="Cambria Math" w:cs="Cambria Math"/>
          <w:iCs/>
          <w:color w:val="000000" w:themeColor="text1"/>
        </w:rPr>
        <w:t>‑</w:t>
      </w:r>
      <w:r w:rsidRPr="00113C9D">
        <w:rPr>
          <w:iCs/>
          <w:color w:val="000000" w:themeColor="text1"/>
        </w:rPr>
        <w:t>of</w:t>
      </w:r>
      <w:r w:rsidRPr="00113C9D">
        <w:rPr>
          <w:rFonts w:ascii="Cambria Math" w:hAnsi="Cambria Math" w:cs="Cambria Math"/>
          <w:iCs/>
          <w:color w:val="000000" w:themeColor="text1"/>
        </w:rPr>
        <w:t>‑</w:t>
      </w:r>
      <w:r w:rsidRPr="00113C9D">
        <w:rPr>
          <w:iCs/>
          <w:color w:val="000000" w:themeColor="text1"/>
        </w:rPr>
        <w:t>life and patient</w:t>
      </w:r>
      <w:r w:rsidRPr="00113C9D">
        <w:rPr>
          <w:rFonts w:ascii="Cambria Math" w:hAnsi="Cambria Math" w:cs="Cambria Math"/>
          <w:iCs/>
          <w:color w:val="000000" w:themeColor="text1"/>
        </w:rPr>
        <w:t>‑</w:t>
      </w:r>
      <w:r w:rsidRPr="00113C9D">
        <w:rPr>
          <w:iCs/>
          <w:color w:val="000000" w:themeColor="text1"/>
        </w:rPr>
        <w:t xml:space="preserve">centred outcomes. It also stated that </w:t>
      </w:r>
      <w:r w:rsidR="00FC5FA1" w:rsidRPr="00113C9D">
        <w:rPr>
          <w:iCs/>
          <w:color w:val="000000" w:themeColor="text1"/>
        </w:rPr>
        <w:t>MRSC risperidone</w:t>
      </w:r>
      <w:r w:rsidRPr="00113C9D">
        <w:rPr>
          <w:iCs/>
          <w:color w:val="000000" w:themeColor="text1"/>
        </w:rPr>
        <w:t xml:space="preserve"> enables direct switching from oral risperidone and that both patient and clinician preferences in SHINE favoured SC administration due to smaller needles, </w:t>
      </w:r>
      <w:r w:rsidRPr="00113C9D">
        <w:rPr>
          <w:iCs/>
          <w:color w:val="000000" w:themeColor="text1"/>
        </w:rPr>
        <w:lastRenderedPageBreak/>
        <w:t xml:space="preserve">easier technique, and </w:t>
      </w:r>
      <w:r w:rsidR="00596F26" w:rsidRPr="00113C9D">
        <w:rPr>
          <w:iCs/>
          <w:color w:val="000000" w:themeColor="text1"/>
        </w:rPr>
        <w:t xml:space="preserve">the </w:t>
      </w:r>
      <w:r w:rsidRPr="00113C9D">
        <w:rPr>
          <w:iCs/>
          <w:color w:val="000000" w:themeColor="text1"/>
        </w:rPr>
        <w:t xml:space="preserve">avoidance of gluteal exposure. The PSCR </w:t>
      </w:r>
      <w:r w:rsidR="00B12ADC" w:rsidRPr="00113C9D">
        <w:rPr>
          <w:iCs/>
          <w:color w:val="000000" w:themeColor="text1"/>
        </w:rPr>
        <w:t>reiterated</w:t>
      </w:r>
      <w:r w:rsidRPr="00113C9D">
        <w:rPr>
          <w:iCs/>
          <w:color w:val="000000" w:themeColor="text1"/>
        </w:rPr>
        <w:t xml:space="preserve"> that </w:t>
      </w:r>
      <w:r w:rsidR="00B12ADC" w:rsidRPr="00113C9D">
        <w:rPr>
          <w:iCs/>
          <w:color w:val="000000" w:themeColor="text1"/>
        </w:rPr>
        <w:t>clinical</w:t>
      </w:r>
      <w:r w:rsidRPr="00113C9D">
        <w:rPr>
          <w:iCs/>
          <w:color w:val="000000" w:themeColor="text1"/>
        </w:rPr>
        <w:t xml:space="preserve"> feedback supported reduced pain, lower anxiety, more dignity, and the potential for improved long</w:t>
      </w:r>
      <w:r w:rsidRPr="00113C9D">
        <w:rPr>
          <w:rFonts w:ascii="Cambria Math" w:hAnsi="Cambria Math" w:cs="Cambria Math"/>
          <w:iCs/>
          <w:color w:val="000000" w:themeColor="text1"/>
        </w:rPr>
        <w:t>‑</w:t>
      </w:r>
      <w:r w:rsidRPr="00113C9D">
        <w:rPr>
          <w:iCs/>
          <w:color w:val="000000" w:themeColor="text1"/>
        </w:rPr>
        <w:t>term outcomes.</w:t>
      </w:r>
      <w:r w:rsidR="000D62D9" w:rsidRPr="000D62D9">
        <w:t xml:space="preserve"> </w:t>
      </w:r>
    </w:p>
    <w:p w14:paraId="0363AE9A" w14:textId="71406720" w:rsidR="005E3E60" w:rsidRDefault="0049278D" w:rsidP="005E3E60">
      <w:pPr>
        <w:pStyle w:val="5-SubsectionSubheading"/>
      </w:pPr>
      <w:r>
        <w:rPr>
          <w:i/>
          <w:iCs/>
        </w:rPr>
        <w:t>ITC</w:t>
      </w:r>
      <w:r w:rsidR="004835E0">
        <w:t xml:space="preserve"> efficacy</w:t>
      </w:r>
      <w:bookmarkStart w:id="27" w:name="_Toc22897642"/>
      <w:bookmarkStart w:id="28" w:name="_Toc219904432"/>
    </w:p>
    <w:p w14:paraId="7D5E548D" w14:textId="6D400995" w:rsidR="004835E0" w:rsidRDefault="004835E0" w:rsidP="00072DE1">
      <w:pPr>
        <w:pStyle w:val="3-BodyText"/>
        <w:rPr>
          <w:lang w:eastAsia="en-US"/>
        </w:rPr>
      </w:pPr>
      <w:r>
        <w:rPr>
          <w:lang w:eastAsia="en-US"/>
        </w:rPr>
        <w:t>The submission presented an ITC against PP1M and A1M using placebo as the common comparator for the outcomes of impending relapse and changes in PANSS scores.</w:t>
      </w:r>
    </w:p>
    <w:p w14:paraId="26DE9F35" w14:textId="18F1C4C0" w:rsidR="004835E0" w:rsidRDefault="00682BC1" w:rsidP="004835E0">
      <w:pPr>
        <w:pStyle w:val="3-BodyText"/>
        <w:rPr>
          <w:lang w:eastAsia="en-US"/>
        </w:rPr>
      </w:pPr>
      <w:r>
        <w:rPr>
          <w:lang w:eastAsia="en-US"/>
        </w:rPr>
        <w:t xml:space="preserve">The </w:t>
      </w:r>
      <w:r w:rsidR="00CF48C7">
        <w:rPr>
          <w:lang w:eastAsia="en-US"/>
        </w:rPr>
        <w:t>submission</w:t>
      </w:r>
      <w:r>
        <w:rPr>
          <w:lang w:eastAsia="en-US"/>
        </w:rPr>
        <w:t xml:space="preserve"> proposed n</w:t>
      </w:r>
      <w:r w:rsidR="004835E0">
        <w:rPr>
          <w:lang w:eastAsia="en-US"/>
        </w:rPr>
        <w:t>on</w:t>
      </w:r>
      <w:r w:rsidR="002D15C9">
        <w:rPr>
          <w:lang w:eastAsia="en-US"/>
        </w:rPr>
        <w:noBreakHyphen/>
      </w:r>
      <w:r w:rsidR="004835E0">
        <w:rPr>
          <w:lang w:eastAsia="en-US"/>
        </w:rPr>
        <w:t xml:space="preserve">inferiority margins of 20% for the risk of relapse and 7 points on </w:t>
      </w:r>
      <w:r>
        <w:rPr>
          <w:lang w:eastAsia="en-US"/>
        </w:rPr>
        <w:t xml:space="preserve">the </w:t>
      </w:r>
      <w:r w:rsidR="004835E0">
        <w:rPr>
          <w:lang w:eastAsia="en-US"/>
        </w:rPr>
        <w:t>PANSS score</w:t>
      </w:r>
      <w:r w:rsidR="00AF32B1">
        <w:rPr>
          <w:lang w:eastAsia="en-US"/>
        </w:rPr>
        <w:t>, consistent with</w:t>
      </w:r>
      <w:r w:rsidR="00F7267A">
        <w:rPr>
          <w:lang w:eastAsia="en-US"/>
        </w:rPr>
        <w:t xml:space="preserve"> the approach used by the PBAC when considering </w:t>
      </w:r>
      <w:r w:rsidR="00690907">
        <w:t>R4WIM</w:t>
      </w:r>
      <w:r w:rsidR="000B30EE">
        <w:rPr>
          <w:lang w:eastAsia="en-US"/>
        </w:rPr>
        <w:t xml:space="preserve"> </w:t>
      </w:r>
      <w:r w:rsidR="004835E0">
        <w:rPr>
          <w:lang w:eastAsia="en-US"/>
        </w:rPr>
        <w:t>(Paragraph 6.30, Risperidone PSD, March 2024 PBAC Meeting). The submission stated that th</w:t>
      </w:r>
      <w:r w:rsidR="008553DC">
        <w:rPr>
          <w:lang w:eastAsia="en-US"/>
        </w:rPr>
        <w:t>e</w:t>
      </w:r>
      <w:r w:rsidR="004835E0">
        <w:rPr>
          <w:lang w:eastAsia="en-US"/>
        </w:rPr>
        <w:t xml:space="preserve"> 20% margin for the risk of relapse was "cited" by </w:t>
      </w:r>
      <w:r w:rsidR="00C71A44">
        <w:rPr>
          <w:lang w:eastAsia="en-US"/>
        </w:rPr>
        <w:t xml:space="preserve">the </w:t>
      </w:r>
      <w:r w:rsidR="004835E0">
        <w:rPr>
          <w:lang w:eastAsia="en-US"/>
        </w:rPr>
        <w:t xml:space="preserve">PBAC in its </w:t>
      </w:r>
      <w:r w:rsidR="00C71A44">
        <w:rPr>
          <w:lang w:eastAsia="en-US"/>
        </w:rPr>
        <w:t xml:space="preserve">July 2014 </w:t>
      </w:r>
      <w:r w:rsidR="004835E0">
        <w:rPr>
          <w:lang w:eastAsia="en-US"/>
        </w:rPr>
        <w:t xml:space="preserve">consideration of aripiprazole, </w:t>
      </w:r>
      <w:r w:rsidR="00EC13CF">
        <w:rPr>
          <w:lang w:eastAsia="en-US"/>
        </w:rPr>
        <w:t xml:space="preserve">however the </w:t>
      </w:r>
      <w:r w:rsidR="004835E0">
        <w:rPr>
          <w:lang w:eastAsia="en-US"/>
        </w:rPr>
        <w:t>PBAC used the 20% margin for direct comparisons and considered that</w:t>
      </w:r>
      <w:r w:rsidR="000C727F">
        <w:rPr>
          <w:lang w:eastAsia="en-US"/>
        </w:rPr>
        <w:t xml:space="preserve"> an</w:t>
      </w:r>
      <w:r w:rsidR="004835E0">
        <w:rPr>
          <w:lang w:eastAsia="en-US"/>
        </w:rPr>
        <w:t xml:space="preserve"> </w:t>
      </w:r>
      <w:r w:rsidR="00EC13CF">
        <w:rPr>
          <w:lang w:eastAsia="en-US"/>
        </w:rPr>
        <w:t xml:space="preserve">11.5% </w:t>
      </w:r>
      <w:r w:rsidR="000C727F">
        <w:rPr>
          <w:lang w:eastAsia="en-US"/>
        </w:rPr>
        <w:t xml:space="preserve">margin </w:t>
      </w:r>
      <w:r w:rsidR="00EC13CF">
        <w:rPr>
          <w:lang w:eastAsia="en-US"/>
        </w:rPr>
        <w:t xml:space="preserve">would be more appropriate </w:t>
      </w:r>
      <w:r w:rsidR="004835E0">
        <w:rPr>
          <w:lang w:eastAsia="en-US"/>
        </w:rPr>
        <w:t>for indirect comparisons (Paragraph 6.14, 6.16, Aripiprazole PSD, July 2014 PBAC Meeting).</w:t>
      </w:r>
    </w:p>
    <w:p w14:paraId="458E8301" w14:textId="6FF5E66C" w:rsidR="004835E0" w:rsidRDefault="004835E0" w:rsidP="004835E0">
      <w:pPr>
        <w:pStyle w:val="3-BodyText"/>
        <w:rPr>
          <w:lang w:eastAsia="en-US"/>
        </w:rPr>
      </w:pPr>
      <w:r>
        <w:rPr>
          <w:lang w:eastAsia="en-US"/>
        </w:rPr>
        <w:t xml:space="preserve">The results of the ITC for risk of relapse are shown in </w:t>
      </w:r>
      <w:r w:rsidR="00E90724">
        <w:rPr>
          <w:lang w:eastAsia="en-US"/>
        </w:rPr>
        <w:fldChar w:fldCharType="begin"/>
      </w:r>
      <w:r w:rsidR="00E90724">
        <w:rPr>
          <w:lang w:eastAsia="en-US"/>
        </w:rPr>
        <w:instrText xml:space="preserve"> REF _Ref222731805 \h </w:instrText>
      </w:r>
      <w:r w:rsidR="00E90724">
        <w:rPr>
          <w:lang w:eastAsia="en-US"/>
        </w:rPr>
      </w:r>
      <w:r w:rsidR="00E90724">
        <w:rPr>
          <w:lang w:eastAsia="en-US"/>
        </w:rPr>
        <w:fldChar w:fldCharType="separate"/>
      </w:r>
      <w:r w:rsidR="00E90724">
        <w:t xml:space="preserve">Table </w:t>
      </w:r>
      <w:r w:rsidR="00E90724">
        <w:rPr>
          <w:noProof/>
        </w:rPr>
        <w:t>5</w:t>
      </w:r>
      <w:r w:rsidR="00E90724">
        <w:rPr>
          <w:lang w:eastAsia="en-US"/>
        </w:rPr>
        <w:fldChar w:fldCharType="end"/>
      </w:r>
      <w:r>
        <w:rPr>
          <w:lang w:eastAsia="en-US"/>
        </w:rPr>
        <w:fldChar w:fldCharType="begin"/>
      </w:r>
      <w:r>
        <w:rPr>
          <w:lang w:eastAsia="en-US"/>
        </w:rPr>
        <w:instrText xml:space="preserve"> REF _Ref215049610 \h </w:instrText>
      </w:r>
      <w:r>
        <w:rPr>
          <w:lang w:eastAsia="en-US"/>
        </w:rPr>
      </w:r>
      <w:r>
        <w:rPr>
          <w:lang w:eastAsia="en-US"/>
        </w:rPr>
        <w:fldChar w:fldCharType="separate"/>
      </w:r>
      <w:r>
        <w:rPr>
          <w:lang w:eastAsia="en-US"/>
        </w:rPr>
        <w:fldChar w:fldCharType="end"/>
      </w:r>
      <w:r w:rsidR="000C727F">
        <w:rPr>
          <w:lang w:eastAsia="en-US"/>
        </w:rPr>
        <w:t>.</w:t>
      </w:r>
    </w:p>
    <w:p w14:paraId="07449389" w14:textId="59991199" w:rsidR="004835E0" w:rsidRDefault="004835E0" w:rsidP="004835E0">
      <w:pPr>
        <w:pStyle w:val="Caption"/>
        <w:rPr>
          <w:lang w:eastAsia="en-US"/>
        </w:rPr>
      </w:pPr>
      <w:bookmarkStart w:id="29" w:name="_Ref222731805"/>
      <w:bookmarkStart w:id="30" w:name="_Ref222731801"/>
      <w:r>
        <w:t xml:space="preserve">Table </w:t>
      </w:r>
      <w:fldSimple w:instr=" SEQ Table \* ARABIC ">
        <w:r w:rsidR="002D15C9">
          <w:rPr>
            <w:noProof/>
          </w:rPr>
          <w:t>5</w:t>
        </w:r>
      </w:fldSimple>
      <w:bookmarkEnd w:id="29"/>
      <w:r>
        <w:t xml:space="preserve">: </w:t>
      </w:r>
      <w:r>
        <w:rPr>
          <w:lang w:eastAsia="en-US"/>
        </w:rPr>
        <w:t>ITC for risk of relapse.</w:t>
      </w:r>
      <w:bookmarkEnd w:id="30"/>
      <w:r>
        <w:rPr>
          <w:lang w:eastAsia="en-US"/>
        </w:rPr>
        <w:t xml:space="preserve"> </w:t>
      </w:r>
    </w:p>
    <w:tbl>
      <w:tblPr>
        <w:tblStyle w:val="TableGrid"/>
        <w:tblW w:w="9020" w:type="dxa"/>
        <w:tblLayout w:type="fixed"/>
        <w:tblLook w:val="04A0" w:firstRow="1" w:lastRow="0" w:firstColumn="1" w:lastColumn="0" w:noHBand="0" w:noVBand="1"/>
        <w:tblCaption w:val="Table 5: ITC for risk of relapse. "/>
      </w:tblPr>
      <w:tblGrid>
        <w:gridCol w:w="2208"/>
        <w:gridCol w:w="1670"/>
        <w:gridCol w:w="846"/>
        <w:gridCol w:w="1222"/>
        <w:gridCol w:w="850"/>
        <w:gridCol w:w="1284"/>
        <w:gridCol w:w="940"/>
      </w:tblGrid>
      <w:tr w:rsidR="004835E0" w14:paraId="19A66071" w14:textId="77777777" w:rsidTr="00DB1DFC">
        <w:tc>
          <w:tcPr>
            <w:tcW w:w="2208" w:type="dxa"/>
          </w:tcPr>
          <w:p w14:paraId="6CDC9DE6" w14:textId="77777777" w:rsidR="004835E0" w:rsidRDefault="004835E0">
            <w:pPr>
              <w:pStyle w:val="TableFigureHeading"/>
              <w:rPr>
                <w:lang w:eastAsia="en-US"/>
              </w:rPr>
            </w:pPr>
          </w:p>
        </w:tc>
        <w:tc>
          <w:tcPr>
            <w:tcW w:w="1670" w:type="dxa"/>
            <w:vAlign w:val="bottom"/>
          </w:tcPr>
          <w:p w14:paraId="66A2640F" w14:textId="77777777" w:rsidR="004835E0" w:rsidRDefault="004835E0" w:rsidP="00B24371">
            <w:pPr>
              <w:pStyle w:val="TableFigureHeading"/>
              <w:jc w:val="center"/>
              <w:rPr>
                <w:lang w:eastAsia="en-US"/>
              </w:rPr>
            </w:pPr>
            <w:r>
              <w:rPr>
                <w:lang w:eastAsia="en-US"/>
              </w:rPr>
              <w:t>RISE</w:t>
            </w:r>
          </w:p>
        </w:tc>
        <w:tc>
          <w:tcPr>
            <w:tcW w:w="846" w:type="dxa"/>
            <w:vAlign w:val="bottom"/>
          </w:tcPr>
          <w:p w14:paraId="7EE575AD" w14:textId="77777777" w:rsidR="004835E0" w:rsidRDefault="004835E0" w:rsidP="00B24371">
            <w:pPr>
              <w:pStyle w:val="TableFigureHeading"/>
              <w:jc w:val="center"/>
              <w:rPr>
                <w:lang w:eastAsia="en-US"/>
              </w:rPr>
            </w:pPr>
            <w:r w:rsidRPr="0097218E">
              <w:rPr>
                <w:color w:val="000000" w:themeColor="text1"/>
                <w:lang w:eastAsia="en-US"/>
              </w:rPr>
              <w:t>Rise</w:t>
            </w:r>
          </w:p>
        </w:tc>
        <w:tc>
          <w:tcPr>
            <w:tcW w:w="1222" w:type="dxa"/>
            <w:vAlign w:val="bottom"/>
          </w:tcPr>
          <w:p w14:paraId="43E07312" w14:textId="77777777" w:rsidR="004835E0" w:rsidRDefault="004835E0" w:rsidP="00B24371">
            <w:pPr>
              <w:pStyle w:val="TableFigureHeading"/>
              <w:jc w:val="center"/>
              <w:rPr>
                <w:lang w:eastAsia="en-US"/>
              </w:rPr>
            </w:pPr>
            <w:r>
              <w:rPr>
                <w:lang w:eastAsia="en-US"/>
              </w:rPr>
              <w:t>Hough, 2010</w:t>
            </w:r>
          </w:p>
        </w:tc>
        <w:tc>
          <w:tcPr>
            <w:tcW w:w="850" w:type="dxa"/>
            <w:vAlign w:val="bottom"/>
          </w:tcPr>
          <w:p w14:paraId="14AB51E2" w14:textId="77777777" w:rsidR="004835E0" w:rsidRDefault="004835E0" w:rsidP="00B24371">
            <w:pPr>
              <w:pStyle w:val="TableFigureHeading"/>
              <w:jc w:val="center"/>
              <w:rPr>
                <w:lang w:eastAsia="en-US"/>
              </w:rPr>
            </w:pPr>
            <w:r w:rsidRPr="0097218E">
              <w:rPr>
                <w:color w:val="000000" w:themeColor="text1"/>
                <w:lang w:eastAsia="en-US"/>
              </w:rPr>
              <w:t>Hough, 2010</w:t>
            </w:r>
          </w:p>
        </w:tc>
        <w:tc>
          <w:tcPr>
            <w:tcW w:w="1284" w:type="dxa"/>
            <w:vAlign w:val="bottom"/>
          </w:tcPr>
          <w:p w14:paraId="0B710480" w14:textId="77777777" w:rsidR="004835E0" w:rsidRDefault="004835E0" w:rsidP="00B24371">
            <w:pPr>
              <w:pStyle w:val="TableFigureHeading"/>
              <w:jc w:val="center"/>
              <w:rPr>
                <w:lang w:eastAsia="en-US"/>
              </w:rPr>
            </w:pPr>
            <w:r>
              <w:rPr>
                <w:lang w:eastAsia="en-US"/>
              </w:rPr>
              <w:t>ASPIRE</w:t>
            </w:r>
          </w:p>
        </w:tc>
        <w:tc>
          <w:tcPr>
            <w:tcW w:w="940" w:type="dxa"/>
            <w:vAlign w:val="bottom"/>
          </w:tcPr>
          <w:p w14:paraId="09C65B39" w14:textId="77777777" w:rsidR="004835E0" w:rsidRDefault="004835E0" w:rsidP="00B24371">
            <w:pPr>
              <w:pStyle w:val="TableFigureHeading"/>
              <w:jc w:val="center"/>
              <w:rPr>
                <w:lang w:eastAsia="en-US"/>
              </w:rPr>
            </w:pPr>
            <w:r w:rsidRPr="0097218E">
              <w:rPr>
                <w:color w:val="000000" w:themeColor="text1"/>
                <w:lang w:eastAsia="en-US"/>
              </w:rPr>
              <w:t>ASPIRE</w:t>
            </w:r>
          </w:p>
        </w:tc>
      </w:tr>
      <w:tr w:rsidR="004835E0" w14:paraId="52EB2A35" w14:textId="77777777" w:rsidTr="00DB1DFC">
        <w:tc>
          <w:tcPr>
            <w:tcW w:w="2208" w:type="dxa"/>
          </w:tcPr>
          <w:p w14:paraId="1ECE9483" w14:textId="77777777" w:rsidR="004835E0" w:rsidRDefault="004835E0">
            <w:pPr>
              <w:pStyle w:val="TableFigureHeading"/>
              <w:rPr>
                <w:lang w:eastAsia="en-US"/>
              </w:rPr>
            </w:pPr>
          </w:p>
        </w:tc>
        <w:tc>
          <w:tcPr>
            <w:tcW w:w="1670" w:type="dxa"/>
            <w:vAlign w:val="bottom"/>
          </w:tcPr>
          <w:p w14:paraId="762427AC" w14:textId="77777777" w:rsidR="004835E0" w:rsidRDefault="004835E0" w:rsidP="00B24371">
            <w:pPr>
              <w:pStyle w:val="TableFigureHeading"/>
              <w:jc w:val="center"/>
              <w:rPr>
                <w:lang w:eastAsia="en-US"/>
              </w:rPr>
            </w:pPr>
            <w:r>
              <w:rPr>
                <w:lang w:eastAsia="en-US"/>
              </w:rPr>
              <w:t>MSCR risperidone q1m</w:t>
            </w:r>
          </w:p>
          <w:p w14:paraId="6412F9A1" w14:textId="77777777" w:rsidR="004835E0" w:rsidRDefault="004835E0" w:rsidP="00B24371">
            <w:pPr>
              <w:pStyle w:val="TableFigureHeading"/>
              <w:jc w:val="center"/>
              <w:rPr>
                <w:lang w:eastAsia="en-US"/>
              </w:rPr>
            </w:pPr>
            <w:r>
              <w:rPr>
                <w:lang w:eastAsia="en-US"/>
              </w:rPr>
              <w:t>N = 183</w:t>
            </w:r>
          </w:p>
        </w:tc>
        <w:tc>
          <w:tcPr>
            <w:tcW w:w="846" w:type="dxa"/>
            <w:vAlign w:val="bottom"/>
          </w:tcPr>
          <w:p w14:paraId="46FF70FA" w14:textId="77777777" w:rsidR="004835E0" w:rsidRDefault="004835E0" w:rsidP="00B24371">
            <w:pPr>
              <w:pStyle w:val="TableFigureHeading"/>
              <w:jc w:val="center"/>
              <w:rPr>
                <w:lang w:eastAsia="en-US"/>
              </w:rPr>
            </w:pPr>
            <w:r>
              <w:rPr>
                <w:lang w:eastAsia="en-US"/>
              </w:rPr>
              <w:t>Placebo</w:t>
            </w:r>
          </w:p>
          <w:p w14:paraId="509DF857" w14:textId="77777777" w:rsidR="004835E0" w:rsidRDefault="004835E0" w:rsidP="00B24371">
            <w:pPr>
              <w:pStyle w:val="TableFigureHeading"/>
              <w:jc w:val="center"/>
              <w:rPr>
                <w:lang w:eastAsia="en-US"/>
              </w:rPr>
            </w:pPr>
            <w:r>
              <w:rPr>
                <w:lang w:eastAsia="en-US"/>
              </w:rPr>
              <w:t>N = 181</w:t>
            </w:r>
          </w:p>
        </w:tc>
        <w:tc>
          <w:tcPr>
            <w:tcW w:w="1222" w:type="dxa"/>
            <w:vAlign w:val="bottom"/>
          </w:tcPr>
          <w:p w14:paraId="574D136C" w14:textId="77777777" w:rsidR="004835E0" w:rsidRDefault="004835E0" w:rsidP="00B24371">
            <w:pPr>
              <w:pStyle w:val="TableFigureHeading"/>
              <w:jc w:val="center"/>
              <w:rPr>
                <w:lang w:eastAsia="en-US"/>
              </w:rPr>
            </w:pPr>
            <w:r>
              <w:rPr>
                <w:lang w:eastAsia="en-US"/>
              </w:rPr>
              <w:t>PP1M</w:t>
            </w:r>
          </w:p>
          <w:p w14:paraId="42EEECB4" w14:textId="77777777" w:rsidR="004835E0" w:rsidRDefault="004835E0" w:rsidP="00B24371">
            <w:pPr>
              <w:pStyle w:val="TableFigureHeading"/>
              <w:jc w:val="center"/>
              <w:rPr>
                <w:lang w:eastAsia="en-US"/>
              </w:rPr>
            </w:pPr>
            <w:r>
              <w:rPr>
                <w:lang w:eastAsia="en-US"/>
              </w:rPr>
              <w:t>N = 205</w:t>
            </w:r>
          </w:p>
        </w:tc>
        <w:tc>
          <w:tcPr>
            <w:tcW w:w="850" w:type="dxa"/>
            <w:vAlign w:val="bottom"/>
          </w:tcPr>
          <w:p w14:paraId="62FB8064" w14:textId="77777777" w:rsidR="004835E0" w:rsidRDefault="004835E0" w:rsidP="00B24371">
            <w:pPr>
              <w:pStyle w:val="TableFigureHeading"/>
              <w:jc w:val="center"/>
              <w:rPr>
                <w:lang w:eastAsia="en-US"/>
              </w:rPr>
            </w:pPr>
            <w:r>
              <w:rPr>
                <w:lang w:eastAsia="en-US"/>
              </w:rPr>
              <w:t>Placebo</w:t>
            </w:r>
          </w:p>
          <w:p w14:paraId="657975B6" w14:textId="77777777" w:rsidR="004835E0" w:rsidRDefault="004835E0" w:rsidP="00B24371">
            <w:pPr>
              <w:pStyle w:val="TableFigureHeading"/>
              <w:jc w:val="center"/>
              <w:rPr>
                <w:lang w:eastAsia="en-US"/>
              </w:rPr>
            </w:pPr>
            <w:r>
              <w:rPr>
                <w:lang w:eastAsia="en-US"/>
              </w:rPr>
              <w:t>N = 203</w:t>
            </w:r>
          </w:p>
        </w:tc>
        <w:tc>
          <w:tcPr>
            <w:tcW w:w="1284" w:type="dxa"/>
            <w:vAlign w:val="bottom"/>
          </w:tcPr>
          <w:p w14:paraId="7FA5AAD8" w14:textId="77777777" w:rsidR="004835E0" w:rsidRDefault="004835E0" w:rsidP="00B24371">
            <w:pPr>
              <w:pStyle w:val="TableFigureHeading"/>
              <w:jc w:val="center"/>
              <w:rPr>
                <w:lang w:eastAsia="en-US"/>
              </w:rPr>
            </w:pPr>
            <w:r>
              <w:rPr>
                <w:lang w:eastAsia="en-US"/>
              </w:rPr>
              <w:t>A1M</w:t>
            </w:r>
          </w:p>
          <w:p w14:paraId="1198179C" w14:textId="77777777" w:rsidR="004835E0" w:rsidRDefault="004835E0" w:rsidP="00B24371">
            <w:pPr>
              <w:pStyle w:val="TableFigureHeading"/>
              <w:jc w:val="center"/>
              <w:rPr>
                <w:lang w:eastAsia="en-US"/>
              </w:rPr>
            </w:pPr>
            <w:r>
              <w:rPr>
                <w:lang w:eastAsia="en-US"/>
              </w:rPr>
              <w:t>N = 269</w:t>
            </w:r>
          </w:p>
        </w:tc>
        <w:tc>
          <w:tcPr>
            <w:tcW w:w="940" w:type="dxa"/>
            <w:vAlign w:val="bottom"/>
          </w:tcPr>
          <w:p w14:paraId="12CE67F5" w14:textId="77777777" w:rsidR="004835E0" w:rsidRDefault="004835E0" w:rsidP="00B24371">
            <w:pPr>
              <w:pStyle w:val="TableFigureHeading"/>
              <w:jc w:val="center"/>
              <w:rPr>
                <w:lang w:eastAsia="en-US"/>
              </w:rPr>
            </w:pPr>
            <w:r>
              <w:rPr>
                <w:lang w:eastAsia="en-US"/>
              </w:rPr>
              <w:t>Placebo</w:t>
            </w:r>
          </w:p>
          <w:p w14:paraId="1376E2E5" w14:textId="77777777" w:rsidR="004835E0" w:rsidRDefault="004835E0" w:rsidP="00B24371">
            <w:pPr>
              <w:pStyle w:val="TableFigureHeading"/>
              <w:jc w:val="center"/>
              <w:rPr>
                <w:lang w:eastAsia="en-US"/>
              </w:rPr>
            </w:pPr>
            <w:r>
              <w:rPr>
                <w:lang w:eastAsia="en-US"/>
              </w:rPr>
              <w:t>N = 134</w:t>
            </w:r>
          </w:p>
        </w:tc>
      </w:tr>
      <w:tr w:rsidR="004835E0" w14:paraId="7F6AE308" w14:textId="77777777" w:rsidTr="00DB1DFC">
        <w:tc>
          <w:tcPr>
            <w:tcW w:w="2208" w:type="dxa"/>
          </w:tcPr>
          <w:p w14:paraId="22BF03E1" w14:textId="77777777" w:rsidR="004835E0" w:rsidRPr="00C86B20" w:rsidRDefault="004835E0">
            <w:pPr>
              <w:pStyle w:val="TableFigureHeading"/>
              <w:rPr>
                <w:b w:val="0"/>
                <w:bCs w:val="0"/>
                <w:lang w:eastAsia="en-US"/>
              </w:rPr>
            </w:pPr>
            <w:r w:rsidRPr="00C86B20">
              <w:rPr>
                <w:b w:val="0"/>
                <w:bCs w:val="0"/>
                <w:lang w:eastAsia="en-US"/>
              </w:rPr>
              <w:t>Patients with relapse, n (%)</w:t>
            </w:r>
          </w:p>
        </w:tc>
        <w:tc>
          <w:tcPr>
            <w:tcW w:w="1670" w:type="dxa"/>
            <w:vAlign w:val="center"/>
          </w:tcPr>
          <w:p w14:paraId="1504934D" w14:textId="77777777" w:rsidR="004835E0" w:rsidRPr="00C86B20" w:rsidRDefault="004835E0" w:rsidP="00B24371">
            <w:pPr>
              <w:pStyle w:val="TableFigureHeading"/>
              <w:jc w:val="center"/>
              <w:rPr>
                <w:b w:val="0"/>
                <w:bCs w:val="0"/>
                <w:lang w:eastAsia="en-US"/>
              </w:rPr>
            </w:pPr>
            <w:r>
              <w:rPr>
                <w:b w:val="0"/>
                <w:bCs w:val="0"/>
                <w:lang w:eastAsia="en-US"/>
              </w:rPr>
              <w:t>13 (7%)</w:t>
            </w:r>
          </w:p>
        </w:tc>
        <w:tc>
          <w:tcPr>
            <w:tcW w:w="846" w:type="dxa"/>
            <w:vAlign w:val="center"/>
          </w:tcPr>
          <w:p w14:paraId="6B93AC2A" w14:textId="77777777" w:rsidR="004835E0" w:rsidRPr="00C86B20" w:rsidRDefault="004835E0" w:rsidP="00B24371">
            <w:pPr>
              <w:pStyle w:val="TableFigureHeading"/>
              <w:jc w:val="center"/>
              <w:rPr>
                <w:b w:val="0"/>
                <w:bCs w:val="0"/>
                <w:lang w:eastAsia="en-US"/>
              </w:rPr>
            </w:pPr>
            <w:r>
              <w:rPr>
                <w:b w:val="0"/>
                <w:bCs w:val="0"/>
                <w:lang w:eastAsia="en-US"/>
              </w:rPr>
              <w:t>53 (29%)</w:t>
            </w:r>
          </w:p>
        </w:tc>
        <w:tc>
          <w:tcPr>
            <w:tcW w:w="1222" w:type="dxa"/>
            <w:vAlign w:val="center"/>
          </w:tcPr>
          <w:p w14:paraId="1B40B422" w14:textId="77777777" w:rsidR="004835E0" w:rsidRPr="00C86B20" w:rsidRDefault="004835E0" w:rsidP="00B24371">
            <w:pPr>
              <w:pStyle w:val="TableFigureHeading"/>
              <w:jc w:val="center"/>
              <w:rPr>
                <w:b w:val="0"/>
                <w:bCs w:val="0"/>
                <w:lang w:eastAsia="en-US"/>
              </w:rPr>
            </w:pPr>
            <w:r>
              <w:rPr>
                <w:b w:val="0"/>
                <w:bCs w:val="0"/>
                <w:lang w:eastAsia="en-US"/>
              </w:rPr>
              <w:t>36 (18%)</w:t>
            </w:r>
          </w:p>
        </w:tc>
        <w:tc>
          <w:tcPr>
            <w:tcW w:w="850" w:type="dxa"/>
            <w:vAlign w:val="center"/>
          </w:tcPr>
          <w:p w14:paraId="1C4B2CFC" w14:textId="77777777" w:rsidR="004835E0" w:rsidRPr="00C86B20" w:rsidRDefault="004835E0" w:rsidP="00B24371">
            <w:pPr>
              <w:pStyle w:val="TableFigureHeading"/>
              <w:jc w:val="center"/>
              <w:rPr>
                <w:b w:val="0"/>
                <w:bCs w:val="0"/>
                <w:lang w:eastAsia="en-US"/>
              </w:rPr>
            </w:pPr>
            <w:r>
              <w:rPr>
                <w:b w:val="0"/>
                <w:bCs w:val="0"/>
                <w:lang w:eastAsia="en-US"/>
              </w:rPr>
              <w:t>97 (48%)</w:t>
            </w:r>
          </w:p>
        </w:tc>
        <w:tc>
          <w:tcPr>
            <w:tcW w:w="1284" w:type="dxa"/>
            <w:vAlign w:val="center"/>
          </w:tcPr>
          <w:p w14:paraId="0B096E9B" w14:textId="77777777" w:rsidR="004835E0" w:rsidRPr="00C86B20" w:rsidRDefault="004835E0" w:rsidP="00B24371">
            <w:pPr>
              <w:pStyle w:val="TableFigureHeading"/>
              <w:jc w:val="center"/>
              <w:rPr>
                <w:b w:val="0"/>
                <w:bCs w:val="0"/>
                <w:lang w:eastAsia="en-US"/>
              </w:rPr>
            </w:pPr>
            <w:r>
              <w:rPr>
                <w:b w:val="0"/>
                <w:bCs w:val="0"/>
                <w:lang w:eastAsia="en-US"/>
              </w:rPr>
              <w:t>27 (10%)</w:t>
            </w:r>
          </w:p>
        </w:tc>
        <w:tc>
          <w:tcPr>
            <w:tcW w:w="940" w:type="dxa"/>
            <w:vAlign w:val="center"/>
          </w:tcPr>
          <w:p w14:paraId="03E4E67C" w14:textId="77777777" w:rsidR="004835E0" w:rsidRPr="00C86B20" w:rsidRDefault="004835E0" w:rsidP="00B24371">
            <w:pPr>
              <w:pStyle w:val="TableFigureHeading"/>
              <w:jc w:val="center"/>
              <w:rPr>
                <w:b w:val="0"/>
                <w:bCs w:val="0"/>
                <w:lang w:eastAsia="en-US"/>
              </w:rPr>
            </w:pPr>
            <w:r>
              <w:rPr>
                <w:b w:val="0"/>
                <w:bCs w:val="0"/>
                <w:lang w:eastAsia="en-US"/>
              </w:rPr>
              <w:t>53 (40%)</w:t>
            </w:r>
          </w:p>
        </w:tc>
      </w:tr>
      <w:tr w:rsidR="004835E0" w14:paraId="63816716" w14:textId="77777777" w:rsidTr="00DB1DFC">
        <w:tc>
          <w:tcPr>
            <w:tcW w:w="2208" w:type="dxa"/>
            <w:vAlign w:val="center"/>
          </w:tcPr>
          <w:p w14:paraId="4294AEC1" w14:textId="77777777" w:rsidR="004835E0" w:rsidRPr="00C86B20" w:rsidRDefault="004835E0" w:rsidP="00B24371">
            <w:pPr>
              <w:pStyle w:val="TableFigureHeading"/>
              <w:rPr>
                <w:b w:val="0"/>
                <w:bCs w:val="0"/>
                <w:lang w:eastAsia="en-US"/>
              </w:rPr>
            </w:pPr>
            <w:r>
              <w:rPr>
                <w:b w:val="0"/>
                <w:bCs w:val="0"/>
                <w:lang w:eastAsia="en-US"/>
              </w:rPr>
              <w:t>Risk Difference vs placebo (95% CI)</w:t>
            </w:r>
          </w:p>
        </w:tc>
        <w:tc>
          <w:tcPr>
            <w:tcW w:w="1670" w:type="dxa"/>
            <w:vAlign w:val="center"/>
          </w:tcPr>
          <w:p w14:paraId="5D00FDE6" w14:textId="401A31FA" w:rsidR="004835E0" w:rsidRPr="000344BA" w:rsidRDefault="002D15C9" w:rsidP="00B24371">
            <w:pPr>
              <w:pStyle w:val="TableFigureHeading"/>
              <w:jc w:val="center"/>
              <w:rPr>
                <w:lang w:eastAsia="en-US"/>
              </w:rPr>
            </w:pPr>
            <w:r>
              <w:rPr>
                <w:lang w:eastAsia="en-US"/>
              </w:rPr>
              <w:noBreakHyphen/>
            </w:r>
            <w:r w:rsidR="004835E0" w:rsidRPr="000344BA">
              <w:rPr>
                <w:lang w:eastAsia="en-US"/>
              </w:rPr>
              <w:t>22.2 (</w:t>
            </w:r>
            <w:r>
              <w:rPr>
                <w:lang w:eastAsia="en-US"/>
              </w:rPr>
              <w:noBreakHyphen/>
            </w:r>
            <w:r w:rsidR="004835E0" w:rsidRPr="000344BA">
              <w:rPr>
                <w:lang w:eastAsia="en-US"/>
              </w:rPr>
              <w:t xml:space="preserve">29.8, </w:t>
            </w:r>
            <w:r>
              <w:rPr>
                <w:lang w:eastAsia="en-US"/>
              </w:rPr>
              <w:noBreakHyphen/>
            </w:r>
            <w:r w:rsidR="004835E0" w:rsidRPr="000344BA">
              <w:rPr>
                <w:lang w:eastAsia="en-US"/>
              </w:rPr>
              <w:t>14.6)</w:t>
            </w:r>
          </w:p>
        </w:tc>
        <w:tc>
          <w:tcPr>
            <w:tcW w:w="846" w:type="dxa"/>
            <w:vAlign w:val="center"/>
          </w:tcPr>
          <w:p w14:paraId="0A194DF4" w14:textId="303854FA" w:rsidR="004835E0" w:rsidRPr="00C86B20" w:rsidRDefault="002D15C9" w:rsidP="00B24371">
            <w:pPr>
              <w:pStyle w:val="TableFigureHeading"/>
              <w:jc w:val="center"/>
              <w:rPr>
                <w:b w:val="0"/>
                <w:bCs w:val="0"/>
                <w:lang w:eastAsia="en-US"/>
              </w:rPr>
            </w:pPr>
            <w:r>
              <w:rPr>
                <w:b w:val="0"/>
                <w:bCs w:val="0"/>
                <w:lang w:eastAsia="en-US"/>
              </w:rPr>
              <w:noBreakHyphen/>
            </w:r>
          </w:p>
        </w:tc>
        <w:tc>
          <w:tcPr>
            <w:tcW w:w="1222" w:type="dxa"/>
            <w:vAlign w:val="center"/>
          </w:tcPr>
          <w:p w14:paraId="07D0449D" w14:textId="5CBF6EC1" w:rsidR="004835E0" w:rsidRPr="000344BA" w:rsidRDefault="002D15C9" w:rsidP="00B24371">
            <w:pPr>
              <w:pStyle w:val="TableFigureHeading"/>
              <w:jc w:val="center"/>
              <w:rPr>
                <w:lang w:eastAsia="en-US"/>
              </w:rPr>
            </w:pPr>
            <w:r>
              <w:rPr>
                <w:lang w:eastAsia="en-US"/>
              </w:rPr>
              <w:noBreakHyphen/>
            </w:r>
            <w:r w:rsidR="004835E0" w:rsidRPr="000344BA">
              <w:rPr>
                <w:lang w:eastAsia="en-US"/>
              </w:rPr>
              <w:t>30.2 (</w:t>
            </w:r>
            <w:r>
              <w:rPr>
                <w:lang w:eastAsia="en-US"/>
              </w:rPr>
              <w:noBreakHyphen/>
            </w:r>
            <w:r w:rsidR="004835E0" w:rsidRPr="000344BA">
              <w:rPr>
                <w:lang w:eastAsia="en-US"/>
              </w:rPr>
              <w:t xml:space="preserve">38.8, </w:t>
            </w:r>
            <w:r>
              <w:rPr>
                <w:lang w:eastAsia="en-US"/>
              </w:rPr>
              <w:noBreakHyphen/>
            </w:r>
            <w:r w:rsidR="004835E0" w:rsidRPr="000344BA">
              <w:rPr>
                <w:lang w:eastAsia="en-US"/>
              </w:rPr>
              <w:t>21.6)</w:t>
            </w:r>
          </w:p>
        </w:tc>
        <w:tc>
          <w:tcPr>
            <w:tcW w:w="850" w:type="dxa"/>
            <w:vAlign w:val="center"/>
          </w:tcPr>
          <w:p w14:paraId="5BE4ECA3" w14:textId="6935A23C" w:rsidR="004835E0" w:rsidRPr="00C86B20" w:rsidRDefault="002D15C9" w:rsidP="00B24371">
            <w:pPr>
              <w:pStyle w:val="TableFigureHeading"/>
              <w:jc w:val="center"/>
              <w:rPr>
                <w:b w:val="0"/>
                <w:bCs w:val="0"/>
                <w:lang w:eastAsia="en-US"/>
              </w:rPr>
            </w:pPr>
            <w:r>
              <w:rPr>
                <w:b w:val="0"/>
                <w:bCs w:val="0"/>
                <w:lang w:eastAsia="en-US"/>
              </w:rPr>
              <w:noBreakHyphen/>
            </w:r>
          </w:p>
        </w:tc>
        <w:tc>
          <w:tcPr>
            <w:tcW w:w="1284" w:type="dxa"/>
            <w:vAlign w:val="center"/>
          </w:tcPr>
          <w:p w14:paraId="78570C7E" w14:textId="57F1C46E" w:rsidR="004835E0" w:rsidRPr="000344BA" w:rsidRDefault="002D15C9" w:rsidP="00B24371">
            <w:pPr>
              <w:pStyle w:val="TableFigureHeading"/>
              <w:jc w:val="center"/>
              <w:rPr>
                <w:lang w:eastAsia="en-US"/>
              </w:rPr>
            </w:pPr>
            <w:r>
              <w:rPr>
                <w:lang w:eastAsia="en-US"/>
              </w:rPr>
              <w:noBreakHyphen/>
            </w:r>
            <w:r w:rsidR="004835E0" w:rsidRPr="000344BA">
              <w:rPr>
                <w:lang w:eastAsia="en-US"/>
              </w:rPr>
              <w:t>29.5 (</w:t>
            </w:r>
            <w:r>
              <w:rPr>
                <w:lang w:eastAsia="en-US"/>
              </w:rPr>
              <w:noBreakHyphen/>
            </w:r>
            <w:r w:rsidR="004835E0" w:rsidRPr="000344BA">
              <w:rPr>
                <w:lang w:eastAsia="en-US"/>
              </w:rPr>
              <w:t xml:space="preserve">38.5, </w:t>
            </w:r>
            <w:r>
              <w:rPr>
                <w:lang w:eastAsia="en-US"/>
              </w:rPr>
              <w:noBreakHyphen/>
            </w:r>
            <w:r w:rsidR="004835E0" w:rsidRPr="000344BA">
              <w:rPr>
                <w:lang w:eastAsia="en-US"/>
              </w:rPr>
              <w:t>20.5)</w:t>
            </w:r>
          </w:p>
        </w:tc>
        <w:tc>
          <w:tcPr>
            <w:tcW w:w="940" w:type="dxa"/>
            <w:vAlign w:val="center"/>
          </w:tcPr>
          <w:p w14:paraId="3E873177" w14:textId="17FDB7DE" w:rsidR="004835E0" w:rsidRPr="00C86B20" w:rsidRDefault="002D15C9" w:rsidP="00B24371">
            <w:pPr>
              <w:pStyle w:val="TableFigureHeading"/>
              <w:jc w:val="center"/>
              <w:rPr>
                <w:b w:val="0"/>
                <w:bCs w:val="0"/>
                <w:lang w:eastAsia="en-US"/>
              </w:rPr>
            </w:pPr>
            <w:r>
              <w:rPr>
                <w:b w:val="0"/>
                <w:bCs w:val="0"/>
                <w:lang w:eastAsia="en-US"/>
              </w:rPr>
              <w:noBreakHyphen/>
            </w:r>
          </w:p>
        </w:tc>
      </w:tr>
      <w:tr w:rsidR="004835E0" w14:paraId="247C5127" w14:textId="77777777" w:rsidTr="00DB1DFC">
        <w:tc>
          <w:tcPr>
            <w:tcW w:w="2208" w:type="dxa"/>
            <w:vAlign w:val="center"/>
          </w:tcPr>
          <w:p w14:paraId="765CB46B" w14:textId="77777777" w:rsidR="004835E0" w:rsidRPr="00C86B20" w:rsidRDefault="004835E0" w:rsidP="00B24371">
            <w:pPr>
              <w:pStyle w:val="TableFigureHeading"/>
              <w:rPr>
                <w:b w:val="0"/>
                <w:bCs w:val="0"/>
                <w:lang w:eastAsia="en-US"/>
              </w:rPr>
            </w:pPr>
            <w:r>
              <w:rPr>
                <w:b w:val="0"/>
                <w:bCs w:val="0"/>
                <w:lang w:eastAsia="en-US"/>
              </w:rPr>
              <w:t>Risk Ratio (95% CI)</w:t>
            </w:r>
          </w:p>
        </w:tc>
        <w:tc>
          <w:tcPr>
            <w:tcW w:w="1670" w:type="dxa"/>
            <w:vAlign w:val="center"/>
          </w:tcPr>
          <w:p w14:paraId="5D826F9F" w14:textId="77777777" w:rsidR="004835E0" w:rsidRPr="000344BA" w:rsidRDefault="004835E0" w:rsidP="00B24371">
            <w:pPr>
              <w:pStyle w:val="TableFigureHeading"/>
              <w:jc w:val="center"/>
              <w:rPr>
                <w:lang w:eastAsia="en-US"/>
              </w:rPr>
            </w:pPr>
            <w:r w:rsidRPr="000344BA">
              <w:rPr>
                <w:lang w:eastAsia="en-US"/>
              </w:rPr>
              <w:t>0.24 (0.14, 0.43)</w:t>
            </w:r>
          </w:p>
        </w:tc>
        <w:tc>
          <w:tcPr>
            <w:tcW w:w="846" w:type="dxa"/>
            <w:vAlign w:val="center"/>
          </w:tcPr>
          <w:p w14:paraId="7000FF40" w14:textId="00AA38D9" w:rsidR="004835E0" w:rsidRPr="00C86B20" w:rsidRDefault="002D15C9" w:rsidP="00B24371">
            <w:pPr>
              <w:pStyle w:val="TableFigureHeading"/>
              <w:jc w:val="center"/>
              <w:rPr>
                <w:b w:val="0"/>
                <w:bCs w:val="0"/>
                <w:lang w:eastAsia="en-US"/>
              </w:rPr>
            </w:pPr>
            <w:r>
              <w:rPr>
                <w:b w:val="0"/>
                <w:bCs w:val="0"/>
                <w:lang w:eastAsia="en-US"/>
              </w:rPr>
              <w:noBreakHyphen/>
            </w:r>
          </w:p>
        </w:tc>
        <w:tc>
          <w:tcPr>
            <w:tcW w:w="1222" w:type="dxa"/>
            <w:vAlign w:val="center"/>
          </w:tcPr>
          <w:p w14:paraId="714D27F1" w14:textId="77777777" w:rsidR="004835E0" w:rsidRPr="000344BA" w:rsidRDefault="004835E0" w:rsidP="00B24371">
            <w:pPr>
              <w:pStyle w:val="TableFigureHeading"/>
              <w:jc w:val="center"/>
              <w:rPr>
                <w:lang w:eastAsia="en-US"/>
              </w:rPr>
            </w:pPr>
            <w:r w:rsidRPr="000344BA">
              <w:rPr>
                <w:lang w:eastAsia="en-US"/>
              </w:rPr>
              <w:t>0.37 (0.26, 0.51)</w:t>
            </w:r>
          </w:p>
        </w:tc>
        <w:tc>
          <w:tcPr>
            <w:tcW w:w="850" w:type="dxa"/>
            <w:vAlign w:val="center"/>
          </w:tcPr>
          <w:p w14:paraId="380245C2" w14:textId="293E7F19" w:rsidR="004835E0" w:rsidRPr="00C86B20" w:rsidRDefault="002D15C9" w:rsidP="00B24371">
            <w:pPr>
              <w:pStyle w:val="TableFigureHeading"/>
              <w:jc w:val="center"/>
              <w:rPr>
                <w:b w:val="0"/>
                <w:bCs w:val="0"/>
                <w:lang w:eastAsia="en-US"/>
              </w:rPr>
            </w:pPr>
            <w:r>
              <w:rPr>
                <w:b w:val="0"/>
                <w:bCs w:val="0"/>
                <w:lang w:eastAsia="en-US"/>
              </w:rPr>
              <w:noBreakHyphen/>
            </w:r>
          </w:p>
        </w:tc>
        <w:tc>
          <w:tcPr>
            <w:tcW w:w="1284" w:type="dxa"/>
            <w:vAlign w:val="center"/>
          </w:tcPr>
          <w:p w14:paraId="4A3AEB08" w14:textId="77777777" w:rsidR="004835E0" w:rsidRPr="000344BA" w:rsidRDefault="004835E0" w:rsidP="00B24371">
            <w:pPr>
              <w:pStyle w:val="TableFigureHeading"/>
              <w:jc w:val="center"/>
              <w:rPr>
                <w:lang w:eastAsia="en-US"/>
              </w:rPr>
            </w:pPr>
            <w:r w:rsidRPr="000344BA">
              <w:rPr>
                <w:lang w:eastAsia="en-US"/>
              </w:rPr>
              <w:t>0.25 (0.17, 0.38)</w:t>
            </w:r>
          </w:p>
        </w:tc>
        <w:tc>
          <w:tcPr>
            <w:tcW w:w="940" w:type="dxa"/>
            <w:vAlign w:val="center"/>
          </w:tcPr>
          <w:p w14:paraId="51577DA7" w14:textId="2CE2B6C0" w:rsidR="004835E0" w:rsidRPr="00C86B20" w:rsidRDefault="002D15C9" w:rsidP="00B24371">
            <w:pPr>
              <w:pStyle w:val="TableFigureHeading"/>
              <w:jc w:val="center"/>
              <w:rPr>
                <w:b w:val="0"/>
                <w:bCs w:val="0"/>
                <w:lang w:eastAsia="en-US"/>
              </w:rPr>
            </w:pPr>
            <w:r>
              <w:rPr>
                <w:b w:val="0"/>
                <w:bCs w:val="0"/>
                <w:lang w:eastAsia="en-US"/>
              </w:rPr>
              <w:noBreakHyphen/>
            </w:r>
          </w:p>
        </w:tc>
      </w:tr>
      <w:tr w:rsidR="004835E0" w14:paraId="3F703E90" w14:textId="77777777" w:rsidTr="00DB1DFC">
        <w:tc>
          <w:tcPr>
            <w:tcW w:w="2208" w:type="dxa"/>
            <w:vAlign w:val="center"/>
          </w:tcPr>
          <w:p w14:paraId="504204B5" w14:textId="77777777" w:rsidR="004835E0" w:rsidRPr="00C86B20" w:rsidRDefault="004835E0" w:rsidP="00B24371">
            <w:pPr>
              <w:pStyle w:val="TableFigureHeading"/>
              <w:rPr>
                <w:b w:val="0"/>
                <w:bCs w:val="0"/>
                <w:lang w:eastAsia="en-US"/>
              </w:rPr>
            </w:pPr>
            <w:r>
              <w:rPr>
                <w:b w:val="0"/>
                <w:bCs w:val="0"/>
                <w:lang w:eastAsia="en-US"/>
              </w:rPr>
              <w:t>Odds Ratio (95% CI)</w:t>
            </w:r>
          </w:p>
        </w:tc>
        <w:tc>
          <w:tcPr>
            <w:tcW w:w="1670" w:type="dxa"/>
            <w:tcBorders>
              <w:bottom w:val="single" w:sz="4" w:space="0" w:color="auto"/>
            </w:tcBorders>
            <w:vAlign w:val="center"/>
          </w:tcPr>
          <w:p w14:paraId="0FBB6ECC" w14:textId="4795B160" w:rsidR="004835E0" w:rsidRPr="000344BA" w:rsidRDefault="004835E0" w:rsidP="00B24371">
            <w:pPr>
              <w:pStyle w:val="TableFigureHeading"/>
              <w:jc w:val="center"/>
              <w:rPr>
                <w:lang w:eastAsia="en-US"/>
              </w:rPr>
            </w:pPr>
            <w:r w:rsidRPr="000344BA">
              <w:rPr>
                <w:lang w:eastAsia="en-US"/>
              </w:rPr>
              <w:t>0.18 (</w:t>
            </w:r>
            <w:r w:rsidR="00E90724">
              <w:rPr>
                <w:lang w:eastAsia="en-US"/>
              </w:rPr>
              <w:t>0</w:t>
            </w:r>
            <w:r w:rsidRPr="000344BA">
              <w:rPr>
                <w:lang w:eastAsia="en-US"/>
              </w:rPr>
              <w:t>.10, 0.35)</w:t>
            </w:r>
          </w:p>
        </w:tc>
        <w:tc>
          <w:tcPr>
            <w:tcW w:w="846" w:type="dxa"/>
            <w:tcBorders>
              <w:bottom w:val="single" w:sz="4" w:space="0" w:color="auto"/>
            </w:tcBorders>
            <w:vAlign w:val="center"/>
          </w:tcPr>
          <w:p w14:paraId="24962FD3" w14:textId="0BDFA233" w:rsidR="004835E0" w:rsidRPr="00C86B20" w:rsidRDefault="002D15C9" w:rsidP="00B24371">
            <w:pPr>
              <w:pStyle w:val="TableFigureHeading"/>
              <w:jc w:val="center"/>
              <w:rPr>
                <w:b w:val="0"/>
                <w:bCs w:val="0"/>
                <w:lang w:eastAsia="en-US"/>
              </w:rPr>
            </w:pPr>
            <w:r>
              <w:rPr>
                <w:b w:val="0"/>
                <w:bCs w:val="0"/>
                <w:lang w:eastAsia="en-US"/>
              </w:rPr>
              <w:noBreakHyphen/>
            </w:r>
          </w:p>
        </w:tc>
        <w:tc>
          <w:tcPr>
            <w:tcW w:w="1222" w:type="dxa"/>
            <w:tcBorders>
              <w:bottom w:val="single" w:sz="4" w:space="0" w:color="auto"/>
            </w:tcBorders>
            <w:vAlign w:val="center"/>
          </w:tcPr>
          <w:p w14:paraId="30B56F78" w14:textId="77777777" w:rsidR="004835E0" w:rsidRPr="000344BA" w:rsidRDefault="004835E0" w:rsidP="00B24371">
            <w:pPr>
              <w:pStyle w:val="TableFigureHeading"/>
              <w:jc w:val="center"/>
              <w:rPr>
                <w:lang w:eastAsia="en-US"/>
              </w:rPr>
            </w:pPr>
            <w:r w:rsidRPr="000344BA">
              <w:rPr>
                <w:lang w:eastAsia="en-US"/>
              </w:rPr>
              <w:t>0.23 (0.15, 0.37)</w:t>
            </w:r>
          </w:p>
        </w:tc>
        <w:tc>
          <w:tcPr>
            <w:tcW w:w="850" w:type="dxa"/>
            <w:tcBorders>
              <w:bottom w:val="single" w:sz="4" w:space="0" w:color="auto"/>
            </w:tcBorders>
            <w:vAlign w:val="center"/>
          </w:tcPr>
          <w:p w14:paraId="3B8222D0" w14:textId="424F3AEC" w:rsidR="004835E0" w:rsidRPr="00C86B20" w:rsidRDefault="002D15C9" w:rsidP="00B24371">
            <w:pPr>
              <w:pStyle w:val="TableFigureHeading"/>
              <w:jc w:val="center"/>
              <w:rPr>
                <w:b w:val="0"/>
                <w:bCs w:val="0"/>
                <w:lang w:eastAsia="en-US"/>
              </w:rPr>
            </w:pPr>
            <w:r>
              <w:rPr>
                <w:b w:val="0"/>
                <w:bCs w:val="0"/>
                <w:lang w:eastAsia="en-US"/>
              </w:rPr>
              <w:noBreakHyphen/>
            </w:r>
          </w:p>
        </w:tc>
        <w:tc>
          <w:tcPr>
            <w:tcW w:w="1284" w:type="dxa"/>
            <w:tcBorders>
              <w:bottom w:val="single" w:sz="4" w:space="0" w:color="auto"/>
            </w:tcBorders>
            <w:vAlign w:val="center"/>
          </w:tcPr>
          <w:p w14:paraId="0A7E65B3" w14:textId="77777777" w:rsidR="004835E0" w:rsidRPr="000344BA" w:rsidRDefault="004835E0" w:rsidP="00B24371">
            <w:pPr>
              <w:pStyle w:val="TableFigureHeading"/>
              <w:jc w:val="center"/>
              <w:rPr>
                <w:lang w:eastAsia="en-US"/>
              </w:rPr>
            </w:pPr>
            <w:r w:rsidRPr="000344BA">
              <w:rPr>
                <w:lang w:eastAsia="en-US"/>
              </w:rPr>
              <w:t>0.17 (0.10, 0.29)</w:t>
            </w:r>
          </w:p>
        </w:tc>
        <w:tc>
          <w:tcPr>
            <w:tcW w:w="940" w:type="dxa"/>
            <w:tcBorders>
              <w:bottom w:val="single" w:sz="4" w:space="0" w:color="auto"/>
            </w:tcBorders>
            <w:vAlign w:val="center"/>
          </w:tcPr>
          <w:p w14:paraId="2E10393A" w14:textId="784D38C5" w:rsidR="004835E0" w:rsidRPr="00C86B20" w:rsidRDefault="002D15C9" w:rsidP="00B24371">
            <w:pPr>
              <w:pStyle w:val="TableFigureHeading"/>
              <w:jc w:val="center"/>
              <w:rPr>
                <w:b w:val="0"/>
                <w:bCs w:val="0"/>
                <w:lang w:eastAsia="en-US"/>
              </w:rPr>
            </w:pPr>
            <w:r>
              <w:rPr>
                <w:b w:val="0"/>
                <w:bCs w:val="0"/>
                <w:lang w:eastAsia="en-US"/>
              </w:rPr>
              <w:noBreakHyphen/>
            </w:r>
          </w:p>
        </w:tc>
      </w:tr>
      <w:tr w:rsidR="004835E0" w14:paraId="4F4A1456" w14:textId="77777777" w:rsidTr="00DB1DFC">
        <w:tc>
          <w:tcPr>
            <w:tcW w:w="2208" w:type="dxa"/>
            <w:vAlign w:val="center"/>
          </w:tcPr>
          <w:p w14:paraId="501CE1A5" w14:textId="77777777" w:rsidR="004835E0" w:rsidRDefault="004835E0" w:rsidP="00B24371">
            <w:pPr>
              <w:pStyle w:val="TableFigureHeading"/>
              <w:rPr>
                <w:b w:val="0"/>
                <w:bCs w:val="0"/>
                <w:lang w:eastAsia="en-US"/>
              </w:rPr>
            </w:pPr>
            <w:r>
              <w:rPr>
                <w:b w:val="0"/>
                <w:bCs w:val="0"/>
                <w:lang w:eastAsia="en-US"/>
              </w:rPr>
              <w:t>Hazard Ratio for relapse vs placebo (95% CI)</w:t>
            </w:r>
          </w:p>
        </w:tc>
        <w:tc>
          <w:tcPr>
            <w:tcW w:w="1670" w:type="dxa"/>
            <w:tcBorders>
              <w:bottom w:val="single" w:sz="4" w:space="0" w:color="auto"/>
            </w:tcBorders>
            <w:vAlign w:val="center"/>
          </w:tcPr>
          <w:p w14:paraId="7F094DC8" w14:textId="77777777" w:rsidR="004835E0" w:rsidRPr="000344BA" w:rsidRDefault="004835E0" w:rsidP="00B24371">
            <w:pPr>
              <w:pStyle w:val="TableFigureHeading"/>
              <w:jc w:val="center"/>
              <w:rPr>
                <w:lang w:eastAsia="en-US"/>
              </w:rPr>
            </w:pPr>
            <w:r w:rsidRPr="000344BA">
              <w:rPr>
                <w:lang w:eastAsia="en-US"/>
              </w:rPr>
              <w:t>0.20 (0.11, 0.37)</w:t>
            </w:r>
          </w:p>
        </w:tc>
        <w:tc>
          <w:tcPr>
            <w:tcW w:w="846" w:type="dxa"/>
            <w:tcBorders>
              <w:bottom w:val="single" w:sz="4" w:space="0" w:color="auto"/>
            </w:tcBorders>
            <w:vAlign w:val="center"/>
          </w:tcPr>
          <w:p w14:paraId="22F9DF81" w14:textId="05F23BBC" w:rsidR="004835E0" w:rsidRDefault="002D15C9" w:rsidP="00B24371">
            <w:pPr>
              <w:pStyle w:val="TableFigureHeading"/>
              <w:jc w:val="center"/>
              <w:rPr>
                <w:b w:val="0"/>
                <w:bCs w:val="0"/>
                <w:lang w:eastAsia="en-US"/>
              </w:rPr>
            </w:pPr>
            <w:r>
              <w:rPr>
                <w:b w:val="0"/>
                <w:bCs w:val="0"/>
                <w:lang w:eastAsia="en-US"/>
              </w:rPr>
              <w:noBreakHyphen/>
            </w:r>
          </w:p>
        </w:tc>
        <w:tc>
          <w:tcPr>
            <w:tcW w:w="1222" w:type="dxa"/>
            <w:tcBorders>
              <w:bottom w:val="single" w:sz="4" w:space="0" w:color="auto"/>
            </w:tcBorders>
            <w:vAlign w:val="center"/>
          </w:tcPr>
          <w:p w14:paraId="6700166D" w14:textId="77777777" w:rsidR="004835E0" w:rsidRPr="000344BA" w:rsidRDefault="004835E0" w:rsidP="00B24371">
            <w:pPr>
              <w:pStyle w:val="TableFigureHeading"/>
              <w:jc w:val="center"/>
              <w:rPr>
                <w:lang w:eastAsia="en-US"/>
              </w:rPr>
            </w:pPr>
            <w:r w:rsidRPr="000344BA">
              <w:rPr>
                <w:lang w:eastAsia="en-US"/>
              </w:rPr>
              <w:t>0.28 (0.19, 0.41)</w:t>
            </w:r>
          </w:p>
        </w:tc>
        <w:tc>
          <w:tcPr>
            <w:tcW w:w="850" w:type="dxa"/>
            <w:tcBorders>
              <w:bottom w:val="single" w:sz="4" w:space="0" w:color="auto"/>
            </w:tcBorders>
            <w:vAlign w:val="center"/>
          </w:tcPr>
          <w:p w14:paraId="09694724" w14:textId="0F89775B" w:rsidR="004835E0" w:rsidRDefault="002D15C9" w:rsidP="00B24371">
            <w:pPr>
              <w:pStyle w:val="TableFigureHeading"/>
              <w:jc w:val="center"/>
              <w:rPr>
                <w:b w:val="0"/>
                <w:bCs w:val="0"/>
                <w:lang w:eastAsia="en-US"/>
              </w:rPr>
            </w:pPr>
            <w:r>
              <w:rPr>
                <w:b w:val="0"/>
                <w:bCs w:val="0"/>
                <w:lang w:eastAsia="en-US"/>
              </w:rPr>
              <w:noBreakHyphen/>
            </w:r>
          </w:p>
        </w:tc>
        <w:tc>
          <w:tcPr>
            <w:tcW w:w="1284" w:type="dxa"/>
            <w:tcBorders>
              <w:bottom w:val="single" w:sz="4" w:space="0" w:color="auto"/>
            </w:tcBorders>
            <w:vAlign w:val="center"/>
          </w:tcPr>
          <w:p w14:paraId="26DAE701" w14:textId="77777777" w:rsidR="004835E0" w:rsidRPr="000344BA" w:rsidRDefault="004835E0" w:rsidP="00B24371">
            <w:pPr>
              <w:pStyle w:val="TableFigureHeading"/>
              <w:jc w:val="center"/>
              <w:rPr>
                <w:lang w:eastAsia="en-US"/>
              </w:rPr>
            </w:pPr>
            <w:r w:rsidRPr="000344BA">
              <w:rPr>
                <w:lang w:eastAsia="en-US"/>
              </w:rPr>
              <w:t>0.20 (0.12, 0.32)</w:t>
            </w:r>
          </w:p>
        </w:tc>
        <w:tc>
          <w:tcPr>
            <w:tcW w:w="940" w:type="dxa"/>
            <w:tcBorders>
              <w:bottom w:val="single" w:sz="4" w:space="0" w:color="auto"/>
            </w:tcBorders>
            <w:vAlign w:val="center"/>
          </w:tcPr>
          <w:p w14:paraId="36DCCA4F" w14:textId="77777777" w:rsidR="004835E0" w:rsidRDefault="004835E0" w:rsidP="00B24371">
            <w:pPr>
              <w:pStyle w:val="TableFigureHeading"/>
              <w:jc w:val="center"/>
              <w:rPr>
                <w:b w:val="0"/>
                <w:bCs w:val="0"/>
                <w:lang w:eastAsia="en-US"/>
              </w:rPr>
            </w:pPr>
          </w:p>
        </w:tc>
      </w:tr>
      <w:tr w:rsidR="00DB1DFC" w14:paraId="17EEBC85" w14:textId="77777777" w:rsidTr="00DB1DFC">
        <w:tc>
          <w:tcPr>
            <w:tcW w:w="2208" w:type="dxa"/>
            <w:tcBorders>
              <w:right w:val="single" w:sz="4" w:space="0" w:color="auto"/>
            </w:tcBorders>
          </w:tcPr>
          <w:p w14:paraId="243CEA9A" w14:textId="77E21276" w:rsidR="00DB1DFC" w:rsidRPr="009E7CA3" w:rsidRDefault="00DB1DFC">
            <w:pPr>
              <w:pStyle w:val="TableFigureHeading"/>
              <w:rPr>
                <w:color w:val="FFFFFF" w:themeColor="background1"/>
                <w:lang w:eastAsia="en-US"/>
              </w:rPr>
            </w:pPr>
            <w:r>
              <w:rPr>
                <w:lang w:eastAsia="en-US"/>
              </w:rPr>
              <w:t>MSCR risperidone</w:t>
            </w:r>
            <w:r w:rsidRPr="00BE3C08">
              <w:rPr>
                <w:lang w:eastAsia="en-US"/>
              </w:rPr>
              <w:t xml:space="preserve"> q1m vs P</w:t>
            </w:r>
            <w:r>
              <w:rPr>
                <w:lang w:eastAsia="en-US"/>
              </w:rPr>
              <w:t>P1M</w:t>
            </w:r>
          </w:p>
        </w:tc>
        <w:tc>
          <w:tcPr>
            <w:tcW w:w="6812" w:type="dxa"/>
            <w:gridSpan w:val="6"/>
            <w:tcBorders>
              <w:right w:val="single" w:sz="4" w:space="0" w:color="auto"/>
            </w:tcBorders>
          </w:tcPr>
          <w:p w14:paraId="4E972838" w14:textId="77777777" w:rsidR="00DB1DFC" w:rsidRPr="009E7CA3" w:rsidRDefault="00DB1DFC">
            <w:pPr>
              <w:pStyle w:val="TableFigureHeading"/>
              <w:rPr>
                <w:color w:val="FFFFFF" w:themeColor="background1"/>
                <w:lang w:eastAsia="en-US"/>
              </w:rPr>
            </w:pPr>
          </w:p>
        </w:tc>
      </w:tr>
      <w:tr w:rsidR="004835E0" w14:paraId="065E3B97" w14:textId="77777777" w:rsidTr="00DB1DFC">
        <w:tc>
          <w:tcPr>
            <w:tcW w:w="2208" w:type="dxa"/>
          </w:tcPr>
          <w:p w14:paraId="3CC2FB6E" w14:textId="77777777" w:rsidR="004835E0" w:rsidRPr="00C86B20" w:rsidRDefault="004835E0">
            <w:pPr>
              <w:pStyle w:val="TableFigureHeading"/>
              <w:rPr>
                <w:b w:val="0"/>
                <w:bCs w:val="0"/>
                <w:lang w:eastAsia="en-US"/>
              </w:rPr>
            </w:pPr>
            <w:r>
              <w:rPr>
                <w:b w:val="0"/>
                <w:bCs w:val="0"/>
                <w:lang w:eastAsia="en-US"/>
              </w:rPr>
              <w:t>Risk Difference (95% CI)</w:t>
            </w:r>
          </w:p>
        </w:tc>
        <w:tc>
          <w:tcPr>
            <w:tcW w:w="2516" w:type="dxa"/>
            <w:gridSpan w:val="2"/>
            <w:tcBorders>
              <w:top w:val="single" w:sz="4" w:space="0" w:color="auto"/>
            </w:tcBorders>
            <w:vAlign w:val="center"/>
          </w:tcPr>
          <w:p w14:paraId="1F347EE2" w14:textId="55D85F96" w:rsidR="004835E0" w:rsidRPr="00C86B20" w:rsidRDefault="004835E0" w:rsidP="00B24371">
            <w:pPr>
              <w:pStyle w:val="TableFigureHeading"/>
              <w:jc w:val="center"/>
              <w:rPr>
                <w:b w:val="0"/>
                <w:bCs w:val="0"/>
                <w:lang w:eastAsia="en-US"/>
              </w:rPr>
            </w:pPr>
            <w:r>
              <w:rPr>
                <w:b w:val="0"/>
                <w:bCs w:val="0"/>
                <w:lang w:eastAsia="en-US"/>
              </w:rPr>
              <w:t>8.0 (</w:t>
            </w:r>
            <w:r w:rsidR="002D15C9">
              <w:rPr>
                <w:b w:val="0"/>
                <w:bCs w:val="0"/>
                <w:lang w:eastAsia="en-US"/>
              </w:rPr>
              <w:noBreakHyphen/>
            </w:r>
            <w:r>
              <w:rPr>
                <w:b w:val="0"/>
                <w:bCs w:val="0"/>
                <w:lang w:eastAsia="en-US"/>
              </w:rPr>
              <w:t>3.5, 19.5)</w:t>
            </w:r>
          </w:p>
        </w:tc>
        <w:tc>
          <w:tcPr>
            <w:tcW w:w="2072" w:type="dxa"/>
            <w:gridSpan w:val="2"/>
            <w:tcBorders>
              <w:top w:val="single" w:sz="4" w:space="0" w:color="auto"/>
            </w:tcBorders>
          </w:tcPr>
          <w:p w14:paraId="3BF4685D" w14:textId="77777777" w:rsidR="004835E0" w:rsidRPr="00C86B20" w:rsidRDefault="004835E0">
            <w:pPr>
              <w:pStyle w:val="TableFigureHeading"/>
              <w:rPr>
                <w:b w:val="0"/>
                <w:bCs w:val="0"/>
                <w:lang w:eastAsia="en-US"/>
              </w:rPr>
            </w:pPr>
          </w:p>
        </w:tc>
        <w:tc>
          <w:tcPr>
            <w:tcW w:w="2224" w:type="dxa"/>
            <w:gridSpan w:val="2"/>
            <w:tcBorders>
              <w:top w:val="single" w:sz="4" w:space="0" w:color="auto"/>
            </w:tcBorders>
          </w:tcPr>
          <w:p w14:paraId="2A547D78" w14:textId="77777777" w:rsidR="004835E0" w:rsidRPr="00C86B20" w:rsidRDefault="004835E0">
            <w:pPr>
              <w:pStyle w:val="TableFigureHeading"/>
              <w:rPr>
                <w:b w:val="0"/>
                <w:bCs w:val="0"/>
                <w:lang w:eastAsia="en-US"/>
              </w:rPr>
            </w:pPr>
          </w:p>
        </w:tc>
      </w:tr>
      <w:tr w:rsidR="004835E0" w14:paraId="57B95752" w14:textId="77777777" w:rsidTr="00DB1DFC">
        <w:tc>
          <w:tcPr>
            <w:tcW w:w="2208" w:type="dxa"/>
          </w:tcPr>
          <w:p w14:paraId="6820BEE9" w14:textId="77777777" w:rsidR="004835E0" w:rsidRPr="00C86B20" w:rsidRDefault="004835E0">
            <w:pPr>
              <w:pStyle w:val="TableFigureHeading"/>
              <w:rPr>
                <w:b w:val="0"/>
                <w:bCs w:val="0"/>
                <w:lang w:eastAsia="en-US"/>
              </w:rPr>
            </w:pPr>
            <w:r>
              <w:rPr>
                <w:b w:val="0"/>
                <w:bCs w:val="0"/>
                <w:lang w:eastAsia="en-US"/>
              </w:rPr>
              <w:t>Risk Ratio (95% CI)</w:t>
            </w:r>
          </w:p>
        </w:tc>
        <w:tc>
          <w:tcPr>
            <w:tcW w:w="2516" w:type="dxa"/>
            <w:gridSpan w:val="2"/>
            <w:vAlign w:val="center"/>
          </w:tcPr>
          <w:p w14:paraId="4B48CD2E" w14:textId="77777777" w:rsidR="004835E0" w:rsidRPr="00C86B20" w:rsidRDefault="004835E0" w:rsidP="00B24371">
            <w:pPr>
              <w:pStyle w:val="TableFigureHeading"/>
              <w:jc w:val="center"/>
              <w:rPr>
                <w:b w:val="0"/>
                <w:bCs w:val="0"/>
                <w:lang w:eastAsia="en-US"/>
              </w:rPr>
            </w:pPr>
            <w:r>
              <w:rPr>
                <w:b w:val="0"/>
                <w:bCs w:val="0"/>
                <w:lang w:eastAsia="en-US"/>
              </w:rPr>
              <w:t>0.66 (0.34, 1.28)</w:t>
            </w:r>
          </w:p>
        </w:tc>
        <w:tc>
          <w:tcPr>
            <w:tcW w:w="2072" w:type="dxa"/>
            <w:gridSpan w:val="2"/>
          </w:tcPr>
          <w:p w14:paraId="42F44410" w14:textId="77777777" w:rsidR="004835E0" w:rsidRPr="00C86B20" w:rsidRDefault="004835E0">
            <w:pPr>
              <w:pStyle w:val="TableFigureHeading"/>
              <w:rPr>
                <w:b w:val="0"/>
                <w:bCs w:val="0"/>
                <w:lang w:eastAsia="en-US"/>
              </w:rPr>
            </w:pPr>
          </w:p>
        </w:tc>
        <w:tc>
          <w:tcPr>
            <w:tcW w:w="2224" w:type="dxa"/>
            <w:gridSpan w:val="2"/>
          </w:tcPr>
          <w:p w14:paraId="2FE3F84C" w14:textId="77777777" w:rsidR="004835E0" w:rsidRPr="00C86B20" w:rsidRDefault="004835E0">
            <w:pPr>
              <w:pStyle w:val="TableFigureHeading"/>
              <w:rPr>
                <w:b w:val="0"/>
                <w:bCs w:val="0"/>
                <w:lang w:eastAsia="en-US"/>
              </w:rPr>
            </w:pPr>
          </w:p>
        </w:tc>
      </w:tr>
      <w:tr w:rsidR="004835E0" w14:paraId="6463E10F" w14:textId="77777777" w:rsidTr="00DB1DFC">
        <w:tc>
          <w:tcPr>
            <w:tcW w:w="2208" w:type="dxa"/>
          </w:tcPr>
          <w:p w14:paraId="7C57CB36" w14:textId="77777777" w:rsidR="004835E0" w:rsidRDefault="004835E0">
            <w:pPr>
              <w:pStyle w:val="TableFigureHeading"/>
              <w:rPr>
                <w:b w:val="0"/>
                <w:bCs w:val="0"/>
                <w:lang w:eastAsia="en-US"/>
              </w:rPr>
            </w:pPr>
            <w:r>
              <w:rPr>
                <w:b w:val="0"/>
                <w:bCs w:val="0"/>
                <w:lang w:eastAsia="en-US"/>
              </w:rPr>
              <w:t>Odds Ratio (95% CI)</w:t>
            </w:r>
          </w:p>
        </w:tc>
        <w:tc>
          <w:tcPr>
            <w:tcW w:w="2516" w:type="dxa"/>
            <w:gridSpan w:val="2"/>
            <w:tcBorders>
              <w:bottom w:val="single" w:sz="4" w:space="0" w:color="auto"/>
            </w:tcBorders>
            <w:vAlign w:val="center"/>
          </w:tcPr>
          <w:p w14:paraId="4F1BE26F" w14:textId="77777777" w:rsidR="004835E0" w:rsidRPr="00C86B20" w:rsidRDefault="004835E0" w:rsidP="00B24371">
            <w:pPr>
              <w:pStyle w:val="TableFigureHeading"/>
              <w:jc w:val="center"/>
              <w:rPr>
                <w:b w:val="0"/>
                <w:bCs w:val="0"/>
                <w:lang w:eastAsia="en-US"/>
              </w:rPr>
            </w:pPr>
            <w:r>
              <w:rPr>
                <w:b w:val="0"/>
                <w:bCs w:val="0"/>
                <w:lang w:eastAsia="en-US"/>
              </w:rPr>
              <w:t>0.79 (0.36, 1.75)</w:t>
            </w:r>
          </w:p>
        </w:tc>
        <w:tc>
          <w:tcPr>
            <w:tcW w:w="2072" w:type="dxa"/>
            <w:gridSpan w:val="2"/>
            <w:tcBorders>
              <w:bottom w:val="single" w:sz="4" w:space="0" w:color="auto"/>
            </w:tcBorders>
          </w:tcPr>
          <w:p w14:paraId="7BCA9410" w14:textId="77777777" w:rsidR="004835E0" w:rsidRPr="00C86B20" w:rsidRDefault="004835E0">
            <w:pPr>
              <w:pStyle w:val="TableFigureHeading"/>
              <w:rPr>
                <w:b w:val="0"/>
                <w:bCs w:val="0"/>
                <w:lang w:eastAsia="en-US"/>
              </w:rPr>
            </w:pPr>
          </w:p>
        </w:tc>
        <w:tc>
          <w:tcPr>
            <w:tcW w:w="2224" w:type="dxa"/>
            <w:gridSpan w:val="2"/>
            <w:tcBorders>
              <w:bottom w:val="single" w:sz="4" w:space="0" w:color="auto"/>
            </w:tcBorders>
          </w:tcPr>
          <w:p w14:paraId="259F1E8D" w14:textId="77777777" w:rsidR="004835E0" w:rsidRPr="00C86B20" w:rsidRDefault="004835E0">
            <w:pPr>
              <w:pStyle w:val="TableFigureHeading"/>
              <w:rPr>
                <w:b w:val="0"/>
                <w:bCs w:val="0"/>
                <w:lang w:eastAsia="en-US"/>
              </w:rPr>
            </w:pPr>
          </w:p>
        </w:tc>
      </w:tr>
      <w:tr w:rsidR="004835E0" w14:paraId="2FFB10D2" w14:textId="77777777" w:rsidTr="00DB1DFC">
        <w:tc>
          <w:tcPr>
            <w:tcW w:w="2208" w:type="dxa"/>
          </w:tcPr>
          <w:p w14:paraId="66BDF47B" w14:textId="77777777" w:rsidR="004835E0" w:rsidRDefault="004835E0">
            <w:pPr>
              <w:pStyle w:val="TableFigureHeading"/>
              <w:rPr>
                <w:b w:val="0"/>
                <w:bCs w:val="0"/>
                <w:lang w:eastAsia="en-US"/>
              </w:rPr>
            </w:pPr>
            <w:r>
              <w:rPr>
                <w:b w:val="0"/>
                <w:bCs w:val="0"/>
                <w:lang w:eastAsia="en-US"/>
              </w:rPr>
              <w:t>Hazard Ratio (95% CI)</w:t>
            </w:r>
          </w:p>
        </w:tc>
        <w:tc>
          <w:tcPr>
            <w:tcW w:w="2516" w:type="dxa"/>
            <w:gridSpan w:val="2"/>
            <w:tcBorders>
              <w:bottom w:val="single" w:sz="4" w:space="0" w:color="auto"/>
            </w:tcBorders>
            <w:vAlign w:val="center"/>
          </w:tcPr>
          <w:p w14:paraId="20591270" w14:textId="77777777" w:rsidR="004835E0" w:rsidRDefault="004835E0" w:rsidP="00B24371">
            <w:pPr>
              <w:pStyle w:val="TableFigureHeading"/>
              <w:jc w:val="center"/>
              <w:rPr>
                <w:b w:val="0"/>
                <w:bCs w:val="0"/>
                <w:lang w:eastAsia="en-US"/>
              </w:rPr>
            </w:pPr>
            <w:r>
              <w:rPr>
                <w:b w:val="0"/>
                <w:bCs w:val="0"/>
                <w:lang w:eastAsia="en-US"/>
              </w:rPr>
              <w:t>0.72 (0.35, 1.48)</w:t>
            </w:r>
          </w:p>
        </w:tc>
        <w:tc>
          <w:tcPr>
            <w:tcW w:w="2072" w:type="dxa"/>
            <w:gridSpan w:val="2"/>
            <w:tcBorders>
              <w:bottom w:val="single" w:sz="4" w:space="0" w:color="auto"/>
            </w:tcBorders>
          </w:tcPr>
          <w:p w14:paraId="142520EA" w14:textId="77777777" w:rsidR="004835E0" w:rsidRPr="00C86B20" w:rsidRDefault="004835E0">
            <w:pPr>
              <w:pStyle w:val="TableFigureHeading"/>
              <w:rPr>
                <w:b w:val="0"/>
                <w:bCs w:val="0"/>
                <w:lang w:eastAsia="en-US"/>
              </w:rPr>
            </w:pPr>
          </w:p>
        </w:tc>
        <w:tc>
          <w:tcPr>
            <w:tcW w:w="2224" w:type="dxa"/>
            <w:gridSpan w:val="2"/>
            <w:tcBorders>
              <w:bottom w:val="single" w:sz="4" w:space="0" w:color="auto"/>
            </w:tcBorders>
          </w:tcPr>
          <w:p w14:paraId="6F6C7CC2" w14:textId="77777777" w:rsidR="004835E0" w:rsidRPr="00C86B20" w:rsidRDefault="004835E0">
            <w:pPr>
              <w:pStyle w:val="TableFigureHeading"/>
              <w:rPr>
                <w:b w:val="0"/>
                <w:bCs w:val="0"/>
                <w:lang w:eastAsia="en-US"/>
              </w:rPr>
            </w:pPr>
          </w:p>
        </w:tc>
      </w:tr>
      <w:tr w:rsidR="00892212" w14:paraId="76FE8499" w14:textId="77777777" w:rsidTr="00AF4341">
        <w:tc>
          <w:tcPr>
            <w:tcW w:w="2208" w:type="dxa"/>
            <w:tcBorders>
              <w:right w:val="single" w:sz="4" w:space="0" w:color="auto"/>
            </w:tcBorders>
            <w:vAlign w:val="center"/>
          </w:tcPr>
          <w:p w14:paraId="009B5377" w14:textId="02BFD914" w:rsidR="00892212" w:rsidRPr="009E7CA3" w:rsidRDefault="00892212" w:rsidP="00E21685">
            <w:pPr>
              <w:pStyle w:val="TableFigureHeading"/>
              <w:rPr>
                <w:color w:val="FFFFFF" w:themeColor="background1"/>
                <w:lang w:eastAsia="en-US"/>
              </w:rPr>
            </w:pPr>
            <w:r>
              <w:rPr>
                <w:lang w:eastAsia="en-US"/>
              </w:rPr>
              <w:t>MSCR risperidone</w:t>
            </w:r>
            <w:r w:rsidRPr="00BE3C08">
              <w:rPr>
                <w:lang w:eastAsia="en-US"/>
              </w:rPr>
              <w:t xml:space="preserve"> q1m vs </w:t>
            </w:r>
            <w:r>
              <w:rPr>
                <w:lang w:eastAsia="en-US"/>
              </w:rPr>
              <w:t>A1M</w:t>
            </w:r>
          </w:p>
        </w:tc>
        <w:tc>
          <w:tcPr>
            <w:tcW w:w="6812" w:type="dxa"/>
            <w:gridSpan w:val="6"/>
            <w:tcBorders>
              <w:right w:val="single" w:sz="4" w:space="0" w:color="auto"/>
            </w:tcBorders>
            <w:vAlign w:val="center"/>
          </w:tcPr>
          <w:p w14:paraId="0ECD59E6" w14:textId="77777777" w:rsidR="00892212" w:rsidRPr="009E7CA3" w:rsidRDefault="00892212" w:rsidP="00B24371">
            <w:pPr>
              <w:pStyle w:val="TableFigureHeading"/>
              <w:jc w:val="center"/>
              <w:rPr>
                <w:color w:val="FFFFFF" w:themeColor="background1"/>
                <w:lang w:eastAsia="en-US"/>
              </w:rPr>
            </w:pPr>
          </w:p>
        </w:tc>
      </w:tr>
      <w:tr w:rsidR="004835E0" w14:paraId="3E189DE8" w14:textId="77777777" w:rsidTr="00DB1DFC">
        <w:tc>
          <w:tcPr>
            <w:tcW w:w="2208" w:type="dxa"/>
          </w:tcPr>
          <w:p w14:paraId="1D31DCB1" w14:textId="77777777" w:rsidR="004835E0" w:rsidRDefault="004835E0">
            <w:pPr>
              <w:pStyle w:val="TableFigureHeading"/>
              <w:rPr>
                <w:b w:val="0"/>
                <w:bCs w:val="0"/>
                <w:lang w:eastAsia="en-US"/>
              </w:rPr>
            </w:pPr>
            <w:r>
              <w:rPr>
                <w:b w:val="0"/>
                <w:bCs w:val="0"/>
                <w:lang w:eastAsia="en-US"/>
              </w:rPr>
              <w:t>Risk Difference (95% CI)</w:t>
            </w:r>
          </w:p>
        </w:tc>
        <w:tc>
          <w:tcPr>
            <w:tcW w:w="2516" w:type="dxa"/>
            <w:gridSpan w:val="2"/>
            <w:tcBorders>
              <w:top w:val="single" w:sz="4" w:space="0" w:color="auto"/>
            </w:tcBorders>
            <w:vAlign w:val="center"/>
          </w:tcPr>
          <w:p w14:paraId="1CEC3690" w14:textId="3D1EB606" w:rsidR="004835E0" w:rsidRPr="00C86B20" w:rsidRDefault="004835E0" w:rsidP="00B24371">
            <w:pPr>
              <w:pStyle w:val="TableFigureHeading"/>
              <w:jc w:val="center"/>
              <w:rPr>
                <w:b w:val="0"/>
                <w:bCs w:val="0"/>
                <w:lang w:eastAsia="en-US"/>
              </w:rPr>
            </w:pPr>
            <w:r>
              <w:rPr>
                <w:b w:val="0"/>
                <w:bCs w:val="0"/>
                <w:lang w:eastAsia="en-US"/>
              </w:rPr>
              <w:t>7.3 (</w:t>
            </w:r>
            <w:r w:rsidR="002D15C9">
              <w:rPr>
                <w:b w:val="0"/>
                <w:bCs w:val="0"/>
                <w:lang w:eastAsia="en-US"/>
              </w:rPr>
              <w:noBreakHyphen/>
            </w:r>
            <w:r>
              <w:rPr>
                <w:b w:val="0"/>
                <w:bCs w:val="0"/>
                <w:lang w:eastAsia="en-US"/>
              </w:rPr>
              <w:t>4.5, 19.1)</w:t>
            </w:r>
          </w:p>
        </w:tc>
        <w:tc>
          <w:tcPr>
            <w:tcW w:w="2072" w:type="dxa"/>
            <w:gridSpan w:val="2"/>
            <w:tcBorders>
              <w:top w:val="single" w:sz="4" w:space="0" w:color="auto"/>
            </w:tcBorders>
          </w:tcPr>
          <w:p w14:paraId="2CF5F7FF" w14:textId="77777777" w:rsidR="004835E0" w:rsidRPr="00C86B20" w:rsidRDefault="004835E0">
            <w:pPr>
              <w:pStyle w:val="TableFigureHeading"/>
              <w:rPr>
                <w:b w:val="0"/>
                <w:bCs w:val="0"/>
                <w:lang w:eastAsia="en-US"/>
              </w:rPr>
            </w:pPr>
          </w:p>
        </w:tc>
        <w:tc>
          <w:tcPr>
            <w:tcW w:w="2224" w:type="dxa"/>
            <w:gridSpan w:val="2"/>
            <w:tcBorders>
              <w:top w:val="single" w:sz="4" w:space="0" w:color="auto"/>
            </w:tcBorders>
          </w:tcPr>
          <w:p w14:paraId="7337C8A0" w14:textId="77777777" w:rsidR="004835E0" w:rsidRPr="00C86B20" w:rsidRDefault="004835E0">
            <w:pPr>
              <w:pStyle w:val="TableFigureHeading"/>
              <w:rPr>
                <w:b w:val="0"/>
                <w:bCs w:val="0"/>
                <w:lang w:eastAsia="en-US"/>
              </w:rPr>
            </w:pPr>
          </w:p>
        </w:tc>
      </w:tr>
      <w:tr w:rsidR="004835E0" w14:paraId="6AE6814A" w14:textId="77777777" w:rsidTr="00DB1DFC">
        <w:tc>
          <w:tcPr>
            <w:tcW w:w="2208" w:type="dxa"/>
          </w:tcPr>
          <w:p w14:paraId="516EA9D1" w14:textId="77777777" w:rsidR="004835E0" w:rsidRDefault="004835E0">
            <w:pPr>
              <w:pStyle w:val="TableFigureHeading"/>
              <w:rPr>
                <w:b w:val="0"/>
                <w:bCs w:val="0"/>
                <w:lang w:eastAsia="en-US"/>
              </w:rPr>
            </w:pPr>
            <w:r>
              <w:rPr>
                <w:b w:val="0"/>
                <w:bCs w:val="0"/>
                <w:lang w:eastAsia="en-US"/>
              </w:rPr>
              <w:t>Risk Ratio (95% CI)</w:t>
            </w:r>
          </w:p>
        </w:tc>
        <w:tc>
          <w:tcPr>
            <w:tcW w:w="2516" w:type="dxa"/>
            <w:gridSpan w:val="2"/>
            <w:vAlign w:val="center"/>
          </w:tcPr>
          <w:p w14:paraId="1D759D48" w14:textId="77777777" w:rsidR="004835E0" w:rsidRPr="00C86B20" w:rsidRDefault="004835E0" w:rsidP="00B24371">
            <w:pPr>
              <w:pStyle w:val="TableFigureHeading"/>
              <w:jc w:val="center"/>
              <w:rPr>
                <w:b w:val="0"/>
                <w:bCs w:val="0"/>
                <w:lang w:eastAsia="en-US"/>
              </w:rPr>
            </w:pPr>
            <w:r>
              <w:rPr>
                <w:b w:val="0"/>
                <w:bCs w:val="0"/>
                <w:lang w:eastAsia="en-US"/>
              </w:rPr>
              <w:t>0.96 (0.47, 2.50)</w:t>
            </w:r>
          </w:p>
        </w:tc>
        <w:tc>
          <w:tcPr>
            <w:tcW w:w="2072" w:type="dxa"/>
            <w:gridSpan w:val="2"/>
          </w:tcPr>
          <w:p w14:paraId="441F8B47" w14:textId="77777777" w:rsidR="004835E0" w:rsidRPr="00C86B20" w:rsidRDefault="004835E0">
            <w:pPr>
              <w:pStyle w:val="TableFigureHeading"/>
              <w:rPr>
                <w:b w:val="0"/>
                <w:bCs w:val="0"/>
                <w:lang w:eastAsia="en-US"/>
              </w:rPr>
            </w:pPr>
          </w:p>
        </w:tc>
        <w:tc>
          <w:tcPr>
            <w:tcW w:w="2224" w:type="dxa"/>
            <w:gridSpan w:val="2"/>
          </w:tcPr>
          <w:p w14:paraId="092EFE82" w14:textId="77777777" w:rsidR="004835E0" w:rsidRPr="00C86B20" w:rsidRDefault="004835E0">
            <w:pPr>
              <w:pStyle w:val="TableFigureHeading"/>
              <w:rPr>
                <w:b w:val="0"/>
                <w:bCs w:val="0"/>
                <w:lang w:eastAsia="en-US"/>
              </w:rPr>
            </w:pPr>
          </w:p>
        </w:tc>
      </w:tr>
      <w:tr w:rsidR="004835E0" w14:paraId="2276B856" w14:textId="77777777" w:rsidTr="00DB1DFC">
        <w:tc>
          <w:tcPr>
            <w:tcW w:w="2208" w:type="dxa"/>
          </w:tcPr>
          <w:p w14:paraId="27FAD956" w14:textId="77777777" w:rsidR="004835E0" w:rsidRPr="00C86B20" w:rsidRDefault="004835E0">
            <w:pPr>
              <w:pStyle w:val="TableFigureHeading"/>
              <w:rPr>
                <w:b w:val="0"/>
                <w:bCs w:val="0"/>
                <w:lang w:eastAsia="en-US"/>
              </w:rPr>
            </w:pPr>
            <w:r>
              <w:rPr>
                <w:b w:val="0"/>
                <w:bCs w:val="0"/>
                <w:lang w:eastAsia="en-US"/>
              </w:rPr>
              <w:t>Odds Ratio (95% CI)</w:t>
            </w:r>
          </w:p>
        </w:tc>
        <w:tc>
          <w:tcPr>
            <w:tcW w:w="2516" w:type="dxa"/>
            <w:gridSpan w:val="2"/>
            <w:vAlign w:val="center"/>
          </w:tcPr>
          <w:p w14:paraId="5D708FFB" w14:textId="77777777" w:rsidR="004835E0" w:rsidRPr="00C86B20" w:rsidRDefault="004835E0" w:rsidP="00B24371">
            <w:pPr>
              <w:pStyle w:val="TableFigureHeading"/>
              <w:jc w:val="center"/>
              <w:rPr>
                <w:b w:val="0"/>
                <w:bCs w:val="0"/>
                <w:lang w:eastAsia="en-US"/>
              </w:rPr>
            </w:pPr>
            <w:r>
              <w:rPr>
                <w:b w:val="0"/>
                <w:bCs w:val="0"/>
                <w:lang w:eastAsia="en-US"/>
              </w:rPr>
              <w:t>1.08 (0.47, 2.50)</w:t>
            </w:r>
          </w:p>
        </w:tc>
        <w:tc>
          <w:tcPr>
            <w:tcW w:w="2072" w:type="dxa"/>
            <w:gridSpan w:val="2"/>
          </w:tcPr>
          <w:p w14:paraId="425084EC" w14:textId="77777777" w:rsidR="004835E0" w:rsidRPr="00C86B20" w:rsidRDefault="004835E0">
            <w:pPr>
              <w:pStyle w:val="TableFigureHeading"/>
              <w:rPr>
                <w:b w:val="0"/>
                <w:bCs w:val="0"/>
                <w:lang w:eastAsia="en-US"/>
              </w:rPr>
            </w:pPr>
          </w:p>
        </w:tc>
        <w:tc>
          <w:tcPr>
            <w:tcW w:w="2224" w:type="dxa"/>
            <w:gridSpan w:val="2"/>
          </w:tcPr>
          <w:p w14:paraId="26082B6D" w14:textId="77777777" w:rsidR="004835E0" w:rsidRPr="00C86B20" w:rsidRDefault="004835E0">
            <w:pPr>
              <w:pStyle w:val="TableFigureHeading"/>
              <w:rPr>
                <w:b w:val="0"/>
                <w:bCs w:val="0"/>
                <w:lang w:eastAsia="en-US"/>
              </w:rPr>
            </w:pPr>
          </w:p>
        </w:tc>
      </w:tr>
      <w:tr w:rsidR="004835E0" w14:paraId="573C394B" w14:textId="77777777" w:rsidTr="00DB1DFC">
        <w:tc>
          <w:tcPr>
            <w:tcW w:w="2208" w:type="dxa"/>
          </w:tcPr>
          <w:p w14:paraId="3F8A7683" w14:textId="77777777" w:rsidR="004835E0" w:rsidRDefault="004835E0">
            <w:pPr>
              <w:pStyle w:val="TableFigureHeading"/>
              <w:rPr>
                <w:b w:val="0"/>
                <w:bCs w:val="0"/>
                <w:lang w:eastAsia="en-US"/>
              </w:rPr>
            </w:pPr>
            <w:r>
              <w:rPr>
                <w:b w:val="0"/>
                <w:bCs w:val="0"/>
                <w:lang w:eastAsia="en-US"/>
              </w:rPr>
              <w:t>Hazard Ratio (95% CI)</w:t>
            </w:r>
          </w:p>
        </w:tc>
        <w:tc>
          <w:tcPr>
            <w:tcW w:w="2516" w:type="dxa"/>
            <w:gridSpan w:val="2"/>
            <w:vAlign w:val="center"/>
          </w:tcPr>
          <w:p w14:paraId="3DF14D11" w14:textId="77777777" w:rsidR="004835E0" w:rsidRDefault="004835E0" w:rsidP="00B24371">
            <w:pPr>
              <w:pStyle w:val="TableFigureHeading"/>
              <w:jc w:val="center"/>
              <w:rPr>
                <w:b w:val="0"/>
                <w:bCs w:val="0"/>
                <w:lang w:eastAsia="en-US"/>
              </w:rPr>
            </w:pPr>
            <w:r>
              <w:rPr>
                <w:b w:val="0"/>
                <w:bCs w:val="0"/>
                <w:lang w:eastAsia="en-US"/>
              </w:rPr>
              <w:t>1.00 (0.47, 2.16)</w:t>
            </w:r>
          </w:p>
        </w:tc>
        <w:tc>
          <w:tcPr>
            <w:tcW w:w="2072" w:type="dxa"/>
            <w:gridSpan w:val="2"/>
          </w:tcPr>
          <w:p w14:paraId="6D2657F8" w14:textId="77777777" w:rsidR="004835E0" w:rsidRPr="00C86B20" w:rsidRDefault="004835E0">
            <w:pPr>
              <w:pStyle w:val="TableFigureHeading"/>
              <w:rPr>
                <w:b w:val="0"/>
                <w:bCs w:val="0"/>
                <w:lang w:eastAsia="en-US"/>
              </w:rPr>
            </w:pPr>
          </w:p>
        </w:tc>
        <w:tc>
          <w:tcPr>
            <w:tcW w:w="2224" w:type="dxa"/>
            <w:gridSpan w:val="2"/>
          </w:tcPr>
          <w:p w14:paraId="7309BA47" w14:textId="77777777" w:rsidR="004835E0" w:rsidRPr="00C86B20" w:rsidRDefault="004835E0">
            <w:pPr>
              <w:pStyle w:val="TableFigureHeading"/>
              <w:rPr>
                <w:b w:val="0"/>
                <w:bCs w:val="0"/>
                <w:lang w:eastAsia="en-US"/>
              </w:rPr>
            </w:pPr>
          </w:p>
        </w:tc>
      </w:tr>
    </w:tbl>
    <w:p w14:paraId="3C6EC3B2" w14:textId="7963E58C" w:rsidR="004835E0" w:rsidRDefault="004835E0" w:rsidP="004835E0">
      <w:pPr>
        <w:pStyle w:val="TableFigureFooter"/>
        <w:rPr>
          <w:lang w:eastAsia="en-US"/>
        </w:rPr>
      </w:pPr>
      <w:r>
        <w:rPr>
          <w:lang w:eastAsia="en-US"/>
        </w:rPr>
        <w:t>Source: Table 2</w:t>
      </w:r>
      <w:r w:rsidR="002D15C9">
        <w:rPr>
          <w:lang w:eastAsia="en-US"/>
        </w:rPr>
        <w:noBreakHyphen/>
      </w:r>
      <w:r>
        <w:rPr>
          <w:lang w:eastAsia="en-US"/>
        </w:rPr>
        <w:t>41, 2</w:t>
      </w:r>
      <w:r w:rsidR="002D15C9">
        <w:rPr>
          <w:lang w:eastAsia="en-US"/>
        </w:rPr>
        <w:noBreakHyphen/>
      </w:r>
      <w:r>
        <w:rPr>
          <w:lang w:eastAsia="en-US"/>
        </w:rPr>
        <w:t>42, pp152</w:t>
      </w:r>
      <w:r w:rsidR="002D15C9">
        <w:rPr>
          <w:lang w:eastAsia="en-US"/>
        </w:rPr>
        <w:noBreakHyphen/>
      </w:r>
      <w:r>
        <w:rPr>
          <w:lang w:eastAsia="en-US"/>
        </w:rPr>
        <w:t xml:space="preserve">3, p154 of the submission. </w:t>
      </w:r>
      <w:r>
        <w:rPr>
          <w:b/>
          <w:lang w:eastAsia="en-US"/>
        </w:rPr>
        <w:t xml:space="preserve">Bold </w:t>
      </w:r>
      <w:r>
        <w:rPr>
          <w:lang w:eastAsia="en-US"/>
        </w:rPr>
        <w:t>= statistically significant; A1M = aripiprazole; CI = confidence interval; PP1M = paliperidone.</w:t>
      </w:r>
    </w:p>
    <w:p w14:paraId="00564827" w14:textId="77777777" w:rsidR="004835E0" w:rsidRDefault="004835E0" w:rsidP="004835E0">
      <w:pPr>
        <w:pStyle w:val="3-BodyText"/>
        <w:rPr>
          <w:lang w:eastAsia="en-US"/>
        </w:rPr>
      </w:pPr>
      <w:r>
        <w:rPr>
          <w:lang w:eastAsia="en-US"/>
        </w:rPr>
        <w:t xml:space="preserve">All active treatments were superior to placebo, and no differences among them were apparent. </w:t>
      </w:r>
    </w:p>
    <w:p w14:paraId="091AB466" w14:textId="45B14895" w:rsidR="004835E0" w:rsidRPr="00072DE1" w:rsidRDefault="00983539" w:rsidP="00983539">
      <w:pPr>
        <w:pStyle w:val="3-BodyText"/>
        <w:rPr>
          <w:lang w:eastAsia="en-US"/>
        </w:rPr>
      </w:pPr>
      <w:r w:rsidRPr="00983539">
        <w:lastRenderedPageBreak/>
        <w:t>The placebo response rate in RISE was much lower than in other trials, suggesting population differences that may affect transitivity assumptions.</w:t>
      </w:r>
      <w:r>
        <w:t xml:space="preserve"> </w:t>
      </w:r>
    </w:p>
    <w:p w14:paraId="60875152" w14:textId="213A147F" w:rsidR="004835E0" w:rsidRDefault="004835E0" w:rsidP="004835E0">
      <w:pPr>
        <w:pStyle w:val="3-BodyText"/>
        <w:rPr>
          <w:lang w:eastAsia="en-US"/>
        </w:rPr>
      </w:pPr>
      <w:r>
        <w:rPr>
          <w:lang w:eastAsia="en-US"/>
        </w:rPr>
        <w:t xml:space="preserve">The results of the ITC for PANSS score are shown in </w:t>
      </w:r>
      <w:r w:rsidR="004227B7">
        <w:rPr>
          <w:lang w:eastAsia="en-US"/>
        </w:rPr>
        <w:fldChar w:fldCharType="begin"/>
      </w:r>
      <w:r w:rsidR="004227B7">
        <w:rPr>
          <w:lang w:eastAsia="en-US"/>
        </w:rPr>
        <w:instrText xml:space="preserve"> REF _Ref222745369 \h </w:instrText>
      </w:r>
      <w:r w:rsidR="004227B7">
        <w:rPr>
          <w:lang w:eastAsia="en-US"/>
        </w:rPr>
      </w:r>
      <w:r w:rsidR="004227B7">
        <w:rPr>
          <w:lang w:eastAsia="en-US"/>
        </w:rPr>
        <w:fldChar w:fldCharType="separate"/>
      </w:r>
      <w:r w:rsidR="004227B7">
        <w:t xml:space="preserve">Table </w:t>
      </w:r>
      <w:r w:rsidR="004227B7">
        <w:rPr>
          <w:noProof/>
        </w:rPr>
        <w:t>6</w:t>
      </w:r>
      <w:r w:rsidR="004227B7">
        <w:rPr>
          <w:lang w:eastAsia="en-US"/>
        </w:rPr>
        <w:fldChar w:fldCharType="end"/>
      </w:r>
      <w:r>
        <w:rPr>
          <w:lang w:eastAsia="en-US"/>
        </w:rPr>
        <w:t xml:space="preserve">. </w:t>
      </w:r>
      <w:r w:rsidR="005864F8">
        <w:rPr>
          <w:lang w:eastAsia="en-US"/>
        </w:rPr>
        <w:t>The evaluation</w:t>
      </w:r>
      <w:r>
        <w:rPr>
          <w:lang w:eastAsia="en-US"/>
        </w:rPr>
        <w:t xml:space="preserve"> noted that change from baseline in PANSS score was an exploratory outcome only (RISE CSR). The pre</w:t>
      </w:r>
      <w:r w:rsidR="002D15C9">
        <w:rPr>
          <w:lang w:eastAsia="en-US"/>
        </w:rPr>
        <w:noBreakHyphen/>
      </w:r>
      <w:r>
        <w:rPr>
          <w:lang w:eastAsia="en-US"/>
        </w:rPr>
        <w:t>specified key secondary outcomes measuring response in non</w:t>
      </w:r>
      <w:r w:rsidR="002D15C9">
        <w:rPr>
          <w:lang w:eastAsia="en-US"/>
        </w:rPr>
        <w:noBreakHyphen/>
      </w:r>
      <w:r>
        <w:rPr>
          <w:lang w:eastAsia="en-US"/>
        </w:rPr>
        <w:t>relapsing patients were stability and remission at study completion (</w:t>
      </w:r>
      <w:r>
        <w:rPr>
          <w:lang w:eastAsia="en-US"/>
        </w:rPr>
        <w:fldChar w:fldCharType="begin"/>
      </w:r>
      <w:r>
        <w:rPr>
          <w:lang w:eastAsia="en-US"/>
        </w:rPr>
        <w:instrText xml:space="preserve"> REF _Ref215049526 \h </w:instrText>
      </w:r>
      <w:r w:rsidR="00072DE1">
        <w:rPr>
          <w:lang w:eastAsia="en-US"/>
        </w:rPr>
        <w:instrText xml:space="preserve"> \* MERGEFORMAT </w:instrText>
      </w:r>
      <w:r>
        <w:rPr>
          <w:lang w:eastAsia="en-US"/>
        </w:rPr>
      </w:r>
      <w:r>
        <w:rPr>
          <w:lang w:eastAsia="en-US"/>
        </w:rPr>
        <w:fldChar w:fldCharType="separate"/>
      </w:r>
      <w:r>
        <w:rPr>
          <w:lang w:eastAsia="en-US"/>
        </w:rPr>
        <w:t>Table 4</w:t>
      </w:r>
      <w:r>
        <w:rPr>
          <w:lang w:eastAsia="en-US"/>
        </w:rPr>
        <w:fldChar w:fldCharType="end"/>
      </w:r>
      <w:r>
        <w:rPr>
          <w:lang w:eastAsia="en-US"/>
        </w:rPr>
        <w:t xml:space="preserve">). </w:t>
      </w:r>
    </w:p>
    <w:p w14:paraId="429A7F3E" w14:textId="06441512" w:rsidR="00615197" w:rsidRPr="0008531A" w:rsidRDefault="004835E0" w:rsidP="0008531A">
      <w:pPr>
        <w:pStyle w:val="3-BodyText"/>
        <w:rPr>
          <w:lang w:eastAsia="en-US"/>
        </w:rPr>
      </w:pPr>
      <w:r>
        <w:rPr>
          <w:lang w:eastAsia="en-US"/>
        </w:rPr>
        <w:t>The data used for the PANSS score ITC were from the last assessment during the double</w:t>
      </w:r>
      <w:r w:rsidR="002D15C9">
        <w:rPr>
          <w:lang w:eastAsia="en-US"/>
        </w:rPr>
        <w:noBreakHyphen/>
      </w:r>
      <w:r>
        <w:rPr>
          <w:lang w:eastAsia="en-US"/>
        </w:rPr>
        <w:t>blind phase</w:t>
      </w:r>
      <w:r w:rsidR="004D0DB5">
        <w:rPr>
          <w:lang w:eastAsia="en-US"/>
        </w:rPr>
        <w:t>,</w:t>
      </w:r>
      <w:r>
        <w:rPr>
          <w:lang w:eastAsia="en-US"/>
        </w:rPr>
        <w:t xml:space="preserve"> i.e., patients whose last assessment satisfied the relapse criterion appear to have been included. PANSS scores at end</w:t>
      </w:r>
      <w:r w:rsidR="002D15C9">
        <w:rPr>
          <w:lang w:eastAsia="en-US"/>
        </w:rPr>
        <w:noBreakHyphen/>
      </w:r>
      <w:r>
        <w:rPr>
          <w:lang w:eastAsia="en-US"/>
        </w:rPr>
        <w:t>of</w:t>
      </w:r>
      <w:r w:rsidR="002D15C9">
        <w:rPr>
          <w:lang w:eastAsia="en-US"/>
        </w:rPr>
        <w:noBreakHyphen/>
      </w:r>
      <w:r>
        <w:rPr>
          <w:lang w:eastAsia="en-US"/>
        </w:rPr>
        <w:t>treatment (EoT), which did not include patients who had relapsed, were much lower in the placebo group than the data used in the ITC, and differences between MRSC risperidone treated patients and placebo treated patients were less than the minimum clinically important difference (RISE CSR).</w:t>
      </w:r>
    </w:p>
    <w:p w14:paraId="502D5302" w14:textId="6AA5E693" w:rsidR="004835E0" w:rsidRDefault="004835E0" w:rsidP="004835E0">
      <w:pPr>
        <w:pStyle w:val="Caption"/>
        <w:rPr>
          <w:lang w:eastAsia="en-US"/>
        </w:rPr>
      </w:pPr>
      <w:bookmarkStart w:id="31" w:name="_Ref222745369"/>
      <w:r>
        <w:t xml:space="preserve">Table </w:t>
      </w:r>
      <w:fldSimple w:instr=" SEQ Table \* ARABIC ">
        <w:r w:rsidR="002D15C9">
          <w:rPr>
            <w:noProof/>
          </w:rPr>
          <w:t>6</w:t>
        </w:r>
      </w:fldSimple>
      <w:bookmarkEnd w:id="31"/>
      <w:r>
        <w:rPr>
          <w:lang w:eastAsia="en-US"/>
        </w:rPr>
        <w:t>: ITC for PANSS score</w:t>
      </w:r>
    </w:p>
    <w:tbl>
      <w:tblPr>
        <w:tblStyle w:val="TableGrid"/>
        <w:tblW w:w="5000" w:type="pct"/>
        <w:tblLook w:val="04A0" w:firstRow="1" w:lastRow="0" w:firstColumn="1" w:lastColumn="0" w:noHBand="0" w:noVBand="1"/>
        <w:tblCaption w:val="Table 6: ITC for PANSS score"/>
      </w:tblPr>
      <w:tblGrid>
        <w:gridCol w:w="2240"/>
        <w:gridCol w:w="1607"/>
        <w:gridCol w:w="936"/>
        <w:gridCol w:w="1120"/>
        <w:gridCol w:w="1035"/>
        <w:gridCol w:w="1190"/>
        <w:gridCol w:w="889"/>
      </w:tblGrid>
      <w:tr w:rsidR="00E91AD9" w14:paraId="6F0E71FD" w14:textId="77777777" w:rsidTr="009218AC">
        <w:tc>
          <w:tcPr>
            <w:tcW w:w="1242" w:type="pct"/>
          </w:tcPr>
          <w:p w14:paraId="75D64EE9" w14:textId="77777777" w:rsidR="004835E0" w:rsidRDefault="004835E0">
            <w:pPr>
              <w:pStyle w:val="TableFigureHeading"/>
              <w:rPr>
                <w:lang w:eastAsia="en-US"/>
              </w:rPr>
            </w:pPr>
          </w:p>
        </w:tc>
        <w:tc>
          <w:tcPr>
            <w:tcW w:w="891" w:type="pct"/>
            <w:vAlign w:val="center"/>
          </w:tcPr>
          <w:p w14:paraId="399E4305" w14:textId="77777777" w:rsidR="004835E0" w:rsidRDefault="004835E0" w:rsidP="004D0DB5">
            <w:pPr>
              <w:pStyle w:val="TableFigureHeading"/>
              <w:jc w:val="center"/>
              <w:rPr>
                <w:lang w:eastAsia="en-US"/>
              </w:rPr>
            </w:pPr>
            <w:r>
              <w:rPr>
                <w:lang w:eastAsia="en-US"/>
              </w:rPr>
              <w:t>RISE</w:t>
            </w:r>
          </w:p>
        </w:tc>
        <w:tc>
          <w:tcPr>
            <w:tcW w:w="519" w:type="pct"/>
            <w:vAlign w:val="center"/>
          </w:tcPr>
          <w:p w14:paraId="077DF2C2" w14:textId="77777777" w:rsidR="004835E0" w:rsidRPr="0097218E" w:rsidRDefault="004835E0" w:rsidP="004D0DB5">
            <w:pPr>
              <w:pStyle w:val="TableFigureHeading"/>
              <w:jc w:val="center"/>
              <w:rPr>
                <w:color w:val="000000" w:themeColor="text1"/>
                <w:lang w:eastAsia="en-US"/>
              </w:rPr>
            </w:pPr>
            <w:r w:rsidRPr="0097218E">
              <w:rPr>
                <w:color w:val="000000" w:themeColor="text1"/>
                <w:lang w:eastAsia="en-US"/>
              </w:rPr>
              <w:t>RISE</w:t>
            </w:r>
          </w:p>
        </w:tc>
        <w:tc>
          <w:tcPr>
            <w:tcW w:w="621" w:type="pct"/>
            <w:vAlign w:val="center"/>
          </w:tcPr>
          <w:p w14:paraId="05D6AB16" w14:textId="77777777" w:rsidR="004835E0" w:rsidRPr="0097218E" w:rsidRDefault="004835E0" w:rsidP="004D0DB5">
            <w:pPr>
              <w:pStyle w:val="TableFigureHeading"/>
              <w:jc w:val="center"/>
              <w:rPr>
                <w:color w:val="000000" w:themeColor="text1"/>
                <w:lang w:eastAsia="en-US"/>
              </w:rPr>
            </w:pPr>
            <w:r>
              <w:rPr>
                <w:lang w:eastAsia="en-US"/>
              </w:rPr>
              <w:t>Hough, 2010</w:t>
            </w:r>
          </w:p>
        </w:tc>
        <w:tc>
          <w:tcPr>
            <w:tcW w:w="574" w:type="pct"/>
            <w:vAlign w:val="center"/>
          </w:tcPr>
          <w:p w14:paraId="176E1DB9" w14:textId="77777777" w:rsidR="004835E0" w:rsidRPr="0097218E" w:rsidRDefault="004835E0" w:rsidP="004D0DB5">
            <w:pPr>
              <w:pStyle w:val="TableFigureHeading"/>
              <w:jc w:val="center"/>
              <w:rPr>
                <w:color w:val="000000" w:themeColor="text1"/>
                <w:lang w:eastAsia="en-US"/>
              </w:rPr>
            </w:pPr>
            <w:r w:rsidRPr="0097218E">
              <w:rPr>
                <w:color w:val="000000" w:themeColor="text1"/>
                <w:lang w:eastAsia="en-US"/>
              </w:rPr>
              <w:t>Hough, 2010</w:t>
            </w:r>
          </w:p>
        </w:tc>
        <w:tc>
          <w:tcPr>
            <w:tcW w:w="660" w:type="pct"/>
            <w:vAlign w:val="center"/>
          </w:tcPr>
          <w:p w14:paraId="7676F48E" w14:textId="77777777" w:rsidR="004835E0" w:rsidRPr="0097218E" w:rsidRDefault="004835E0" w:rsidP="004D0DB5">
            <w:pPr>
              <w:pStyle w:val="TableFigureHeading"/>
              <w:jc w:val="center"/>
              <w:rPr>
                <w:color w:val="000000" w:themeColor="text1"/>
                <w:lang w:eastAsia="en-US"/>
              </w:rPr>
            </w:pPr>
            <w:r>
              <w:rPr>
                <w:lang w:eastAsia="en-US"/>
              </w:rPr>
              <w:t>ASPIRE</w:t>
            </w:r>
          </w:p>
        </w:tc>
        <w:tc>
          <w:tcPr>
            <w:tcW w:w="493" w:type="pct"/>
            <w:vAlign w:val="center"/>
          </w:tcPr>
          <w:p w14:paraId="4C90EE2F" w14:textId="77777777" w:rsidR="004835E0" w:rsidRPr="0097218E" w:rsidRDefault="004835E0" w:rsidP="004D0DB5">
            <w:pPr>
              <w:pStyle w:val="TableFigureHeading"/>
              <w:jc w:val="center"/>
              <w:rPr>
                <w:color w:val="000000" w:themeColor="text1"/>
                <w:lang w:eastAsia="en-US"/>
              </w:rPr>
            </w:pPr>
            <w:r w:rsidRPr="0097218E">
              <w:rPr>
                <w:color w:val="000000" w:themeColor="text1"/>
                <w:lang w:eastAsia="en-US"/>
              </w:rPr>
              <w:t>ASPIRE</w:t>
            </w:r>
          </w:p>
        </w:tc>
      </w:tr>
      <w:tr w:rsidR="00E91AD9" w14:paraId="5DFCE7EA" w14:textId="77777777" w:rsidTr="009218AC">
        <w:tc>
          <w:tcPr>
            <w:tcW w:w="1242" w:type="pct"/>
          </w:tcPr>
          <w:p w14:paraId="1837ECDA" w14:textId="77777777" w:rsidR="004835E0" w:rsidRDefault="004835E0">
            <w:pPr>
              <w:pStyle w:val="TableFigureHeading"/>
              <w:rPr>
                <w:lang w:eastAsia="en-US"/>
              </w:rPr>
            </w:pPr>
          </w:p>
        </w:tc>
        <w:tc>
          <w:tcPr>
            <w:tcW w:w="891" w:type="pct"/>
            <w:vAlign w:val="center"/>
          </w:tcPr>
          <w:p w14:paraId="34861713" w14:textId="77777777" w:rsidR="004835E0" w:rsidRDefault="004835E0" w:rsidP="004D0DB5">
            <w:pPr>
              <w:pStyle w:val="TableFigureHeading"/>
              <w:jc w:val="center"/>
              <w:rPr>
                <w:lang w:eastAsia="en-US"/>
              </w:rPr>
            </w:pPr>
            <w:r>
              <w:rPr>
                <w:lang w:eastAsia="en-US"/>
              </w:rPr>
              <w:t>MRSC risperidone q1m</w:t>
            </w:r>
          </w:p>
          <w:p w14:paraId="1730105E" w14:textId="77777777" w:rsidR="004835E0" w:rsidRDefault="004835E0" w:rsidP="004D0DB5">
            <w:pPr>
              <w:pStyle w:val="TableFigureHeading"/>
              <w:jc w:val="center"/>
              <w:rPr>
                <w:lang w:eastAsia="en-US"/>
              </w:rPr>
            </w:pPr>
            <w:r>
              <w:rPr>
                <w:lang w:eastAsia="en-US"/>
              </w:rPr>
              <w:t>N = 183</w:t>
            </w:r>
          </w:p>
        </w:tc>
        <w:tc>
          <w:tcPr>
            <w:tcW w:w="519" w:type="pct"/>
            <w:vAlign w:val="center"/>
          </w:tcPr>
          <w:p w14:paraId="29F09F2C" w14:textId="77777777" w:rsidR="004835E0" w:rsidRDefault="004835E0" w:rsidP="004D0DB5">
            <w:pPr>
              <w:pStyle w:val="TableFigureHeading"/>
              <w:jc w:val="center"/>
              <w:rPr>
                <w:lang w:eastAsia="en-US"/>
              </w:rPr>
            </w:pPr>
            <w:r>
              <w:rPr>
                <w:lang w:eastAsia="en-US"/>
              </w:rPr>
              <w:t>Placebo</w:t>
            </w:r>
          </w:p>
          <w:p w14:paraId="0F17173B" w14:textId="77777777" w:rsidR="004835E0" w:rsidRDefault="004835E0" w:rsidP="004D0DB5">
            <w:pPr>
              <w:pStyle w:val="TableFigureHeading"/>
              <w:jc w:val="center"/>
              <w:rPr>
                <w:lang w:eastAsia="en-US"/>
              </w:rPr>
            </w:pPr>
            <w:r>
              <w:rPr>
                <w:lang w:eastAsia="en-US"/>
              </w:rPr>
              <w:t>N = 181</w:t>
            </w:r>
          </w:p>
        </w:tc>
        <w:tc>
          <w:tcPr>
            <w:tcW w:w="621" w:type="pct"/>
            <w:vAlign w:val="center"/>
          </w:tcPr>
          <w:p w14:paraId="03E2E769" w14:textId="77777777" w:rsidR="004835E0" w:rsidRDefault="004835E0" w:rsidP="004D0DB5">
            <w:pPr>
              <w:pStyle w:val="TableFigureHeading"/>
              <w:jc w:val="center"/>
              <w:rPr>
                <w:lang w:eastAsia="en-US"/>
              </w:rPr>
            </w:pPr>
            <w:r>
              <w:rPr>
                <w:lang w:eastAsia="en-US"/>
              </w:rPr>
              <w:t>PP1M</w:t>
            </w:r>
          </w:p>
          <w:p w14:paraId="32D46ABB" w14:textId="77777777" w:rsidR="004835E0" w:rsidRDefault="004835E0" w:rsidP="004D0DB5">
            <w:pPr>
              <w:pStyle w:val="TableFigureHeading"/>
              <w:jc w:val="center"/>
              <w:rPr>
                <w:lang w:eastAsia="en-US"/>
              </w:rPr>
            </w:pPr>
            <w:r>
              <w:rPr>
                <w:lang w:eastAsia="en-US"/>
              </w:rPr>
              <w:t>N = 205</w:t>
            </w:r>
          </w:p>
        </w:tc>
        <w:tc>
          <w:tcPr>
            <w:tcW w:w="574" w:type="pct"/>
            <w:vAlign w:val="center"/>
          </w:tcPr>
          <w:p w14:paraId="1A0F5BA2" w14:textId="77777777" w:rsidR="004835E0" w:rsidRDefault="004835E0" w:rsidP="004D0DB5">
            <w:pPr>
              <w:pStyle w:val="TableFigureHeading"/>
              <w:jc w:val="center"/>
              <w:rPr>
                <w:lang w:eastAsia="en-US"/>
              </w:rPr>
            </w:pPr>
            <w:r>
              <w:rPr>
                <w:lang w:eastAsia="en-US"/>
              </w:rPr>
              <w:t>Placebo</w:t>
            </w:r>
          </w:p>
          <w:p w14:paraId="5A3B0534" w14:textId="77777777" w:rsidR="004835E0" w:rsidRDefault="004835E0" w:rsidP="004D0DB5">
            <w:pPr>
              <w:pStyle w:val="TableFigureHeading"/>
              <w:jc w:val="center"/>
              <w:rPr>
                <w:lang w:eastAsia="en-US"/>
              </w:rPr>
            </w:pPr>
            <w:r>
              <w:rPr>
                <w:lang w:eastAsia="en-US"/>
              </w:rPr>
              <w:t>N = 203</w:t>
            </w:r>
          </w:p>
        </w:tc>
        <w:tc>
          <w:tcPr>
            <w:tcW w:w="660" w:type="pct"/>
            <w:vAlign w:val="center"/>
          </w:tcPr>
          <w:p w14:paraId="2543944D" w14:textId="77777777" w:rsidR="004835E0" w:rsidRDefault="004835E0" w:rsidP="004D0DB5">
            <w:pPr>
              <w:pStyle w:val="TableFigureHeading"/>
              <w:jc w:val="center"/>
              <w:rPr>
                <w:lang w:eastAsia="en-US"/>
              </w:rPr>
            </w:pPr>
            <w:r>
              <w:rPr>
                <w:lang w:eastAsia="en-US"/>
              </w:rPr>
              <w:t>A1M</w:t>
            </w:r>
          </w:p>
          <w:p w14:paraId="2C9D23D8" w14:textId="77777777" w:rsidR="004835E0" w:rsidRDefault="004835E0" w:rsidP="004D0DB5">
            <w:pPr>
              <w:pStyle w:val="TableFigureHeading"/>
              <w:jc w:val="center"/>
              <w:rPr>
                <w:lang w:eastAsia="en-US"/>
              </w:rPr>
            </w:pPr>
            <w:r>
              <w:rPr>
                <w:lang w:eastAsia="en-US"/>
              </w:rPr>
              <w:t>N = 269</w:t>
            </w:r>
          </w:p>
        </w:tc>
        <w:tc>
          <w:tcPr>
            <w:tcW w:w="493" w:type="pct"/>
            <w:vAlign w:val="center"/>
          </w:tcPr>
          <w:p w14:paraId="2374CF17" w14:textId="77777777" w:rsidR="004835E0" w:rsidRDefault="004835E0" w:rsidP="004D0DB5">
            <w:pPr>
              <w:pStyle w:val="TableFigureHeading"/>
              <w:jc w:val="center"/>
              <w:rPr>
                <w:lang w:eastAsia="en-US"/>
              </w:rPr>
            </w:pPr>
            <w:r>
              <w:rPr>
                <w:lang w:eastAsia="en-US"/>
              </w:rPr>
              <w:t>Placebo</w:t>
            </w:r>
          </w:p>
          <w:p w14:paraId="533972FB" w14:textId="77777777" w:rsidR="004835E0" w:rsidRDefault="004835E0" w:rsidP="004D0DB5">
            <w:pPr>
              <w:pStyle w:val="TableFigureHeading"/>
              <w:jc w:val="center"/>
              <w:rPr>
                <w:lang w:eastAsia="en-US"/>
              </w:rPr>
            </w:pPr>
            <w:r>
              <w:rPr>
                <w:lang w:eastAsia="en-US"/>
              </w:rPr>
              <w:t>N = 134</w:t>
            </w:r>
          </w:p>
        </w:tc>
      </w:tr>
      <w:tr w:rsidR="00E91AD9" w14:paraId="60F34057" w14:textId="77777777" w:rsidTr="004D0DB5">
        <w:tc>
          <w:tcPr>
            <w:tcW w:w="1242" w:type="pct"/>
          </w:tcPr>
          <w:p w14:paraId="4A59E8F4" w14:textId="77777777" w:rsidR="004835E0" w:rsidRDefault="004835E0">
            <w:pPr>
              <w:pStyle w:val="TableFigureHeading"/>
              <w:rPr>
                <w:b w:val="0"/>
                <w:bCs w:val="0"/>
                <w:lang w:eastAsia="en-US"/>
              </w:rPr>
            </w:pPr>
            <w:r>
              <w:rPr>
                <w:b w:val="0"/>
                <w:bCs w:val="0"/>
                <w:lang w:eastAsia="en-US"/>
              </w:rPr>
              <w:t>PANSS total score at baseline,</w:t>
            </w:r>
          </w:p>
          <w:p w14:paraId="764AB686" w14:textId="77777777" w:rsidR="004835E0" w:rsidRPr="00C86B20" w:rsidRDefault="004835E0">
            <w:pPr>
              <w:pStyle w:val="TableFigureHeading"/>
              <w:rPr>
                <w:b w:val="0"/>
                <w:bCs w:val="0"/>
                <w:lang w:eastAsia="en-US"/>
              </w:rPr>
            </w:pPr>
            <w:r>
              <w:rPr>
                <w:b w:val="0"/>
                <w:bCs w:val="0"/>
                <w:lang w:eastAsia="en-US"/>
              </w:rPr>
              <w:t>Mean (SD)</w:t>
            </w:r>
          </w:p>
        </w:tc>
        <w:tc>
          <w:tcPr>
            <w:tcW w:w="891" w:type="pct"/>
            <w:vAlign w:val="center"/>
          </w:tcPr>
          <w:p w14:paraId="2B492360" w14:textId="77777777" w:rsidR="004835E0" w:rsidRPr="00C86B20" w:rsidRDefault="004835E0" w:rsidP="004D0DB5">
            <w:pPr>
              <w:pStyle w:val="TableFigureHeading"/>
              <w:jc w:val="center"/>
              <w:rPr>
                <w:b w:val="0"/>
                <w:bCs w:val="0"/>
                <w:lang w:eastAsia="en-US"/>
              </w:rPr>
            </w:pPr>
            <w:r>
              <w:rPr>
                <w:b w:val="0"/>
                <w:bCs w:val="0"/>
                <w:lang w:eastAsia="en-US"/>
              </w:rPr>
              <w:t>61.5 (9.6)</w:t>
            </w:r>
          </w:p>
        </w:tc>
        <w:tc>
          <w:tcPr>
            <w:tcW w:w="519" w:type="pct"/>
            <w:vAlign w:val="center"/>
          </w:tcPr>
          <w:p w14:paraId="2FDED48C" w14:textId="77777777" w:rsidR="004835E0" w:rsidRPr="00C86B20" w:rsidRDefault="004835E0" w:rsidP="004D0DB5">
            <w:pPr>
              <w:pStyle w:val="TableFigureHeading"/>
              <w:jc w:val="center"/>
              <w:rPr>
                <w:b w:val="0"/>
                <w:bCs w:val="0"/>
                <w:lang w:eastAsia="en-US"/>
              </w:rPr>
            </w:pPr>
            <w:r>
              <w:rPr>
                <w:b w:val="0"/>
                <w:bCs w:val="0"/>
                <w:lang w:eastAsia="en-US"/>
              </w:rPr>
              <w:t>61.0 (10.4)</w:t>
            </w:r>
          </w:p>
        </w:tc>
        <w:tc>
          <w:tcPr>
            <w:tcW w:w="621" w:type="pct"/>
            <w:vAlign w:val="center"/>
          </w:tcPr>
          <w:p w14:paraId="128CBAF4" w14:textId="77777777" w:rsidR="004835E0" w:rsidRPr="00C86B20" w:rsidRDefault="004835E0" w:rsidP="004D0DB5">
            <w:pPr>
              <w:pStyle w:val="TableFigureHeading"/>
              <w:jc w:val="center"/>
              <w:rPr>
                <w:b w:val="0"/>
                <w:bCs w:val="0"/>
                <w:lang w:eastAsia="en-US"/>
              </w:rPr>
            </w:pPr>
            <w:r>
              <w:rPr>
                <w:b w:val="0"/>
                <w:bCs w:val="0"/>
                <w:lang w:eastAsia="en-US"/>
              </w:rPr>
              <w:t>53.1 (11.9)</w:t>
            </w:r>
          </w:p>
        </w:tc>
        <w:tc>
          <w:tcPr>
            <w:tcW w:w="574" w:type="pct"/>
            <w:vAlign w:val="center"/>
          </w:tcPr>
          <w:p w14:paraId="3BECF00B" w14:textId="77777777" w:rsidR="004835E0" w:rsidRPr="00C86B20" w:rsidRDefault="004835E0" w:rsidP="004D0DB5">
            <w:pPr>
              <w:pStyle w:val="TableFigureHeading"/>
              <w:jc w:val="center"/>
              <w:rPr>
                <w:b w:val="0"/>
                <w:bCs w:val="0"/>
                <w:lang w:eastAsia="en-US"/>
              </w:rPr>
            </w:pPr>
            <w:r>
              <w:rPr>
                <w:b w:val="0"/>
                <w:bCs w:val="0"/>
                <w:lang w:eastAsia="en-US"/>
              </w:rPr>
              <w:t>52.1 (11.8)</w:t>
            </w:r>
          </w:p>
        </w:tc>
        <w:tc>
          <w:tcPr>
            <w:tcW w:w="660" w:type="pct"/>
            <w:vAlign w:val="center"/>
          </w:tcPr>
          <w:p w14:paraId="0BC1A1D4" w14:textId="77777777" w:rsidR="004835E0" w:rsidRPr="00C86B20" w:rsidRDefault="004835E0" w:rsidP="004D0DB5">
            <w:pPr>
              <w:pStyle w:val="TableFigureHeading"/>
              <w:jc w:val="center"/>
              <w:rPr>
                <w:b w:val="0"/>
                <w:bCs w:val="0"/>
                <w:lang w:eastAsia="en-US"/>
              </w:rPr>
            </w:pPr>
            <w:r>
              <w:rPr>
                <w:b w:val="0"/>
                <w:bCs w:val="0"/>
                <w:lang w:eastAsia="en-US"/>
              </w:rPr>
              <w:t>54.5 (NR)</w:t>
            </w:r>
          </w:p>
        </w:tc>
        <w:tc>
          <w:tcPr>
            <w:tcW w:w="493" w:type="pct"/>
            <w:vAlign w:val="center"/>
          </w:tcPr>
          <w:p w14:paraId="1E69EE9A" w14:textId="77777777" w:rsidR="004835E0" w:rsidRPr="00C86B20" w:rsidRDefault="004835E0" w:rsidP="004D0DB5">
            <w:pPr>
              <w:pStyle w:val="TableFigureHeading"/>
              <w:jc w:val="center"/>
              <w:rPr>
                <w:b w:val="0"/>
                <w:bCs w:val="0"/>
                <w:lang w:eastAsia="en-US"/>
              </w:rPr>
            </w:pPr>
            <w:r>
              <w:rPr>
                <w:b w:val="0"/>
                <w:bCs w:val="0"/>
                <w:lang w:eastAsia="en-US"/>
              </w:rPr>
              <w:t>54.4 (NR)</w:t>
            </w:r>
          </w:p>
        </w:tc>
      </w:tr>
      <w:tr w:rsidR="00E91AD9" w14:paraId="124CFB58" w14:textId="77777777" w:rsidTr="004D0DB5">
        <w:tc>
          <w:tcPr>
            <w:tcW w:w="1242" w:type="pct"/>
          </w:tcPr>
          <w:p w14:paraId="6EF844DC" w14:textId="77777777" w:rsidR="004835E0" w:rsidRDefault="004835E0">
            <w:pPr>
              <w:pStyle w:val="TableFigureHeading"/>
              <w:rPr>
                <w:b w:val="0"/>
                <w:bCs w:val="0"/>
                <w:lang w:eastAsia="en-US"/>
              </w:rPr>
            </w:pPr>
            <w:r>
              <w:rPr>
                <w:b w:val="0"/>
                <w:bCs w:val="0"/>
                <w:lang w:eastAsia="en-US"/>
              </w:rPr>
              <w:t>PANSS total score at last assessment,</w:t>
            </w:r>
          </w:p>
          <w:p w14:paraId="4576A468" w14:textId="77777777" w:rsidR="004835E0" w:rsidRPr="00C86B20" w:rsidRDefault="004835E0">
            <w:pPr>
              <w:pStyle w:val="TableFigureHeading"/>
              <w:rPr>
                <w:b w:val="0"/>
                <w:bCs w:val="0"/>
                <w:lang w:eastAsia="en-US"/>
              </w:rPr>
            </w:pPr>
            <w:r>
              <w:rPr>
                <w:b w:val="0"/>
                <w:bCs w:val="0"/>
                <w:lang w:eastAsia="en-US"/>
              </w:rPr>
              <w:t>Mean (SD)</w:t>
            </w:r>
          </w:p>
        </w:tc>
        <w:tc>
          <w:tcPr>
            <w:tcW w:w="891" w:type="pct"/>
            <w:vAlign w:val="center"/>
          </w:tcPr>
          <w:p w14:paraId="738E069D" w14:textId="77777777" w:rsidR="004835E0" w:rsidRPr="007A57DB" w:rsidRDefault="004835E0" w:rsidP="004D0DB5">
            <w:pPr>
              <w:pStyle w:val="TableFigureHeading"/>
              <w:jc w:val="center"/>
              <w:rPr>
                <w:b w:val="0"/>
                <w:bCs w:val="0"/>
                <w:lang w:eastAsia="en-US"/>
              </w:rPr>
            </w:pPr>
            <w:r w:rsidRPr="007A57DB">
              <w:rPr>
                <w:b w:val="0"/>
                <w:bCs w:val="0"/>
                <w:lang w:eastAsia="en-US"/>
              </w:rPr>
              <w:t>59.9 (13.5)</w:t>
            </w:r>
          </w:p>
        </w:tc>
        <w:tc>
          <w:tcPr>
            <w:tcW w:w="519" w:type="pct"/>
            <w:vAlign w:val="center"/>
          </w:tcPr>
          <w:p w14:paraId="2AA0B743" w14:textId="77777777" w:rsidR="004835E0" w:rsidRPr="00C86B20" w:rsidRDefault="004835E0" w:rsidP="004D0DB5">
            <w:pPr>
              <w:pStyle w:val="TableFigureHeading"/>
              <w:jc w:val="center"/>
              <w:rPr>
                <w:b w:val="0"/>
                <w:bCs w:val="0"/>
                <w:lang w:eastAsia="en-US"/>
              </w:rPr>
            </w:pPr>
            <w:r>
              <w:rPr>
                <w:b w:val="0"/>
                <w:bCs w:val="0"/>
                <w:lang w:eastAsia="en-US"/>
              </w:rPr>
              <w:t>67.9 (16.5)</w:t>
            </w:r>
          </w:p>
        </w:tc>
        <w:tc>
          <w:tcPr>
            <w:tcW w:w="621" w:type="pct"/>
            <w:vAlign w:val="center"/>
          </w:tcPr>
          <w:p w14:paraId="72A3537D" w14:textId="77777777" w:rsidR="004835E0" w:rsidRPr="00440EDD" w:rsidRDefault="004835E0" w:rsidP="004D0DB5">
            <w:pPr>
              <w:pStyle w:val="TableFigureHeading"/>
              <w:jc w:val="center"/>
              <w:rPr>
                <w:b w:val="0"/>
                <w:bCs w:val="0"/>
                <w:lang w:eastAsia="en-US"/>
              </w:rPr>
            </w:pPr>
            <w:r w:rsidRPr="00440EDD">
              <w:rPr>
                <w:b w:val="0"/>
                <w:bCs w:val="0"/>
                <w:lang w:eastAsia="en-US"/>
              </w:rPr>
              <w:t>NR</w:t>
            </w:r>
          </w:p>
        </w:tc>
        <w:tc>
          <w:tcPr>
            <w:tcW w:w="574" w:type="pct"/>
            <w:vAlign w:val="center"/>
          </w:tcPr>
          <w:p w14:paraId="7EC6CD8E" w14:textId="77777777" w:rsidR="004835E0" w:rsidRPr="00440EDD" w:rsidRDefault="004835E0" w:rsidP="004D0DB5">
            <w:pPr>
              <w:pStyle w:val="TableFigureHeading"/>
              <w:jc w:val="center"/>
              <w:rPr>
                <w:b w:val="0"/>
                <w:bCs w:val="0"/>
                <w:lang w:eastAsia="en-US"/>
              </w:rPr>
            </w:pPr>
            <w:r w:rsidRPr="00440EDD">
              <w:rPr>
                <w:b w:val="0"/>
                <w:bCs w:val="0"/>
                <w:lang w:eastAsia="en-US"/>
              </w:rPr>
              <w:t>NR</w:t>
            </w:r>
          </w:p>
        </w:tc>
        <w:tc>
          <w:tcPr>
            <w:tcW w:w="660" w:type="pct"/>
            <w:vAlign w:val="center"/>
          </w:tcPr>
          <w:p w14:paraId="2BC8B733" w14:textId="77777777" w:rsidR="004835E0" w:rsidRPr="00440EDD" w:rsidRDefault="004835E0" w:rsidP="004D0DB5">
            <w:pPr>
              <w:pStyle w:val="TableFigureHeading"/>
              <w:jc w:val="center"/>
              <w:rPr>
                <w:b w:val="0"/>
                <w:bCs w:val="0"/>
                <w:lang w:eastAsia="en-US"/>
              </w:rPr>
            </w:pPr>
            <w:r w:rsidRPr="00440EDD">
              <w:rPr>
                <w:b w:val="0"/>
                <w:bCs w:val="0"/>
                <w:lang w:eastAsia="en-US"/>
              </w:rPr>
              <w:t>NR</w:t>
            </w:r>
          </w:p>
        </w:tc>
        <w:tc>
          <w:tcPr>
            <w:tcW w:w="493" w:type="pct"/>
            <w:vAlign w:val="center"/>
          </w:tcPr>
          <w:p w14:paraId="4E28E7AF" w14:textId="77777777" w:rsidR="004835E0" w:rsidRPr="00440EDD" w:rsidRDefault="004835E0" w:rsidP="004D0DB5">
            <w:pPr>
              <w:pStyle w:val="TableFigureHeading"/>
              <w:jc w:val="center"/>
              <w:rPr>
                <w:b w:val="0"/>
                <w:bCs w:val="0"/>
                <w:lang w:eastAsia="en-US"/>
              </w:rPr>
            </w:pPr>
            <w:r w:rsidRPr="00440EDD">
              <w:rPr>
                <w:b w:val="0"/>
                <w:bCs w:val="0"/>
                <w:lang w:eastAsia="en-US"/>
              </w:rPr>
              <w:t>NR</w:t>
            </w:r>
          </w:p>
        </w:tc>
      </w:tr>
      <w:tr w:rsidR="00E91AD9" w14:paraId="3DF871D3" w14:textId="77777777" w:rsidTr="004D0DB5">
        <w:tc>
          <w:tcPr>
            <w:tcW w:w="1242" w:type="pct"/>
          </w:tcPr>
          <w:p w14:paraId="2E531F7C" w14:textId="77777777" w:rsidR="004835E0" w:rsidRPr="00C86B20" w:rsidRDefault="004835E0">
            <w:pPr>
              <w:pStyle w:val="TableFigureHeading"/>
              <w:rPr>
                <w:b w:val="0"/>
                <w:bCs w:val="0"/>
                <w:lang w:eastAsia="en-US"/>
              </w:rPr>
            </w:pPr>
            <w:r>
              <w:rPr>
                <w:b w:val="0"/>
                <w:bCs w:val="0"/>
                <w:lang w:eastAsia="en-US"/>
              </w:rPr>
              <w:t>LS mean difference vs placebo (95% CI)</w:t>
            </w:r>
          </w:p>
        </w:tc>
        <w:tc>
          <w:tcPr>
            <w:tcW w:w="891" w:type="pct"/>
            <w:vAlign w:val="center"/>
          </w:tcPr>
          <w:p w14:paraId="45EB9A95" w14:textId="7C484EA7" w:rsidR="004835E0" w:rsidRPr="000344BA" w:rsidRDefault="002D15C9" w:rsidP="004D0DB5">
            <w:pPr>
              <w:pStyle w:val="TableFigureHeading"/>
              <w:jc w:val="center"/>
              <w:rPr>
                <w:lang w:eastAsia="en-US"/>
              </w:rPr>
            </w:pPr>
            <w:r>
              <w:rPr>
                <w:lang w:eastAsia="en-US"/>
              </w:rPr>
              <w:noBreakHyphen/>
            </w:r>
            <w:r w:rsidR="004835E0">
              <w:rPr>
                <w:lang w:eastAsia="en-US"/>
              </w:rPr>
              <w:t>8.2 (</w:t>
            </w:r>
            <w:r>
              <w:rPr>
                <w:lang w:eastAsia="en-US"/>
              </w:rPr>
              <w:noBreakHyphen/>
            </w:r>
            <w:r w:rsidR="004835E0">
              <w:rPr>
                <w:lang w:eastAsia="en-US"/>
              </w:rPr>
              <w:t xml:space="preserve">10.9, </w:t>
            </w:r>
            <w:r>
              <w:rPr>
                <w:lang w:eastAsia="en-US"/>
              </w:rPr>
              <w:noBreakHyphen/>
            </w:r>
            <w:r w:rsidR="004835E0">
              <w:rPr>
                <w:lang w:eastAsia="en-US"/>
              </w:rPr>
              <w:t>5.6)</w:t>
            </w:r>
          </w:p>
        </w:tc>
        <w:tc>
          <w:tcPr>
            <w:tcW w:w="519" w:type="pct"/>
            <w:vAlign w:val="center"/>
          </w:tcPr>
          <w:p w14:paraId="7A962B5B" w14:textId="41BFB0E7" w:rsidR="004835E0" w:rsidRPr="00C86B20" w:rsidRDefault="002D15C9" w:rsidP="004D0DB5">
            <w:pPr>
              <w:pStyle w:val="TableFigureHeading"/>
              <w:jc w:val="center"/>
              <w:rPr>
                <w:b w:val="0"/>
                <w:bCs w:val="0"/>
                <w:lang w:eastAsia="en-US"/>
              </w:rPr>
            </w:pPr>
            <w:r>
              <w:rPr>
                <w:b w:val="0"/>
                <w:bCs w:val="0"/>
                <w:lang w:eastAsia="en-US"/>
              </w:rPr>
              <w:noBreakHyphen/>
            </w:r>
          </w:p>
        </w:tc>
        <w:tc>
          <w:tcPr>
            <w:tcW w:w="621" w:type="pct"/>
            <w:vAlign w:val="center"/>
          </w:tcPr>
          <w:p w14:paraId="6E0A2B1B" w14:textId="4D30D6D1" w:rsidR="004835E0" w:rsidRPr="000344BA" w:rsidRDefault="002D15C9" w:rsidP="004D0DB5">
            <w:pPr>
              <w:pStyle w:val="TableFigureHeading"/>
              <w:jc w:val="center"/>
              <w:rPr>
                <w:lang w:eastAsia="en-US"/>
              </w:rPr>
            </w:pPr>
            <w:r>
              <w:rPr>
                <w:lang w:eastAsia="en-US"/>
              </w:rPr>
              <w:noBreakHyphen/>
            </w:r>
            <w:r w:rsidR="004835E0">
              <w:rPr>
                <w:lang w:eastAsia="en-US"/>
              </w:rPr>
              <w:t>8.6 (</w:t>
            </w:r>
            <w:r>
              <w:rPr>
                <w:lang w:eastAsia="en-US"/>
              </w:rPr>
              <w:noBreakHyphen/>
            </w:r>
            <w:r w:rsidR="004835E0">
              <w:rPr>
                <w:lang w:eastAsia="en-US"/>
              </w:rPr>
              <w:t xml:space="preserve">11.4, </w:t>
            </w:r>
            <w:r>
              <w:rPr>
                <w:lang w:eastAsia="en-US"/>
              </w:rPr>
              <w:noBreakHyphen/>
            </w:r>
            <w:r w:rsidR="004835E0">
              <w:rPr>
                <w:lang w:eastAsia="en-US"/>
              </w:rPr>
              <w:t>5.8)</w:t>
            </w:r>
          </w:p>
        </w:tc>
        <w:tc>
          <w:tcPr>
            <w:tcW w:w="574" w:type="pct"/>
            <w:vAlign w:val="center"/>
          </w:tcPr>
          <w:p w14:paraId="17249E20" w14:textId="5BC2B7D0" w:rsidR="004835E0" w:rsidRPr="00C86B20" w:rsidRDefault="002D15C9" w:rsidP="004D0DB5">
            <w:pPr>
              <w:pStyle w:val="TableFigureHeading"/>
              <w:jc w:val="center"/>
              <w:rPr>
                <w:b w:val="0"/>
                <w:bCs w:val="0"/>
                <w:lang w:eastAsia="en-US"/>
              </w:rPr>
            </w:pPr>
            <w:r>
              <w:rPr>
                <w:b w:val="0"/>
                <w:bCs w:val="0"/>
                <w:lang w:eastAsia="en-US"/>
              </w:rPr>
              <w:noBreakHyphen/>
            </w:r>
          </w:p>
        </w:tc>
        <w:tc>
          <w:tcPr>
            <w:tcW w:w="660" w:type="pct"/>
            <w:vAlign w:val="center"/>
          </w:tcPr>
          <w:p w14:paraId="72D2FA14" w14:textId="3C6CB4A3" w:rsidR="004835E0" w:rsidRPr="000344BA" w:rsidRDefault="002D15C9" w:rsidP="004D0DB5">
            <w:pPr>
              <w:pStyle w:val="TableFigureHeading"/>
              <w:jc w:val="center"/>
              <w:rPr>
                <w:lang w:eastAsia="en-US"/>
              </w:rPr>
            </w:pPr>
            <w:r>
              <w:rPr>
                <w:lang w:eastAsia="en-US"/>
              </w:rPr>
              <w:noBreakHyphen/>
            </w:r>
            <w:r w:rsidR="004835E0">
              <w:rPr>
                <w:lang w:eastAsia="en-US"/>
              </w:rPr>
              <w:t>10.1 (</w:t>
            </w:r>
            <w:r>
              <w:rPr>
                <w:lang w:eastAsia="en-US"/>
              </w:rPr>
              <w:noBreakHyphen/>
            </w:r>
            <w:r w:rsidR="004835E0">
              <w:rPr>
                <w:lang w:eastAsia="en-US"/>
              </w:rPr>
              <w:t xml:space="preserve">12.7, </w:t>
            </w:r>
            <w:r>
              <w:rPr>
                <w:lang w:eastAsia="en-US"/>
              </w:rPr>
              <w:noBreakHyphen/>
            </w:r>
            <w:r w:rsidR="004835E0">
              <w:rPr>
                <w:lang w:eastAsia="en-US"/>
              </w:rPr>
              <w:t>7.5)</w:t>
            </w:r>
          </w:p>
        </w:tc>
        <w:tc>
          <w:tcPr>
            <w:tcW w:w="493" w:type="pct"/>
            <w:vAlign w:val="center"/>
          </w:tcPr>
          <w:p w14:paraId="22D0C3E8" w14:textId="7F60DE3F" w:rsidR="004835E0" w:rsidRPr="00C86B20" w:rsidRDefault="002D15C9" w:rsidP="004D0DB5">
            <w:pPr>
              <w:pStyle w:val="TableFigureHeading"/>
              <w:jc w:val="center"/>
              <w:rPr>
                <w:b w:val="0"/>
                <w:bCs w:val="0"/>
                <w:lang w:eastAsia="en-US"/>
              </w:rPr>
            </w:pPr>
            <w:r>
              <w:rPr>
                <w:b w:val="0"/>
                <w:bCs w:val="0"/>
                <w:lang w:eastAsia="en-US"/>
              </w:rPr>
              <w:noBreakHyphen/>
            </w:r>
          </w:p>
        </w:tc>
      </w:tr>
      <w:tr w:rsidR="00E91AD9" w14:paraId="56488AB2" w14:textId="77777777" w:rsidTr="004D0DB5">
        <w:tc>
          <w:tcPr>
            <w:tcW w:w="1242" w:type="pct"/>
          </w:tcPr>
          <w:p w14:paraId="7F337D9F" w14:textId="77777777" w:rsidR="004835E0" w:rsidRDefault="004835E0">
            <w:pPr>
              <w:pStyle w:val="TableFigureHeading"/>
              <w:rPr>
                <w:b w:val="0"/>
                <w:bCs w:val="0"/>
                <w:lang w:eastAsia="en-US"/>
              </w:rPr>
            </w:pPr>
            <w:r>
              <w:rPr>
                <w:b w:val="0"/>
                <w:bCs w:val="0"/>
                <w:lang w:eastAsia="en-US"/>
              </w:rPr>
              <w:t xml:space="preserve">PANSS total score at end of treatment, </w:t>
            </w:r>
          </w:p>
          <w:p w14:paraId="75673206" w14:textId="77777777" w:rsidR="004835E0" w:rsidRDefault="004835E0">
            <w:pPr>
              <w:pStyle w:val="TableFigureHeading"/>
              <w:rPr>
                <w:b w:val="0"/>
                <w:bCs w:val="0"/>
                <w:lang w:eastAsia="en-US"/>
              </w:rPr>
            </w:pPr>
            <w:r>
              <w:rPr>
                <w:b w:val="0"/>
                <w:bCs w:val="0"/>
                <w:lang w:eastAsia="en-US"/>
              </w:rPr>
              <w:t>Mean (SD)</w:t>
            </w:r>
          </w:p>
        </w:tc>
        <w:tc>
          <w:tcPr>
            <w:tcW w:w="891" w:type="pct"/>
            <w:vAlign w:val="center"/>
          </w:tcPr>
          <w:p w14:paraId="12F6F45D" w14:textId="77777777" w:rsidR="004835E0" w:rsidRPr="00440EDD" w:rsidRDefault="004835E0" w:rsidP="004D0DB5">
            <w:pPr>
              <w:pStyle w:val="TableFigureHeading"/>
              <w:jc w:val="center"/>
              <w:rPr>
                <w:b w:val="0"/>
                <w:bCs w:val="0"/>
                <w:lang w:eastAsia="en-US"/>
              </w:rPr>
            </w:pPr>
            <w:r w:rsidRPr="00440EDD">
              <w:rPr>
                <w:b w:val="0"/>
                <w:bCs w:val="0"/>
                <w:lang w:eastAsia="en-US"/>
              </w:rPr>
              <w:t>56.5 (11.9)</w:t>
            </w:r>
          </w:p>
        </w:tc>
        <w:tc>
          <w:tcPr>
            <w:tcW w:w="519" w:type="pct"/>
            <w:vAlign w:val="center"/>
          </w:tcPr>
          <w:p w14:paraId="270941B8" w14:textId="77777777" w:rsidR="004835E0" w:rsidRDefault="004835E0" w:rsidP="004D0DB5">
            <w:pPr>
              <w:pStyle w:val="TableFigureHeading"/>
              <w:jc w:val="center"/>
              <w:rPr>
                <w:b w:val="0"/>
                <w:bCs w:val="0"/>
                <w:lang w:eastAsia="en-US"/>
              </w:rPr>
            </w:pPr>
            <w:r>
              <w:rPr>
                <w:b w:val="0"/>
                <w:bCs w:val="0"/>
                <w:lang w:eastAsia="en-US"/>
              </w:rPr>
              <w:t>56.3 (11.4)</w:t>
            </w:r>
          </w:p>
        </w:tc>
        <w:tc>
          <w:tcPr>
            <w:tcW w:w="621" w:type="pct"/>
            <w:vAlign w:val="center"/>
          </w:tcPr>
          <w:p w14:paraId="292AF095" w14:textId="77777777" w:rsidR="004835E0" w:rsidRPr="00440EDD" w:rsidRDefault="004835E0" w:rsidP="004D0DB5">
            <w:pPr>
              <w:pStyle w:val="TableFigureHeading"/>
              <w:jc w:val="center"/>
              <w:rPr>
                <w:b w:val="0"/>
                <w:bCs w:val="0"/>
                <w:lang w:eastAsia="en-US"/>
              </w:rPr>
            </w:pPr>
            <w:r w:rsidRPr="00440EDD">
              <w:rPr>
                <w:b w:val="0"/>
                <w:bCs w:val="0"/>
                <w:lang w:eastAsia="en-US"/>
              </w:rPr>
              <w:t>NA</w:t>
            </w:r>
          </w:p>
        </w:tc>
        <w:tc>
          <w:tcPr>
            <w:tcW w:w="574" w:type="pct"/>
            <w:vAlign w:val="center"/>
          </w:tcPr>
          <w:p w14:paraId="6F5C5B91" w14:textId="77777777" w:rsidR="004835E0" w:rsidRPr="00440EDD" w:rsidRDefault="004835E0" w:rsidP="004D0DB5">
            <w:pPr>
              <w:pStyle w:val="TableFigureHeading"/>
              <w:jc w:val="center"/>
              <w:rPr>
                <w:b w:val="0"/>
                <w:bCs w:val="0"/>
                <w:lang w:eastAsia="en-US"/>
              </w:rPr>
            </w:pPr>
            <w:r w:rsidRPr="00440EDD">
              <w:rPr>
                <w:b w:val="0"/>
                <w:bCs w:val="0"/>
                <w:lang w:eastAsia="en-US"/>
              </w:rPr>
              <w:t>NA</w:t>
            </w:r>
          </w:p>
        </w:tc>
        <w:tc>
          <w:tcPr>
            <w:tcW w:w="660" w:type="pct"/>
            <w:vAlign w:val="center"/>
          </w:tcPr>
          <w:p w14:paraId="4531C8E7" w14:textId="77777777" w:rsidR="004835E0" w:rsidRPr="00440EDD" w:rsidRDefault="004835E0" w:rsidP="004D0DB5">
            <w:pPr>
              <w:pStyle w:val="TableFigureHeading"/>
              <w:jc w:val="center"/>
              <w:rPr>
                <w:b w:val="0"/>
                <w:bCs w:val="0"/>
                <w:lang w:eastAsia="en-US"/>
              </w:rPr>
            </w:pPr>
            <w:r w:rsidRPr="00440EDD">
              <w:rPr>
                <w:b w:val="0"/>
                <w:bCs w:val="0"/>
                <w:lang w:eastAsia="en-US"/>
              </w:rPr>
              <w:t>NA</w:t>
            </w:r>
          </w:p>
        </w:tc>
        <w:tc>
          <w:tcPr>
            <w:tcW w:w="493" w:type="pct"/>
            <w:vAlign w:val="center"/>
          </w:tcPr>
          <w:p w14:paraId="21F5303E" w14:textId="77777777" w:rsidR="004835E0" w:rsidRPr="00440EDD" w:rsidRDefault="004835E0" w:rsidP="004D0DB5">
            <w:pPr>
              <w:pStyle w:val="TableFigureHeading"/>
              <w:jc w:val="center"/>
              <w:rPr>
                <w:b w:val="0"/>
                <w:bCs w:val="0"/>
                <w:lang w:eastAsia="en-US"/>
              </w:rPr>
            </w:pPr>
            <w:r w:rsidRPr="00440EDD">
              <w:rPr>
                <w:b w:val="0"/>
                <w:bCs w:val="0"/>
                <w:lang w:eastAsia="en-US"/>
              </w:rPr>
              <w:t>NA</w:t>
            </w:r>
          </w:p>
        </w:tc>
      </w:tr>
      <w:tr w:rsidR="00E91AD9" w14:paraId="7F63BEFD" w14:textId="77777777" w:rsidTr="004D0DB5">
        <w:tc>
          <w:tcPr>
            <w:tcW w:w="1242" w:type="pct"/>
          </w:tcPr>
          <w:p w14:paraId="37FDB624" w14:textId="77777777" w:rsidR="004835E0" w:rsidRDefault="004835E0">
            <w:pPr>
              <w:pStyle w:val="TableFigureHeading"/>
              <w:rPr>
                <w:b w:val="0"/>
                <w:bCs w:val="0"/>
                <w:lang w:eastAsia="en-US"/>
              </w:rPr>
            </w:pPr>
            <w:r>
              <w:rPr>
                <w:b w:val="0"/>
                <w:bCs w:val="0"/>
                <w:lang w:eastAsia="en-US"/>
              </w:rPr>
              <w:t>LS mean difference vs placebo (95% CI)</w:t>
            </w:r>
          </w:p>
        </w:tc>
        <w:tc>
          <w:tcPr>
            <w:tcW w:w="891" w:type="pct"/>
            <w:vAlign w:val="center"/>
          </w:tcPr>
          <w:p w14:paraId="1B415700" w14:textId="286E082D" w:rsidR="004835E0" w:rsidRPr="00AA12EC" w:rsidRDefault="002D15C9" w:rsidP="004D0DB5">
            <w:pPr>
              <w:pStyle w:val="TableFigureHeading"/>
              <w:jc w:val="center"/>
              <w:rPr>
                <w:lang w:eastAsia="en-US"/>
              </w:rPr>
            </w:pPr>
            <w:r>
              <w:rPr>
                <w:lang w:eastAsia="en-US"/>
              </w:rPr>
              <w:noBreakHyphen/>
            </w:r>
            <w:r w:rsidR="004835E0" w:rsidRPr="00AA12EC">
              <w:rPr>
                <w:lang w:eastAsia="en-US"/>
              </w:rPr>
              <w:t>4.6 (</w:t>
            </w:r>
            <w:r>
              <w:rPr>
                <w:lang w:eastAsia="en-US"/>
              </w:rPr>
              <w:noBreakHyphen/>
            </w:r>
            <w:r w:rsidR="004835E0" w:rsidRPr="00AA12EC">
              <w:rPr>
                <w:lang w:eastAsia="en-US"/>
              </w:rPr>
              <w:t xml:space="preserve">6.7, </w:t>
            </w:r>
            <w:r>
              <w:rPr>
                <w:lang w:eastAsia="en-US"/>
              </w:rPr>
              <w:noBreakHyphen/>
            </w:r>
            <w:r w:rsidR="004835E0" w:rsidRPr="00AA12EC">
              <w:rPr>
                <w:lang w:eastAsia="en-US"/>
              </w:rPr>
              <w:t>2.4)</w:t>
            </w:r>
          </w:p>
        </w:tc>
        <w:tc>
          <w:tcPr>
            <w:tcW w:w="519" w:type="pct"/>
            <w:vAlign w:val="center"/>
          </w:tcPr>
          <w:p w14:paraId="34B35F43" w14:textId="4B7909D5" w:rsidR="004835E0" w:rsidRDefault="002D15C9" w:rsidP="004D0DB5">
            <w:pPr>
              <w:pStyle w:val="TableFigureHeading"/>
              <w:jc w:val="center"/>
              <w:rPr>
                <w:b w:val="0"/>
                <w:bCs w:val="0"/>
                <w:lang w:eastAsia="en-US"/>
              </w:rPr>
            </w:pPr>
            <w:r>
              <w:rPr>
                <w:b w:val="0"/>
                <w:bCs w:val="0"/>
                <w:lang w:eastAsia="en-US"/>
              </w:rPr>
              <w:noBreakHyphen/>
            </w:r>
          </w:p>
        </w:tc>
        <w:tc>
          <w:tcPr>
            <w:tcW w:w="621" w:type="pct"/>
            <w:vAlign w:val="center"/>
          </w:tcPr>
          <w:p w14:paraId="605A5306" w14:textId="77777777" w:rsidR="004835E0" w:rsidRPr="00440EDD" w:rsidRDefault="004835E0" w:rsidP="004D0DB5">
            <w:pPr>
              <w:pStyle w:val="TableFigureHeading"/>
              <w:jc w:val="center"/>
              <w:rPr>
                <w:b w:val="0"/>
                <w:bCs w:val="0"/>
                <w:lang w:eastAsia="en-US"/>
              </w:rPr>
            </w:pPr>
            <w:r>
              <w:rPr>
                <w:b w:val="0"/>
                <w:bCs w:val="0"/>
                <w:lang w:eastAsia="en-US"/>
              </w:rPr>
              <w:t>NA</w:t>
            </w:r>
          </w:p>
        </w:tc>
        <w:tc>
          <w:tcPr>
            <w:tcW w:w="574" w:type="pct"/>
            <w:vAlign w:val="center"/>
          </w:tcPr>
          <w:p w14:paraId="042FE42D" w14:textId="77777777" w:rsidR="004835E0" w:rsidRPr="00440EDD" w:rsidRDefault="004835E0" w:rsidP="004D0DB5">
            <w:pPr>
              <w:pStyle w:val="TableFigureHeading"/>
              <w:jc w:val="center"/>
              <w:rPr>
                <w:b w:val="0"/>
                <w:bCs w:val="0"/>
                <w:lang w:eastAsia="en-US"/>
              </w:rPr>
            </w:pPr>
            <w:r>
              <w:rPr>
                <w:b w:val="0"/>
                <w:bCs w:val="0"/>
                <w:lang w:eastAsia="en-US"/>
              </w:rPr>
              <w:t>NA</w:t>
            </w:r>
          </w:p>
        </w:tc>
        <w:tc>
          <w:tcPr>
            <w:tcW w:w="660" w:type="pct"/>
            <w:vAlign w:val="center"/>
          </w:tcPr>
          <w:p w14:paraId="3C514167" w14:textId="305293A6" w:rsidR="004835E0" w:rsidRPr="00440EDD" w:rsidRDefault="004835E0" w:rsidP="004D0DB5">
            <w:pPr>
              <w:pStyle w:val="TableFigureHeading"/>
              <w:jc w:val="center"/>
              <w:rPr>
                <w:b w:val="0"/>
                <w:bCs w:val="0"/>
                <w:lang w:eastAsia="en-US"/>
              </w:rPr>
            </w:pPr>
            <w:r>
              <w:rPr>
                <w:b w:val="0"/>
                <w:bCs w:val="0"/>
                <w:lang w:eastAsia="en-US"/>
              </w:rPr>
              <w:t>N</w:t>
            </w:r>
            <w:r w:rsidR="004D0DB5">
              <w:rPr>
                <w:b w:val="0"/>
                <w:bCs w:val="0"/>
                <w:lang w:eastAsia="en-US"/>
              </w:rPr>
              <w:t>A</w:t>
            </w:r>
          </w:p>
        </w:tc>
        <w:tc>
          <w:tcPr>
            <w:tcW w:w="493" w:type="pct"/>
            <w:vAlign w:val="center"/>
          </w:tcPr>
          <w:p w14:paraId="1446E8F5" w14:textId="77777777" w:rsidR="004835E0" w:rsidRPr="00440EDD" w:rsidRDefault="004835E0" w:rsidP="004D0DB5">
            <w:pPr>
              <w:pStyle w:val="TableFigureHeading"/>
              <w:jc w:val="center"/>
              <w:rPr>
                <w:b w:val="0"/>
                <w:bCs w:val="0"/>
                <w:lang w:eastAsia="en-US"/>
              </w:rPr>
            </w:pPr>
            <w:r>
              <w:rPr>
                <w:b w:val="0"/>
                <w:bCs w:val="0"/>
                <w:lang w:eastAsia="en-US"/>
              </w:rPr>
              <w:t>NA</w:t>
            </w:r>
          </w:p>
        </w:tc>
      </w:tr>
      <w:tr w:rsidR="002848A5" w14:paraId="76949243" w14:textId="77777777" w:rsidTr="009218AC">
        <w:tc>
          <w:tcPr>
            <w:tcW w:w="2652" w:type="pct"/>
            <w:gridSpan w:val="3"/>
          </w:tcPr>
          <w:p w14:paraId="518D8E16" w14:textId="77777777" w:rsidR="00180E96" w:rsidRPr="00BE3C08" w:rsidRDefault="00180E96">
            <w:pPr>
              <w:pStyle w:val="TableFigureHeading"/>
              <w:rPr>
                <w:lang w:eastAsia="en-US"/>
              </w:rPr>
            </w:pPr>
            <w:r>
              <w:rPr>
                <w:lang w:eastAsia="en-US"/>
              </w:rPr>
              <w:t>MRSC r</w:t>
            </w:r>
            <w:r w:rsidRPr="00BE3C08">
              <w:rPr>
                <w:lang w:eastAsia="en-US"/>
              </w:rPr>
              <w:t xml:space="preserve">isperidone q1m vs </w:t>
            </w:r>
            <w:r>
              <w:rPr>
                <w:lang w:eastAsia="en-US"/>
              </w:rPr>
              <w:t>PP1M</w:t>
            </w:r>
          </w:p>
        </w:tc>
        <w:tc>
          <w:tcPr>
            <w:tcW w:w="2348" w:type="pct"/>
            <w:gridSpan w:val="4"/>
          </w:tcPr>
          <w:p w14:paraId="30A2F4C2" w14:textId="648EB39E" w:rsidR="00180E96" w:rsidRPr="00BE3C08" w:rsidRDefault="00180E96">
            <w:pPr>
              <w:pStyle w:val="TableFigureHeading"/>
              <w:rPr>
                <w:lang w:eastAsia="en-US"/>
              </w:rPr>
            </w:pPr>
          </w:p>
        </w:tc>
      </w:tr>
      <w:tr w:rsidR="00833238" w14:paraId="4151D790" w14:textId="77777777" w:rsidTr="009218AC">
        <w:tc>
          <w:tcPr>
            <w:tcW w:w="1242" w:type="pct"/>
          </w:tcPr>
          <w:p w14:paraId="3CBC01BC" w14:textId="77777777" w:rsidR="004835E0" w:rsidRPr="00C86B20" w:rsidRDefault="004835E0">
            <w:pPr>
              <w:pStyle w:val="TableFigureHeading"/>
              <w:rPr>
                <w:b w:val="0"/>
                <w:bCs w:val="0"/>
                <w:lang w:eastAsia="en-US"/>
              </w:rPr>
            </w:pPr>
            <w:r>
              <w:rPr>
                <w:b w:val="0"/>
                <w:bCs w:val="0"/>
                <w:lang w:eastAsia="en-US"/>
              </w:rPr>
              <w:t>Mean difference (95% CI)</w:t>
            </w:r>
          </w:p>
        </w:tc>
        <w:tc>
          <w:tcPr>
            <w:tcW w:w="1410" w:type="pct"/>
            <w:gridSpan w:val="2"/>
          </w:tcPr>
          <w:p w14:paraId="139B6AA2" w14:textId="3F5C4A62" w:rsidR="004835E0" w:rsidRPr="00C86B20" w:rsidRDefault="002D15C9">
            <w:pPr>
              <w:pStyle w:val="TableFigureHeading"/>
              <w:rPr>
                <w:b w:val="0"/>
                <w:bCs w:val="0"/>
                <w:lang w:eastAsia="en-US"/>
              </w:rPr>
            </w:pPr>
            <w:r>
              <w:rPr>
                <w:b w:val="0"/>
                <w:bCs w:val="0"/>
                <w:lang w:eastAsia="en-US"/>
              </w:rPr>
              <w:noBreakHyphen/>
            </w:r>
            <w:r w:rsidR="00BC779A" w:rsidRPr="00BC779A">
              <w:rPr>
                <w:b w:val="0"/>
                <w:bCs w:val="0"/>
                <w:lang w:eastAsia="en-US"/>
              </w:rPr>
              <w:t>0.38 (</w:t>
            </w:r>
            <w:r>
              <w:rPr>
                <w:b w:val="0"/>
                <w:bCs w:val="0"/>
                <w:lang w:eastAsia="en-US"/>
              </w:rPr>
              <w:noBreakHyphen/>
            </w:r>
            <w:r w:rsidR="00BC779A" w:rsidRPr="00BC779A">
              <w:rPr>
                <w:b w:val="0"/>
                <w:bCs w:val="0"/>
                <w:lang w:eastAsia="en-US"/>
              </w:rPr>
              <w:t>3.51, 4.27)</w:t>
            </w:r>
          </w:p>
        </w:tc>
        <w:tc>
          <w:tcPr>
            <w:tcW w:w="1195" w:type="pct"/>
            <w:gridSpan w:val="2"/>
          </w:tcPr>
          <w:p w14:paraId="4C567A74" w14:textId="77777777" w:rsidR="004835E0" w:rsidRPr="00C86B20" w:rsidRDefault="004835E0">
            <w:pPr>
              <w:pStyle w:val="TableFigureHeading"/>
              <w:rPr>
                <w:b w:val="0"/>
                <w:bCs w:val="0"/>
                <w:lang w:eastAsia="en-US"/>
              </w:rPr>
            </w:pPr>
          </w:p>
        </w:tc>
        <w:tc>
          <w:tcPr>
            <w:tcW w:w="1153" w:type="pct"/>
            <w:gridSpan w:val="2"/>
          </w:tcPr>
          <w:p w14:paraId="2CA4976C" w14:textId="77777777" w:rsidR="004835E0" w:rsidRPr="00C86B20" w:rsidRDefault="004835E0">
            <w:pPr>
              <w:pStyle w:val="TableFigureHeading"/>
              <w:rPr>
                <w:b w:val="0"/>
                <w:bCs w:val="0"/>
                <w:lang w:eastAsia="en-US"/>
              </w:rPr>
            </w:pPr>
          </w:p>
        </w:tc>
      </w:tr>
      <w:tr w:rsidR="002848A5" w14:paraId="2DC0930D" w14:textId="77777777" w:rsidTr="009218AC">
        <w:tc>
          <w:tcPr>
            <w:tcW w:w="2652" w:type="pct"/>
            <w:gridSpan w:val="3"/>
          </w:tcPr>
          <w:p w14:paraId="66A37A69" w14:textId="77777777" w:rsidR="00180E96" w:rsidRPr="00BE3C08" w:rsidRDefault="00180E96">
            <w:pPr>
              <w:pStyle w:val="TableFigureHeading"/>
              <w:rPr>
                <w:lang w:eastAsia="en-US"/>
              </w:rPr>
            </w:pPr>
            <w:r>
              <w:rPr>
                <w:lang w:eastAsia="en-US"/>
              </w:rPr>
              <w:t>MRSC r</w:t>
            </w:r>
            <w:r w:rsidRPr="00BE3C08">
              <w:rPr>
                <w:lang w:eastAsia="en-US"/>
              </w:rPr>
              <w:t xml:space="preserve">isperidone q1m vs </w:t>
            </w:r>
            <w:r>
              <w:rPr>
                <w:lang w:eastAsia="en-US"/>
              </w:rPr>
              <w:t>A1M</w:t>
            </w:r>
          </w:p>
        </w:tc>
        <w:tc>
          <w:tcPr>
            <w:tcW w:w="2348" w:type="pct"/>
            <w:gridSpan w:val="4"/>
          </w:tcPr>
          <w:p w14:paraId="7BC7742B" w14:textId="167376DB" w:rsidR="00180E96" w:rsidRPr="00BE3C08" w:rsidRDefault="00180E96">
            <w:pPr>
              <w:pStyle w:val="TableFigureHeading"/>
              <w:rPr>
                <w:lang w:eastAsia="en-US"/>
              </w:rPr>
            </w:pPr>
          </w:p>
        </w:tc>
      </w:tr>
      <w:tr w:rsidR="00833238" w14:paraId="2591A08C" w14:textId="77777777" w:rsidTr="009218AC">
        <w:tc>
          <w:tcPr>
            <w:tcW w:w="1242" w:type="pct"/>
          </w:tcPr>
          <w:p w14:paraId="4FD63642" w14:textId="77777777" w:rsidR="004835E0" w:rsidRDefault="004835E0">
            <w:pPr>
              <w:pStyle w:val="TableFigureHeading"/>
              <w:rPr>
                <w:b w:val="0"/>
                <w:bCs w:val="0"/>
                <w:lang w:eastAsia="en-US"/>
              </w:rPr>
            </w:pPr>
            <w:r>
              <w:rPr>
                <w:b w:val="0"/>
                <w:bCs w:val="0"/>
                <w:lang w:eastAsia="en-US"/>
              </w:rPr>
              <w:t>Mean difference (95% CI)</w:t>
            </w:r>
          </w:p>
        </w:tc>
        <w:tc>
          <w:tcPr>
            <w:tcW w:w="1410" w:type="pct"/>
            <w:gridSpan w:val="2"/>
          </w:tcPr>
          <w:p w14:paraId="67EC6854" w14:textId="218CCB3C" w:rsidR="004835E0" w:rsidRPr="00C86B20" w:rsidRDefault="00FE2E4F">
            <w:pPr>
              <w:pStyle w:val="TableFigureHeading"/>
              <w:rPr>
                <w:b w:val="0"/>
                <w:bCs w:val="0"/>
                <w:lang w:eastAsia="en-US"/>
              </w:rPr>
            </w:pPr>
            <w:r w:rsidRPr="00FE2E4F">
              <w:rPr>
                <w:b w:val="0"/>
                <w:bCs w:val="0"/>
                <w:lang w:eastAsia="en-US"/>
              </w:rPr>
              <w:t>1.89 (</w:t>
            </w:r>
            <w:r w:rsidR="002D15C9">
              <w:rPr>
                <w:b w:val="0"/>
                <w:bCs w:val="0"/>
                <w:lang w:eastAsia="en-US"/>
              </w:rPr>
              <w:noBreakHyphen/>
            </w:r>
            <w:r w:rsidRPr="00FE2E4F">
              <w:rPr>
                <w:b w:val="0"/>
                <w:bCs w:val="0"/>
                <w:lang w:eastAsia="en-US"/>
              </w:rPr>
              <w:t>1.82, 5.60)</w:t>
            </w:r>
          </w:p>
        </w:tc>
        <w:tc>
          <w:tcPr>
            <w:tcW w:w="1195" w:type="pct"/>
            <w:gridSpan w:val="2"/>
          </w:tcPr>
          <w:p w14:paraId="736B3CFF" w14:textId="77777777" w:rsidR="004835E0" w:rsidRPr="00C86B20" w:rsidRDefault="004835E0">
            <w:pPr>
              <w:pStyle w:val="TableFigureHeading"/>
              <w:rPr>
                <w:b w:val="0"/>
                <w:bCs w:val="0"/>
                <w:lang w:eastAsia="en-US"/>
              </w:rPr>
            </w:pPr>
          </w:p>
        </w:tc>
        <w:tc>
          <w:tcPr>
            <w:tcW w:w="1153" w:type="pct"/>
            <w:gridSpan w:val="2"/>
          </w:tcPr>
          <w:p w14:paraId="741004B6" w14:textId="77777777" w:rsidR="004835E0" w:rsidRPr="00C86B20" w:rsidRDefault="004835E0">
            <w:pPr>
              <w:pStyle w:val="TableFigureHeading"/>
              <w:rPr>
                <w:b w:val="0"/>
                <w:bCs w:val="0"/>
                <w:lang w:eastAsia="en-US"/>
              </w:rPr>
            </w:pPr>
          </w:p>
        </w:tc>
      </w:tr>
    </w:tbl>
    <w:p w14:paraId="5EC8DA06" w14:textId="3D2D2618" w:rsidR="004835E0" w:rsidRDefault="004835E0" w:rsidP="004835E0">
      <w:pPr>
        <w:pStyle w:val="TableFigureFooter"/>
        <w:rPr>
          <w:lang w:eastAsia="en-US"/>
        </w:rPr>
      </w:pPr>
      <w:r>
        <w:rPr>
          <w:lang w:eastAsia="en-US"/>
        </w:rPr>
        <w:t>Source: Table 2</w:t>
      </w:r>
      <w:r w:rsidR="002D15C9">
        <w:rPr>
          <w:lang w:eastAsia="en-US"/>
        </w:rPr>
        <w:noBreakHyphen/>
      </w:r>
      <w:r>
        <w:rPr>
          <w:lang w:eastAsia="en-US"/>
        </w:rPr>
        <w:t>43, 2</w:t>
      </w:r>
      <w:r w:rsidR="002D15C9">
        <w:rPr>
          <w:lang w:eastAsia="en-US"/>
        </w:rPr>
        <w:noBreakHyphen/>
      </w:r>
      <w:r>
        <w:rPr>
          <w:lang w:eastAsia="en-US"/>
        </w:rPr>
        <w:t xml:space="preserve">42, p155 of the submission; Table 15.12.1.1, RISE CSR. </w:t>
      </w:r>
    </w:p>
    <w:p w14:paraId="5A60F6BD" w14:textId="77777777" w:rsidR="004835E0" w:rsidRDefault="004835E0" w:rsidP="004835E0">
      <w:pPr>
        <w:pStyle w:val="TableFigureFooter"/>
        <w:rPr>
          <w:lang w:eastAsia="en-US"/>
        </w:rPr>
      </w:pPr>
      <w:r>
        <w:rPr>
          <w:b/>
          <w:lang w:eastAsia="en-US"/>
        </w:rPr>
        <w:t xml:space="preserve">Bold </w:t>
      </w:r>
      <w:r>
        <w:rPr>
          <w:lang w:eastAsia="en-US"/>
        </w:rPr>
        <w:t xml:space="preserve">= statistically significant; A1M = aripiprazole; CI = confidence interval; LS = least squares; NA = not applicable; NR = not reported; PANSS = positive and negative syndrome score; PP1M = paliperidone; SD = standard deviation. </w:t>
      </w:r>
    </w:p>
    <w:p w14:paraId="1452C351" w14:textId="66FDE14F" w:rsidR="00B60939" w:rsidRPr="0098262F" w:rsidRDefault="00B60939" w:rsidP="00D86231">
      <w:pPr>
        <w:pStyle w:val="4-SubsectionHeading"/>
      </w:pPr>
      <w:r w:rsidRPr="0098262F">
        <w:t>Comparative harms</w:t>
      </w:r>
      <w:bookmarkEnd w:id="27"/>
      <w:bookmarkEnd w:id="28"/>
    </w:p>
    <w:p w14:paraId="775C8845" w14:textId="186AFC22" w:rsidR="009E128D" w:rsidRPr="00ED388F" w:rsidRDefault="00073E8C" w:rsidP="00D86231">
      <w:pPr>
        <w:pStyle w:val="3-BodyText"/>
        <w:rPr>
          <w:color w:val="000000" w:themeColor="text1"/>
        </w:rPr>
      </w:pPr>
      <w:r>
        <w:rPr>
          <w:color w:val="000000" w:themeColor="text1"/>
        </w:rPr>
        <w:fldChar w:fldCharType="begin"/>
      </w:r>
      <w:r>
        <w:rPr>
          <w:color w:val="000000" w:themeColor="text1"/>
        </w:rPr>
        <w:instrText xml:space="preserve"> REF _Ref215049577 \h </w:instrText>
      </w:r>
      <w:r>
        <w:rPr>
          <w:color w:val="000000" w:themeColor="text1"/>
        </w:rPr>
      </w:r>
      <w:r>
        <w:rPr>
          <w:color w:val="000000" w:themeColor="text1"/>
        </w:rPr>
        <w:fldChar w:fldCharType="separate"/>
      </w:r>
      <w:r w:rsidR="00B2455A">
        <w:t xml:space="preserve">Table </w:t>
      </w:r>
      <w:r w:rsidR="00B2455A">
        <w:rPr>
          <w:noProof/>
        </w:rPr>
        <w:t>7</w:t>
      </w:r>
      <w:r>
        <w:rPr>
          <w:color w:val="000000" w:themeColor="text1"/>
        </w:rPr>
        <w:fldChar w:fldCharType="end"/>
      </w:r>
      <w:r>
        <w:rPr>
          <w:color w:val="000000" w:themeColor="text1"/>
        </w:rPr>
        <w:t xml:space="preserve"> shows selected </w:t>
      </w:r>
      <w:r w:rsidR="00743AC9">
        <w:rPr>
          <w:color w:val="000000" w:themeColor="text1"/>
        </w:rPr>
        <w:t>a</w:t>
      </w:r>
      <w:r w:rsidR="009E128D" w:rsidRPr="00ED388F">
        <w:rPr>
          <w:color w:val="000000" w:themeColor="text1"/>
        </w:rPr>
        <w:t xml:space="preserve">dverse events in the </w:t>
      </w:r>
      <w:r w:rsidR="00864229">
        <w:rPr>
          <w:color w:val="000000" w:themeColor="text1"/>
        </w:rPr>
        <w:t>double</w:t>
      </w:r>
      <w:r w:rsidR="002D15C9">
        <w:rPr>
          <w:color w:val="000000" w:themeColor="text1"/>
        </w:rPr>
        <w:noBreakHyphen/>
      </w:r>
      <w:r w:rsidR="00864229">
        <w:rPr>
          <w:color w:val="000000" w:themeColor="text1"/>
        </w:rPr>
        <w:t xml:space="preserve">blind phases of the </w:t>
      </w:r>
      <w:r w:rsidR="009E128D" w:rsidRPr="00ED388F">
        <w:rPr>
          <w:color w:val="000000" w:themeColor="text1"/>
        </w:rPr>
        <w:t>submitted trials.</w:t>
      </w:r>
      <w:r w:rsidR="00ED388F">
        <w:rPr>
          <w:color w:val="000000" w:themeColor="text1"/>
        </w:rPr>
        <w:t xml:space="preserve"> </w:t>
      </w:r>
      <w:r w:rsidR="00BA12F6">
        <w:rPr>
          <w:color w:val="000000" w:themeColor="text1"/>
        </w:rPr>
        <w:t>O</w:t>
      </w:r>
      <w:r w:rsidR="00ED388F">
        <w:rPr>
          <w:color w:val="000000" w:themeColor="text1"/>
        </w:rPr>
        <w:t xml:space="preserve">nly data for patients in RISE randomised to monthly </w:t>
      </w:r>
      <w:r w:rsidR="0019263D">
        <w:rPr>
          <w:color w:val="000000" w:themeColor="text1"/>
        </w:rPr>
        <w:t xml:space="preserve">MRSC </w:t>
      </w:r>
      <w:r w:rsidR="00ED388F">
        <w:rPr>
          <w:color w:val="000000" w:themeColor="text1"/>
        </w:rPr>
        <w:t xml:space="preserve">risperidone </w:t>
      </w:r>
      <w:r w:rsidR="0031098C">
        <w:rPr>
          <w:color w:val="000000" w:themeColor="text1"/>
        </w:rPr>
        <w:t>w</w:t>
      </w:r>
      <w:r w:rsidR="00EA1212">
        <w:rPr>
          <w:color w:val="000000" w:themeColor="text1"/>
        </w:rPr>
        <w:t>ere</w:t>
      </w:r>
      <w:r w:rsidR="0031098C">
        <w:rPr>
          <w:color w:val="000000" w:themeColor="text1"/>
        </w:rPr>
        <w:t xml:space="preserve"> </w:t>
      </w:r>
      <w:r w:rsidR="00ED388F">
        <w:rPr>
          <w:color w:val="000000" w:themeColor="text1"/>
        </w:rPr>
        <w:t>included</w:t>
      </w:r>
      <w:r>
        <w:rPr>
          <w:color w:val="000000" w:themeColor="text1"/>
        </w:rPr>
        <w:t>.</w:t>
      </w:r>
      <w:r w:rsidR="00864229">
        <w:rPr>
          <w:color w:val="000000" w:themeColor="text1"/>
        </w:rPr>
        <w:t xml:space="preserve"> </w:t>
      </w:r>
      <w:r>
        <w:rPr>
          <w:color w:val="000000" w:themeColor="text1"/>
        </w:rPr>
        <w:t xml:space="preserve">Some </w:t>
      </w:r>
      <w:r w:rsidR="00864229">
        <w:rPr>
          <w:color w:val="000000" w:themeColor="text1"/>
        </w:rPr>
        <w:t xml:space="preserve">important adverse </w:t>
      </w:r>
      <w:r w:rsidR="00E029F7">
        <w:rPr>
          <w:color w:val="000000" w:themeColor="text1"/>
        </w:rPr>
        <w:t xml:space="preserve">events, such as weight gain, </w:t>
      </w:r>
      <w:r w:rsidR="00EA1212">
        <w:rPr>
          <w:color w:val="000000" w:themeColor="text1"/>
        </w:rPr>
        <w:t xml:space="preserve">were </w:t>
      </w:r>
      <w:r w:rsidR="00864229">
        <w:rPr>
          <w:color w:val="000000" w:themeColor="text1"/>
        </w:rPr>
        <w:t>excluded from the table</w:t>
      </w:r>
      <w:r w:rsidR="00E029F7">
        <w:rPr>
          <w:color w:val="000000" w:themeColor="text1"/>
        </w:rPr>
        <w:t xml:space="preserve"> </w:t>
      </w:r>
      <w:r w:rsidR="00864229">
        <w:rPr>
          <w:color w:val="000000" w:themeColor="text1"/>
        </w:rPr>
        <w:t>because the published reports present</w:t>
      </w:r>
      <w:r w:rsidR="00DB6FBC">
        <w:rPr>
          <w:color w:val="000000" w:themeColor="text1"/>
        </w:rPr>
        <w:t>ed</w:t>
      </w:r>
      <w:r w:rsidR="00864229">
        <w:rPr>
          <w:color w:val="000000" w:themeColor="text1"/>
        </w:rPr>
        <w:t xml:space="preserve"> them </w:t>
      </w:r>
      <w:r w:rsidR="00E029F7">
        <w:rPr>
          <w:color w:val="000000" w:themeColor="text1"/>
        </w:rPr>
        <w:t>inconsistently</w:t>
      </w:r>
      <w:r w:rsidR="00864229">
        <w:rPr>
          <w:color w:val="000000" w:themeColor="text1"/>
        </w:rPr>
        <w:t>.</w:t>
      </w:r>
    </w:p>
    <w:p w14:paraId="6A034661" w14:textId="42F918DB" w:rsidR="009E128D" w:rsidRDefault="00BD3D57" w:rsidP="00BD3D57">
      <w:pPr>
        <w:pStyle w:val="Caption"/>
      </w:pPr>
      <w:bookmarkStart w:id="32" w:name="_Ref215049577"/>
      <w:r>
        <w:lastRenderedPageBreak/>
        <w:t xml:space="preserve">Table </w:t>
      </w:r>
      <w:fldSimple w:instr=" SEQ Table \* ARABIC ">
        <w:r w:rsidR="002D15C9">
          <w:rPr>
            <w:noProof/>
          </w:rPr>
          <w:t>7</w:t>
        </w:r>
      </w:fldSimple>
      <w:bookmarkEnd w:id="32"/>
      <w:r>
        <w:t xml:space="preserve">: </w:t>
      </w:r>
      <w:r w:rsidR="009E128D">
        <w:t xml:space="preserve">Adverse events </w:t>
      </w:r>
      <w:r w:rsidR="00ED388F">
        <w:t>during the double</w:t>
      </w:r>
      <w:r w:rsidR="002D15C9">
        <w:noBreakHyphen/>
      </w:r>
      <w:r w:rsidR="00ED388F">
        <w:t>blind phases of</w:t>
      </w:r>
      <w:r w:rsidR="009E128D">
        <w:t xml:space="preserve"> the submitted trials. </w:t>
      </w:r>
    </w:p>
    <w:tbl>
      <w:tblPr>
        <w:tblStyle w:val="TableGrid"/>
        <w:tblW w:w="0" w:type="auto"/>
        <w:tblLook w:val="04A0" w:firstRow="1" w:lastRow="0" w:firstColumn="1" w:lastColumn="0" w:noHBand="0" w:noVBand="1"/>
        <w:tblCaption w:val="Table 7: Adverse events during the double blind phases of the submitted trials. "/>
      </w:tblPr>
      <w:tblGrid>
        <w:gridCol w:w="2254"/>
        <w:gridCol w:w="1127"/>
        <w:gridCol w:w="1127"/>
        <w:gridCol w:w="1127"/>
        <w:gridCol w:w="1127"/>
        <w:gridCol w:w="1127"/>
        <w:gridCol w:w="1128"/>
      </w:tblGrid>
      <w:tr w:rsidR="004D3456" w14:paraId="17822BA1" w14:textId="77777777" w:rsidTr="009218AC">
        <w:tc>
          <w:tcPr>
            <w:tcW w:w="2254" w:type="dxa"/>
          </w:tcPr>
          <w:p w14:paraId="1860EEAB" w14:textId="77777777" w:rsidR="004D3456" w:rsidRDefault="004D3456" w:rsidP="009E128D">
            <w:pPr>
              <w:pStyle w:val="TableFigureHeading"/>
            </w:pPr>
          </w:p>
        </w:tc>
        <w:tc>
          <w:tcPr>
            <w:tcW w:w="1127" w:type="dxa"/>
            <w:vAlign w:val="center"/>
          </w:tcPr>
          <w:p w14:paraId="6346AB19" w14:textId="77777777" w:rsidR="004D3456" w:rsidRDefault="004D3456" w:rsidP="00073E8C">
            <w:pPr>
              <w:pStyle w:val="TableFigureHeading"/>
              <w:jc w:val="center"/>
            </w:pPr>
            <w:r>
              <w:t>RISE</w:t>
            </w:r>
          </w:p>
        </w:tc>
        <w:tc>
          <w:tcPr>
            <w:tcW w:w="1127" w:type="dxa"/>
            <w:vAlign w:val="center"/>
          </w:tcPr>
          <w:p w14:paraId="59B0DE47" w14:textId="274BB72C" w:rsidR="004D3456" w:rsidRDefault="004D3456" w:rsidP="00073E8C">
            <w:pPr>
              <w:pStyle w:val="TableFigureHeading"/>
              <w:jc w:val="center"/>
            </w:pPr>
          </w:p>
        </w:tc>
        <w:tc>
          <w:tcPr>
            <w:tcW w:w="1127" w:type="dxa"/>
            <w:vAlign w:val="center"/>
          </w:tcPr>
          <w:p w14:paraId="7C0111F4" w14:textId="77777777" w:rsidR="004D3456" w:rsidRDefault="004D3456" w:rsidP="00073E8C">
            <w:pPr>
              <w:pStyle w:val="TableFigureHeading"/>
              <w:jc w:val="center"/>
            </w:pPr>
            <w:r>
              <w:t>Hough, 2010</w:t>
            </w:r>
          </w:p>
        </w:tc>
        <w:tc>
          <w:tcPr>
            <w:tcW w:w="1127" w:type="dxa"/>
            <w:vAlign w:val="center"/>
          </w:tcPr>
          <w:p w14:paraId="714C208F" w14:textId="2AD6F72E" w:rsidR="004D3456" w:rsidRDefault="004D3456" w:rsidP="00073E8C">
            <w:pPr>
              <w:pStyle w:val="TableFigureHeading"/>
              <w:jc w:val="center"/>
            </w:pPr>
          </w:p>
        </w:tc>
        <w:tc>
          <w:tcPr>
            <w:tcW w:w="1127" w:type="dxa"/>
            <w:vAlign w:val="center"/>
          </w:tcPr>
          <w:p w14:paraId="60379B65" w14:textId="77777777" w:rsidR="004D3456" w:rsidRDefault="004D3456" w:rsidP="00073E8C">
            <w:pPr>
              <w:pStyle w:val="TableFigureHeading"/>
              <w:jc w:val="center"/>
            </w:pPr>
            <w:r>
              <w:t>ASPIRE</w:t>
            </w:r>
          </w:p>
        </w:tc>
        <w:tc>
          <w:tcPr>
            <w:tcW w:w="1128" w:type="dxa"/>
          </w:tcPr>
          <w:p w14:paraId="1089F4D4" w14:textId="0862FE2D" w:rsidR="004D3456" w:rsidRDefault="004D3456" w:rsidP="009E128D">
            <w:pPr>
              <w:pStyle w:val="TableFigureHeading"/>
            </w:pPr>
          </w:p>
        </w:tc>
      </w:tr>
      <w:tr w:rsidR="009A3ED7" w14:paraId="185812A6" w14:textId="77777777" w:rsidTr="009218AC">
        <w:tc>
          <w:tcPr>
            <w:tcW w:w="2254" w:type="dxa"/>
          </w:tcPr>
          <w:p w14:paraId="77D08552" w14:textId="77777777" w:rsidR="009A3ED7" w:rsidRDefault="009A3ED7" w:rsidP="009E128D">
            <w:pPr>
              <w:pStyle w:val="TableFigureHeading"/>
            </w:pPr>
          </w:p>
        </w:tc>
        <w:tc>
          <w:tcPr>
            <w:tcW w:w="1127" w:type="dxa"/>
            <w:vAlign w:val="bottom"/>
          </w:tcPr>
          <w:p w14:paraId="3176266B" w14:textId="522EDA61" w:rsidR="009A3ED7" w:rsidRDefault="009A3ED7" w:rsidP="00073E8C">
            <w:pPr>
              <w:pStyle w:val="TableFigureHeading"/>
              <w:jc w:val="center"/>
            </w:pPr>
            <w:r>
              <w:rPr>
                <w:lang w:eastAsia="en-US"/>
              </w:rPr>
              <w:t>MSCR risperidone</w:t>
            </w:r>
            <w:r>
              <w:t xml:space="preserve"> q 1m</w:t>
            </w:r>
          </w:p>
          <w:p w14:paraId="234A4DE1" w14:textId="3C1EA110" w:rsidR="009A3ED7" w:rsidRDefault="009A3ED7" w:rsidP="00073E8C">
            <w:pPr>
              <w:pStyle w:val="TableFigureHeading"/>
              <w:jc w:val="center"/>
            </w:pPr>
            <w:r>
              <w:t>N = 183</w:t>
            </w:r>
          </w:p>
        </w:tc>
        <w:tc>
          <w:tcPr>
            <w:tcW w:w="1127" w:type="dxa"/>
            <w:vAlign w:val="bottom"/>
          </w:tcPr>
          <w:p w14:paraId="1FF9669D" w14:textId="77777777" w:rsidR="009A3ED7" w:rsidRDefault="009A3ED7" w:rsidP="00073E8C">
            <w:pPr>
              <w:pStyle w:val="TableFigureHeading"/>
              <w:jc w:val="center"/>
            </w:pPr>
            <w:r>
              <w:t>Placebo</w:t>
            </w:r>
          </w:p>
          <w:p w14:paraId="15977FB8" w14:textId="22DD312F" w:rsidR="009A3ED7" w:rsidRDefault="009A3ED7" w:rsidP="00073E8C">
            <w:pPr>
              <w:pStyle w:val="TableFigureHeading"/>
              <w:jc w:val="center"/>
            </w:pPr>
            <w:r>
              <w:t>N = 179</w:t>
            </w:r>
          </w:p>
        </w:tc>
        <w:tc>
          <w:tcPr>
            <w:tcW w:w="1127" w:type="dxa"/>
            <w:vAlign w:val="bottom"/>
          </w:tcPr>
          <w:p w14:paraId="1DFDF381" w14:textId="4DA5944E" w:rsidR="009A3ED7" w:rsidRDefault="009A3ED7" w:rsidP="00073E8C">
            <w:pPr>
              <w:pStyle w:val="TableFigureHeading"/>
              <w:jc w:val="center"/>
            </w:pPr>
            <w:r>
              <w:t>PP1M</w:t>
            </w:r>
          </w:p>
          <w:p w14:paraId="00944436" w14:textId="5402131C" w:rsidR="009A3ED7" w:rsidRDefault="009A3ED7" w:rsidP="00073E8C">
            <w:pPr>
              <w:pStyle w:val="TableFigureHeading"/>
              <w:jc w:val="center"/>
            </w:pPr>
            <w:r>
              <w:t>N = 205</w:t>
            </w:r>
          </w:p>
        </w:tc>
        <w:tc>
          <w:tcPr>
            <w:tcW w:w="1127" w:type="dxa"/>
            <w:vAlign w:val="bottom"/>
          </w:tcPr>
          <w:p w14:paraId="2651E1DD" w14:textId="77777777" w:rsidR="009A3ED7" w:rsidRDefault="009A3ED7" w:rsidP="00073E8C">
            <w:pPr>
              <w:pStyle w:val="TableFigureHeading"/>
              <w:jc w:val="center"/>
            </w:pPr>
            <w:r>
              <w:t>Placebo</w:t>
            </w:r>
          </w:p>
          <w:p w14:paraId="700B8318" w14:textId="06CEF7D0" w:rsidR="009A3ED7" w:rsidRDefault="009A3ED7" w:rsidP="00073E8C">
            <w:pPr>
              <w:pStyle w:val="TableFigureHeading"/>
              <w:jc w:val="center"/>
            </w:pPr>
            <w:r>
              <w:t>N = 203</w:t>
            </w:r>
          </w:p>
        </w:tc>
        <w:tc>
          <w:tcPr>
            <w:tcW w:w="1127" w:type="dxa"/>
            <w:vAlign w:val="bottom"/>
          </w:tcPr>
          <w:p w14:paraId="69528D0C" w14:textId="5678F1F5" w:rsidR="009A3ED7" w:rsidRDefault="007D37F7" w:rsidP="00073E8C">
            <w:pPr>
              <w:pStyle w:val="TableFigureHeading"/>
              <w:jc w:val="center"/>
            </w:pPr>
            <w:r>
              <w:t>A1M</w:t>
            </w:r>
          </w:p>
          <w:p w14:paraId="7C0BC9BE" w14:textId="2EF3DDF4" w:rsidR="009A3ED7" w:rsidRDefault="009A3ED7" w:rsidP="00073E8C">
            <w:pPr>
              <w:pStyle w:val="TableFigureHeading"/>
              <w:jc w:val="center"/>
            </w:pPr>
            <w:r>
              <w:t>N = 269</w:t>
            </w:r>
          </w:p>
        </w:tc>
        <w:tc>
          <w:tcPr>
            <w:tcW w:w="1128" w:type="dxa"/>
            <w:vAlign w:val="bottom"/>
          </w:tcPr>
          <w:p w14:paraId="185FB62D" w14:textId="77777777" w:rsidR="009A3ED7" w:rsidRDefault="009A3ED7" w:rsidP="00073E8C">
            <w:pPr>
              <w:pStyle w:val="TableFigureHeading"/>
              <w:jc w:val="center"/>
            </w:pPr>
            <w:r>
              <w:t>Placebo</w:t>
            </w:r>
          </w:p>
          <w:p w14:paraId="04B113FA" w14:textId="27A779F8" w:rsidR="009A3ED7" w:rsidRDefault="009A3ED7" w:rsidP="00073E8C">
            <w:pPr>
              <w:pStyle w:val="TableFigureHeading"/>
              <w:jc w:val="center"/>
            </w:pPr>
            <w:r>
              <w:t>N = 134</w:t>
            </w:r>
          </w:p>
        </w:tc>
      </w:tr>
      <w:tr w:rsidR="009E128D" w14:paraId="38707CAE" w14:textId="77777777" w:rsidTr="00073E8C">
        <w:tc>
          <w:tcPr>
            <w:tcW w:w="2254" w:type="dxa"/>
          </w:tcPr>
          <w:p w14:paraId="05D01FF5" w14:textId="6CAA7543" w:rsidR="009E128D" w:rsidRPr="009E128D" w:rsidRDefault="009E128D" w:rsidP="009E128D">
            <w:pPr>
              <w:pStyle w:val="TableFigureHeading"/>
              <w:rPr>
                <w:b w:val="0"/>
                <w:bCs w:val="0"/>
              </w:rPr>
            </w:pPr>
            <w:r w:rsidRPr="009E128D">
              <w:rPr>
                <w:b w:val="0"/>
                <w:bCs w:val="0"/>
              </w:rPr>
              <w:t>Any TEAE</w:t>
            </w:r>
            <w:r w:rsidR="00ED388F">
              <w:rPr>
                <w:b w:val="0"/>
                <w:bCs w:val="0"/>
              </w:rPr>
              <w:t>, n (%)</w:t>
            </w:r>
          </w:p>
        </w:tc>
        <w:tc>
          <w:tcPr>
            <w:tcW w:w="1127" w:type="dxa"/>
            <w:vAlign w:val="center"/>
          </w:tcPr>
          <w:p w14:paraId="29CBBA3A" w14:textId="0335344E" w:rsidR="009E128D" w:rsidRPr="009E128D" w:rsidRDefault="00ED388F" w:rsidP="00073E8C">
            <w:pPr>
              <w:pStyle w:val="TableFigureHeading"/>
              <w:jc w:val="center"/>
              <w:rPr>
                <w:b w:val="0"/>
                <w:bCs w:val="0"/>
              </w:rPr>
            </w:pPr>
            <w:r>
              <w:rPr>
                <w:b w:val="0"/>
                <w:bCs w:val="0"/>
              </w:rPr>
              <w:t>111 (61%)</w:t>
            </w:r>
          </w:p>
        </w:tc>
        <w:tc>
          <w:tcPr>
            <w:tcW w:w="1127" w:type="dxa"/>
            <w:vAlign w:val="center"/>
          </w:tcPr>
          <w:p w14:paraId="1C66AF95" w14:textId="2BC45080" w:rsidR="009E128D" w:rsidRPr="009E128D" w:rsidRDefault="00ED388F" w:rsidP="00073E8C">
            <w:pPr>
              <w:pStyle w:val="TableFigureHeading"/>
              <w:jc w:val="center"/>
              <w:rPr>
                <w:b w:val="0"/>
                <w:bCs w:val="0"/>
              </w:rPr>
            </w:pPr>
            <w:r>
              <w:rPr>
                <w:b w:val="0"/>
                <w:bCs w:val="0"/>
              </w:rPr>
              <w:t>92 (51%)</w:t>
            </w:r>
          </w:p>
        </w:tc>
        <w:tc>
          <w:tcPr>
            <w:tcW w:w="1127" w:type="dxa"/>
            <w:vAlign w:val="center"/>
          </w:tcPr>
          <w:p w14:paraId="3BA590A3" w14:textId="6D3B3D13" w:rsidR="009E128D" w:rsidRPr="009E128D" w:rsidRDefault="00ED388F" w:rsidP="00073E8C">
            <w:pPr>
              <w:pStyle w:val="TableFigureHeading"/>
              <w:jc w:val="center"/>
              <w:rPr>
                <w:b w:val="0"/>
                <w:bCs w:val="0"/>
              </w:rPr>
            </w:pPr>
            <w:r>
              <w:rPr>
                <w:b w:val="0"/>
                <w:bCs w:val="0"/>
              </w:rPr>
              <w:t>91 (44%)</w:t>
            </w:r>
          </w:p>
        </w:tc>
        <w:tc>
          <w:tcPr>
            <w:tcW w:w="1127" w:type="dxa"/>
            <w:vAlign w:val="center"/>
          </w:tcPr>
          <w:p w14:paraId="2A6A95BC" w14:textId="228FBE02" w:rsidR="009E128D" w:rsidRPr="009E128D" w:rsidRDefault="00ED388F" w:rsidP="00073E8C">
            <w:pPr>
              <w:pStyle w:val="TableFigureHeading"/>
              <w:jc w:val="center"/>
              <w:rPr>
                <w:b w:val="0"/>
                <w:bCs w:val="0"/>
              </w:rPr>
            </w:pPr>
            <w:r>
              <w:rPr>
                <w:b w:val="0"/>
                <w:bCs w:val="0"/>
              </w:rPr>
              <w:t>91 (45%)</w:t>
            </w:r>
          </w:p>
        </w:tc>
        <w:tc>
          <w:tcPr>
            <w:tcW w:w="1127" w:type="dxa"/>
            <w:vAlign w:val="center"/>
          </w:tcPr>
          <w:p w14:paraId="1833EA90" w14:textId="270B796A" w:rsidR="009E128D" w:rsidRPr="009E128D" w:rsidRDefault="00ED388F" w:rsidP="00073E8C">
            <w:pPr>
              <w:pStyle w:val="TableFigureHeading"/>
              <w:jc w:val="center"/>
              <w:rPr>
                <w:b w:val="0"/>
                <w:bCs w:val="0"/>
              </w:rPr>
            </w:pPr>
            <w:r>
              <w:rPr>
                <w:b w:val="0"/>
                <w:bCs w:val="0"/>
              </w:rPr>
              <w:t>170 (63%)</w:t>
            </w:r>
          </w:p>
        </w:tc>
        <w:tc>
          <w:tcPr>
            <w:tcW w:w="1128" w:type="dxa"/>
            <w:vAlign w:val="center"/>
          </w:tcPr>
          <w:p w14:paraId="55FF2663" w14:textId="579A5F5E" w:rsidR="009E128D" w:rsidRPr="009E128D" w:rsidRDefault="00ED388F" w:rsidP="00073E8C">
            <w:pPr>
              <w:pStyle w:val="TableFigureHeading"/>
              <w:jc w:val="center"/>
              <w:rPr>
                <w:b w:val="0"/>
                <w:bCs w:val="0"/>
              </w:rPr>
            </w:pPr>
            <w:r>
              <w:rPr>
                <w:b w:val="0"/>
                <w:bCs w:val="0"/>
              </w:rPr>
              <w:t>83 (62%)</w:t>
            </w:r>
          </w:p>
        </w:tc>
      </w:tr>
      <w:tr w:rsidR="009E128D" w14:paraId="4BE9C91E" w14:textId="77777777" w:rsidTr="00073E8C">
        <w:tc>
          <w:tcPr>
            <w:tcW w:w="2254" w:type="dxa"/>
          </w:tcPr>
          <w:p w14:paraId="4E6BFB72" w14:textId="24D94CA0" w:rsidR="009E128D" w:rsidRPr="009E128D" w:rsidRDefault="00ED388F" w:rsidP="009E128D">
            <w:pPr>
              <w:pStyle w:val="TableFigureHeading"/>
              <w:rPr>
                <w:b w:val="0"/>
                <w:bCs w:val="0"/>
              </w:rPr>
            </w:pPr>
            <w:r>
              <w:rPr>
                <w:b w:val="0"/>
                <w:bCs w:val="0"/>
              </w:rPr>
              <w:t xml:space="preserve">TEAE Grade </w:t>
            </w:r>
            <w:r>
              <w:rPr>
                <w:rFonts w:ascii="Symbol" w:eastAsia="Symbol" w:hAnsi="Symbol" w:cs="Symbol"/>
                <w:b w:val="0"/>
                <w:bCs w:val="0"/>
              </w:rPr>
              <w:t>³</w:t>
            </w:r>
            <w:r>
              <w:rPr>
                <w:b w:val="0"/>
                <w:bCs w:val="0"/>
              </w:rPr>
              <w:t>3, n (%)</w:t>
            </w:r>
          </w:p>
        </w:tc>
        <w:tc>
          <w:tcPr>
            <w:tcW w:w="1127" w:type="dxa"/>
            <w:vAlign w:val="center"/>
          </w:tcPr>
          <w:p w14:paraId="4A554B44" w14:textId="6218D0CF" w:rsidR="009E128D" w:rsidRPr="009E128D" w:rsidRDefault="00ED388F" w:rsidP="00073E8C">
            <w:pPr>
              <w:pStyle w:val="TableFigureHeading"/>
              <w:jc w:val="center"/>
              <w:rPr>
                <w:b w:val="0"/>
                <w:bCs w:val="0"/>
              </w:rPr>
            </w:pPr>
            <w:r>
              <w:rPr>
                <w:b w:val="0"/>
                <w:bCs w:val="0"/>
              </w:rPr>
              <w:t>6 (3%)</w:t>
            </w:r>
          </w:p>
        </w:tc>
        <w:tc>
          <w:tcPr>
            <w:tcW w:w="1127" w:type="dxa"/>
            <w:vAlign w:val="center"/>
          </w:tcPr>
          <w:p w14:paraId="1F9A3542" w14:textId="07DA4BF5" w:rsidR="009E128D" w:rsidRPr="009E128D" w:rsidRDefault="00ED388F" w:rsidP="00073E8C">
            <w:pPr>
              <w:pStyle w:val="TableFigureHeading"/>
              <w:jc w:val="center"/>
              <w:rPr>
                <w:b w:val="0"/>
                <w:bCs w:val="0"/>
              </w:rPr>
            </w:pPr>
            <w:r>
              <w:rPr>
                <w:b w:val="0"/>
                <w:bCs w:val="0"/>
              </w:rPr>
              <w:t>12 (7%)</w:t>
            </w:r>
          </w:p>
        </w:tc>
        <w:tc>
          <w:tcPr>
            <w:tcW w:w="1127" w:type="dxa"/>
            <w:vAlign w:val="center"/>
          </w:tcPr>
          <w:p w14:paraId="2F01D34D" w14:textId="19031756" w:rsidR="009E128D" w:rsidRPr="009E128D" w:rsidRDefault="00ED388F" w:rsidP="00073E8C">
            <w:pPr>
              <w:pStyle w:val="TableFigureHeading"/>
              <w:jc w:val="center"/>
              <w:rPr>
                <w:b w:val="0"/>
                <w:bCs w:val="0"/>
              </w:rPr>
            </w:pPr>
            <w:r>
              <w:rPr>
                <w:b w:val="0"/>
                <w:bCs w:val="0"/>
              </w:rPr>
              <w:t>NR</w:t>
            </w:r>
          </w:p>
        </w:tc>
        <w:tc>
          <w:tcPr>
            <w:tcW w:w="1127" w:type="dxa"/>
            <w:vAlign w:val="center"/>
          </w:tcPr>
          <w:p w14:paraId="79F9ED94" w14:textId="53AA16D1" w:rsidR="009E128D" w:rsidRPr="009E128D" w:rsidRDefault="00ED388F" w:rsidP="00073E8C">
            <w:pPr>
              <w:pStyle w:val="TableFigureHeading"/>
              <w:jc w:val="center"/>
              <w:rPr>
                <w:b w:val="0"/>
                <w:bCs w:val="0"/>
              </w:rPr>
            </w:pPr>
            <w:r>
              <w:rPr>
                <w:b w:val="0"/>
                <w:bCs w:val="0"/>
              </w:rPr>
              <w:t>NR</w:t>
            </w:r>
          </w:p>
        </w:tc>
        <w:tc>
          <w:tcPr>
            <w:tcW w:w="1127" w:type="dxa"/>
            <w:vAlign w:val="center"/>
          </w:tcPr>
          <w:p w14:paraId="29C336F8" w14:textId="37A2DBE2" w:rsidR="009E128D" w:rsidRPr="009E128D" w:rsidRDefault="00ED388F" w:rsidP="00073E8C">
            <w:pPr>
              <w:pStyle w:val="TableFigureHeading"/>
              <w:jc w:val="center"/>
              <w:rPr>
                <w:b w:val="0"/>
                <w:bCs w:val="0"/>
              </w:rPr>
            </w:pPr>
            <w:r>
              <w:rPr>
                <w:b w:val="0"/>
                <w:bCs w:val="0"/>
              </w:rPr>
              <w:t>NR</w:t>
            </w:r>
          </w:p>
        </w:tc>
        <w:tc>
          <w:tcPr>
            <w:tcW w:w="1128" w:type="dxa"/>
            <w:vAlign w:val="center"/>
          </w:tcPr>
          <w:p w14:paraId="041C4759" w14:textId="3668252F" w:rsidR="009E128D" w:rsidRPr="009E128D" w:rsidRDefault="00ED388F" w:rsidP="00073E8C">
            <w:pPr>
              <w:pStyle w:val="TableFigureHeading"/>
              <w:jc w:val="center"/>
              <w:rPr>
                <w:b w:val="0"/>
                <w:bCs w:val="0"/>
              </w:rPr>
            </w:pPr>
            <w:r>
              <w:rPr>
                <w:b w:val="0"/>
                <w:bCs w:val="0"/>
              </w:rPr>
              <w:t>NR</w:t>
            </w:r>
          </w:p>
        </w:tc>
      </w:tr>
      <w:tr w:rsidR="009E128D" w14:paraId="727F373C" w14:textId="77777777" w:rsidTr="00073E8C">
        <w:tc>
          <w:tcPr>
            <w:tcW w:w="2254" w:type="dxa"/>
          </w:tcPr>
          <w:p w14:paraId="62D56F0B" w14:textId="5BB6BEBA" w:rsidR="009E128D" w:rsidRPr="009E128D" w:rsidRDefault="00ED388F" w:rsidP="009E128D">
            <w:pPr>
              <w:pStyle w:val="TableFigureHeading"/>
              <w:rPr>
                <w:b w:val="0"/>
                <w:bCs w:val="0"/>
              </w:rPr>
            </w:pPr>
            <w:r>
              <w:rPr>
                <w:b w:val="0"/>
                <w:bCs w:val="0"/>
              </w:rPr>
              <w:t>SAE, n (%)</w:t>
            </w:r>
          </w:p>
        </w:tc>
        <w:tc>
          <w:tcPr>
            <w:tcW w:w="1127" w:type="dxa"/>
            <w:vAlign w:val="center"/>
          </w:tcPr>
          <w:p w14:paraId="6E94466C" w14:textId="1805B2D8" w:rsidR="009E128D" w:rsidRPr="009E128D" w:rsidRDefault="00ED388F" w:rsidP="00073E8C">
            <w:pPr>
              <w:pStyle w:val="TableFigureHeading"/>
              <w:jc w:val="center"/>
              <w:rPr>
                <w:b w:val="0"/>
                <w:bCs w:val="0"/>
              </w:rPr>
            </w:pPr>
            <w:r>
              <w:rPr>
                <w:b w:val="0"/>
                <w:bCs w:val="0"/>
              </w:rPr>
              <w:t>8 (4%)</w:t>
            </w:r>
          </w:p>
        </w:tc>
        <w:tc>
          <w:tcPr>
            <w:tcW w:w="1127" w:type="dxa"/>
            <w:vAlign w:val="center"/>
          </w:tcPr>
          <w:p w14:paraId="3111EF75" w14:textId="122C090F" w:rsidR="009E128D" w:rsidRPr="009E128D" w:rsidRDefault="00ED388F" w:rsidP="00073E8C">
            <w:pPr>
              <w:pStyle w:val="TableFigureHeading"/>
              <w:jc w:val="center"/>
              <w:rPr>
                <w:b w:val="0"/>
                <w:bCs w:val="0"/>
              </w:rPr>
            </w:pPr>
            <w:r>
              <w:rPr>
                <w:b w:val="0"/>
                <w:bCs w:val="0"/>
              </w:rPr>
              <w:t>14 (8%)</w:t>
            </w:r>
          </w:p>
        </w:tc>
        <w:tc>
          <w:tcPr>
            <w:tcW w:w="1127" w:type="dxa"/>
            <w:vAlign w:val="center"/>
          </w:tcPr>
          <w:p w14:paraId="251E55AE" w14:textId="2B02F616" w:rsidR="009E128D" w:rsidRPr="009E128D" w:rsidRDefault="00ED388F" w:rsidP="00073E8C">
            <w:pPr>
              <w:pStyle w:val="TableFigureHeading"/>
              <w:jc w:val="center"/>
              <w:rPr>
                <w:b w:val="0"/>
                <w:bCs w:val="0"/>
              </w:rPr>
            </w:pPr>
            <w:r>
              <w:rPr>
                <w:b w:val="0"/>
                <w:bCs w:val="0"/>
              </w:rPr>
              <w:t>11 (5%)</w:t>
            </w:r>
          </w:p>
        </w:tc>
        <w:tc>
          <w:tcPr>
            <w:tcW w:w="1127" w:type="dxa"/>
            <w:vAlign w:val="center"/>
          </w:tcPr>
          <w:p w14:paraId="181C3C04" w14:textId="7ECCF2B8" w:rsidR="009E128D" w:rsidRPr="009E128D" w:rsidRDefault="00ED388F" w:rsidP="00073E8C">
            <w:pPr>
              <w:pStyle w:val="TableFigureHeading"/>
              <w:jc w:val="center"/>
              <w:rPr>
                <w:b w:val="0"/>
                <w:bCs w:val="0"/>
              </w:rPr>
            </w:pPr>
            <w:r>
              <w:rPr>
                <w:b w:val="0"/>
                <w:bCs w:val="0"/>
              </w:rPr>
              <w:t>26 (13%)</w:t>
            </w:r>
          </w:p>
        </w:tc>
        <w:tc>
          <w:tcPr>
            <w:tcW w:w="1127" w:type="dxa"/>
            <w:vAlign w:val="center"/>
          </w:tcPr>
          <w:p w14:paraId="29D42922" w14:textId="4BD46882" w:rsidR="009E128D" w:rsidRPr="009E128D" w:rsidRDefault="00ED388F" w:rsidP="00073E8C">
            <w:pPr>
              <w:pStyle w:val="TableFigureHeading"/>
              <w:jc w:val="center"/>
              <w:rPr>
                <w:b w:val="0"/>
                <w:bCs w:val="0"/>
              </w:rPr>
            </w:pPr>
            <w:r>
              <w:rPr>
                <w:b w:val="0"/>
                <w:bCs w:val="0"/>
              </w:rPr>
              <w:t>11 (4%)</w:t>
            </w:r>
          </w:p>
        </w:tc>
        <w:tc>
          <w:tcPr>
            <w:tcW w:w="1128" w:type="dxa"/>
            <w:vAlign w:val="center"/>
          </w:tcPr>
          <w:p w14:paraId="0E371722" w14:textId="20616B4D" w:rsidR="009E128D" w:rsidRPr="009E128D" w:rsidRDefault="00ED388F" w:rsidP="00073E8C">
            <w:pPr>
              <w:pStyle w:val="TableFigureHeading"/>
              <w:jc w:val="center"/>
              <w:rPr>
                <w:b w:val="0"/>
                <w:bCs w:val="0"/>
              </w:rPr>
            </w:pPr>
            <w:r>
              <w:rPr>
                <w:b w:val="0"/>
                <w:bCs w:val="0"/>
              </w:rPr>
              <w:t>9 (7%)</w:t>
            </w:r>
          </w:p>
        </w:tc>
      </w:tr>
      <w:tr w:rsidR="009E128D" w14:paraId="687623FB" w14:textId="77777777" w:rsidTr="00073E8C">
        <w:tc>
          <w:tcPr>
            <w:tcW w:w="2254" w:type="dxa"/>
          </w:tcPr>
          <w:p w14:paraId="1576E85E" w14:textId="1590C1BF" w:rsidR="009E128D" w:rsidRPr="009E128D" w:rsidRDefault="00ED388F" w:rsidP="009E128D">
            <w:pPr>
              <w:pStyle w:val="TableFigureHeading"/>
              <w:rPr>
                <w:b w:val="0"/>
                <w:bCs w:val="0"/>
              </w:rPr>
            </w:pPr>
            <w:r>
              <w:rPr>
                <w:b w:val="0"/>
                <w:bCs w:val="0"/>
              </w:rPr>
              <w:t>AE leading to withdrawal, n (%)</w:t>
            </w:r>
          </w:p>
        </w:tc>
        <w:tc>
          <w:tcPr>
            <w:tcW w:w="1127" w:type="dxa"/>
            <w:vAlign w:val="center"/>
          </w:tcPr>
          <w:p w14:paraId="3FEA2B83" w14:textId="384D6256" w:rsidR="009E128D" w:rsidRPr="009E128D" w:rsidRDefault="00ED388F" w:rsidP="00073E8C">
            <w:pPr>
              <w:pStyle w:val="TableFigureHeading"/>
              <w:jc w:val="center"/>
              <w:rPr>
                <w:b w:val="0"/>
                <w:bCs w:val="0"/>
              </w:rPr>
            </w:pPr>
            <w:r>
              <w:rPr>
                <w:b w:val="0"/>
                <w:bCs w:val="0"/>
              </w:rPr>
              <w:t>21 (12%)</w:t>
            </w:r>
          </w:p>
        </w:tc>
        <w:tc>
          <w:tcPr>
            <w:tcW w:w="1127" w:type="dxa"/>
            <w:vAlign w:val="center"/>
          </w:tcPr>
          <w:p w14:paraId="0DBD2376" w14:textId="4B46E08E" w:rsidR="009E128D" w:rsidRPr="009E128D" w:rsidRDefault="00ED388F" w:rsidP="00073E8C">
            <w:pPr>
              <w:pStyle w:val="TableFigureHeading"/>
              <w:jc w:val="center"/>
              <w:rPr>
                <w:b w:val="0"/>
                <w:bCs w:val="0"/>
              </w:rPr>
            </w:pPr>
            <w:r>
              <w:rPr>
                <w:b w:val="0"/>
                <w:bCs w:val="0"/>
              </w:rPr>
              <w:t>10 (6%)</w:t>
            </w:r>
          </w:p>
        </w:tc>
        <w:tc>
          <w:tcPr>
            <w:tcW w:w="1127" w:type="dxa"/>
            <w:vAlign w:val="center"/>
          </w:tcPr>
          <w:p w14:paraId="5F1554BC" w14:textId="313066F8" w:rsidR="009E128D" w:rsidRPr="009E128D" w:rsidRDefault="00ED388F" w:rsidP="00073E8C">
            <w:pPr>
              <w:pStyle w:val="TableFigureHeading"/>
              <w:jc w:val="center"/>
              <w:rPr>
                <w:b w:val="0"/>
                <w:bCs w:val="0"/>
              </w:rPr>
            </w:pPr>
            <w:r>
              <w:rPr>
                <w:b w:val="0"/>
                <w:bCs w:val="0"/>
              </w:rPr>
              <w:t>3 (2%)</w:t>
            </w:r>
          </w:p>
        </w:tc>
        <w:tc>
          <w:tcPr>
            <w:tcW w:w="1127" w:type="dxa"/>
            <w:vAlign w:val="center"/>
          </w:tcPr>
          <w:p w14:paraId="2C061A05" w14:textId="38DFF1CE" w:rsidR="009E128D" w:rsidRPr="009E128D" w:rsidRDefault="00ED388F" w:rsidP="00073E8C">
            <w:pPr>
              <w:pStyle w:val="TableFigureHeading"/>
              <w:jc w:val="center"/>
              <w:rPr>
                <w:b w:val="0"/>
                <w:bCs w:val="0"/>
              </w:rPr>
            </w:pPr>
            <w:r>
              <w:rPr>
                <w:b w:val="0"/>
                <w:bCs w:val="0"/>
              </w:rPr>
              <w:t>1 (0.5%)</w:t>
            </w:r>
          </w:p>
        </w:tc>
        <w:tc>
          <w:tcPr>
            <w:tcW w:w="1127" w:type="dxa"/>
            <w:vAlign w:val="center"/>
          </w:tcPr>
          <w:p w14:paraId="293C54BD" w14:textId="79C44F99" w:rsidR="009E128D" w:rsidRPr="009E128D" w:rsidRDefault="00ED388F" w:rsidP="00073E8C">
            <w:pPr>
              <w:pStyle w:val="TableFigureHeading"/>
              <w:jc w:val="center"/>
              <w:rPr>
                <w:b w:val="0"/>
                <w:bCs w:val="0"/>
              </w:rPr>
            </w:pPr>
            <w:r>
              <w:rPr>
                <w:b w:val="0"/>
                <w:bCs w:val="0"/>
              </w:rPr>
              <w:t>19 (7%)</w:t>
            </w:r>
          </w:p>
        </w:tc>
        <w:tc>
          <w:tcPr>
            <w:tcW w:w="1128" w:type="dxa"/>
            <w:vAlign w:val="center"/>
          </w:tcPr>
          <w:p w14:paraId="0120F57B" w14:textId="71D9273D" w:rsidR="009E128D" w:rsidRPr="009E128D" w:rsidRDefault="00ED388F" w:rsidP="00073E8C">
            <w:pPr>
              <w:pStyle w:val="TableFigureHeading"/>
              <w:jc w:val="center"/>
              <w:rPr>
                <w:b w:val="0"/>
                <w:bCs w:val="0"/>
              </w:rPr>
            </w:pPr>
            <w:r>
              <w:rPr>
                <w:b w:val="0"/>
                <w:bCs w:val="0"/>
              </w:rPr>
              <w:t>18 (13%)</w:t>
            </w:r>
          </w:p>
        </w:tc>
      </w:tr>
      <w:tr w:rsidR="009E128D" w14:paraId="386B6CF5" w14:textId="77777777" w:rsidTr="00073E8C">
        <w:tc>
          <w:tcPr>
            <w:tcW w:w="2254" w:type="dxa"/>
          </w:tcPr>
          <w:p w14:paraId="174F4C26" w14:textId="1EEAFF97" w:rsidR="009E128D" w:rsidRPr="009E128D" w:rsidRDefault="00ED388F" w:rsidP="009E128D">
            <w:pPr>
              <w:pStyle w:val="TableFigureHeading"/>
              <w:rPr>
                <w:b w:val="0"/>
                <w:bCs w:val="0"/>
              </w:rPr>
            </w:pPr>
            <w:r>
              <w:rPr>
                <w:b w:val="0"/>
                <w:bCs w:val="0"/>
              </w:rPr>
              <w:t>Death, n (%)</w:t>
            </w:r>
          </w:p>
        </w:tc>
        <w:tc>
          <w:tcPr>
            <w:tcW w:w="1127" w:type="dxa"/>
            <w:vAlign w:val="center"/>
          </w:tcPr>
          <w:p w14:paraId="2272F0DD" w14:textId="385C19B9" w:rsidR="009E128D" w:rsidRPr="009E128D" w:rsidRDefault="00ED388F" w:rsidP="00073E8C">
            <w:pPr>
              <w:pStyle w:val="TableFigureHeading"/>
              <w:jc w:val="center"/>
              <w:rPr>
                <w:b w:val="0"/>
                <w:bCs w:val="0"/>
              </w:rPr>
            </w:pPr>
            <w:r>
              <w:rPr>
                <w:b w:val="0"/>
                <w:bCs w:val="0"/>
              </w:rPr>
              <w:t>0</w:t>
            </w:r>
          </w:p>
        </w:tc>
        <w:tc>
          <w:tcPr>
            <w:tcW w:w="1127" w:type="dxa"/>
            <w:vAlign w:val="center"/>
          </w:tcPr>
          <w:p w14:paraId="58290553" w14:textId="6EAE0E15" w:rsidR="009E128D" w:rsidRPr="009E128D" w:rsidRDefault="00ED388F" w:rsidP="00073E8C">
            <w:pPr>
              <w:pStyle w:val="TableFigureHeading"/>
              <w:jc w:val="center"/>
              <w:rPr>
                <w:b w:val="0"/>
                <w:bCs w:val="0"/>
              </w:rPr>
            </w:pPr>
            <w:r>
              <w:rPr>
                <w:b w:val="0"/>
                <w:bCs w:val="0"/>
              </w:rPr>
              <w:t>1 (0.5%)</w:t>
            </w:r>
          </w:p>
        </w:tc>
        <w:tc>
          <w:tcPr>
            <w:tcW w:w="1127" w:type="dxa"/>
            <w:vAlign w:val="center"/>
          </w:tcPr>
          <w:p w14:paraId="52D09A1B" w14:textId="265F2F65" w:rsidR="009E128D" w:rsidRPr="009E128D" w:rsidRDefault="00ED388F" w:rsidP="00073E8C">
            <w:pPr>
              <w:pStyle w:val="TableFigureHeading"/>
              <w:jc w:val="center"/>
              <w:rPr>
                <w:b w:val="0"/>
                <w:bCs w:val="0"/>
              </w:rPr>
            </w:pPr>
            <w:r>
              <w:rPr>
                <w:b w:val="0"/>
                <w:bCs w:val="0"/>
              </w:rPr>
              <w:t>0</w:t>
            </w:r>
          </w:p>
        </w:tc>
        <w:tc>
          <w:tcPr>
            <w:tcW w:w="1127" w:type="dxa"/>
            <w:vAlign w:val="center"/>
          </w:tcPr>
          <w:p w14:paraId="38BE31D8" w14:textId="2CAA0198" w:rsidR="009E128D" w:rsidRPr="009E128D" w:rsidRDefault="00ED388F" w:rsidP="00073E8C">
            <w:pPr>
              <w:pStyle w:val="TableFigureHeading"/>
              <w:jc w:val="center"/>
              <w:rPr>
                <w:b w:val="0"/>
                <w:bCs w:val="0"/>
              </w:rPr>
            </w:pPr>
            <w:r>
              <w:rPr>
                <w:b w:val="0"/>
                <w:bCs w:val="0"/>
              </w:rPr>
              <w:t>0</w:t>
            </w:r>
          </w:p>
        </w:tc>
        <w:tc>
          <w:tcPr>
            <w:tcW w:w="1127" w:type="dxa"/>
            <w:vAlign w:val="center"/>
          </w:tcPr>
          <w:p w14:paraId="10F833E9" w14:textId="6E62D2F7" w:rsidR="009E128D" w:rsidRPr="009E128D" w:rsidRDefault="00ED388F" w:rsidP="00073E8C">
            <w:pPr>
              <w:pStyle w:val="TableFigureHeading"/>
              <w:jc w:val="center"/>
              <w:rPr>
                <w:b w:val="0"/>
                <w:bCs w:val="0"/>
              </w:rPr>
            </w:pPr>
            <w:r>
              <w:rPr>
                <w:b w:val="0"/>
                <w:bCs w:val="0"/>
              </w:rPr>
              <w:t>1 (0.4%)</w:t>
            </w:r>
          </w:p>
        </w:tc>
        <w:tc>
          <w:tcPr>
            <w:tcW w:w="1128" w:type="dxa"/>
            <w:vAlign w:val="center"/>
          </w:tcPr>
          <w:p w14:paraId="738B0C80" w14:textId="2FDBE7CB" w:rsidR="009E128D" w:rsidRPr="009E128D" w:rsidRDefault="00ED388F" w:rsidP="00073E8C">
            <w:pPr>
              <w:pStyle w:val="TableFigureHeading"/>
              <w:jc w:val="center"/>
              <w:rPr>
                <w:b w:val="0"/>
                <w:bCs w:val="0"/>
              </w:rPr>
            </w:pPr>
            <w:r>
              <w:rPr>
                <w:b w:val="0"/>
                <w:bCs w:val="0"/>
              </w:rPr>
              <w:t>0</w:t>
            </w:r>
          </w:p>
        </w:tc>
      </w:tr>
      <w:tr w:rsidR="009E128D" w14:paraId="4689CBCA" w14:textId="77777777" w:rsidTr="00073E8C">
        <w:tc>
          <w:tcPr>
            <w:tcW w:w="2254" w:type="dxa"/>
          </w:tcPr>
          <w:p w14:paraId="0C3FC069" w14:textId="5FFC61BD" w:rsidR="00BA12F6" w:rsidRPr="009E128D" w:rsidRDefault="00BA12F6" w:rsidP="009E128D">
            <w:pPr>
              <w:pStyle w:val="TableFigureHeading"/>
              <w:rPr>
                <w:b w:val="0"/>
                <w:bCs w:val="0"/>
              </w:rPr>
            </w:pPr>
            <w:r>
              <w:rPr>
                <w:b w:val="0"/>
                <w:bCs w:val="0"/>
              </w:rPr>
              <w:t>Patients with</w:t>
            </w:r>
            <w:r w:rsidR="008F5219">
              <w:rPr>
                <w:b w:val="0"/>
                <w:bCs w:val="0"/>
              </w:rPr>
              <w:t xml:space="preserve"> any</w:t>
            </w:r>
            <w:r>
              <w:rPr>
                <w:b w:val="0"/>
                <w:bCs w:val="0"/>
              </w:rPr>
              <w:t xml:space="preserve"> </w:t>
            </w:r>
            <w:r w:rsidR="008F5219">
              <w:rPr>
                <w:b w:val="0"/>
                <w:bCs w:val="0"/>
              </w:rPr>
              <w:t xml:space="preserve">injection site </w:t>
            </w:r>
            <w:r>
              <w:rPr>
                <w:b w:val="0"/>
                <w:bCs w:val="0"/>
              </w:rPr>
              <w:t>reaction, n (%)</w:t>
            </w:r>
          </w:p>
        </w:tc>
        <w:tc>
          <w:tcPr>
            <w:tcW w:w="1127" w:type="dxa"/>
            <w:vAlign w:val="center"/>
          </w:tcPr>
          <w:p w14:paraId="1C40551D" w14:textId="77777777" w:rsidR="00BA12F6" w:rsidRDefault="00BA12F6" w:rsidP="00073E8C">
            <w:pPr>
              <w:pStyle w:val="TableFigureHeading"/>
              <w:jc w:val="center"/>
              <w:rPr>
                <w:b w:val="0"/>
                <w:bCs w:val="0"/>
              </w:rPr>
            </w:pPr>
          </w:p>
          <w:p w14:paraId="1176457D" w14:textId="0ADA9A48" w:rsidR="00BA12F6" w:rsidRPr="009E128D" w:rsidRDefault="008F5219" w:rsidP="00073E8C">
            <w:pPr>
              <w:pStyle w:val="TableFigureHeading"/>
              <w:jc w:val="center"/>
              <w:rPr>
                <w:b w:val="0"/>
                <w:bCs w:val="0"/>
              </w:rPr>
            </w:pPr>
            <w:r>
              <w:rPr>
                <w:b w:val="0"/>
                <w:bCs w:val="0"/>
              </w:rPr>
              <w:t>3</w:t>
            </w:r>
            <w:r w:rsidR="00BA12F6">
              <w:rPr>
                <w:b w:val="0"/>
                <w:bCs w:val="0"/>
              </w:rPr>
              <w:t>1 (</w:t>
            </w:r>
            <w:r>
              <w:rPr>
                <w:b w:val="0"/>
                <w:bCs w:val="0"/>
              </w:rPr>
              <w:t>17</w:t>
            </w:r>
            <w:r w:rsidR="00BA12F6">
              <w:rPr>
                <w:b w:val="0"/>
                <w:bCs w:val="0"/>
              </w:rPr>
              <w:t>%)</w:t>
            </w:r>
          </w:p>
        </w:tc>
        <w:tc>
          <w:tcPr>
            <w:tcW w:w="1127" w:type="dxa"/>
            <w:vAlign w:val="center"/>
          </w:tcPr>
          <w:p w14:paraId="0A9090BF" w14:textId="77777777" w:rsidR="00BA12F6" w:rsidRDefault="00BA12F6" w:rsidP="00073E8C">
            <w:pPr>
              <w:pStyle w:val="TableFigureHeading"/>
              <w:jc w:val="center"/>
              <w:rPr>
                <w:b w:val="0"/>
                <w:bCs w:val="0"/>
              </w:rPr>
            </w:pPr>
          </w:p>
          <w:p w14:paraId="04C5219D" w14:textId="0C4C7351" w:rsidR="00BA12F6" w:rsidRPr="009E128D" w:rsidRDefault="00BA12F6" w:rsidP="00073E8C">
            <w:pPr>
              <w:pStyle w:val="TableFigureHeading"/>
              <w:jc w:val="center"/>
              <w:rPr>
                <w:b w:val="0"/>
                <w:bCs w:val="0"/>
              </w:rPr>
            </w:pPr>
            <w:r>
              <w:rPr>
                <w:b w:val="0"/>
                <w:bCs w:val="0"/>
              </w:rPr>
              <w:t>2</w:t>
            </w:r>
            <w:r w:rsidR="008F5219">
              <w:rPr>
                <w:b w:val="0"/>
                <w:bCs w:val="0"/>
              </w:rPr>
              <w:t>1</w:t>
            </w:r>
            <w:r>
              <w:rPr>
                <w:b w:val="0"/>
                <w:bCs w:val="0"/>
              </w:rPr>
              <w:t xml:space="preserve"> (1</w:t>
            </w:r>
            <w:r w:rsidR="008F5219">
              <w:rPr>
                <w:b w:val="0"/>
                <w:bCs w:val="0"/>
              </w:rPr>
              <w:t>2</w:t>
            </w:r>
            <w:r>
              <w:rPr>
                <w:b w:val="0"/>
                <w:bCs w:val="0"/>
              </w:rPr>
              <w:t>%)</w:t>
            </w:r>
          </w:p>
        </w:tc>
        <w:tc>
          <w:tcPr>
            <w:tcW w:w="1127" w:type="dxa"/>
            <w:vAlign w:val="center"/>
          </w:tcPr>
          <w:p w14:paraId="1526A787" w14:textId="77777777" w:rsidR="008F5219" w:rsidRDefault="008F5219" w:rsidP="00073E8C">
            <w:pPr>
              <w:pStyle w:val="TableFigureHeading"/>
              <w:jc w:val="center"/>
              <w:rPr>
                <w:b w:val="0"/>
                <w:bCs w:val="0"/>
              </w:rPr>
            </w:pPr>
          </w:p>
          <w:p w14:paraId="18E0964E" w14:textId="18A782A0" w:rsidR="008F5219" w:rsidRPr="009E128D" w:rsidRDefault="008F5219" w:rsidP="00073E8C">
            <w:pPr>
              <w:pStyle w:val="TableFigureHeading"/>
              <w:jc w:val="center"/>
              <w:rPr>
                <w:b w:val="0"/>
                <w:bCs w:val="0"/>
              </w:rPr>
            </w:pPr>
            <w:r>
              <w:rPr>
                <w:b w:val="0"/>
                <w:bCs w:val="0"/>
              </w:rPr>
              <w:t>NR</w:t>
            </w:r>
          </w:p>
        </w:tc>
        <w:tc>
          <w:tcPr>
            <w:tcW w:w="1127" w:type="dxa"/>
            <w:vAlign w:val="center"/>
          </w:tcPr>
          <w:p w14:paraId="56EE2549" w14:textId="77777777" w:rsidR="008F5219" w:rsidRDefault="008F5219" w:rsidP="00073E8C">
            <w:pPr>
              <w:pStyle w:val="TableFigureHeading"/>
              <w:jc w:val="center"/>
              <w:rPr>
                <w:b w:val="0"/>
                <w:bCs w:val="0"/>
              </w:rPr>
            </w:pPr>
          </w:p>
          <w:p w14:paraId="19A7309F" w14:textId="09195091" w:rsidR="009E128D" w:rsidRPr="009E128D" w:rsidRDefault="008F5219" w:rsidP="00073E8C">
            <w:pPr>
              <w:pStyle w:val="TableFigureHeading"/>
              <w:jc w:val="center"/>
              <w:rPr>
                <w:b w:val="0"/>
                <w:bCs w:val="0"/>
              </w:rPr>
            </w:pPr>
            <w:r>
              <w:rPr>
                <w:b w:val="0"/>
                <w:bCs w:val="0"/>
              </w:rPr>
              <w:t>NR</w:t>
            </w:r>
          </w:p>
        </w:tc>
        <w:tc>
          <w:tcPr>
            <w:tcW w:w="1127" w:type="dxa"/>
            <w:vAlign w:val="center"/>
          </w:tcPr>
          <w:p w14:paraId="0EE36FB4" w14:textId="77777777" w:rsidR="008F5219" w:rsidRDefault="008F5219" w:rsidP="00073E8C">
            <w:pPr>
              <w:pStyle w:val="TableFigureHeading"/>
              <w:jc w:val="center"/>
              <w:rPr>
                <w:b w:val="0"/>
                <w:bCs w:val="0"/>
              </w:rPr>
            </w:pPr>
          </w:p>
          <w:p w14:paraId="566C44A5" w14:textId="46A79931" w:rsidR="008F5219" w:rsidRPr="009E128D" w:rsidRDefault="008F5219" w:rsidP="00073E8C">
            <w:pPr>
              <w:pStyle w:val="TableFigureHeading"/>
              <w:jc w:val="center"/>
              <w:rPr>
                <w:b w:val="0"/>
                <w:bCs w:val="0"/>
              </w:rPr>
            </w:pPr>
            <w:r>
              <w:rPr>
                <w:b w:val="0"/>
                <w:bCs w:val="0"/>
              </w:rPr>
              <w:t>NR</w:t>
            </w:r>
          </w:p>
        </w:tc>
        <w:tc>
          <w:tcPr>
            <w:tcW w:w="1128" w:type="dxa"/>
            <w:vAlign w:val="center"/>
          </w:tcPr>
          <w:p w14:paraId="32BA2070" w14:textId="77777777" w:rsidR="008F5219" w:rsidRDefault="008F5219" w:rsidP="00073E8C">
            <w:pPr>
              <w:pStyle w:val="TableFigureHeading"/>
              <w:jc w:val="center"/>
              <w:rPr>
                <w:b w:val="0"/>
                <w:bCs w:val="0"/>
              </w:rPr>
            </w:pPr>
          </w:p>
          <w:p w14:paraId="3E00FA29" w14:textId="744A5989" w:rsidR="008F5219" w:rsidRPr="009E128D" w:rsidRDefault="008F5219" w:rsidP="00073E8C">
            <w:pPr>
              <w:pStyle w:val="TableFigureHeading"/>
              <w:jc w:val="center"/>
              <w:rPr>
                <w:b w:val="0"/>
                <w:bCs w:val="0"/>
              </w:rPr>
            </w:pPr>
            <w:r>
              <w:rPr>
                <w:b w:val="0"/>
                <w:bCs w:val="0"/>
              </w:rPr>
              <w:t>NR</w:t>
            </w:r>
          </w:p>
        </w:tc>
      </w:tr>
      <w:tr w:rsidR="009E128D" w14:paraId="54AF698A" w14:textId="77777777" w:rsidTr="00073E8C">
        <w:tc>
          <w:tcPr>
            <w:tcW w:w="2254" w:type="dxa"/>
          </w:tcPr>
          <w:p w14:paraId="0F33A06A" w14:textId="2877B9AC" w:rsidR="009E128D" w:rsidRPr="009E128D" w:rsidRDefault="00E3042D" w:rsidP="009E128D">
            <w:pPr>
              <w:pStyle w:val="TableFigureHeading"/>
              <w:rPr>
                <w:b w:val="0"/>
                <w:bCs w:val="0"/>
              </w:rPr>
            </w:pPr>
            <w:r>
              <w:rPr>
                <w:b w:val="0"/>
                <w:bCs w:val="0"/>
              </w:rPr>
              <w:t>Extra</w:t>
            </w:r>
            <w:r w:rsidR="002D15C9">
              <w:rPr>
                <w:b w:val="0"/>
                <w:bCs w:val="0"/>
              </w:rPr>
              <w:noBreakHyphen/>
            </w:r>
            <w:r>
              <w:rPr>
                <w:b w:val="0"/>
                <w:bCs w:val="0"/>
              </w:rPr>
              <w:t>pyramidal disorder, n (%)</w:t>
            </w:r>
          </w:p>
        </w:tc>
        <w:tc>
          <w:tcPr>
            <w:tcW w:w="1127" w:type="dxa"/>
            <w:vAlign w:val="center"/>
          </w:tcPr>
          <w:p w14:paraId="3BC0E8C3" w14:textId="77996A58" w:rsidR="009E128D" w:rsidRPr="009E128D" w:rsidRDefault="00E3042D" w:rsidP="00073E8C">
            <w:pPr>
              <w:pStyle w:val="TableFigureHeading"/>
              <w:jc w:val="center"/>
              <w:rPr>
                <w:b w:val="0"/>
                <w:bCs w:val="0"/>
              </w:rPr>
            </w:pPr>
            <w:r>
              <w:rPr>
                <w:b w:val="0"/>
                <w:bCs w:val="0"/>
              </w:rPr>
              <w:t>9 (5%)</w:t>
            </w:r>
          </w:p>
        </w:tc>
        <w:tc>
          <w:tcPr>
            <w:tcW w:w="1127" w:type="dxa"/>
            <w:vAlign w:val="center"/>
          </w:tcPr>
          <w:p w14:paraId="4A9DBBE7" w14:textId="1C123B22" w:rsidR="009E128D" w:rsidRPr="009E128D" w:rsidRDefault="00E3042D" w:rsidP="00073E8C">
            <w:pPr>
              <w:pStyle w:val="TableFigureHeading"/>
              <w:jc w:val="center"/>
              <w:rPr>
                <w:b w:val="0"/>
                <w:bCs w:val="0"/>
              </w:rPr>
            </w:pPr>
            <w:r>
              <w:rPr>
                <w:b w:val="0"/>
                <w:bCs w:val="0"/>
              </w:rPr>
              <w:t>0</w:t>
            </w:r>
          </w:p>
        </w:tc>
        <w:tc>
          <w:tcPr>
            <w:tcW w:w="1127" w:type="dxa"/>
            <w:vAlign w:val="center"/>
          </w:tcPr>
          <w:p w14:paraId="3BADA2F9" w14:textId="1D7E5995" w:rsidR="009E128D" w:rsidRPr="009E128D" w:rsidRDefault="00FA0713" w:rsidP="00073E8C">
            <w:pPr>
              <w:pStyle w:val="TableFigureHeading"/>
              <w:jc w:val="center"/>
              <w:rPr>
                <w:b w:val="0"/>
                <w:bCs w:val="0"/>
              </w:rPr>
            </w:pPr>
            <w:r>
              <w:rPr>
                <w:b w:val="0"/>
                <w:bCs w:val="0"/>
              </w:rPr>
              <w:t>12 (6%)</w:t>
            </w:r>
          </w:p>
        </w:tc>
        <w:tc>
          <w:tcPr>
            <w:tcW w:w="1127" w:type="dxa"/>
            <w:vAlign w:val="center"/>
          </w:tcPr>
          <w:p w14:paraId="203E6C01" w14:textId="5D68DC7E" w:rsidR="009E128D" w:rsidRPr="009E128D" w:rsidRDefault="00FA0713" w:rsidP="00073E8C">
            <w:pPr>
              <w:pStyle w:val="TableFigureHeading"/>
              <w:jc w:val="center"/>
              <w:rPr>
                <w:b w:val="0"/>
                <w:bCs w:val="0"/>
              </w:rPr>
            </w:pPr>
            <w:r>
              <w:rPr>
                <w:b w:val="0"/>
                <w:bCs w:val="0"/>
              </w:rPr>
              <w:t>4 (2%)</w:t>
            </w:r>
          </w:p>
        </w:tc>
        <w:tc>
          <w:tcPr>
            <w:tcW w:w="1127" w:type="dxa"/>
            <w:vAlign w:val="center"/>
          </w:tcPr>
          <w:p w14:paraId="7BF7EED2" w14:textId="279BBC61" w:rsidR="009E128D" w:rsidRPr="009E128D" w:rsidRDefault="00E3042D" w:rsidP="00073E8C">
            <w:pPr>
              <w:pStyle w:val="TableFigureHeading"/>
              <w:jc w:val="center"/>
              <w:rPr>
                <w:b w:val="0"/>
                <w:bCs w:val="0"/>
              </w:rPr>
            </w:pPr>
            <w:r>
              <w:rPr>
                <w:b w:val="0"/>
                <w:bCs w:val="0"/>
              </w:rPr>
              <w:t>40 (15%)</w:t>
            </w:r>
          </w:p>
        </w:tc>
        <w:tc>
          <w:tcPr>
            <w:tcW w:w="1128" w:type="dxa"/>
            <w:vAlign w:val="center"/>
          </w:tcPr>
          <w:p w14:paraId="15C22919" w14:textId="3BFCC750" w:rsidR="009E128D" w:rsidRPr="009E128D" w:rsidRDefault="00E3042D" w:rsidP="00073E8C">
            <w:pPr>
              <w:pStyle w:val="TableFigureHeading"/>
              <w:jc w:val="center"/>
              <w:rPr>
                <w:b w:val="0"/>
                <w:bCs w:val="0"/>
              </w:rPr>
            </w:pPr>
            <w:r>
              <w:rPr>
                <w:b w:val="0"/>
                <w:bCs w:val="0"/>
              </w:rPr>
              <w:t>13 (10%)</w:t>
            </w:r>
          </w:p>
        </w:tc>
      </w:tr>
      <w:tr w:rsidR="009E128D" w14:paraId="3A0DC203" w14:textId="77777777" w:rsidTr="00073E8C">
        <w:tc>
          <w:tcPr>
            <w:tcW w:w="2254" w:type="dxa"/>
          </w:tcPr>
          <w:p w14:paraId="6870BB95" w14:textId="1C20A424" w:rsidR="009E128D" w:rsidRPr="009E128D" w:rsidRDefault="00E3042D" w:rsidP="009E128D">
            <w:pPr>
              <w:pStyle w:val="TableFigureHeading"/>
              <w:rPr>
                <w:b w:val="0"/>
                <w:bCs w:val="0"/>
              </w:rPr>
            </w:pPr>
            <w:r>
              <w:rPr>
                <w:b w:val="0"/>
                <w:bCs w:val="0"/>
              </w:rPr>
              <w:t>Dizziness, n (%)</w:t>
            </w:r>
          </w:p>
        </w:tc>
        <w:tc>
          <w:tcPr>
            <w:tcW w:w="1127" w:type="dxa"/>
            <w:vAlign w:val="center"/>
          </w:tcPr>
          <w:p w14:paraId="004FEE8A" w14:textId="6FD0771D" w:rsidR="009E128D" w:rsidRPr="009E128D" w:rsidRDefault="00E3042D" w:rsidP="00073E8C">
            <w:pPr>
              <w:pStyle w:val="TableFigureHeading"/>
              <w:jc w:val="center"/>
              <w:rPr>
                <w:b w:val="0"/>
                <w:bCs w:val="0"/>
              </w:rPr>
            </w:pPr>
            <w:r>
              <w:rPr>
                <w:b w:val="0"/>
                <w:bCs w:val="0"/>
              </w:rPr>
              <w:t>7 (4%)</w:t>
            </w:r>
          </w:p>
        </w:tc>
        <w:tc>
          <w:tcPr>
            <w:tcW w:w="1127" w:type="dxa"/>
            <w:vAlign w:val="center"/>
          </w:tcPr>
          <w:p w14:paraId="47D924E9" w14:textId="133D6AB1" w:rsidR="009E128D" w:rsidRPr="009E128D" w:rsidRDefault="00E3042D" w:rsidP="00073E8C">
            <w:pPr>
              <w:pStyle w:val="TableFigureHeading"/>
              <w:jc w:val="center"/>
              <w:rPr>
                <w:b w:val="0"/>
                <w:bCs w:val="0"/>
              </w:rPr>
            </w:pPr>
            <w:r>
              <w:rPr>
                <w:b w:val="0"/>
                <w:bCs w:val="0"/>
              </w:rPr>
              <w:t>1 (0.5%)</w:t>
            </w:r>
          </w:p>
        </w:tc>
        <w:tc>
          <w:tcPr>
            <w:tcW w:w="1127" w:type="dxa"/>
            <w:vAlign w:val="center"/>
          </w:tcPr>
          <w:p w14:paraId="78939B04" w14:textId="055FF341" w:rsidR="009E128D" w:rsidRPr="009E128D" w:rsidRDefault="00791C83" w:rsidP="00073E8C">
            <w:pPr>
              <w:pStyle w:val="TableFigureHeading"/>
              <w:jc w:val="center"/>
              <w:rPr>
                <w:b w:val="0"/>
                <w:bCs w:val="0"/>
              </w:rPr>
            </w:pPr>
            <w:r>
              <w:rPr>
                <w:b w:val="0"/>
                <w:bCs w:val="0"/>
              </w:rPr>
              <w:t>NR</w:t>
            </w:r>
          </w:p>
        </w:tc>
        <w:tc>
          <w:tcPr>
            <w:tcW w:w="1127" w:type="dxa"/>
            <w:vAlign w:val="center"/>
          </w:tcPr>
          <w:p w14:paraId="7069DA0E" w14:textId="2401DBA9" w:rsidR="009E128D" w:rsidRPr="009E128D" w:rsidRDefault="00791C83" w:rsidP="00073E8C">
            <w:pPr>
              <w:pStyle w:val="TableFigureHeading"/>
              <w:jc w:val="center"/>
              <w:rPr>
                <w:b w:val="0"/>
                <w:bCs w:val="0"/>
              </w:rPr>
            </w:pPr>
            <w:r>
              <w:rPr>
                <w:b w:val="0"/>
                <w:bCs w:val="0"/>
              </w:rPr>
              <w:t>NR</w:t>
            </w:r>
          </w:p>
        </w:tc>
        <w:tc>
          <w:tcPr>
            <w:tcW w:w="1127" w:type="dxa"/>
            <w:vAlign w:val="center"/>
          </w:tcPr>
          <w:p w14:paraId="63502232" w14:textId="3B098BE7" w:rsidR="009E128D" w:rsidRPr="009E128D" w:rsidRDefault="00791C83" w:rsidP="00073E8C">
            <w:pPr>
              <w:pStyle w:val="TableFigureHeading"/>
              <w:jc w:val="center"/>
              <w:rPr>
                <w:b w:val="0"/>
                <w:bCs w:val="0"/>
              </w:rPr>
            </w:pPr>
            <w:r>
              <w:rPr>
                <w:b w:val="0"/>
                <w:bCs w:val="0"/>
              </w:rPr>
              <w:t>NR</w:t>
            </w:r>
          </w:p>
        </w:tc>
        <w:tc>
          <w:tcPr>
            <w:tcW w:w="1128" w:type="dxa"/>
            <w:vAlign w:val="center"/>
          </w:tcPr>
          <w:p w14:paraId="27DF3C01" w14:textId="219F889E" w:rsidR="009E128D" w:rsidRPr="009E128D" w:rsidRDefault="00791C83" w:rsidP="00073E8C">
            <w:pPr>
              <w:pStyle w:val="TableFigureHeading"/>
              <w:jc w:val="center"/>
              <w:rPr>
                <w:b w:val="0"/>
                <w:bCs w:val="0"/>
              </w:rPr>
            </w:pPr>
            <w:r>
              <w:rPr>
                <w:b w:val="0"/>
                <w:bCs w:val="0"/>
              </w:rPr>
              <w:t>NR</w:t>
            </w:r>
          </w:p>
        </w:tc>
      </w:tr>
      <w:tr w:rsidR="009E128D" w14:paraId="471CA5DF" w14:textId="77777777" w:rsidTr="00073E8C">
        <w:tc>
          <w:tcPr>
            <w:tcW w:w="2254" w:type="dxa"/>
          </w:tcPr>
          <w:p w14:paraId="3CD8CA27" w14:textId="452D676A" w:rsidR="009E128D" w:rsidRPr="009E128D" w:rsidRDefault="00E3042D" w:rsidP="009E128D">
            <w:pPr>
              <w:pStyle w:val="TableFigureHeading"/>
              <w:rPr>
                <w:b w:val="0"/>
                <w:bCs w:val="0"/>
              </w:rPr>
            </w:pPr>
            <w:r>
              <w:rPr>
                <w:b w:val="0"/>
                <w:bCs w:val="0"/>
              </w:rPr>
              <w:t>Somnolence, n (%)</w:t>
            </w:r>
          </w:p>
        </w:tc>
        <w:tc>
          <w:tcPr>
            <w:tcW w:w="1127" w:type="dxa"/>
            <w:vAlign w:val="center"/>
          </w:tcPr>
          <w:p w14:paraId="2E58758E" w14:textId="38A25C13" w:rsidR="009E128D" w:rsidRPr="009E128D" w:rsidRDefault="00E3042D" w:rsidP="00073E8C">
            <w:pPr>
              <w:pStyle w:val="TableFigureHeading"/>
              <w:jc w:val="center"/>
              <w:rPr>
                <w:b w:val="0"/>
                <w:bCs w:val="0"/>
              </w:rPr>
            </w:pPr>
            <w:r>
              <w:rPr>
                <w:b w:val="0"/>
                <w:bCs w:val="0"/>
              </w:rPr>
              <w:t>6 (3%)</w:t>
            </w:r>
          </w:p>
        </w:tc>
        <w:tc>
          <w:tcPr>
            <w:tcW w:w="1127" w:type="dxa"/>
            <w:vAlign w:val="center"/>
          </w:tcPr>
          <w:p w14:paraId="63D00492" w14:textId="1745D68A" w:rsidR="009E128D" w:rsidRPr="009E128D" w:rsidRDefault="00E3042D" w:rsidP="00073E8C">
            <w:pPr>
              <w:pStyle w:val="TableFigureHeading"/>
              <w:jc w:val="center"/>
              <w:rPr>
                <w:b w:val="0"/>
                <w:bCs w:val="0"/>
              </w:rPr>
            </w:pPr>
            <w:r>
              <w:rPr>
                <w:b w:val="0"/>
                <w:bCs w:val="0"/>
              </w:rPr>
              <w:t>1 (0.5%)</w:t>
            </w:r>
          </w:p>
        </w:tc>
        <w:tc>
          <w:tcPr>
            <w:tcW w:w="1127" w:type="dxa"/>
            <w:vAlign w:val="center"/>
          </w:tcPr>
          <w:p w14:paraId="27366DEE" w14:textId="2625FC43" w:rsidR="009E128D" w:rsidRPr="009E128D" w:rsidRDefault="00791C83" w:rsidP="00073E8C">
            <w:pPr>
              <w:pStyle w:val="TableFigureHeading"/>
              <w:jc w:val="center"/>
              <w:rPr>
                <w:b w:val="0"/>
                <w:bCs w:val="0"/>
              </w:rPr>
            </w:pPr>
            <w:r>
              <w:rPr>
                <w:b w:val="0"/>
                <w:bCs w:val="0"/>
              </w:rPr>
              <w:t>NR</w:t>
            </w:r>
          </w:p>
        </w:tc>
        <w:tc>
          <w:tcPr>
            <w:tcW w:w="1127" w:type="dxa"/>
            <w:vAlign w:val="center"/>
          </w:tcPr>
          <w:p w14:paraId="3E4C3D0A" w14:textId="5A01B30E" w:rsidR="009E128D" w:rsidRPr="009E128D" w:rsidRDefault="00791C83" w:rsidP="00073E8C">
            <w:pPr>
              <w:pStyle w:val="TableFigureHeading"/>
              <w:jc w:val="center"/>
              <w:rPr>
                <w:b w:val="0"/>
                <w:bCs w:val="0"/>
              </w:rPr>
            </w:pPr>
            <w:r>
              <w:rPr>
                <w:b w:val="0"/>
                <w:bCs w:val="0"/>
              </w:rPr>
              <w:t>NR</w:t>
            </w:r>
          </w:p>
        </w:tc>
        <w:tc>
          <w:tcPr>
            <w:tcW w:w="1127" w:type="dxa"/>
            <w:vAlign w:val="center"/>
          </w:tcPr>
          <w:p w14:paraId="33AAA53E" w14:textId="186E8ADD" w:rsidR="009E128D" w:rsidRPr="009E128D" w:rsidRDefault="00791C83" w:rsidP="00073E8C">
            <w:pPr>
              <w:pStyle w:val="TableFigureHeading"/>
              <w:jc w:val="center"/>
              <w:rPr>
                <w:b w:val="0"/>
                <w:bCs w:val="0"/>
              </w:rPr>
            </w:pPr>
            <w:r>
              <w:rPr>
                <w:b w:val="0"/>
                <w:bCs w:val="0"/>
              </w:rPr>
              <w:t>NR</w:t>
            </w:r>
          </w:p>
        </w:tc>
        <w:tc>
          <w:tcPr>
            <w:tcW w:w="1128" w:type="dxa"/>
            <w:vAlign w:val="center"/>
          </w:tcPr>
          <w:p w14:paraId="0DCE86F9" w14:textId="09B203CF" w:rsidR="009E128D" w:rsidRPr="009E128D" w:rsidRDefault="00791C83" w:rsidP="00073E8C">
            <w:pPr>
              <w:pStyle w:val="TableFigureHeading"/>
              <w:jc w:val="center"/>
              <w:rPr>
                <w:b w:val="0"/>
                <w:bCs w:val="0"/>
              </w:rPr>
            </w:pPr>
            <w:r>
              <w:rPr>
                <w:b w:val="0"/>
                <w:bCs w:val="0"/>
              </w:rPr>
              <w:t>NR</w:t>
            </w:r>
          </w:p>
        </w:tc>
      </w:tr>
    </w:tbl>
    <w:p w14:paraId="3E4060FE" w14:textId="6482224E" w:rsidR="009E128D" w:rsidRDefault="00791C83" w:rsidP="008F5219">
      <w:pPr>
        <w:pStyle w:val="TableFigureFooter"/>
      </w:pPr>
      <w:r>
        <w:t xml:space="preserve">Source: </w:t>
      </w:r>
      <w:r w:rsidR="008F5219">
        <w:t>Table 2</w:t>
      </w:r>
      <w:r w:rsidR="002D15C9">
        <w:noBreakHyphen/>
      </w:r>
      <w:r w:rsidR="008F5219">
        <w:t xml:space="preserve">40, p145 of the submission. AE = adverse event; </w:t>
      </w:r>
      <w:r w:rsidR="007D37F7">
        <w:t>A1M</w:t>
      </w:r>
      <w:r w:rsidR="008F5219">
        <w:t xml:space="preserve"> = aripiprazole; P</w:t>
      </w:r>
      <w:r w:rsidR="000A1662">
        <w:t>P1M</w:t>
      </w:r>
      <w:r w:rsidR="008F5219">
        <w:t xml:space="preserve"> = paliperidone; SAE = serious adverse event; TEAE = treatment emergent adverse event</w:t>
      </w:r>
      <w:r w:rsidR="00DB6FBC">
        <w:t>.</w:t>
      </w:r>
    </w:p>
    <w:p w14:paraId="24A800A6" w14:textId="3F6D477A" w:rsidR="00BA12F6" w:rsidRDefault="006C7343" w:rsidP="00D86231">
      <w:pPr>
        <w:pStyle w:val="3-BodyText"/>
        <w:rPr>
          <w:color w:val="000000" w:themeColor="text1"/>
        </w:rPr>
      </w:pPr>
      <w:r>
        <w:rPr>
          <w:color w:val="000000" w:themeColor="text1"/>
        </w:rPr>
        <w:t xml:space="preserve">Although there were no deaths among patients randomised to monthly </w:t>
      </w:r>
      <w:r w:rsidR="0019263D">
        <w:rPr>
          <w:color w:val="000000" w:themeColor="text1"/>
        </w:rPr>
        <w:t xml:space="preserve">MRSC </w:t>
      </w:r>
      <w:r>
        <w:rPr>
          <w:color w:val="000000" w:themeColor="text1"/>
        </w:rPr>
        <w:t>risperidone, there were</w:t>
      </w:r>
      <w:r w:rsidR="00ED388F" w:rsidRPr="00BA12F6">
        <w:rPr>
          <w:color w:val="000000" w:themeColor="text1"/>
        </w:rPr>
        <w:t xml:space="preserve"> four </w:t>
      </w:r>
      <w:r w:rsidR="00815C84">
        <w:rPr>
          <w:color w:val="000000" w:themeColor="text1"/>
        </w:rPr>
        <w:t xml:space="preserve">deaths </w:t>
      </w:r>
      <w:r w:rsidR="00ED388F" w:rsidRPr="00BA12F6">
        <w:rPr>
          <w:color w:val="000000" w:themeColor="text1"/>
        </w:rPr>
        <w:t>among pa</w:t>
      </w:r>
      <w:r w:rsidR="00BA12F6" w:rsidRPr="00BA12F6">
        <w:rPr>
          <w:color w:val="000000" w:themeColor="text1"/>
        </w:rPr>
        <w:t xml:space="preserve">tients randomised to 2nd monthly </w:t>
      </w:r>
      <w:r>
        <w:rPr>
          <w:color w:val="000000" w:themeColor="text1"/>
        </w:rPr>
        <w:t>treatment.</w:t>
      </w:r>
    </w:p>
    <w:p w14:paraId="4687ACA5" w14:textId="09E4F5B4" w:rsidR="00B961FF" w:rsidRDefault="000B304F" w:rsidP="00D86231">
      <w:pPr>
        <w:pStyle w:val="3-BodyText"/>
        <w:rPr>
          <w:color w:val="000000" w:themeColor="text1"/>
        </w:rPr>
      </w:pPr>
      <w:r>
        <w:rPr>
          <w:color w:val="000000" w:themeColor="text1"/>
        </w:rPr>
        <w:t xml:space="preserve">Weight gain and </w:t>
      </w:r>
      <w:r w:rsidR="00A50F53">
        <w:rPr>
          <w:color w:val="000000" w:themeColor="text1"/>
        </w:rPr>
        <w:t>hyperglycaemia</w:t>
      </w:r>
      <w:r>
        <w:rPr>
          <w:color w:val="000000" w:themeColor="text1"/>
        </w:rPr>
        <w:t xml:space="preserve"> are </w:t>
      </w:r>
      <w:r w:rsidR="00167C47">
        <w:rPr>
          <w:color w:val="000000" w:themeColor="text1"/>
        </w:rPr>
        <w:t>important</w:t>
      </w:r>
      <w:r>
        <w:rPr>
          <w:color w:val="000000" w:themeColor="text1"/>
        </w:rPr>
        <w:t xml:space="preserve"> adverse effects of antipsychotic medication</w:t>
      </w:r>
      <w:r w:rsidR="00167C47">
        <w:rPr>
          <w:color w:val="000000" w:themeColor="text1"/>
        </w:rPr>
        <w:t xml:space="preserve"> because of the high rate of serious cardiovascular disease in patients with schizophrenia</w:t>
      </w:r>
      <w:r>
        <w:rPr>
          <w:color w:val="000000" w:themeColor="text1"/>
        </w:rPr>
        <w:t xml:space="preserve">. </w:t>
      </w:r>
    </w:p>
    <w:p w14:paraId="5655B87F" w14:textId="40A4D230" w:rsidR="003B6099" w:rsidRDefault="000B304F" w:rsidP="00D86231">
      <w:pPr>
        <w:pStyle w:val="3-BodyText"/>
        <w:rPr>
          <w:color w:val="000000" w:themeColor="text1"/>
        </w:rPr>
      </w:pPr>
      <w:r>
        <w:rPr>
          <w:color w:val="000000" w:themeColor="text1"/>
        </w:rPr>
        <w:t xml:space="preserve">In RISE, increased weight was reported as an adverse event in 10/183 (6%) of </w:t>
      </w:r>
      <w:r w:rsidR="0019263D">
        <w:rPr>
          <w:color w:val="000000" w:themeColor="text1"/>
        </w:rPr>
        <w:t xml:space="preserve">MRSC </w:t>
      </w:r>
      <w:r>
        <w:rPr>
          <w:color w:val="000000" w:themeColor="text1"/>
        </w:rPr>
        <w:t>risperidone treated</w:t>
      </w:r>
      <w:r w:rsidR="00AC235A">
        <w:rPr>
          <w:color w:val="000000" w:themeColor="text1"/>
        </w:rPr>
        <w:t xml:space="preserve"> patients</w:t>
      </w:r>
      <w:r>
        <w:rPr>
          <w:color w:val="000000" w:themeColor="text1"/>
        </w:rPr>
        <w:t xml:space="preserve"> and</w:t>
      </w:r>
      <w:r w:rsidR="00167C47">
        <w:rPr>
          <w:color w:val="000000" w:themeColor="text1"/>
        </w:rPr>
        <w:t xml:space="preserve"> 6</w:t>
      </w:r>
      <w:r w:rsidR="00330989">
        <w:rPr>
          <w:color w:val="000000" w:themeColor="text1"/>
        </w:rPr>
        <w:t>/179</w:t>
      </w:r>
      <w:r w:rsidR="00167C47">
        <w:rPr>
          <w:color w:val="000000" w:themeColor="text1"/>
        </w:rPr>
        <w:t xml:space="preserve"> (3%) of </w:t>
      </w:r>
      <w:r>
        <w:rPr>
          <w:color w:val="000000" w:themeColor="text1"/>
        </w:rPr>
        <w:t>placebo treated patients</w:t>
      </w:r>
      <w:r w:rsidR="003B6099">
        <w:rPr>
          <w:color w:val="000000" w:themeColor="text1"/>
        </w:rPr>
        <w:t xml:space="preserve"> </w:t>
      </w:r>
      <w:r w:rsidR="003B6099">
        <w:t>(Table 47, p185, RISE CSR)</w:t>
      </w:r>
      <w:r>
        <w:rPr>
          <w:color w:val="000000" w:themeColor="text1"/>
        </w:rPr>
        <w:t>.</w:t>
      </w:r>
    </w:p>
    <w:p w14:paraId="3DBF7588" w14:textId="75F67F08" w:rsidR="003B6099" w:rsidRDefault="00B961FF" w:rsidP="00F43608">
      <w:pPr>
        <w:pStyle w:val="ListParagraph"/>
        <w:numPr>
          <w:ilvl w:val="1"/>
          <w:numId w:val="6"/>
        </w:numPr>
      </w:pPr>
      <w:r>
        <w:t xml:space="preserve">Increases in BMI of </w:t>
      </w:r>
      <w:r>
        <w:rPr>
          <w:rFonts w:ascii="Symbol" w:eastAsia="Symbol" w:hAnsi="Symbol" w:cs="Symbol"/>
        </w:rPr>
        <w:t>³</w:t>
      </w:r>
      <w:r>
        <w:t xml:space="preserve">5% but &lt;10% were reported in 26 (17%) </w:t>
      </w:r>
      <w:r w:rsidR="00167C47">
        <w:t xml:space="preserve">of </w:t>
      </w:r>
      <w:r w:rsidR="0019263D">
        <w:t xml:space="preserve">MRSC </w:t>
      </w:r>
      <w:r w:rsidR="00167C47">
        <w:t>risperidone</w:t>
      </w:r>
      <w:r w:rsidR="002D15C9">
        <w:noBreakHyphen/>
      </w:r>
      <w:r w:rsidR="00167C47">
        <w:t xml:space="preserve">treated </w:t>
      </w:r>
      <w:r>
        <w:t>and 16 (10%)</w:t>
      </w:r>
      <w:r w:rsidR="000B304F">
        <w:t xml:space="preserve"> </w:t>
      </w:r>
      <w:r w:rsidR="00167C47">
        <w:t>of</w:t>
      </w:r>
      <w:r>
        <w:t xml:space="preserve"> placebo treated patients</w:t>
      </w:r>
      <w:r w:rsidR="003B6099">
        <w:t>.</w:t>
      </w:r>
    </w:p>
    <w:p w14:paraId="52BD5AFD" w14:textId="2966F95D" w:rsidR="000B304F" w:rsidRDefault="003B6099" w:rsidP="00F43608">
      <w:pPr>
        <w:pStyle w:val="ListParagraph"/>
        <w:numPr>
          <w:ilvl w:val="1"/>
          <w:numId w:val="6"/>
        </w:numPr>
      </w:pPr>
      <w:r>
        <w:t>I</w:t>
      </w:r>
      <w:r w:rsidR="00B961FF">
        <w:t xml:space="preserve">ncreases in BMI of </w:t>
      </w:r>
      <w:r w:rsidR="00B961FF">
        <w:rPr>
          <w:rFonts w:ascii="Symbol" w:eastAsia="Symbol" w:hAnsi="Symbol" w:cs="Symbol"/>
        </w:rPr>
        <w:t>³</w:t>
      </w:r>
      <w:r w:rsidR="00B961FF">
        <w:t xml:space="preserve">10% </w:t>
      </w:r>
      <w:r w:rsidR="00FA0713">
        <w:t xml:space="preserve">in </w:t>
      </w:r>
      <w:r w:rsidR="00B961FF">
        <w:t xml:space="preserve">16 (10%) </w:t>
      </w:r>
      <w:r w:rsidR="00167C47">
        <w:t xml:space="preserve">of </w:t>
      </w:r>
      <w:r w:rsidR="0019263D">
        <w:t xml:space="preserve">MRSC </w:t>
      </w:r>
      <w:r w:rsidR="00167C47">
        <w:t>risperidone</w:t>
      </w:r>
      <w:r w:rsidR="000420DF">
        <w:t xml:space="preserve"> </w:t>
      </w:r>
      <w:r w:rsidR="00167C47">
        <w:t xml:space="preserve">treated </w:t>
      </w:r>
      <w:r w:rsidR="00B961FF">
        <w:t>and 6 (4%)</w:t>
      </w:r>
      <w:r w:rsidR="00167C47">
        <w:t xml:space="preserve"> of</w:t>
      </w:r>
      <w:r w:rsidR="00B961FF">
        <w:t xml:space="preserve"> placebo treated patients</w:t>
      </w:r>
      <w:r w:rsidR="008F5219">
        <w:t>.</w:t>
      </w:r>
    </w:p>
    <w:p w14:paraId="0D73AC7E" w14:textId="2ED182F4" w:rsidR="00776EE5" w:rsidRDefault="00776EE5" w:rsidP="00D86231">
      <w:pPr>
        <w:pStyle w:val="3-BodyText"/>
        <w:rPr>
          <w:color w:val="000000" w:themeColor="text1"/>
        </w:rPr>
      </w:pPr>
      <w:r>
        <w:rPr>
          <w:color w:val="000000" w:themeColor="text1"/>
        </w:rPr>
        <w:t>In Hough</w:t>
      </w:r>
      <w:r w:rsidR="009B4C83">
        <w:rPr>
          <w:color w:val="000000" w:themeColor="text1"/>
        </w:rPr>
        <w:t xml:space="preserve"> (</w:t>
      </w:r>
      <w:r>
        <w:rPr>
          <w:color w:val="000000" w:themeColor="text1"/>
        </w:rPr>
        <w:t>2010</w:t>
      </w:r>
      <w:r w:rsidR="009B4C83">
        <w:rPr>
          <w:color w:val="000000" w:themeColor="text1"/>
        </w:rPr>
        <w:t>)</w:t>
      </w:r>
      <w:r>
        <w:rPr>
          <w:color w:val="000000" w:themeColor="text1"/>
        </w:rPr>
        <w:t xml:space="preserve">, </w:t>
      </w:r>
      <w:r w:rsidR="00FA0713">
        <w:rPr>
          <w:color w:val="000000" w:themeColor="text1"/>
        </w:rPr>
        <w:t xml:space="preserve">weight gain </w:t>
      </w:r>
      <w:r w:rsidR="00FA0713">
        <w:rPr>
          <w:rFonts w:ascii="Symbol" w:eastAsia="Symbol" w:hAnsi="Symbol" w:cs="Symbol"/>
          <w:color w:val="000000" w:themeColor="text1"/>
        </w:rPr>
        <w:t>³</w:t>
      </w:r>
      <w:r w:rsidR="00FA0713">
        <w:rPr>
          <w:color w:val="000000" w:themeColor="text1"/>
        </w:rPr>
        <w:t>7% of double</w:t>
      </w:r>
      <w:r w:rsidR="002D15C9">
        <w:rPr>
          <w:color w:val="000000" w:themeColor="text1"/>
        </w:rPr>
        <w:noBreakHyphen/>
      </w:r>
      <w:r w:rsidR="00FA0713">
        <w:rPr>
          <w:color w:val="000000" w:themeColor="text1"/>
        </w:rPr>
        <w:t xml:space="preserve">blind baseline </w:t>
      </w:r>
      <w:r w:rsidR="00330989">
        <w:rPr>
          <w:color w:val="000000" w:themeColor="text1"/>
        </w:rPr>
        <w:t xml:space="preserve">was reported </w:t>
      </w:r>
      <w:r w:rsidR="00FA0713">
        <w:rPr>
          <w:color w:val="000000" w:themeColor="text1"/>
        </w:rPr>
        <w:t>in 6%</w:t>
      </w:r>
      <w:r w:rsidR="00330989" w:rsidRPr="00330989">
        <w:rPr>
          <w:color w:val="000000" w:themeColor="text1"/>
        </w:rPr>
        <w:t xml:space="preserve"> </w:t>
      </w:r>
      <w:r w:rsidR="00330989">
        <w:rPr>
          <w:color w:val="000000" w:themeColor="text1"/>
        </w:rPr>
        <w:t xml:space="preserve">of </w:t>
      </w:r>
      <w:r w:rsidR="0019263D">
        <w:rPr>
          <w:color w:val="000000" w:themeColor="text1"/>
        </w:rPr>
        <w:t>PP1M</w:t>
      </w:r>
      <w:r w:rsidR="002D15C9">
        <w:rPr>
          <w:color w:val="000000" w:themeColor="text1"/>
        </w:rPr>
        <w:noBreakHyphen/>
      </w:r>
      <w:r w:rsidR="00330989">
        <w:rPr>
          <w:color w:val="000000" w:themeColor="text1"/>
        </w:rPr>
        <w:t>treated patients</w:t>
      </w:r>
      <w:r w:rsidR="00FA0713">
        <w:rPr>
          <w:color w:val="000000" w:themeColor="text1"/>
        </w:rPr>
        <w:t xml:space="preserve"> and 3%</w:t>
      </w:r>
      <w:r w:rsidR="00330989">
        <w:rPr>
          <w:color w:val="000000" w:themeColor="text1"/>
        </w:rPr>
        <w:t xml:space="preserve"> of placebo</w:t>
      </w:r>
      <w:r w:rsidR="002D15C9">
        <w:rPr>
          <w:color w:val="000000" w:themeColor="text1"/>
        </w:rPr>
        <w:noBreakHyphen/>
      </w:r>
      <w:r w:rsidR="00330989">
        <w:rPr>
          <w:color w:val="000000" w:themeColor="text1"/>
        </w:rPr>
        <w:t>treated patients</w:t>
      </w:r>
      <w:r w:rsidR="00FA0713">
        <w:rPr>
          <w:color w:val="000000" w:themeColor="text1"/>
        </w:rPr>
        <w:t>.</w:t>
      </w:r>
      <w:r w:rsidR="00330989">
        <w:rPr>
          <w:color w:val="000000" w:themeColor="text1"/>
        </w:rPr>
        <w:t xml:space="preserve"> However, weight gain </w:t>
      </w:r>
      <w:r w:rsidR="00330989">
        <w:rPr>
          <w:rFonts w:ascii="Symbol" w:eastAsia="Symbol" w:hAnsi="Symbol" w:cs="Symbol"/>
          <w:color w:val="000000" w:themeColor="text1"/>
        </w:rPr>
        <w:t>³</w:t>
      </w:r>
      <w:r w:rsidR="00330989">
        <w:rPr>
          <w:color w:val="000000" w:themeColor="text1"/>
        </w:rPr>
        <w:t xml:space="preserve">7% of </w:t>
      </w:r>
      <w:r w:rsidR="00330989" w:rsidRPr="00C7236D">
        <w:rPr>
          <w:iCs/>
          <w:color w:val="000000" w:themeColor="text1"/>
        </w:rPr>
        <w:t>enrolment</w:t>
      </w:r>
      <w:r w:rsidR="00330989">
        <w:rPr>
          <w:color w:val="000000" w:themeColor="text1"/>
        </w:rPr>
        <w:t xml:space="preserve"> baseline occurred in 23% of </w:t>
      </w:r>
      <w:r w:rsidR="0019263D">
        <w:rPr>
          <w:color w:val="000000" w:themeColor="text1"/>
        </w:rPr>
        <w:t>PP1M</w:t>
      </w:r>
      <w:r w:rsidR="002D15C9">
        <w:rPr>
          <w:color w:val="000000" w:themeColor="text1"/>
        </w:rPr>
        <w:noBreakHyphen/>
      </w:r>
      <w:r w:rsidR="00330989">
        <w:rPr>
          <w:color w:val="000000" w:themeColor="text1"/>
        </w:rPr>
        <w:t>treated patients and 12% of placebo</w:t>
      </w:r>
      <w:r w:rsidR="002D15C9">
        <w:rPr>
          <w:color w:val="000000" w:themeColor="text1"/>
        </w:rPr>
        <w:noBreakHyphen/>
      </w:r>
      <w:r w:rsidR="00330989">
        <w:rPr>
          <w:color w:val="000000" w:themeColor="text1"/>
        </w:rPr>
        <w:t xml:space="preserve">treated patients, </w:t>
      </w:r>
      <w:r w:rsidR="00330989" w:rsidRPr="00C7236D">
        <w:rPr>
          <w:iCs/>
          <w:color w:val="000000" w:themeColor="text1"/>
        </w:rPr>
        <w:t>indicating the extent to which the prolonged pre</w:t>
      </w:r>
      <w:r w:rsidR="002D15C9">
        <w:rPr>
          <w:iCs/>
          <w:color w:val="000000" w:themeColor="text1"/>
        </w:rPr>
        <w:noBreakHyphen/>
      </w:r>
      <w:r w:rsidR="00330989" w:rsidRPr="00C7236D">
        <w:rPr>
          <w:iCs/>
          <w:color w:val="000000" w:themeColor="text1"/>
        </w:rPr>
        <w:t>randomisation treatment phases of the trials may have influenced adverse events.</w:t>
      </w:r>
      <w:r w:rsidR="00330989">
        <w:rPr>
          <w:color w:val="000000" w:themeColor="text1"/>
        </w:rPr>
        <w:t xml:space="preserve"> </w:t>
      </w:r>
      <w:r w:rsidR="00FA0713">
        <w:rPr>
          <w:color w:val="000000" w:themeColor="text1"/>
        </w:rPr>
        <w:t>I</w:t>
      </w:r>
      <w:r>
        <w:rPr>
          <w:color w:val="000000" w:themeColor="text1"/>
        </w:rPr>
        <w:t xml:space="preserve">ncreased weight was reported </w:t>
      </w:r>
      <w:r w:rsidR="00330989">
        <w:rPr>
          <w:color w:val="000000" w:themeColor="text1"/>
        </w:rPr>
        <w:t>during the double</w:t>
      </w:r>
      <w:r w:rsidR="002D15C9">
        <w:rPr>
          <w:color w:val="000000" w:themeColor="text1"/>
        </w:rPr>
        <w:noBreakHyphen/>
      </w:r>
      <w:r w:rsidR="00330989">
        <w:rPr>
          <w:color w:val="000000" w:themeColor="text1"/>
        </w:rPr>
        <w:t xml:space="preserve">blind phase </w:t>
      </w:r>
      <w:r>
        <w:rPr>
          <w:color w:val="000000" w:themeColor="text1"/>
        </w:rPr>
        <w:t xml:space="preserve">as an adverse event in 7% of </w:t>
      </w:r>
      <w:r w:rsidR="0019263D">
        <w:rPr>
          <w:color w:val="000000" w:themeColor="text1"/>
        </w:rPr>
        <w:t>PP1M</w:t>
      </w:r>
      <w:r w:rsidR="002D15C9">
        <w:rPr>
          <w:color w:val="000000" w:themeColor="text1"/>
        </w:rPr>
        <w:noBreakHyphen/>
      </w:r>
      <w:r>
        <w:rPr>
          <w:color w:val="000000" w:themeColor="text1"/>
        </w:rPr>
        <w:t>treated patients and in 1% of placebo</w:t>
      </w:r>
      <w:r w:rsidR="002D15C9">
        <w:rPr>
          <w:color w:val="000000" w:themeColor="text1"/>
        </w:rPr>
        <w:noBreakHyphen/>
      </w:r>
      <w:r>
        <w:rPr>
          <w:color w:val="000000" w:themeColor="text1"/>
        </w:rPr>
        <w:t>treated patients. Hyperglyc</w:t>
      </w:r>
      <w:r w:rsidR="00864229">
        <w:rPr>
          <w:color w:val="000000" w:themeColor="text1"/>
        </w:rPr>
        <w:t>a</w:t>
      </w:r>
      <w:r>
        <w:rPr>
          <w:color w:val="000000" w:themeColor="text1"/>
        </w:rPr>
        <w:t xml:space="preserve">emia was reported as an adverse event in 3% of </w:t>
      </w:r>
      <w:r w:rsidR="0019263D">
        <w:rPr>
          <w:color w:val="000000" w:themeColor="text1"/>
        </w:rPr>
        <w:t>PP1M</w:t>
      </w:r>
      <w:r w:rsidR="002D15C9">
        <w:rPr>
          <w:color w:val="000000" w:themeColor="text1"/>
        </w:rPr>
        <w:noBreakHyphen/>
      </w:r>
      <w:r>
        <w:rPr>
          <w:color w:val="000000" w:themeColor="text1"/>
        </w:rPr>
        <w:t>treated patients and in 1% of placebo</w:t>
      </w:r>
      <w:r w:rsidR="002D15C9">
        <w:rPr>
          <w:color w:val="000000" w:themeColor="text1"/>
        </w:rPr>
        <w:noBreakHyphen/>
      </w:r>
      <w:r>
        <w:rPr>
          <w:color w:val="000000" w:themeColor="text1"/>
        </w:rPr>
        <w:t xml:space="preserve">treated patients. </w:t>
      </w:r>
    </w:p>
    <w:p w14:paraId="50B40368" w14:textId="55CA14B0" w:rsidR="00167C47" w:rsidRDefault="00B961FF" w:rsidP="00D86231">
      <w:pPr>
        <w:pStyle w:val="3-BodyText"/>
        <w:rPr>
          <w:color w:val="000000" w:themeColor="text1"/>
        </w:rPr>
      </w:pPr>
      <w:r>
        <w:rPr>
          <w:color w:val="000000" w:themeColor="text1"/>
        </w:rPr>
        <w:t xml:space="preserve">In ASPIRE, weight gain </w:t>
      </w:r>
      <w:r>
        <w:rPr>
          <w:rFonts w:ascii="Symbol" w:eastAsia="Symbol" w:hAnsi="Symbol" w:cs="Symbol"/>
          <w:color w:val="000000" w:themeColor="text1"/>
        </w:rPr>
        <w:t>³</w:t>
      </w:r>
      <w:r>
        <w:rPr>
          <w:color w:val="000000" w:themeColor="text1"/>
        </w:rPr>
        <w:t>7% of baseline</w:t>
      </w:r>
      <w:r w:rsidR="00330989">
        <w:rPr>
          <w:color w:val="000000" w:themeColor="text1"/>
        </w:rPr>
        <w:t xml:space="preserve"> </w:t>
      </w:r>
      <w:r>
        <w:rPr>
          <w:color w:val="000000" w:themeColor="text1"/>
        </w:rPr>
        <w:t xml:space="preserve">was observed in 6.4% and 5.2% of </w:t>
      </w:r>
      <w:r w:rsidR="007D37F7">
        <w:rPr>
          <w:color w:val="000000" w:themeColor="text1"/>
        </w:rPr>
        <w:t>A1M</w:t>
      </w:r>
      <w:r w:rsidR="0019263D">
        <w:rPr>
          <w:color w:val="000000" w:themeColor="text1"/>
        </w:rPr>
        <w:t xml:space="preserve"> </w:t>
      </w:r>
      <w:r>
        <w:rPr>
          <w:color w:val="000000" w:themeColor="text1"/>
        </w:rPr>
        <w:t>and placebo</w:t>
      </w:r>
      <w:r w:rsidR="002D15C9">
        <w:rPr>
          <w:color w:val="000000" w:themeColor="text1"/>
        </w:rPr>
        <w:noBreakHyphen/>
      </w:r>
      <w:r>
        <w:rPr>
          <w:color w:val="000000" w:themeColor="text1"/>
        </w:rPr>
        <w:t xml:space="preserve">treated patients, respectively. </w:t>
      </w:r>
      <w:r w:rsidR="00776EE5">
        <w:rPr>
          <w:color w:val="000000" w:themeColor="text1"/>
        </w:rPr>
        <w:t xml:space="preserve">Among patients whose fasting metabolic </w:t>
      </w:r>
      <w:r w:rsidR="00776EE5">
        <w:rPr>
          <w:color w:val="000000" w:themeColor="text1"/>
        </w:rPr>
        <w:lastRenderedPageBreak/>
        <w:t>parameters were normal at baseline, f</w:t>
      </w:r>
      <w:r>
        <w:rPr>
          <w:color w:val="000000" w:themeColor="text1"/>
        </w:rPr>
        <w:t>asting hyperglyc</w:t>
      </w:r>
      <w:r w:rsidR="00330989">
        <w:rPr>
          <w:color w:val="000000" w:themeColor="text1"/>
        </w:rPr>
        <w:t>a</w:t>
      </w:r>
      <w:r>
        <w:rPr>
          <w:color w:val="000000" w:themeColor="text1"/>
        </w:rPr>
        <w:t xml:space="preserve">emia </w:t>
      </w:r>
      <w:r w:rsidR="00776EE5">
        <w:rPr>
          <w:color w:val="000000" w:themeColor="text1"/>
        </w:rPr>
        <w:t xml:space="preserve">developed in 7/157 (4.5%) </w:t>
      </w:r>
      <w:r w:rsidR="007D37F7">
        <w:rPr>
          <w:color w:val="000000" w:themeColor="text1"/>
        </w:rPr>
        <w:t>A1M</w:t>
      </w:r>
      <w:r w:rsidR="002D15C9">
        <w:rPr>
          <w:color w:val="000000" w:themeColor="text1"/>
        </w:rPr>
        <w:noBreakHyphen/>
      </w:r>
      <w:r w:rsidR="00776EE5">
        <w:rPr>
          <w:color w:val="000000" w:themeColor="text1"/>
        </w:rPr>
        <w:t>treated patients and 2/80 (2.5%) of placebo</w:t>
      </w:r>
      <w:r w:rsidR="002D15C9">
        <w:rPr>
          <w:color w:val="000000" w:themeColor="text1"/>
        </w:rPr>
        <w:noBreakHyphen/>
      </w:r>
      <w:r w:rsidR="00776EE5">
        <w:rPr>
          <w:color w:val="000000" w:themeColor="text1"/>
        </w:rPr>
        <w:t xml:space="preserve">treated patients. </w:t>
      </w:r>
    </w:p>
    <w:p w14:paraId="35BE6A4F" w14:textId="2DAFCB48" w:rsidR="00FA0713" w:rsidRDefault="00FA0713" w:rsidP="00D86231">
      <w:pPr>
        <w:pStyle w:val="3-BodyText"/>
        <w:rPr>
          <w:color w:val="000000" w:themeColor="text1"/>
        </w:rPr>
      </w:pPr>
      <w:r>
        <w:rPr>
          <w:color w:val="000000" w:themeColor="text1"/>
        </w:rPr>
        <w:t xml:space="preserve">Prolactin levels </w:t>
      </w:r>
      <w:r w:rsidR="0093072C">
        <w:rPr>
          <w:color w:val="000000" w:themeColor="text1"/>
        </w:rPr>
        <w:t>are increased by antipsychotic medications</w:t>
      </w:r>
      <w:r w:rsidR="00285683">
        <w:rPr>
          <w:color w:val="000000" w:themeColor="text1"/>
        </w:rPr>
        <w:t>,</w:t>
      </w:r>
      <w:r w:rsidR="00A6693A">
        <w:rPr>
          <w:color w:val="000000" w:themeColor="text1"/>
        </w:rPr>
        <w:t xml:space="preserve"> and the elevation of prolactin may cause</w:t>
      </w:r>
      <w:r w:rsidR="0093072C">
        <w:rPr>
          <w:color w:val="000000" w:themeColor="text1"/>
        </w:rPr>
        <w:t xml:space="preserve"> </w:t>
      </w:r>
      <w:r w:rsidR="00437FF6">
        <w:rPr>
          <w:color w:val="000000" w:themeColor="text1"/>
        </w:rPr>
        <w:t>galactorrhoea, sexual dysfunction,</w:t>
      </w:r>
      <w:r w:rsidR="00864229">
        <w:rPr>
          <w:color w:val="000000" w:themeColor="text1"/>
        </w:rPr>
        <w:t xml:space="preserve"> and </w:t>
      </w:r>
      <w:r w:rsidR="00437FF6">
        <w:rPr>
          <w:color w:val="000000" w:themeColor="text1"/>
        </w:rPr>
        <w:t xml:space="preserve">in females </w:t>
      </w:r>
      <w:r w:rsidR="00791C83">
        <w:rPr>
          <w:color w:val="000000" w:themeColor="text1"/>
        </w:rPr>
        <w:t>amenorrhoea and</w:t>
      </w:r>
      <w:r w:rsidR="0093072C">
        <w:rPr>
          <w:color w:val="000000" w:themeColor="text1"/>
        </w:rPr>
        <w:t xml:space="preserve"> bone loss. </w:t>
      </w:r>
      <w:r w:rsidR="00E337F6">
        <w:rPr>
          <w:color w:val="000000" w:themeColor="text1"/>
        </w:rPr>
        <w:t>There appears to be an association between antipsychotic medications, especially risperidone,</w:t>
      </w:r>
      <w:r w:rsidR="00E337F6" w:rsidRPr="003A3D2D">
        <w:rPr>
          <w:color w:val="000000" w:themeColor="text1"/>
        </w:rPr>
        <w:t xml:space="preserve"> </w:t>
      </w:r>
      <w:r w:rsidR="00E337F6">
        <w:rPr>
          <w:color w:val="000000" w:themeColor="text1"/>
        </w:rPr>
        <w:t xml:space="preserve">and </w:t>
      </w:r>
      <w:r w:rsidR="00E337F6" w:rsidRPr="003A3D2D">
        <w:rPr>
          <w:color w:val="000000" w:themeColor="text1"/>
        </w:rPr>
        <w:t>pituitary adenomas</w:t>
      </w:r>
      <w:r w:rsidR="00E337F6">
        <w:rPr>
          <w:color w:val="000000" w:themeColor="text1"/>
        </w:rPr>
        <w:t>.</w:t>
      </w:r>
      <w:r w:rsidR="00E337F6">
        <w:rPr>
          <w:rStyle w:val="FootnoteReference"/>
          <w:color w:val="000000" w:themeColor="text1"/>
        </w:rPr>
        <w:footnoteReference w:id="7"/>
      </w:r>
    </w:p>
    <w:p w14:paraId="0DEECC48" w14:textId="2B2B6668" w:rsidR="00437FF6" w:rsidRDefault="00063BCA" w:rsidP="00D86231">
      <w:pPr>
        <w:pStyle w:val="3-BodyText"/>
        <w:rPr>
          <w:color w:val="000000" w:themeColor="text1"/>
        </w:rPr>
      </w:pPr>
      <w:r>
        <w:rPr>
          <w:color w:val="000000" w:themeColor="text1"/>
        </w:rPr>
        <w:t>In RISE, prolactin</w:t>
      </w:r>
      <w:r w:rsidR="00E029F7">
        <w:rPr>
          <w:color w:val="000000" w:themeColor="text1"/>
        </w:rPr>
        <w:t xml:space="preserve"> levels</w:t>
      </w:r>
      <w:r>
        <w:rPr>
          <w:color w:val="000000" w:themeColor="text1"/>
        </w:rPr>
        <w:t xml:space="preserve"> </w:t>
      </w:r>
      <w:r>
        <w:rPr>
          <w:rFonts w:ascii="Symbol" w:eastAsia="Symbol" w:hAnsi="Symbol" w:cs="Symbol"/>
          <w:color w:val="000000" w:themeColor="text1"/>
        </w:rPr>
        <w:t>³</w:t>
      </w:r>
      <w:r>
        <w:rPr>
          <w:color w:val="000000" w:themeColor="text1"/>
        </w:rPr>
        <w:t>2 times the upper limit of normal (ULN) were reported in 17/179 (10%) of placebo</w:t>
      </w:r>
      <w:r w:rsidR="002D15C9">
        <w:rPr>
          <w:color w:val="000000" w:themeColor="text1"/>
        </w:rPr>
        <w:noBreakHyphen/>
      </w:r>
      <w:r>
        <w:rPr>
          <w:color w:val="000000" w:themeColor="text1"/>
        </w:rPr>
        <w:t xml:space="preserve">treated and 62/183 (35%) of </w:t>
      </w:r>
      <w:r w:rsidR="0019263D">
        <w:rPr>
          <w:color w:val="000000" w:themeColor="text1"/>
        </w:rPr>
        <w:t xml:space="preserve">MRSC </w:t>
      </w:r>
      <w:r>
        <w:rPr>
          <w:color w:val="000000" w:themeColor="text1"/>
        </w:rPr>
        <w:t xml:space="preserve">risperidone treated patients; increases to </w:t>
      </w:r>
      <w:r>
        <w:rPr>
          <w:rFonts w:ascii="Symbol" w:eastAsia="Symbol" w:hAnsi="Symbol" w:cs="Symbol"/>
          <w:color w:val="000000" w:themeColor="text1"/>
        </w:rPr>
        <w:t>³</w:t>
      </w:r>
      <w:r>
        <w:rPr>
          <w:color w:val="000000" w:themeColor="text1"/>
        </w:rPr>
        <w:t>5 times ULN were reported in 3 (2%) of placebo</w:t>
      </w:r>
      <w:r w:rsidR="002D15C9">
        <w:rPr>
          <w:color w:val="000000" w:themeColor="text1"/>
        </w:rPr>
        <w:noBreakHyphen/>
      </w:r>
      <w:r>
        <w:rPr>
          <w:color w:val="000000" w:themeColor="text1"/>
        </w:rPr>
        <w:t xml:space="preserve">treated and 14 (8%) of </w:t>
      </w:r>
      <w:r w:rsidR="0019263D">
        <w:rPr>
          <w:color w:val="000000" w:themeColor="text1"/>
        </w:rPr>
        <w:t xml:space="preserve">MRSC </w:t>
      </w:r>
      <w:r>
        <w:rPr>
          <w:color w:val="000000" w:themeColor="text1"/>
        </w:rPr>
        <w:t>risperidone</w:t>
      </w:r>
      <w:r w:rsidR="000420DF">
        <w:rPr>
          <w:color w:val="000000" w:themeColor="text1"/>
        </w:rPr>
        <w:t xml:space="preserve"> </w:t>
      </w:r>
      <w:r>
        <w:rPr>
          <w:color w:val="000000" w:themeColor="text1"/>
        </w:rPr>
        <w:t xml:space="preserve">treated patients (RISE CSR). </w:t>
      </w:r>
    </w:p>
    <w:p w14:paraId="2E798FDA" w14:textId="4FF93657" w:rsidR="00791C83" w:rsidRDefault="00063BCA" w:rsidP="00D86231">
      <w:pPr>
        <w:pStyle w:val="3-BodyText"/>
        <w:rPr>
          <w:color w:val="000000" w:themeColor="text1"/>
        </w:rPr>
      </w:pPr>
      <w:r>
        <w:rPr>
          <w:color w:val="000000" w:themeColor="text1"/>
        </w:rPr>
        <w:t xml:space="preserve">Three patients treated with </w:t>
      </w:r>
      <w:r w:rsidR="0019263D">
        <w:rPr>
          <w:color w:val="000000" w:themeColor="text1"/>
        </w:rPr>
        <w:t xml:space="preserve">MRSC </w:t>
      </w:r>
      <w:r>
        <w:rPr>
          <w:color w:val="000000" w:themeColor="text1"/>
        </w:rPr>
        <w:t>risperidone</w:t>
      </w:r>
      <w:r w:rsidR="0019263D">
        <w:rPr>
          <w:color w:val="000000" w:themeColor="text1"/>
        </w:rPr>
        <w:t xml:space="preserve"> </w:t>
      </w:r>
      <w:r>
        <w:rPr>
          <w:color w:val="000000" w:themeColor="text1"/>
        </w:rPr>
        <w:t>had galactorrhoea (one treated with monthly injections and two with 2nd monthly injections) and two had gynecomastia (one treated with monthly injections</w:t>
      </w:r>
      <w:r w:rsidR="00330989">
        <w:rPr>
          <w:color w:val="000000" w:themeColor="text1"/>
        </w:rPr>
        <w:t xml:space="preserve"> and one with 2nd monthly injections</w:t>
      </w:r>
      <w:r>
        <w:rPr>
          <w:color w:val="000000" w:themeColor="text1"/>
        </w:rPr>
        <w:t>)</w:t>
      </w:r>
      <w:r w:rsidR="00791C83">
        <w:rPr>
          <w:color w:val="000000" w:themeColor="text1"/>
        </w:rPr>
        <w:t xml:space="preserve"> (</w:t>
      </w:r>
      <w:r w:rsidR="008F5219">
        <w:rPr>
          <w:color w:val="000000" w:themeColor="text1"/>
        </w:rPr>
        <w:t xml:space="preserve"> RISE CSR). </w:t>
      </w:r>
    </w:p>
    <w:p w14:paraId="538BFDF6" w14:textId="0544F1E7" w:rsidR="00E01EDA" w:rsidRDefault="00791C83" w:rsidP="00D86231">
      <w:pPr>
        <w:pStyle w:val="3-BodyText"/>
        <w:rPr>
          <w:color w:val="000000" w:themeColor="text1"/>
        </w:rPr>
      </w:pPr>
      <w:r>
        <w:rPr>
          <w:color w:val="000000" w:themeColor="text1"/>
        </w:rPr>
        <w:t xml:space="preserve">Hough </w:t>
      </w:r>
      <w:r w:rsidR="00651F73">
        <w:rPr>
          <w:color w:val="000000" w:themeColor="text1"/>
        </w:rPr>
        <w:t>(</w:t>
      </w:r>
      <w:r>
        <w:rPr>
          <w:color w:val="000000" w:themeColor="text1"/>
        </w:rPr>
        <w:t>2010</w:t>
      </w:r>
      <w:r w:rsidR="00651F73">
        <w:rPr>
          <w:color w:val="000000" w:themeColor="text1"/>
        </w:rPr>
        <w:t>)</w:t>
      </w:r>
      <w:r>
        <w:rPr>
          <w:color w:val="000000" w:themeColor="text1"/>
        </w:rPr>
        <w:t xml:space="preserve"> reported prolactin</w:t>
      </w:r>
      <w:r w:rsidR="002D15C9">
        <w:rPr>
          <w:color w:val="000000" w:themeColor="text1"/>
        </w:rPr>
        <w:noBreakHyphen/>
      </w:r>
      <w:r>
        <w:rPr>
          <w:color w:val="000000" w:themeColor="text1"/>
        </w:rPr>
        <w:t>related adverse events in 5/203 (2%)</w:t>
      </w:r>
      <w:r w:rsidR="00063BCA">
        <w:rPr>
          <w:color w:val="000000" w:themeColor="text1"/>
        </w:rPr>
        <w:t xml:space="preserve"> </w:t>
      </w:r>
      <w:r w:rsidR="0019263D">
        <w:rPr>
          <w:color w:val="000000" w:themeColor="text1"/>
        </w:rPr>
        <w:t>PP1M</w:t>
      </w:r>
      <w:r w:rsidR="002D15C9">
        <w:rPr>
          <w:color w:val="000000" w:themeColor="text1"/>
        </w:rPr>
        <w:noBreakHyphen/>
      </w:r>
      <w:r>
        <w:rPr>
          <w:color w:val="000000" w:themeColor="text1"/>
        </w:rPr>
        <w:t>treated patients and 3/205 (2%) of placebo</w:t>
      </w:r>
      <w:r w:rsidR="002D15C9">
        <w:rPr>
          <w:color w:val="000000" w:themeColor="text1"/>
        </w:rPr>
        <w:noBreakHyphen/>
      </w:r>
      <w:r>
        <w:rPr>
          <w:color w:val="000000" w:themeColor="text1"/>
        </w:rPr>
        <w:t>treated patients. However, 28 patients had prolactin</w:t>
      </w:r>
      <w:r w:rsidR="002D15C9">
        <w:rPr>
          <w:color w:val="000000" w:themeColor="text1"/>
        </w:rPr>
        <w:noBreakHyphen/>
      </w:r>
      <w:r>
        <w:rPr>
          <w:color w:val="000000" w:themeColor="text1"/>
        </w:rPr>
        <w:t>related adverse events during the open</w:t>
      </w:r>
      <w:r w:rsidR="002D15C9">
        <w:rPr>
          <w:color w:val="000000" w:themeColor="text1"/>
        </w:rPr>
        <w:noBreakHyphen/>
      </w:r>
      <w:r>
        <w:rPr>
          <w:color w:val="000000" w:themeColor="text1"/>
        </w:rPr>
        <w:t>label transition and maintenance phases</w:t>
      </w:r>
      <w:r w:rsidR="00741D88">
        <w:rPr>
          <w:color w:val="000000" w:themeColor="text1"/>
        </w:rPr>
        <w:t xml:space="preserve">. The evaluation </w:t>
      </w:r>
      <w:r w:rsidR="008731E5">
        <w:rPr>
          <w:color w:val="000000" w:themeColor="text1"/>
        </w:rPr>
        <w:t>there</w:t>
      </w:r>
      <w:r w:rsidR="001B07B2">
        <w:rPr>
          <w:color w:val="000000" w:themeColor="text1"/>
        </w:rPr>
        <w:t>fore considered</w:t>
      </w:r>
      <w:r w:rsidR="008731E5">
        <w:rPr>
          <w:color w:val="000000" w:themeColor="text1"/>
        </w:rPr>
        <w:t xml:space="preserve"> </w:t>
      </w:r>
      <w:r>
        <w:rPr>
          <w:color w:val="000000" w:themeColor="text1"/>
        </w:rPr>
        <w:t>the rate of prolactin</w:t>
      </w:r>
      <w:r w:rsidR="002D15C9">
        <w:rPr>
          <w:color w:val="000000" w:themeColor="text1"/>
        </w:rPr>
        <w:noBreakHyphen/>
      </w:r>
      <w:r>
        <w:rPr>
          <w:color w:val="000000" w:themeColor="text1"/>
        </w:rPr>
        <w:t>related adverse events in the double</w:t>
      </w:r>
      <w:r w:rsidR="002D15C9">
        <w:rPr>
          <w:color w:val="000000" w:themeColor="text1"/>
        </w:rPr>
        <w:noBreakHyphen/>
      </w:r>
      <w:r>
        <w:rPr>
          <w:color w:val="000000" w:themeColor="text1"/>
        </w:rPr>
        <w:t>blind phase may under</w:t>
      </w:r>
      <w:r w:rsidR="002D15C9">
        <w:rPr>
          <w:color w:val="000000" w:themeColor="text1"/>
        </w:rPr>
        <w:noBreakHyphen/>
      </w:r>
      <w:r>
        <w:rPr>
          <w:color w:val="000000" w:themeColor="text1"/>
        </w:rPr>
        <w:t xml:space="preserve">estimate the actual risk. </w:t>
      </w:r>
    </w:p>
    <w:p w14:paraId="1ECB5A2D" w14:textId="37E3A5A8" w:rsidR="00063BCA" w:rsidRDefault="00864229" w:rsidP="00D86231">
      <w:pPr>
        <w:pStyle w:val="3-BodyText"/>
        <w:rPr>
          <w:color w:val="000000" w:themeColor="text1"/>
        </w:rPr>
      </w:pPr>
      <w:r>
        <w:rPr>
          <w:color w:val="000000" w:themeColor="text1"/>
        </w:rPr>
        <w:t>In ASPIRE</w:t>
      </w:r>
      <w:r w:rsidR="004F3330">
        <w:rPr>
          <w:color w:val="000000" w:themeColor="text1"/>
        </w:rPr>
        <w:t>,</w:t>
      </w:r>
      <w:r>
        <w:rPr>
          <w:color w:val="000000" w:themeColor="text1"/>
        </w:rPr>
        <w:t xml:space="preserve"> </w:t>
      </w:r>
      <w:r w:rsidR="00E01EDA">
        <w:rPr>
          <w:color w:val="000000" w:themeColor="text1"/>
        </w:rPr>
        <w:t xml:space="preserve">prolactin above the upper limit of normal was </w:t>
      </w:r>
      <w:r w:rsidR="00E01EDA" w:rsidRPr="00C7236D">
        <w:rPr>
          <w:iCs/>
          <w:color w:val="000000" w:themeColor="text1"/>
        </w:rPr>
        <w:t>less</w:t>
      </w:r>
      <w:r w:rsidR="00E01EDA">
        <w:rPr>
          <w:color w:val="000000" w:themeColor="text1"/>
        </w:rPr>
        <w:t xml:space="preserve"> frequent with </w:t>
      </w:r>
      <w:r w:rsidR="007D37F7">
        <w:rPr>
          <w:color w:val="000000" w:themeColor="text1"/>
        </w:rPr>
        <w:t>A1M</w:t>
      </w:r>
      <w:r w:rsidR="0019263D">
        <w:rPr>
          <w:color w:val="000000" w:themeColor="text1"/>
        </w:rPr>
        <w:t xml:space="preserve"> </w:t>
      </w:r>
      <w:r w:rsidR="00E01EDA">
        <w:rPr>
          <w:color w:val="000000" w:themeColor="text1"/>
        </w:rPr>
        <w:t>than with placebo: 1.9% vs 7.1%.</w:t>
      </w:r>
    </w:p>
    <w:p w14:paraId="10E4259F" w14:textId="6E050887" w:rsidR="00697CFC" w:rsidRDefault="003A3D2D" w:rsidP="003A3D2D">
      <w:pPr>
        <w:pStyle w:val="3-BodyText"/>
        <w:rPr>
          <w:iCs/>
          <w:color w:val="000000" w:themeColor="text1"/>
        </w:rPr>
      </w:pPr>
      <w:r w:rsidRPr="00C7236D">
        <w:rPr>
          <w:iCs/>
          <w:color w:val="000000" w:themeColor="text1"/>
        </w:rPr>
        <w:t>Overall,</w:t>
      </w:r>
      <w:r w:rsidR="008A2A4A">
        <w:rPr>
          <w:iCs/>
          <w:color w:val="000000" w:themeColor="text1"/>
        </w:rPr>
        <w:t xml:space="preserve"> the evaluation considered</w:t>
      </w:r>
      <w:r w:rsidR="004F3330">
        <w:rPr>
          <w:iCs/>
          <w:color w:val="000000" w:themeColor="text1"/>
        </w:rPr>
        <w:t xml:space="preserve"> the</w:t>
      </w:r>
      <w:r w:rsidRPr="00C7236D">
        <w:rPr>
          <w:iCs/>
          <w:color w:val="000000" w:themeColor="text1"/>
        </w:rPr>
        <w:t xml:space="preserve"> adverse events reported in the submitted trials were consistent with the known adverse event profiles of the medications.</w:t>
      </w:r>
      <w:r w:rsidRPr="00C7236D">
        <w:rPr>
          <w:rStyle w:val="FootnoteReference"/>
          <w:iCs/>
          <w:color w:val="000000" w:themeColor="text1"/>
        </w:rPr>
        <w:footnoteReference w:id="8"/>
      </w:r>
      <w:r w:rsidRPr="00C7236D">
        <w:rPr>
          <w:iCs/>
          <w:color w:val="000000" w:themeColor="text1"/>
        </w:rPr>
        <w:t xml:space="preserve"> In particular, risperidone and paliperidone are known to cause more prolactin elevation than other antipsychotics</w:t>
      </w:r>
      <w:r w:rsidR="00E337F6" w:rsidRPr="00C7236D">
        <w:rPr>
          <w:iCs/>
          <w:color w:val="000000" w:themeColor="text1"/>
        </w:rPr>
        <w:t xml:space="preserve">, </w:t>
      </w:r>
      <w:r w:rsidRPr="00C7236D">
        <w:rPr>
          <w:iCs/>
          <w:color w:val="000000" w:themeColor="text1"/>
        </w:rPr>
        <w:t xml:space="preserve">especially </w:t>
      </w:r>
      <w:r w:rsidR="007D37F7">
        <w:rPr>
          <w:iCs/>
          <w:color w:val="000000" w:themeColor="text1"/>
        </w:rPr>
        <w:t>A1M</w:t>
      </w:r>
      <w:r w:rsidRPr="00C7236D">
        <w:rPr>
          <w:iCs/>
          <w:color w:val="000000" w:themeColor="text1"/>
        </w:rPr>
        <w:t xml:space="preserve">. </w:t>
      </w:r>
      <w:r w:rsidR="00F3131C">
        <w:rPr>
          <w:iCs/>
          <w:color w:val="000000" w:themeColor="text1"/>
        </w:rPr>
        <w:t>The e</w:t>
      </w:r>
      <w:r w:rsidRPr="00C7236D">
        <w:rPr>
          <w:iCs/>
          <w:color w:val="000000" w:themeColor="text1"/>
        </w:rPr>
        <w:t xml:space="preserve">xtrapyramidal symptoms </w:t>
      </w:r>
      <w:r w:rsidR="005B1FF0">
        <w:rPr>
          <w:iCs/>
          <w:color w:val="000000" w:themeColor="text1"/>
        </w:rPr>
        <w:t>corelated</w:t>
      </w:r>
      <w:r w:rsidR="00F3131C">
        <w:rPr>
          <w:iCs/>
          <w:color w:val="000000" w:themeColor="text1"/>
        </w:rPr>
        <w:t xml:space="preserve"> to the</w:t>
      </w:r>
      <w:r w:rsidR="00697CFC" w:rsidRPr="00C7236D">
        <w:rPr>
          <w:iCs/>
          <w:color w:val="000000" w:themeColor="text1"/>
        </w:rPr>
        <w:t xml:space="preserve"> </w:t>
      </w:r>
      <w:r w:rsidR="00C4498D">
        <w:rPr>
          <w:iCs/>
          <w:color w:val="000000" w:themeColor="text1"/>
        </w:rPr>
        <w:t>dose of</w:t>
      </w:r>
      <w:r w:rsidR="00C4498D" w:rsidRPr="00C7236D">
        <w:rPr>
          <w:iCs/>
          <w:color w:val="000000" w:themeColor="text1"/>
        </w:rPr>
        <w:t xml:space="preserve"> </w:t>
      </w:r>
      <w:r w:rsidR="00697CFC" w:rsidRPr="00C7236D">
        <w:rPr>
          <w:iCs/>
          <w:color w:val="000000" w:themeColor="text1"/>
        </w:rPr>
        <w:t>risperidone</w:t>
      </w:r>
      <w:r w:rsidR="00233E4F" w:rsidRPr="00C7236D">
        <w:rPr>
          <w:iCs/>
          <w:color w:val="000000" w:themeColor="text1"/>
        </w:rPr>
        <w:t xml:space="preserve">, and the rate reported in RISE was lower </w:t>
      </w:r>
      <w:r w:rsidR="005B74B1" w:rsidRPr="00C7236D">
        <w:rPr>
          <w:iCs/>
          <w:color w:val="000000" w:themeColor="text1"/>
        </w:rPr>
        <w:t>than in studies where higher doses were used.</w:t>
      </w:r>
    </w:p>
    <w:p w14:paraId="65D18511" w14:textId="51C20FD4" w:rsidR="00A27511" w:rsidRPr="00113C9D" w:rsidRDefault="00A27511" w:rsidP="003A3D2D">
      <w:pPr>
        <w:pStyle w:val="3-BodyText"/>
        <w:rPr>
          <w:color w:val="000000" w:themeColor="text1"/>
        </w:rPr>
      </w:pPr>
      <w:r w:rsidRPr="00113C9D">
        <w:rPr>
          <w:color w:val="000000" w:themeColor="text1"/>
        </w:rPr>
        <w:t xml:space="preserve">The PSCR stated that differences in </w:t>
      </w:r>
      <w:r w:rsidR="00CB4D6C" w:rsidRPr="00113C9D">
        <w:rPr>
          <w:color w:val="000000" w:themeColor="text1"/>
        </w:rPr>
        <w:t xml:space="preserve">the </w:t>
      </w:r>
      <w:r w:rsidRPr="00113C9D">
        <w:rPr>
          <w:color w:val="000000" w:themeColor="text1"/>
        </w:rPr>
        <w:t>trial run</w:t>
      </w:r>
      <w:r w:rsidRPr="00113C9D">
        <w:rPr>
          <w:rFonts w:ascii="Cambria Math" w:hAnsi="Cambria Math" w:cs="Cambria Math"/>
          <w:color w:val="000000" w:themeColor="text1"/>
        </w:rPr>
        <w:t>‑</w:t>
      </w:r>
      <w:r w:rsidRPr="00113C9D">
        <w:rPr>
          <w:color w:val="000000" w:themeColor="text1"/>
        </w:rPr>
        <w:t>in periods may have influenced comparative outcomes, noting that RISE used a 12</w:t>
      </w:r>
      <w:r w:rsidRPr="00113C9D">
        <w:rPr>
          <w:rFonts w:ascii="Cambria Math" w:hAnsi="Cambria Math" w:cs="Cambria Math"/>
          <w:color w:val="000000" w:themeColor="text1"/>
        </w:rPr>
        <w:t>‑</w:t>
      </w:r>
      <w:r w:rsidRPr="00113C9D">
        <w:rPr>
          <w:color w:val="000000" w:themeColor="text1"/>
        </w:rPr>
        <w:t>week oral</w:t>
      </w:r>
      <w:r w:rsidRPr="00113C9D">
        <w:rPr>
          <w:rFonts w:ascii="Cambria Math" w:hAnsi="Cambria Math" w:cs="Cambria Math"/>
          <w:color w:val="000000" w:themeColor="text1"/>
        </w:rPr>
        <w:t>‑</w:t>
      </w:r>
      <w:r w:rsidRPr="00113C9D">
        <w:rPr>
          <w:color w:val="000000" w:themeColor="text1"/>
        </w:rPr>
        <w:t xml:space="preserve">only stabilisation phase, while the </w:t>
      </w:r>
      <w:r w:rsidR="00045C65" w:rsidRPr="00113C9D">
        <w:rPr>
          <w:color w:val="000000" w:themeColor="text1"/>
        </w:rPr>
        <w:t xml:space="preserve">paliperidone </w:t>
      </w:r>
      <w:r w:rsidRPr="00113C9D">
        <w:rPr>
          <w:color w:val="000000" w:themeColor="text1"/>
        </w:rPr>
        <w:t xml:space="preserve">and </w:t>
      </w:r>
      <w:r w:rsidR="00951430" w:rsidRPr="00113C9D">
        <w:rPr>
          <w:color w:val="000000" w:themeColor="text1"/>
        </w:rPr>
        <w:t>aripiprazole</w:t>
      </w:r>
      <w:r w:rsidR="00045C65" w:rsidRPr="00113C9D">
        <w:rPr>
          <w:color w:val="000000" w:themeColor="text1"/>
        </w:rPr>
        <w:t xml:space="preserve"> </w:t>
      </w:r>
      <w:r w:rsidRPr="00113C9D">
        <w:rPr>
          <w:color w:val="000000" w:themeColor="text1"/>
        </w:rPr>
        <w:t>trials employed much longer 33</w:t>
      </w:r>
      <w:r w:rsidRPr="00113C9D">
        <w:rPr>
          <w:rFonts w:ascii="Calibri" w:hAnsi="Calibri" w:cs="Calibri"/>
          <w:color w:val="000000" w:themeColor="text1"/>
        </w:rPr>
        <w:t>–</w:t>
      </w:r>
      <w:r w:rsidRPr="00113C9D">
        <w:rPr>
          <w:color w:val="000000" w:themeColor="text1"/>
        </w:rPr>
        <w:t>36</w:t>
      </w:r>
      <w:r w:rsidRPr="00113C9D">
        <w:rPr>
          <w:rFonts w:ascii="Cambria Math" w:hAnsi="Cambria Math" w:cs="Cambria Math"/>
          <w:color w:val="000000" w:themeColor="text1"/>
        </w:rPr>
        <w:t>‑</w:t>
      </w:r>
      <w:r w:rsidRPr="00113C9D">
        <w:rPr>
          <w:color w:val="000000" w:themeColor="text1"/>
        </w:rPr>
        <w:t>week stabilisation periods that would have filtered out more AE</w:t>
      </w:r>
      <w:r w:rsidRPr="00113C9D">
        <w:rPr>
          <w:rFonts w:ascii="Cambria Math" w:hAnsi="Cambria Math" w:cs="Cambria Math"/>
          <w:color w:val="000000" w:themeColor="text1"/>
        </w:rPr>
        <w:t>‑</w:t>
      </w:r>
      <w:r w:rsidRPr="00113C9D">
        <w:rPr>
          <w:color w:val="000000" w:themeColor="text1"/>
        </w:rPr>
        <w:t>prone or less stable patients before randomisation, potentially biasing indirect comparisons in favour of the comparators.</w:t>
      </w:r>
    </w:p>
    <w:p w14:paraId="5B284BCE" w14:textId="25B88E45" w:rsidR="005E3E60" w:rsidRPr="00113C9D" w:rsidRDefault="006C5EAC" w:rsidP="005E3E60">
      <w:pPr>
        <w:pStyle w:val="3-BodyText"/>
        <w:rPr>
          <w:color w:val="000000" w:themeColor="text1"/>
        </w:rPr>
      </w:pPr>
      <w:r w:rsidRPr="00113C9D">
        <w:rPr>
          <w:color w:val="000000" w:themeColor="text1"/>
        </w:rPr>
        <w:t xml:space="preserve">The PSCR stated that despite this, </w:t>
      </w:r>
      <w:r w:rsidR="00364ADC" w:rsidRPr="00113C9D">
        <w:rPr>
          <w:color w:val="000000" w:themeColor="text1"/>
        </w:rPr>
        <w:t>MRSC</w:t>
      </w:r>
      <w:r w:rsidR="009E78A8" w:rsidRPr="00113C9D">
        <w:rPr>
          <w:color w:val="000000" w:themeColor="text1"/>
        </w:rPr>
        <w:t xml:space="preserve"> risperidone’s</w:t>
      </w:r>
      <w:r w:rsidR="00364ADC" w:rsidRPr="00113C9D">
        <w:rPr>
          <w:color w:val="000000" w:themeColor="text1"/>
        </w:rPr>
        <w:t xml:space="preserve"> </w:t>
      </w:r>
      <w:r w:rsidRPr="00113C9D">
        <w:rPr>
          <w:color w:val="000000" w:themeColor="text1"/>
        </w:rPr>
        <w:t>AE profile remained consistent with recognised class effects, including dose</w:t>
      </w:r>
      <w:r w:rsidRPr="00113C9D">
        <w:rPr>
          <w:rFonts w:ascii="Cambria Math" w:hAnsi="Cambria Math" w:cs="Cambria Math"/>
          <w:color w:val="000000" w:themeColor="text1"/>
        </w:rPr>
        <w:t>‑</w:t>
      </w:r>
      <w:r w:rsidRPr="00113C9D">
        <w:rPr>
          <w:color w:val="000000" w:themeColor="text1"/>
        </w:rPr>
        <w:t xml:space="preserve">dependent extrapyramidal symptoms and higher prolactin elevations typical of risperidone and paliperidone. It also stated that </w:t>
      </w:r>
      <w:r w:rsidR="00045C65" w:rsidRPr="00113C9D">
        <w:rPr>
          <w:color w:val="000000" w:themeColor="text1"/>
        </w:rPr>
        <w:t xml:space="preserve">the </w:t>
      </w:r>
      <w:r w:rsidRPr="00113C9D">
        <w:rPr>
          <w:color w:val="000000" w:themeColor="text1"/>
        </w:rPr>
        <w:t xml:space="preserve">PBAC has previously considered LAI antipsychotics interchangeable, </w:t>
      </w:r>
      <w:r w:rsidRPr="00113C9D">
        <w:rPr>
          <w:color w:val="000000" w:themeColor="text1"/>
        </w:rPr>
        <w:lastRenderedPageBreak/>
        <w:t>referencing the aripiprazole LAI July 2014 decision, where PBAC accepted non</w:t>
      </w:r>
      <w:r w:rsidRPr="00113C9D">
        <w:rPr>
          <w:rFonts w:ascii="Cambria Math" w:hAnsi="Cambria Math" w:cs="Cambria Math"/>
          <w:color w:val="000000" w:themeColor="text1"/>
        </w:rPr>
        <w:t>‑</w:t>
      </w:r>
      <w:r w:rsidRPr="00113C9D">
        <w:rPr>
          <w:color w:val="000000" w:themeColor="text1"/>
        </w:rPr>
        <w:t>inferior safety and efficacy versus paliperidone despite differences in AE profiles.</w:t>
      </w:r>
    </w:p>
    <w:p w14:paraId="1B592094" w14:textId="3436BB38" w:rsidR="00072DE1" w:rsidRDefault="0067492A" w:rsidP="00072DE1">
      <w:pPr>
        <w:pStyle w:val="5-SubsectionSubheading"/>
      </w:pPr>
      <w:r>
        <w:t>ITC</w:t>
      </w:r>
      <w:r w:rsidR="004835E0">
        <w:t xml:space="preserve"> safety </w:t>
      </w:r>
      <w:bookmarkStart w:id="33" w:name="_Toc219904433"/>
    </w:p>
    <w:p w14:paraId="45439792" w14:textId="32B91821" w:rsidR="00072DE1" w:rsidRDefault="00072DE1" w:rsidP="00072DE1">
      <w:pPr>
        <w:pStyle w:val="3-BodyText"/>
        <w:rPr>
          <w:lang w:eastAsia="en-US"/>
        </w:rPr>
      </w:pPr>
      <w:r>
        <w:rPr>
          <w:lang w:eastAsia="en-US"/>
        </w:rPr>
        <w:t xml:space="preserve">The results of the ITC for safety are shown in </w:t>
      </w:r>
      <w:r w:rsidR="00821947">
        <w:rPr>
          <w:lang w:eastAsia="en-US"/>
        </w:rPr>
        <w:fldChar w:fldCharType="begin"/>
      </w:r>
      <w:r w:rsidR="00821947">
        <w:rPr>
          <w:lang w:eastAsia="en-US"/>
        </w:rPr>
        <w:instrText xml:space="preserve"> REF _Ref222747102 \h </w:instrText>
      </w:r>
      <w:r w:rsidR="00821947">
        <w:rPr>
          <w:lang w:eastAsia="en-US"/>
        </w:rPr>
      </w:r>
      <w:r w:rsidR="00821947">
        <w:rPr>
          <w:lang w:eastAsia="en-US"/>
        </w:rPr>
        <w:fldChar w:fldCharType="separate"/>
      </w:r>
      <w:r w:rsidR="00821947">
        <w:t xml:space="preserve">Table </w:t>
      </w:r>
      <w:r w:rsidR="00821947">
        <w:rPr>
          <w:noProof/>
        </w:rPr>
        <w:t>8</w:t>
      </w:r>
      <w:r w:rsidR="00821947">
        <w:rPr>
          <w:lang w:eastAsia="en-US"/>
        </w:rPr>
        <w:fldChar w:fldCharType="end"/>
      </w:r>
      <w:r>
        <w:rPr>
          <w:lang w:eastAsia="en-US"/>
        </w:rPr>
        <w:t xml:space="preserve">. </w:t>
      </w:r>
    </w:p>
    <w:p w14:paraId="4D1A92A8" w14:textId="7A6375E9" w:rsidR="00072DE1" w:rsidRDefault="00A64D03" w:rsidP="00072DE1">
      <w:pPr>
        <w:pStyle w:val="3-BodyText"/>
        <w:rPr>
          <w:lang w:eastAsia="en-US"/>
        </w:rPr>
      </w:pPr>
      <w:r>
        <w:rPr>
          <w:lang w:eastAsia="en-US"/>
        </w:rPr>
        <w:t xml:space="preserve">Compared to aripiprazole, </w:t>
      </w:r>
      <w:r w:rsidR="00072DE1">
        <w:rPr>
          <w:lang w:eastAsia="en-US"/>
        </w:rPr>
        <w:t>MRSC risperidone was associated with a higher risk</w:t>
      </w:r>
      <w:r w:rsidR="00C171D2">
        <w:rPr>
          <w:lang w:eastAsia="en-US"/>
        </w:rPr>
        <w:t xml:space="preserve"> </w:t>
      </w:r>
      <w:r w:rsidR="00072DE1">
        <w:rPr>
          <w:lang w:eastAsia="en-US"/>
        </w:rPr>
        <w:t>of adverse events leading to treatment withdrawal</w:t>
      </w:r>
      <w:r w:rsidR="00F85852">
        <w:rPr>
          <w:lang w:eastAsia="en-US"/>
        </w:rPr>
        <w:t>,</w:t>
      </w:r>
      <w:r w:rsidR="00072DE1">
        <w:rPr>
          <w:lang w:eastAsia="en-US"/>
        </w:rPr>
        <w:t xml:space="preserve"> </w:t>
      </w:r>
      <w:r w:rsidR="00E35B45">
        <w:rPr>
          <w:lang w:eastAsia="en-US"/>
        </w:rPr>
        <w:t xml:space="preserve">and </w:t>
      </w:r>
      <w:r w:rsidR="00072DE1">
        <w:rPr>
          <w:lang w:eastAsia="en-US"/>
        </w:rPr>
        <w:t>large increases in the risks of prolactin</w:t>
      </w:r>
      <w:r w:rsidR="002D15C9">
        <w:rPr>
          <w:lang w:eastAsia="en-US"/>
        </w:rPr>
        <w:noBreakHyphen/>
      </w:r>
      <w:r w:rsidR="00072DE1">
        <w:rPr>
          <w:lang w:eastAsia="en-US"/>
        </w:rPr>
        <w:t>related adverse events and extra</w:t>
      </w:r>
      <w:r w:rsidR="002D15C9">
        <w:rPr>
          <w:lang w:eastAsia="en-US"/>
        </w:rPr>
        <w:noBreakHyphen/>
      </w:r>
      <w:r w:rsidR="00072DE1">
        <w:rPr>
          <w:lang w:eastAsia="en-US"/>
        </w:rPr>
        <w:t>pyramidal symptoms which were close to statistical significance and have been reported in other studies.</w:t>
      </w:r>
    </w:p>
    <w:p w14:paraId="0F790FF9" w14:textId="1691FADE" w:rsidR="00072DE1" w:rsidRDefault="00291755" w:rsidP="00072DE1">
      <w:pPr>
        <w:pStyle w:val="3-BodyText"/>
        <w:rPr>
          <w:lang w:eastAsia="en-US"/>
        </w:rPr>
      </w:pPr>
      <w:r>
        <w:rPr>
          <w:lang w:eastAsia="en-US"/>
        </w:rPr>
        <w:t xml:space="preserve">The evaluation </w:t>
      </w:r>
      <w:r w:rsidR="00B76D20">
        <w:rPr>
          <w:lang w:eastAsia="en-US"/>
        </w:rPr>
        <w:t>did not expect</w:t>
      </w:r>
      <w:r w:rsidR="00072DE1">
        <w:rPr>
          <w:lang w:eastAsia="en-US"/>
        </w:rPr>
        <w:t xml:space="preserve"> major differences in adverse events </w:t>
      </w:r>
      <w:r w:rsidR="00B76D20">
        <w:rPr>
          <w:lang w:eastAsia="en-US"/>
        </w:rPr>
        <w:t xml:space="preserve">between </w:t>
      </w:r>
      <w:r w:rsidR="00072DE1">
        <w:rPr>
          <w:lang w:eastAsia="en-US"/>
        </w:rPr>
        <w:t xml:space="preserve">MRSC risperidone </w:t>
      </w:r>
      <w:r w:rsidR="00F1749D">
        <w:rPr>
          <w:lang w:eastAsia="en-US"/>
        </w:rPr>
        <w:t>and</w:t>
      </w:r>
      <w:r w:rsidR="00072DE1">
        <w:rPr>
          <w:lang w:eastAsia="en-US"/>
        </w:rPr>
        <w:t xml:space="preserve"> PP1M except in relation to injection site reactions</w:t>
      </w:r>
      <w:r w:rsidR="006A10C9">
        <w:rPr>
          <w:lang w:eastAsia="en-US"/>
        </w:rPr>
        <w:t xml:space="preserve"> </w:t>
      </w:r>
      <w:r w:rsidR="007B5B22">
        <w:rPr>
          <w:lang w:eastAsia="en-US"/>
        </w:rPr>
        <w:t>which</w:t>
      </w:r>
      <w:r w:rsidR="00072DE1">
        <w:rPr>
          <w:lang w:eastAsia="en-US"/>
        </w:rPr>
        <w:t xml:space="preserve"> were excluded from the ITC because </w:t>
      </w:r>
      <w:r w:rsidR="00525D7C">
        <w:rPr>
          <w:lang w:eastAsia="en-US"/>
        </w:rPr>
        <w:t>this adverse event was</w:t>
      </w:r>
      <w:r w:rsidR="00072DE1">
        <w:rPr>
          <w:lang w:eastAsia="en-US"/>
        </w:rPr>
        <w:t xml:space="preserve"> not systematically reported in Hough</w:t>
      </w:r>
      <w:r w:rsidR="002324AB">
        <w:rPr>
          <w:lang w:eastAsia="en-US"/>
        </w:rPr>
        <w:t xml:space="preserve"> (</w:t>
      </w:r>
      <w:r w:rsidR="00072DE1">
        <w:rPr>
          <w:lang w:eastAsia="en-US"/>
        </w:rPr>
        <w:t>2010</w:t>
      </w:r>
      <w:r w:rsidR="002324AB">
        <w:rPr>
          <w:lang w:eastAsia="en-US"/>
        </w:rPr>
        <w:t>)</w:t>
      </w:r>
      <w:r w:rsidR="00072DE1">
        <w:rPr>
          <w:lang w:eastAsia="en-US"/>
        </w:rPr>
        <w:t xml:space="preserve"> or ASPIRE. </w:t>
      </w:r>
    </w:p>
    <w:p w14:paraId="32668E3D" w14:textId="7F9A67C1" w:rsidR="00072DE1" w:rsidRDefault="00072DE1" w:rsidP="00072DE1">
      <w:pPr>
        <w:pStyle w:val="Caption"/>
        <w:rPr>
          <w:lang w:eastAsia="en-US"/>
        </w:rPr>
      </w:pPr>
      <w:bookmarkStart w:id="34" w:name="_Ref222747102"/>
      <w:r>
        <w:lastRenderedPageBreak/>
        <w:t xml:space="preserve">Table </w:t>
      </w:r>
      <w:fldSimple w:instr=" SEQ Table \* ARABIC ">
        <w:r w:rsidR="002D15C9">
          <w:rPr>
            <w:noProof/>
          </w:rPr>
          <w:t>8</w:t>
        </w:r>
      </w:fldSimple>
      <w:bookmarkEnd w:id="34"/>
      <w:r>
        <w:rPr>
          <w:lang w:eastAsia="en-US"/>
        </w:rPr>
        <w:t xml:space="preserve">: ITC for safety. </w:t>
      </w:r>
    </w:p>
    <w:tbl>
      <w:tblPr>
        <w:tblStyle w:val="TableGrid"/>
        <w:tblW w:w="0" w:type="auto"/>
        <w:tblLook w:val="04A0" w:firstRow="1" w:lastRow="0" w:firstColumn="1" w:lastColumn="0" w:noHBand="0" w:noVBand="1"/>
        <w:tblCaption w:val="Table 8: ITC for safety. "/>
      </w:tblPr>
      <w:tblGrid>
        <w:gridCol w:w="2254"/>
        <w:gridCol w:w="2254"/>
        <w:gridCol w:w="2254"/>
        <w:gridCol w:w="2255"/>
      </w:tblGrid>
      <w:tr w:rsidR="00072DE1" w14:paraId="3F3FBC0A" w14:textId="77777777" w:rsidTr="009218AC">
        <w:tc>
          <w:tcPr>
            <w:tcW w:w="2254" w:type="dxa"/>
          </w:tcPr>
          <w:p w14:paraId="236B7847" w14:textId="77777777" w:rsidR="00072DE1" w:rsidRDefault="00072DE1">
            <w:pPr>
              <w:pStyle w:val="TableFigureHeading"/>
              <w:rPr>
                <w:lang w:eastAsia="en-US"/>
              </w:rPr>
            </w:pPr>
          </w:p>
        </w:tc>
        <w:tc>
          <w:tcPr>
            <w:tcW w:w="2254" w:type="dxa"/>
          </w:tcPr>
          <w:p w14:paraId="6CF20585" w14:textId="77777777" w:rsidR="00072DE1" w:rsidRDefault="00072DE1">
            <w:pPr>
              <w:pStyle w:val="TableFigureHeading"/>
              <w:rPr>
                <w:lang w:eastAsia="en-US"/>
              </w:rPr>
            </w:pPr>
          </w:p>
        </w:tc>
        <w:tc>
          <w:tcPr>
            <w:tcW w:w="2254" w:type="dxa"/>
          </w:tcPr>
          <w:p w14:paraId="1BCAB555" w14:textId="77777777" w:rsidR="00072DE1" w:rsidRDefault="00072DE1">
            <w:pPr>
              <w:pStyle w:val="TableFigureHeading"/>
              <w:rPr>
                <w:lang w:eastAsia="en-US"/>
              </w:rPr>
            </w:pPr>
            <w:r>
              <w:rPr>
                <w:lang w:eastAsia="en-US"/>
              </w:rPr>
              <w:t>MSCR risperidone q1m vs PP1M</w:t>
            </w:r>
          </w:p>
        </w:tc>
        <w:tc>
          <w:tcPr>
            <w:tcW w:w="2255" w:type="dxa"/>
          </w:tcPr>
          <w:p w14:paraId="4A9B34A7" w14:textId="77777777" w:rsidR="00072DE1" w:rsidRDefault="00072DE1">
            <w:pPr>
              <w:pStyle w:val="TableFigureHeading"/>
              <w:rPr>
                <w:lang w:eastAsia="en-US"/>
              </w:rPr>
            </w:pPr>
            <w:r>
              <w:rPr>
                <w:lang w:eastAsia="en-US"/>
              </w:rPr>
              <w:t>MSCR risperidone</w:t>
            </w:r>
            <w:r w:rsidDel="003B37B3">
              <w:rPr>
                <w:lang w:eastAsia="en-US"/>
              </w:rPr>
              <w:t xml:space="preserve"> </w:t>
            </w:r>
            <w:r>
              <w:rPr>
                <w:lang w:eastAsia="en-US"/>
              </w:rPr>
              <w:t>q1m vs A1M</w:t>
            </w:r>
          </w:p>
        </w:tc>
      </w:tr>
      <w:tr w:rsidR="00072DE1" w:rsidRPr="003F25EC" w14:paraId="4602A553" w14:textId="77777777">
        <w:tc>
          <w:tcPr>
            <w:tcW w:w="2254" w:type="dxa"/>
          </w:tcPr>
          <w:p w14:paraId="0B1DAF84" w14:textId="77777777" w:rsidR="00072DE1" w:rsidRPr="003F25EC" w:rsidRDefault="00072DE1">
            <w:pPr>
              <w:pStyle w:val="TableFigureHeading"/>
              <w:rPr>
                <w:b w:val="0"/>
                <w:bCs w:val="0"/>
                <w:lang w:eastAsia="en-US"/>
              </w:rPr>
            </w:pPr>
            <w:r w:rsidRPr="003F25EC">
              <w:rPr>
                <w:b w:val="0"/>
                <w:bCs w:val="0"/>
                <w:lang w:eastAsia="en-US"/>
              </w:rPr>
              <w:t>Any TEAE</w:t>
            </w:r>
          </w:p>
        </w:tc>
        <w:tc>
          <w:tcPr>
            <w:tcW w:w="2254" w:type="dxa"/>
          </w:tcPr>
          <w:p w14:paraId="0CE3134D" w14:textId="72A8B892" w:rsidR="00072DE1" w:rsidRPr="003F25EC" w:rsidRDefault="00072DE1" w:rsidP="001E072A">
            <w:pPr>
              <w:pStyle w:val="TableFigureHeading"/>
              <w:jc w:val="right"/>
              <w:rPr>
                <w:b w:val="0"/>
                <w:bCs w:val="0"/>
                <w:lang w:eastAsia="en-US"/>
              </w:rPr>
            </w:pPr>
            <w:r w:rsidRPr="003F25EC">
              <w:rPr>
                <w:b w:val="0"/>
                <w:bCs w:val="0"/>
                <w:lang w:eastAsia="en-US"/>
              </w:rPr>
              <w:t>Risk Difference (95% CI)</w:t>
            </w:r>
            <w:r w:rsidR="004C2979">
              <w:rPr>
                <w:b w:val="0"/>
                <w:bCs w:val="0"/>
                <w:lang w:eastAsia="en-US"/>
              </w:rPr>
              <w:t>,</w:t>
            </w:r>
          </w:p>
          <w:p w14:paraId="7E683B39" w14:textId="688158E2" w:rsidR="00072DE1" w:rsidRPr="003F25EC" w:rsidRDefault="00072DE1"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sidR="004C2979">
              <w:rPr>
                <w:b w:val="0"/>
                <w:bCs w:val="0"/>
                <w:lang w:eastAsia="en-US"/>
              </w:rPr>
              <w:t>value</w:t>
            </w:r>
            <w:r w:rsidRPr="003F25EC">
              <w:rPr>
                <w:b w:val="0"/>
                <w:bCs w:val="0"/>
                <w:lang w:eastAsia="en-US"/>
              </w:rPr>
              <w:t xml:space="preserve"> </w:t>
            </w:r>
          </w:p>
        </w:tc>
        <w:tc>
          <w:tcPr>
            <w:tcW w:w="2254" w:type="dxa"/>
          </w:tcPr>
          <w:p w14:paraId="7FB4FA21" w14:textId="77777777" w:rsidR="00072DE1" w:rsidRDefault="00072DE1">
            <w:pPr>
              <w:pStyle w:val="TableFigureHeading"/>
              <w:rPr>
                <w:b w:val="0"/>
                <w:bCs w:val="0"/>
                <w:lang w:eastAsia="en-US"/>
              </w:rPr>
            </w:pPr>
            <w:r>
              <w:rPr>
                <w:b w:val="0"/>
                <w:bCs w:val="0"/>
                <w:lang w:eastAsia="en-US"/>
              </w:rPr>
              <w:t>9.7% (4.3%, 23.7%)</w:t>
            </w:r>
          </w:p>
          <w:p w14:paraId="5CECD114" w14:textId="77777777" w:rsidR="00072DE1" w:rsidRPr="003F25EC" w:rsidRDefault="00072DE1">
            <w:pPr>
              <w:pStyle w:val="TableFigureHeading"/>
              <w:rPr>
                <w:b w:val="0"/>
                <w:bCs w:val="0"/>
                <w:lang w:eastAsia="en-US"/>
              </w:rPr>
            </w:pPr>
            <w:r>
              <w:rPr>
                <w:b w:val="0"/>
                <w:bCs w:val="0"/>
                <w:lang w:eastAsia="en-US"/>
              </w:rPr>
              <w:t>0.18</w:t>
            </w:r>
          </w:p>
        </w:tc>
        <w:tc>
          <w:tcPr>
            <w:tcW w:w="2255" w:type="dxa"/>
          </w:tcPr>
          <w:p w14:paraId="041DC74F" w14:textId="23CFDD8D" w:rsidR="00072DE1" w:rsidRDefault="00072DE1">
            <w:pPr>
              <w:pStyle w:val="TableFigureHeading"/>
              <w:rPr>
                <w:b w:val="0"/>
                <w:bCs w:val="0"/>
                <w:lang w:eastAsia="en-US"/>
              </w:rPr>
            </w:pPr>
            <w:r>
              <w:rPr>
                <w:b w:val="0"/>
                <w:bCs w:val="0"/>
                <w:lang w:eastAsia="en-US"/>
              </w:rPr>
              <w:t>8.0% (</w:t>
            </w:r>
            <w:r w:rsidR="002D15C9">
              <w:rPr>
                <w:b w:val="0"/>
                <w:bCs w:val="0"/>
                <w:lang w:eastAsia="en-US"/>
              </w:rPr>
              <w:noBreakHyphen/>
            </w:r>
            <w:r>
              <w:rPr>
                <w:b w:val="0"/>
                <w:bCs w:val="0"/>
                <w:lang w:eastAsia="en-US"/>
              </w:rPr>
              <w:t>6.3%, 22.3%)</w:t>
            </w:r>
          </w:p>
          <w:p w14:paraId="0573C96A" w14:textId="77777777" w:rsidR="00072DE1" w:rsidRPr="003F25EC" w:rsidRDefault="00072DE1">
            <w:pPr>
              <w:pStyle w:val="TableFigureHeading"/>
              <w:rPr>
                <w:b w:val="0"/>
                <w:bCs w:val="0"/>
                <w:lang w:eastAsia="en-US"/>
              </w:rPr>
            </w:pPr>
            <w:r>
              <w:rPr>
                <w:b w:val="0"/>
                <w:bCs w:val="0"/>
                <w:lang w:eastAsia="en-US"/>
              </w:rPr>
              <w:t>0.273</w:t>
            </w:r>
          </w:p>
        </w:tc>
      </w:tr>
      <w:tr w:rsidR="00072DE1" w:rsidRPr="003F25EC" w14:paraId="7888FFEA" w14:textId="77777777">
        <w:tc>
          <w:tcPr>
            <w:tcW w:w="2254" w:type="dxa"/>
          </w:tcPr>
          <w:p w14:paraId="6E8D355F" w14:textId="77777777" w:rsidR="00072DE1" w:rsidRPr="003F25EC" w:rsidRDefault="00072DE1">
            <w:pPr>
              <w:pStyle w:val="TableFigureHeading"/>
              <w:rPr>
                <w:b w:val="0"/>
                <w:bCs w:val="0"/>
                <w:lang w:eastAsia="en-US"/>
              </w:rPr>
            </w:pPr>
            <w:r w:rsidRPr="003F25EC">
              <w:rPr>
                <w:b w:val="0"/>
                <w:bCs w:val="0"/>
                <w:lang w:eastAsia="en-US"/>
              </w:rPr>
              <w:t>Any TEAE</w:t>
            </w:r>
          </w:p>
        </w:tc>
        <w:tc>
          <w:tcPr>
            <w:tcW w:w="2254" w:type="dxa"/>
          </w:tcPr>
          <w:p w14:paraId="1A93203B" w14:textId="1C5FE497" w:rsidR="004C2979" w:rsidRPr="003F25EC" w:rsidRDefault="00072DE1" w:rsidP="001E072A">
            <w:pPr>
              <w:pStyle w:val="TableFigureHeading"/>
              <w:jc w:val="right"/>
              <w:rPr>
                <w:b w:val="0"/>
                <w:bCs w:val="0"/>
                <w:lang w:eastAsia="en-US"/>
              </w:rPr>
            </w:pPr>
            <w:r w:rsidRPr="003F25EC">
              <w:rPr>
                <w:b w:val="0"/>
                <w:bCs w:val="0"/>
                <w:lang w:eastAsia="en-US"/>
              </w:rPr>
              <w:t>Relative Risk (95% CI)</w:t>
            </w:r>
            <w:r w:rsidR="004C2979">
              <w:rPr>
                <w:b w:val="0"/>
                <w:bCs w:val="0"/>
                <w:lang w:eastAsia="en-US"/>
              </w:rPr>
              <w:t>,</w:t>
            </w:r>
          </w:p>
          <w:p w14:paraId="12265E95" w14:textId="78B94EF9" w:rsidR="00072DE1" w:rsidRPr="003F25EC" w:rsidRDefault="004C2979"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r w:rsidRPr="003F25EC">
              <w:rPr>
                <w:b w:val="0"/>
                <w:bCs w:val="0"/>
                <w:lang w:eastAsia="en-US"/>
              </w:rPr>
              <w:t xml:space="preserve"> </w:t>
            </w:r>
          </w:p>
        </w:tc>
        <w:tc>
          <w:tcPr>
            <w:tcW w:w="2254" w:type="dxa"/>
          </w:tcPr>
          <w:p w14:paraId="65073339" w14:textId="77777777" w:rsidR="00072DE1" w:rsidRDefault="00072DE1">
            <w:pPr>
              <w:pStyle w:val="TableFigureHeading"/>
              <w:rPr>
                <w:b w:val="0"/>
                <w:bCs w:val="0"/>
                <w:lang w:eastAsia="en-US"/>
              </w:rPr>
            </w:pPr>
            <w:r>
              <w:rPr>
                <w:b w:val="0"/>
                <w:bCs w:val="0"/>
                <w:lang w:eastAsia="en-US"/>
              </w:rPr>
              <w:t>1.2 (0.9, 1.6)</w:t>
            </w:r>
          </w:p>
          <w:p w14:paraId="6044FB48" w14:textId="77777777" w:rsidR="00072DE1" w:rsidRPr="003F25EC" w:rsidRDefault="00072DE1">
            <w:pPr>
              <w:pStyle w:val="TableFigureHeading"/>
              <w:rPr>
                <w:b w:val="0"/>
                <w:bCs w:val="0"/>
                <w:lang w:eastAsia="en-US"/>
              </w:rPr>
            </w:pPr>
            <w:r>
              <w:rPr>
                <w:b w:val="0"/>
                <w:bCs w:val="0"/>
                <w:lang w:eastAsia="en-US"/>
              </w:rPr>
              <w:t>0.23</w:t>
            </w:r>
          </w:p>
        </w:tc>
        <w:tc>
          <w:tcPr>
            <w:tcW w:w="2255" w:type="dxa"/>
          </w:tcPr>
          <w:p w14:paraId="5168D05F" w14:textId="77777777" w:rsidR="00072DE1" w:rsidRDefault="00072DE1">
            <w:pPr>
              <w:pStyle w:val="TableFigureHeading"/>
              <w:rPr>
                <w:b w:val="0"/>
                <w:bCs w:val="0"/>
                <w:lang w:eastAsia="en-US"/>
              </w:rPr>
            </w:pPr>
            <w:r>
              <w:rPr>
                <w:b w:val="0"/>
                <w:bCs w:val="0"/>
                <w:lang w:eastAsia="en-US"/>
              </w:rPr>
              <w:t>1.2 (0.9, 1.5)</w:t>
            </w:r>
          </w:p>
          <w:p w14:paraId="3D0EB6D6" w14:textId="77777777" w:rsidR="00072DE1" w:rsidRPr="003F25EC" w:rsidRDefault="00072DE1">
            <w:pPr>
              <w:pStyle w:val="TableFigureHeading"/>
              <w:rPr>
                <w:b w:val="0"/>
                <w:bCs w:val="0"/>
                <w:lang w:eastAsia="en-US"/>
              </w:rPr>
            </w:pPr>
            <w:r>
              <w:rPr>
                <w:b w:val="0"/>
                <w:bCs w:val="0"/>
                <w:lang w:eastAsia="en-US"/>
              </w:rPr>
              <w:t>0.24</w:t>
            </w:r>
          </w:p>
        </w:tc>
      </w:tr>
      <w:tr w:rsidR="00072DE1" w:rsidRPr="003F25EC" w14:paraId="73B3874F" w14:textId="77777777">
        <w:tc>
          <w:tcPr>
            <w:tcW w:w="2254" w:type="dxa"/>
          </w:tcPr>
          <w:p w14:paraId="3ACE9B7C" w14:textId="77777777" w:rsidR="00072DE1" w:rsidRPr="003F25EC" w:rsidRDefault="00072DE1">
            <w:pPr>
              <w:pStyle w:val="TableFigureHeading"/>
              <w:rPr>
                <w:b w:val="0"/>
                <w:bCs w:val="0"/>
                <w:lang w:eastAsia="en-US"/>
              </w:rPr>
            </w:pPr>
            <w:r w:rsidRPr="003F25EC">
              <w:rPr>
                <w:b w:val="0"/>
                <w:bCs w:val="0"/>
                <w:lang w:eastAsia="en-US"/>
              </w:rPr>
              <w:t>Any TEAE</w:t>
            </w:r>
          </w:p>
        </w:tc>
        <w:tc>
          <w:tcPr>
            <w:tcW w:w="2254" w:type="dxa"/>
          </w:tcPr>
          <w:p w14:paraId="78609570" w14:textId="18E15A48" w:rsidR="004C2979"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78B44939" w14:textId="3DC07A62" w:rsidR="00072DE1" w:rsidRPr="003F25EC" w:rsidRDefault="004C2979"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3769F7A2" w14:textId="77777777" w:rsidR="00072DE1" w:rsidRDefault="00072DE1">
            <w:pPr>
              <w:pStyle w:val="TableFigureHeading"/>
              <w:rPr>
                <w:b w:val="0"/>
                <w:bCs w:val="0"/>
                <w:lang w:eastAsia="en-US"/>
              </w:rPr>
            </w:pPr>
            <w:r>
              <w:rPr>
                <w:b w:val="0"/>
                <w:bCs w:val="0"/>
                <w:lang w:eastAsia="en-US"/>
              </w:rPr>
              <w:t>1.5 (0.8, 2.6)</w:t>
            </w:r>
          </w:p>
          <w:p w14:paraId="774DD94A" w14:textId="77777777" w:rsidR="00072DE1" w:rsidRPr="003F25EC" w:rsidRDefault="00072DE1">
            <w:pPr>
              <w:pStyle w:val="TableFigureHeading"/>
              <w:rPr>
                <w:b w:val="0"/>
                <w:bCs w:val="0"/>
                <w:lang w:eastAsia="en-US"/>
              </w:rPr>
            </w:pPr>
            <w:r>
              <w:rPr>
                <w:b w:val="0"/>
                <w:bCs w:val="0"/>
                <w:lang w:eastAsia="en-US"/>
              </w:rPr>
              <w:t>0.18</w:t>
            </w:r>
          </w:p>
        </w:tc>
        <w:tc>
          <w:tcPr>
            <w:tcW w:w="2255" w:type="dxa"/>
          </w:tcPr>
          <w:p w14:paraId="0095EB1E" w14:textId="77777777" w:rsidR="00072DE1" w:rsidRDefault="00072DE1">
            <w:pPr>
              <w:pStyle w:val="TableFigureHeading"/>
              <w:rPr>
                <w:b w:val="0"/>
                <w:bCs w:val="0"/>
                <w:lang w:eastAsia="en-US"/>
              </w:rPr>
            </w:pPr>
            <w:r>
              <w:rPr>
                <w:b w:val="0"/>
                <w:bCs w:val="0"/>
                <w:lang w:eastAsia="en-US"/>
              </w:rPr>
              <w:t>1.4 (0.8, 2.5)</w:t>
            </w:r>
          </w:p>
          <w:p w14:paraId="12697B80" w14:textId="77777777" w:rsidR="00072DE1" w:rsidRPr="003F25EC" w:rsidRDefault="00072DE1">
            <w:pPr>
              <w:pStyle w:val="TableFigureHeading"/>
              <w:rPr>
                <w:b w:val="0"/>
                <w:bCs w:val="0"/>
                <w:lang w:eastAsia="en-US"/>
              </w:rPr>
            </w:pPr>
            <w:r>
              <w:rPr>
                <w:b w:val="0"/>
                <w:bCs w:val="0"/>
                <w:lang w:eastAsia="en-US"/>
              </w:rPr>
              <w:t>0.29</w:t>
            </w:r>
          </w:p>
        </w:tc>
      </w:tr>
      <w:tr w:rsidR="00072DE1" w:rsidRPr="003F25EC" w14:paraId="14EB65A9" w14:textId="77777777">
        <w:tc>
          <w:tcPr>
            <w:tcW w:w="2254" w:type="dxa"/>
          </w:tcPr>
          <w:p w14:paraId="495AD4AD" w14:textId="77777777" w:rsidR="00072DE1" w:rsidRPr="003F25EC" w:rsidRDefault="00072DE1">
            <w:pPr>
              <w:pStyle w:val="TableFigureHeading"/>
              <w:rPr>
                <w:b w:val="0"/>
                <w:bCs w:val="0"/>
                <w:lang w:eastAsia="en-US"/>
              </w:rPr>
            </w:pPr>
            <w:r>
              <w:rPr>
                <w:b w:val="0"/>
                <w:bCs w:val="0"/>
                <w:lang w:eastAsia="en-US"/>
              </w:rPr>
              <w:t>TEAE leading to withdrawal</w:t>
            </w:r>
          </w:p>
        </w:tc>
        <w:tc>
          <w:tcPr>
            <w:tcW w:w="2254" w:type="dxa"/>
          </w:tcPr>
          <w:p w14:paraId="11ABA616" w14:textId="30804BF4" w:rsidR="000E42DF" w:rsidRPr="003F25EC" w:rsidRDefault="00072DE1" w:rsidP="001E072A">
            <w:pPr>
              <w:pStyle w:val="TableFigureHeading"/>
              <w:jc w:val="right"/>
              <w:rPr>
                <w:b w:val="0"/>
                <w:bCs w:val="0"/>
                <w:lang w:eastAsia="en-US"/>
              </w:rPr>
            </w:pPr>
            <w:r w:rsidRPr="003F25EC">
              <w:rPr>
                <w:b w:val="0"/>
                <w:bCs w:val="0"/>
                <w:lang w:eastAsia="en-US"/>
              </w:rPr>
              <w:t>Risk Difference (95% CI)</w:t>
            </w:r>
            <w:r w:rsidR="000E42DF">
              <w:rPr>
                <w:b w:val="0"/>
                <w:bCs w:val="0"/>
                <w:lang w:eastAsia="en-US"/>
              </w:rPr>
              <w:t>,</w:t>
            </w:r>
          </w:p>
          <w:p w14:paraId="0DC8C45A" w14:textId="27BA434F"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6A217028" w14:textId="4D11E046" w:rsidR="00072DE1" w:rsidRDefault="00072DE1">
            <w:pPr>
              <w:pStyle w:val="TableFigureHeading"/>
              <w:rPr>
                <w:b w:val="0"/>
                <w:bCs w:val="0"/>
                <w:lang w:eastAsia="en-US"/>
              </w:rPr>
            </w:pPr>
            <w:r>
              <w:rPr>
                <w:b w:val="0"/>
                <w:bCs w:val="0"/>
                <w:lang w:eastAsia="en-US"/>
              </w:rPr>
              <w:t>4.9% (</w:t>
            </w:r>
            <w:r w:rsidR="002D15C9">
              <w:rPr>
                <w:b w:val="0"/>
                <w:bCs w:val="0"/>
                <w:lang w:eastAsia="en-US"/>
              </w:rPr>
              <w:noBreakHyphen/>
            </w:r>
            <w:r>
              <w:rPr>
                <w:b w:val="0"/>
                <w:bCs w:val="0"/>
                <w:lang w:eastAsia="en-US"/>
              </w:rPr>
              <w:t>1.1%, 10.9%)</w:t>
            </w:r>
          </w:p>
          <w:p w14:paraId="1FD8A8F7" w14:textId="77777777" w:rsidR="00072DE1" w:rsidRPr="003F25EC" w:rsidRDefault="00072DE1">
            <w:pPr>
              <w:pStyle w:val="TableFigureHeading"/>
              <w:rPr>
                <w:b w:val="0"/>
                <w:bCs w:val="0"/>
                <w:lang w:eastAsia="en-US"/>
              </w:rPr>
            </w:pPr>
            <w:r>
              <w:rPr>
                <w:b w:val="0"/>
                <w:bCs w:val="0"/>
                <w:lang w:eastAsia="en-US"/>
              </w:rPr>
              <w:t>0.11</w:t>
            </w:r>
          </w:p>
        </w:tc>
        <w:tc>
          <w:tcPr>
            <w:tcW w:w="2255" w:type="dxa"/>
          </w:tcPr>
          <w:p w14:paraId="55D6DDED" w14:textId="77777777" w:rsidR="00072DE1" w:rsidRPr="003F25EC" w:rsidRDefault="00072DE1">
            <w:pPr>
              <w:pStyle w:val="TableFigureHeading"/>
              <w:rPr>
                <w:lang w:eastAsia="en-US"/>
              </w:rPr>
            </w:pPr>
            <w:r w:rsidRPr="003F25EC">
              <w:rPr>
                <w:lang w:eastAsia="en-US"/>
              </w:rPr>
              <w:t>12.3% (3.6%, 20.9%)</w:t>
            </w:r>
          </w:p>
          <w:p w14:paraId="2F0CB0E7" w14:textId="77777777" w:rsidR="00072DE1" w:rsidRPr="003F25EC" w:rsidRDefault="00072DE1">
            <w:pPr>
              <w:pStyle w:val="TableFigureHeading"/>
              <w:rPr>
                <w:b w:val="0"/>
                <w:bCs w:val="0"/>
                <w:lang w:eastAsia="en-US"/>
              </w:rPr>
            </w:pPr>
            <w:r w:rsidRPr="003F25EC">
              <w:rPr>
                <w:lang w:eastAsia="en-US"/>
              </w:rPr>
              <w:t>0.006</w:t>
            </w:r>
          </w:p>
        </w:tc>
      </w:tr>
      <w:tr w:rsidR="00072DE1" w:rsidRPr="003F25EC" w14:paraId="1BEE72F7" w14:textId="77777777">
        <w:tc>
          <w:tcPr>
            <w:tcW w:w="2254" w:type="dxa"/>
          </w:tcPr>
          <w:p w14:paraId="25A7D2C5" w14:textId="77777777" w:rsidR="00072DE1" w:rsidRPr="003F25EC" w:rsidRDefault="00072DE1">
            <w:pPr>
              <w:pStyle w:val="TableFigureHeading"/>
              <w:rPr>
                <w:b w:val="0"/>
                <w:bCs w:val="0"/>
                <w:lang w:eastAsia="en-US"/>
              </w:rPr>
            </w:pPr>
            <w:r>
              <w:rPr>
                <w:b w:val="0"/>
                <w:bCs w:val="0"/>
                <w:lang w:eastAsia="en-US"/>
              </w:rPr>
              <w:t>TEAE leading to withdrawal</w:t>
            </w:r>
          </w:p>
        </w:tc>
        <w:tc>
          <w:tcPr>
            <w:tcW w:w="2254" w:type="dxa"/>
          </w:tcPr>
          <w:p w14:paraId="324DA942" w14:textId="2294991F" w:rsidR="00072DE1" w:rsidRPr="003F25EC" w:rsidRDefault="00072DE1" w:rsidP="001E072A">
            <w:pPr>
              <w:pStyle w:val="TableFigureHeading"/>
              <w:jc w:val="right"/>
              <w:rPr>
                <w:b w:val="0"/>
                <w:bCs w:val="0"/>
                <w:lang w:eastAsia="en-US"/>
              </w:rPr>
            </w:pPr>
            <w:r w:rsidRPr="003F25EC">
              <w:rPr>
                <w:b w:val="0"/>
                <w:bCs w:val="0"/>
                <w:lang w:eastAsia="en-US"/>
              </w:rPr>
              <w:t>Relative Risk (95% CI)</w:t>
            </w:r>
            <w:r w:rsidR="000E42DF">
              <w:rPr>
                <w:b w:val="0"/>
                <w:bCs w:val="0"/>
                <w:lang w:eastAsia="en-US"/>
              </w:rPr>
              <w:t>,</w:t>
            </w:r>
          </w:p>
          <w:p w14:paraId="68630CB6" w14:textId="3DDC2FA3"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3AEB83C0" w14:textId="77777777" w:rsidR="00072DE1" w:rsidRDefault="00072DE1">
            <w:pPr>
              <w:pStyle w:val="TableFigureHeading"/>
              <w:rPr>
                <w:b w:val="0"/>
                <w:bCs w:val="0"/>
                <w:lang w:eastAsia="en-US"/>
              </w:rPr>
            </w:pPr>
            <w:r>
              <w:rPr>
                <w:b w:val="0"/>
                <w:bCs w:val="0"/>
                <w:lang w:eastAsia="en-US"/>
              </w:rPr>
              <w:t>0.7 (0.1, 7.4)</w:t>
            </w:r>
          </w:p>
          <w:p w14:paraId="782A2A39" w14:textId="77777777" w:rsidR="00072DE1" w:rsidRPr="003F25EC" w:rsidRDefault="00072DE1">
            <w:pPr>
              <w:pStyle w:val="TableFigureHeading"/>
              <w:rPr>
                <w:b w:val="0"/>
                <w:bCs w:val="0"/>
                <w:lang w:eastAsia="en-US"/>
              </w:rPr>
            </w:pPr>
            <w:r>
              <w:rPr>
                <w:b w:val="0"/>
                <w:bCs w:val="0"/>
                <w:lang w:eastAsia="en-US"/>
              </w:rPr>
              <w:t>0.76</w:t>
            </w:r>
          </w:p>
        </w:tc>
        <w:tc>
          <w:tcPr>
            <w:tcW w:w="2255" w:type="dxa"/>
          </w:tcPr>
          <w:p w14:paraId="04A2C5DF" w14:textId="77777777" w:rsidR="00072DE1" w:rsidRPr="003F25EC" w:rsidRDefault="00072DE1">
            <w:pPr>
              <w:pStyle w:val="TableFigureHeading"/>
              <w:rPr>
                <w:lang w:eastAsia="en-US"/>
              </w:rPr>
            </w:pPr>
            <w:r w:rsidRPr="003F25EC">
              <w:rPr>
                <w:lang w:eastAsia="en-US"/>
              </w:rPr>
              <w:t>3.91 (1.5, 10.1)</w:t>
            </w:r>
          </w:p>
          <w:p w14:paraId="738DA48C" w14:textId="77777777" w:rsidR="00072DE1" w:rsidRPr="003F25EC" w:rsidRDefault="00072DE1">
            <w:pPr>
              <w:pStyle w:val="TableFigureHeading"/>
              <w:rPr>
                <w:lang w:eastAsia="en-US"/>
              </w:rPr>
            </w:pPr>
            <w:r w:rsidRPr="003F25EC">
              <w:rPr>
                <w:lang w:eastAsia="en-US"/>
              </w:rPr>
              <w:t>0.005</w:t>
            </w:r>
          </w:p>
        </w:tc>
      </w:tr>
      <w:tr w:rsidR="00072DE1" w:rsidRPr="003F25EC" w14:paraId="44439F4E" w14:textId="77777777">
        <w:tc>
          <w:tcPr>
            <w:tcW w:w="2254" w:type="dxa"/>
          </w:tcPr>
          <w:p w14:paraId="25BD3AFC" w14:textId="77777777" w:rsidR="00072DE1" w:rsidRPr="003F25EC" w:rsidRDefault="00072DE1">
            <w:pPr>
              <w:pStyle w:val="TableFigureHeading"/>
              <w:rPr>
                <w:b w:val="0"/>
                <w:bCs w:val="0"/>
                <w:lang w:eastAsia="en-US"/>
              </w:rPr>
            </w:pPr>
            <w:r>
              <w:rPr>
                <w:b w:val="0"/>
                <w:bCs w:val="0"/>
                <w:lang w:eastAsia="en-US"/>
              </w:rPr>
              <w:t>TEAE leading to withdrawal</w:t>
            </w:r>
          </w:p>
        </w:tc>
        <w:tc>
          <w:tcPr>
            <w:tcW w:w="2254" w:type="dxa"/>
          </w:tcPr>
          <w:p w14:paraId="678C9370" w14:textId="55612150" w:rsidR="00072DE1"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17010AE1" w14:textId="30F9E54B"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1E0B0F64" w14:textId="77777777" w:rsidR="00072DE1" w:rsidRDefault="00072DE1">
            <w:pPr>
              <w:pStyle w:val="TableFigureHeading"/>
              <w:rPr>
                <w:b w:val="0"/>
                <w:bCs w:val="0"/>
                <w:lang w:eastAsia="en-US"/>
              </w:rPr>
            </w:pPr>
            <w:r>
              <w:rPr>
                <w:b w:val="0"/>
                <w:bCs w:val="0"/>
                <w:lang w:eastAsia="en-US"/>
              </w:rPr>
              <w:t>0.7 (0.1, 8.1)</w:t>
            </w:r>
          </w:p>
          <w:p w14:paraId="295A24E7" w14:textId="77777777" w:rsidR="00072DE1" w:rsidRPr="003F25EC" w:rsidRDefault="00072DE1">
            <w:pPr>
              <w:pStyle w:val="TableFigureHeading"/>
              <w:rPr>
                <w:b w:val="0"/>
                <w:bCs w:val="0"/>
                <w:lang w:eastAsia="en-US"/>
              </w:rPr>
            </w:pPr>
            <w:r>
              <w:rPr>
                <w:b w:val="0"/>
                <w:bCs w:val="0"/>
                <w:lang w:eastAsia="en-US"/>
              </w:rPr>
              <w:t>0.80</w:t>
            </w:r>
          </w:p>
        </w:tc>
        <w:tc>
          <w:tcPr>
            <w:tcW w:w="2255" w:type="dxa"/>
          </w:tcPr>
          <w:p w14:paraId="024686E4" w14:textId="77777777" w:rsidR="00072DE1" w:rsidRPr="003F25EC" w:rsidRDefault="00072DE1">
            <w:pPr>
              <w:pStyle w:val="TableFigureHeading"/>
              <w:rPr>
                <w:lang w:eastAsia="en-US"/>
              </w:rPr>
            </w:pPr>
            <w:r w:rsidRPr="003F25EC">
              <w:rPr>
                <w:lang w:eastAsia="en-US"/>
              </w:rPr>
              <w:t>4.5 (1.6, 12.6)</w:t>
            </w:r>
          </w:p>
          <w:p w14:paraId="66B18B8D" w14:textId="77777777" w:rsidR="00072DE1" w:rsidRPr="003F25EC" w:rsidRDefault="00072DE1">
            <w:pPr>
              <w:pStyle w:val="TableFigureHeading"/>
              <w:rPr>
                <w:b w:val="0"/>
                <w:bCs w:val="0"/>
                <w:lang w:eastAsia="en-US"/>
              </w:rPr>
            </w:pPr>
            <w:r w:rsidRPr="003F25EC">
              <w:rPr>
                <w:lang w:eastAsia="en-US"/>
              </w:rPr>
              <w:t>0.005</w:t>
            </w:r>
          </w:p>
        </w:tc>
      </w:tr>
      <w:tr w:rsidR="00072DE1" w:rsidRPr="003F25EC" w14:paraId="4394CC4F" w14:textId="77777777">
        <w:tc>
          <w:tcPr>
            <w:tcW w:w="2254" w:type="dxa"/>
          </w:tcPr>
          <w:p w14:paraId="71434036" w14:textId="77777777" w:rsidR="00072DE1" w:rsidRPr="003F25EC" w:rsidRDefault="00072DE1">
            <w:pPr>
              <w:pStyle w:val="TableFigureHeading"/>
              <w:rPr>
                <w:b w:val="0"/>
                <w:bCs w:val="0"/>
                <w:lang w:eastAsia="en-US"/>
              </w:rPr>
            </w:pPr>
            <w:r>
              <w:rPr>
                <w:b w:val="0"/>
                <w:bCs w:val="0"/>
                <w:lang w:eastAsia="en-US"/>
              </w:rPr>
              <w:t>SAE</w:t>
            </w:r>
          </w:p>
        </w:tc>
        <w:tc>
          <w:tcPr>
            <w:tcW w:w="2254" w:type="dxa"/>
          </w:tcPr>
          <w:p w14:paraId="3C033F65" w14:textId="2164287E" w:rsidR="00072DE1" w:rsidRPr="003F25EC" w:rsidRDefault="00072DE1" w:rsidP="001E072A">
            <w:pPr>
              <w:pStyle w:val="TableFigureHeading"/>
              <w:jc w:val="right"/>
              <w:rPr>
                <w:b w:val="0"/>
                <w:bCs w:val="0"/>
                <w:lang w:eastAsia="en-US"/>
              </w:rPr>
            </w:pPr>
            <w:r w:rsidRPr="003F25EC">
              <w:rPr>
                <w:b w:val="0"/>
                <w:bCs w:val="0"/>
                <w:lang w:eastAsia="en-US"/>
              </w:rPr>
              <w:t>Risk Difference (95% CI)</w:t>
            </w:r>
            <w:r w:rsidR="000E42DF">
              <w:rPr>
                <w:b w:val="0"/>
                <w:bCs w:val="0"/>
                <w:lang w:eastAsia="en-US"/>
              </w:rPr>
              <w:t>,</w:t>
            </w:r>
          </w:p>
          <w:p w14:paraId="63A3CF32" w14:textId="53F3407D"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1E509246" w14:textId="77777777" w:rsidR="00072DE1" w:rsidRPr="00A12142" w:rsidRDefault="00072DE1">
            <w:pPr>
              <w:pStyle w:val="TableFigureHeading"/>
              <w:rPr>
                <w:b w:val="0"/>
                <w:bCs w:val="0"/>
              </w:rPr>
            </w:pPr>
            <w:r w:rsidRPr="00A12142">
              <w:rPr>
                <w:b w:val="0"/>
                <w:bCs w:val="0"/>
              </w:rPr>
              <w:t>4.0% (–3.4%, 11.4%)</w:t>
            </w:r>
          </w:p>
          <w:p w14:paraId="14084A7E" w14:textId="77777777" w:rsidR="00072DE1" w:rsidRPr="00A12142" w:rsidRDefault="00072DE1">
            <w:pPr>
              <w:pStyle w:val="TableFigureHeading"/>
              <w:rPr>
                <w:b w:val="0"/>
                <w:bCs w:val="0"/>
                <w:lang w:eastAsia="en-US"/>
              </w:rPr>
            </w:pPr>
            <w:r w:rsidRPr="00A12142">
              <w:rPr>
                <w:b w:val="0"/>
                <w:bCs w:val="0"/>
              </w:rPr>
              <w:t>0.291</w:t>
            </w:r>
          </w:p>
        </w:tc>
        <w:tc>
          <w:tcPr>
            <w:tcW w:w="2255" w:type="dxa"/>
          </w:tcPr>
          <w:p w14:paraId="1D1E8D0E" w14:textId="77777777" w:rsidR="00072DE1" w:rsidRPr="00A12142" w:rsidRDefault="00072DE1">
            <w:pPr>
              <w:pStyle w:val="TableFigureHeading"/>
              <w:rPr>
                <w:b w:val="0"/>
                <w:bCs w:val="0"/>
              </w:rPr>
            </w:pPr>
            <w:r w:rsidRPr="00A12142">
              <w:rPr>
                <w:b w:val="0"/>
                <w:bCs w:val="0"/>
              </w:rPr>
              <w:t>–0.8% (–7.7%, 6.1%)</w:t>
            </w:r>
          </w:p>
          <w:p w14:paraId="38161E4A" w14:textId="77777777" w:rsidR="00072DE1" w:rsidRPr="00A12142" w:rsidRDefault="00072DE1">
            <w:pPr>
              <w:pStyle w:val="TableFigureHeading"/>
              <w:rPr>
                <w:b w:val="0"/>
                <w:bCs w:val="0"/>
                <w:lang w:eastAsia="en-US"/>
              </w:rPr>
            </w:pPr>
            <w:r w:rsidRPr="00A12142">
              <w:rPr>
                <w:b w:val="0"/>
                <w:bCs w:val="0"/>
              </w:rPr>
              <w:t>0.816</w:t>
            </w:r>
          </w:p>
        </w:tc>
      </w:tr>
      <w:tr w:rsidR="00072DE1" w:rsidRPr="003F25EC" w14:paraId="56B220DF" w14:textId="77777777">
        <w:tc>
          <w:tcPr>
            <w:tcW w:w="2254" w:type="dxa"/>
          </w:tcPr>
          <w:p w14:paraId="3E6EBADB" w14:textId="77777777" w:rsidR="00072DE1" w:rsidRPr="003F25EC" w:rsidRDefault="00072DE1">
            <w:pPr>
              <w:pStyle w:val="TableFigureHeading"/>
              <w:rPr>
                <w:b w:val="0"/>
                <w:bCs w:val="0"/>
                <w:lang w:eastAsia="en-US"/>
              </w:rPr>
            </w:pPr>
            <w:r>
              <w:rPr>
                <w:b w:val="0"/>
                <w:bCs w:val="0"/>
                <w:lang w:eastAsia="en-US"/>
              </w:rPr>
              <w:t>SAE</w:t>
            </w:r>
          </w:p>
        </w:tc>
        <w:tc>
          <w:tcPr>
            <w:tcW w:w="2254" w:type="dxa"/>
          </w:tcPr>
          <w:p w14:paraId="39033A54" w14:textId="2EDB5BA5" w:rsidR="00072DE1" w:rsidRPr="003F25EC" w:rsidRDefault="00072DE1" w:rsidP="001E072A">
            <w:pPr>
              <w:pStyle w:val="TableFigureHeading"/>
              <w:jc w:val="right"/>
              <w:rPr>
                <w:b w:val="0"/>
                <w:bCs w:val="0"/>
                <w:lang w:eastAsia="en-US"/>
              </w:rPr>
            </w:pPr>
            <w:r w:rsidRPr="003F25EC">
              <w:rPr>
                <w:b w:val="0"/>
                <w:bCs w:val="0"/>
                <w:lang w:eastAsia="en-US"/>
              </w:rPr>
              <w:t>Relative Risk (95% CI)</w:t>
            </w:r>
            <w:r w:rsidR="000E42DF">
              <w:rPr>
                <w:b w:val="0"/>
                <w:bCs w:val="0"/>
                <w:lang w:eastAsia="en-US"/>
              </w:rPr>
              <w:t>,</w:t>
            </w:r>
          </w:p>
          <w:p w14:paraId="4BE16907" w14:textId="69EA1BE1"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21871A72" w14:textId="77777777" w:rsidR="00072DE1" w:rsidRPr="00A12142" w:rsidRDefault="00072DE1">
            <w:pPr>
              <w:pStyle w:val="TableFigureHeading"/>
              <w:rPr>
                <w:b w:val="0"/>
                <w:bCs w:val="0"/>
              </w:rPr>
            </w:pPr>
            <w:r w:rsidRPr="00A12142">
              <w:rPr>
                <w:b w:val="0"/>
                <w:bCs w:val="0"/>
              </w:rPr>
              <w:t xml:space="preserve">1.33 (0.45, 3.94) </w:t>
            </w:r>
          </w:p>
          <w:p w14:paraId="570E4647" w14:textId="77777777" w:rsidR="00072DE1" w:rsidRPr="00A12142" w:rsidRDefault="00072DE1">
            <w:pPr>
              <w:pStyle w:val="TableFigureHeading"/>
              <w:rPr>
                <w:b w:val="0"/>
                <w:bCs w:val="0"/>
                <w:lang w:eastAsia="en-US"/>
              </w:rPr>
            </w:pPr>
            <w:r w:rsidRPr="00A12142">
              <w:rPr>
                <w:b w:val="0"/>
                <w:bCs w:val="0"/>
              </w:rPr>
              <w:t>0.602</w:t>
            </w:r>
          </w:p>
        </w:tc>
        <w:tc>
          <w:tcPr>
            <w:tcW w:w="2255" w:type="dxa"/>
          </w:tcPr>
          <w:p w14:paraId="59AAFAD7" w14:textId="77777777" w:rsidR="00072DE1" w:rsidRPr="00A12142" w:rsidRDefault="00072DE1">
            <w:pPr>
              <w:pStyle w:val="TableFigureHeading"/>
              <w:rPr>
                <w:b w:val="0"/>
                <w:bCs w:val="0"/>
              </w:rPr>
            </w:pPr>
            <w:r w:rsidRPr="00A12142">
              <w:rPr>
                <w:b w:val="0"/>
                <w:bCs w:val="0"/>
              </w:rPr>
              <w:t>0.92 (0.28, 3.05)</w:t>
            </w:r>
          </w:p>
          <w:p w14:paraId="0F65FD46" w14:textId="77777777" w:rsidR="00072DE1" w:rsidRPr="00A12142" w:rsidRDefault="00072DE1">
            <w:pPr>
              <w:pStyle w:val="TableFigureHeading"/>
              <w:rPr>
                <w:b w:val="0"/>
                <w:bCs w:val="0"/>
                <w:lang w:eastAsia="en-US"/>
              </w:rPr>
            </w:pPr>
            <w:r w:rsidRPr="00A12142">
              <w:rPr>
                <w:b w:val="0"/>
                <w:bCs w:val="0"/>
              </w:rPr>
              <w:t>0.889</w:t>
            </w:r>
          </w:p>
        </w:tc>
      </w:tr>
      <w:tr w:rsidR="00072DE1" w:rsidRPr="003F25EC" w14:paraId="2D504A88" w14:textId="77777777">
        <w:tc>
          <w:tcPr>
            <w:tcW w:w="2254" w:type="dxa"/>
          </w:tcPr>
          <w:p w14:paraId="0AA3FEEE" w14:textId="77777777" w:rsidR="00072DE1" w:rsidRPr="003F25EC" w:rsidRDefault="00072DE1">
            <w:pPr>
              <w:pStyle w:val="TableFigureHeading"/>
              <w:rPr>
                <w:b w:val="0"/>
                <w:bCs w:val="0"/>
                <w:lang w:eastAsia="en-US"/>
              </w:rPr>
            </w:pPr>
            <w:r>
              <w:rPr>
                <w:b w:val="0"/>
                <w:bCs w:val="0"/>
                <w:lang w:eastAsia="en-US"/>
              </w:rPr>
              <w:t>SAE</w:t>
            </w:r>
          </w:p>
        </w:tc>
        <w:tc>
          <w:tcPr>
            <w:tcW w:w="2254" w:type="dxa"/>
          </w:tcPr>
          <w:p w14:paraId="5077A3DC" w14:textId="6F160DEB" w:rsidR="00072DE1"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18D61FFE" w14:textId="0C9BEE0A"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69960A6B" w14:textId="77777777" w:rsidR="00072DE1" w:rsidRPr="00A12142" w:rsidRDefault="00072DE1">
            <w:pPr>
              <w:pStyle w:val="TableFigureHeading"/>
              <w:rPr>
                <w:b w:val="0"/>
                <w:bCs w:val="0"/>
              </w:rPr>
            </w:pPr>
            <w:r w:rsidRPr="00A12142">
              <w:rPr>
                <w:b w:val="0"/>
                <w:bCs w:val="0"/>
              </w:rPr>
              <w:t>1.40 (0.44, 4.44)</w:t>
            </w:r>
          </w:p>
          <w:p w14:paraId="3C1A9F16" w14:textId="77777777" w:rsidR="00072DE1" w:rsidRPr="00A12142" w:rsidRDefault="00072DE1">
            <w:pPr>
              <w:pStyle w:val="TableFigureHeading"/>
              <w:rPr>
                <w:b w:val="0"/>
                <w:bCs w:val="0"/>
                <w:lang w:eastAsia="en-US"/>
              </w:rPr>
            </w:pPr>
            <w:r w:rsidRPr="00A12142">
              <w:rPr>
                <w:b w:val="0"/>
                <w:bCs w:val="0"/>
              </w:rPr>
              <w:t>0.572</w:t>
            </w:r>
          </w:p>
        </w:tc>
        <w:tc>
          <w:tcPr>
            <w:tcW w:w="2255" w:type="dxa"/>
          </w:tcPr>
          <w:p w14:paraId="6455DE44" w14:textId="77777777" w:rsidR="00072DE1" w:rsidRPr="00A12142" w:rsidRDefault="00072DE1">
            <w:pPr>
              <w:pStyle w:val="TableFigureHeading"/>
              <w:rPr>
                <w:b w:val="0"/>
                <w:bCs w:val="0"/>
              </w:rPr>
            </w:pPr>
            <w:r w:rsidRPr="00A12142">
              <w:rPr>
                <w:b w:val="0"/>
                <w:bCs w:val="0"/>
              </w:rPr>
              <w:t>0.91 (0.25, 3.25)</w:t>
            </w:r>
          </w:p>
          <w:p w14:paraId="4D3CB749" w14:textId="77777777" w:rsidR="00072DE1" w:rsidRPr="00A12142" w:rsidRDefault="00072DE1">
            <w:pPr>
              <w:pStyle w:val="TableFigureHeading"/>
              <w:rPr>
                <w:b w:val="0"/>
                <w:bCs w:val="0"/>
                <w:lang w:eastAsia="en-US"/>
              </w:rPr>
            </w:pPr>
            <w:r w:rsidRPr="00A12142">
              <w:rPr>
                <w:b w:val="0"/>
                <w:bCs w:val="0"/>
              </w:rPr>
              <w:t>0.884</w:t>
            </w:r>
          </w:p>
        </w:tc>
      </w:tr>
      <w:tr w:rsidR="00072DE1" w:rsidRPr="003F25EC" w14:paraId="117F5085" w14:textId="77777777">
        <w:tc>
          <w:tcPr>
            <w:tcW w:w="2254" w:type="dxa"/>
          </w:tcPr>
          <w:p w14:paraId="7C48032B" w14:textId="77777777" w:rsidR="00072DE1" w:rsidRPr="003F25EC" w:rsidRDefault="00072DE1">
            <w:pPr>
              <w:pStyle w:val="TableFigureHeading"/>
              <w:rPr>
                <w:b w:val="0"/>
                <w:bCs w:val="0"/>
                <w:lang w:eastAsia="en-US"/>
              </w:rPr>
            </w:pPr>
            <w:r>
              <w:rPr>
                <w:b w:val="0"/>
                <w:bCs w:val="0"/>
                <w:lang w:eastAsia="en-US"/>
              </w:rPr>
              <w:t>Weight increase</w:t>
            </w:r>
          </w:p>
        </w:tc>
        <w:tc>
          <w:tcPr>
            <w:tcW w:w="2254" w:type="dxa"/>
          </w:tcPr>
          <w:p w14:paraId="71AE7890" w14:textId="5F8A409F" w:rsidR="00072DE1" w:rsidRPr="003F25EC" w:rsidRDefault="00072DE1" w:rsidP="001E072A">
            <w:pPr>
              <w:pStyle w:val="TableFigureHeading"/>
              <w:jc w:val="right"/>
              <w:rPr>
                <w:b w:val="0"/>
                <w:bCs w:val="0"/>
                <w:lang w:eastAsia="en-US"/>
              </w:rPr>
            </w:pPr>
            <w:r w:rsidRPr="003F25EC">
              <w:rPr>
                <w:b w:val="0"/>
                <w:bCs w:val="0"/>
                <w:lang w:eastAsia="en-US"/>
              </w:rPr>
              <w:t>Risk Difference (95% CI)</w:t>
            </w:r>
            <w:r w:rsidR="000E42DF">
              <w:rPr>
                <w:b w:val="0"/>
                <w:bCs w:val="0"/>
                <w:lang w:eastAsia="en-US"/>
              </w:rPr>
              <w:t>,</w:t>
            </w:r>
          </w:p>
          <w:p w14:paraId="4D54148A" w14:textId="21AA6BF3"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2DA4BF16" w14:textId="77777777" w:rsidR="00072DE1" w:rsidRPr="00A12142" w:rsidRDefault="00072DE1">
            <w:pPr>
              <w:pStyle w:val="TableFigureHeading"/>
              <w:rPr>
                <w:b w:val="0"/>
                <w:bCs w:val="0"/>
              </w:rPr>
            </w:pPr>
            <w:r w:rsidRPr="00A12142">
              <w:rPr>
                <w:b w:val="0"/>
                <w:bCs w:val="0"/>
              </w:rPr>
              <w:t xml:space="preserve">–4.2% (–9.9%, 1.5%) </w:t>
            </w:r>
          </w:p>
          <w:p w14:paraId="24437760" w14:textId="77777777" w:rsidR="00072DE1" w:rsidRPr="00A12142" w:rsidRDefault="00072DE1">
            <w:pPr>
              <w:pStyle w:val="TableFigureHeading"/>
              <w:rPr>
                <w:b w:val="0"/>
                <w:bCs w:val="0"/>
                <w:lang w:eastAsia="en-US"/>
              </w:rPr>
            </w:pPr>
            <w:r w:rsidRPr="00A12142">
              <w:rPr>
                <w:b w:val="0"/>
                <w:bCs w:val="0"/>
              </w:rPr>
              <w:t>0.146</w:t>
            </w:r>
          </w:p>
        </w:tc>
        <w:tc>
          <w:tcPr>
            <w:tcW w:w="2255" w:type="dxa"/>
          </w:tcPr>
          <w:p w14:paraId="4B47632F" w14:textId="77777777" w:rsidR="00072DE1" w:rsidRPr="00A12142" w:rsidRDefault="00072DE1">
            <w:pPr>
              <w:pStyle w:val="TableFigureHeading"/>
              <w:rPr>
                <w:b w:val="0"/>
                <w:bCs w:val="0"/>
              </w:rPr>
            </w:pPr>
            <w:r w:rsidRPr="00A12142">
              <w:rPr>
                <w:b w:val="0"/>
                <w:bCs w:val="0"/>
              </w:rPr>
              <w:t>2.1% (–5.3%, 9.6%)</w:t>
            </w:r>
          </w:p>
          <w:p w14:paraId="0CB4DC97" w14:textId="77777777" w:rsidR="00072DE1" w:rsidRPr="00A12142" w:rsidRDefault="00072DE1">
            <w:pPr>
              <w:pStyle w:val="TableFigureHeading"/>
              <w:rPr>
                <w:b w:val="0"/>
                <w:bCs w:val="0"/>
                <w:lang w:eastAsia="en-US"/>
              </w:rPr>
            </w:pPr>
            <w:r w:rsidRPr="00A12142">
              <w:rPr>
                <w:b w:val="0"/>
                <w:bCs w:val="0"/>
              </w:rPr>
              <w:t>0.571</w:t>
            </w:r>
          </w:p>
        </w:tc>
      </w:tr>
      <w:tr w:rsidR="00072DE1" w:rsidRPr="003F25EC" w14:paraId="0448D637" w14:textId="77777777">
        <w:tc>
          <w:tcPr>
            <w:tcW w:w="2254" w:type="dxa"/>
          </w:tcPr>
          <w:p w14:paraId="5C40B29D" w14:textId="77777777" w:rsidR="00072DE1" w:rsidRPr="003F25EC" w:rsidRDefault="00072DE1">
            <w:pPr>
              <w:pStyle w:val="TableFigureHeading"/>
              <w:rPr>
                <w:b w:val="0"/>
                <w:bCs w:val="0"/>
                <w:lang w:eastAsia="en-US"/>
              </w:rPr>
            </w:pPr>
            <w:r>
              <w:rPr>
                <w:b w:val="0"/>
                <w:bCs w:val="0"/>
                <w:lang w:eastAsia="en-US"/>
              </w:rPr>
              <w:t>Weight increase</w:t>
            </w:r>
          </w:p>
        </w:tc>
        <w:tc>
          <w:tcPr>
            <w:tcW w:w="2254" w:type="dxa"/>
          </w:tcPr>
          <w:p w14:paraId="391128FF" w14:textId="75412000" w:rsidR="00072DE1" w:rsidRPr="003F25EC" w:rsidRDefault="00072DE1" w:rsidP="001E072A">
            <w:pPr>
              <w:pStyle w:val="TableFigureHeading"/>
              <w:jc w:val="right"/>
              <w:rPr>
                <w:b w:val="0"/>
                <w:bCs w:val="0"/>
                <w:lang w:eastAsia="en-US"/>
              </w:rPr>
            </w:pPr>
            <w:r w:rsidRPr="003F25EC">
              <w:rPr>
                <w:b w:val="0"/>
                <w:bCs w:val="0"/>
                <w:lang w:eastAsia="en-US"/>
              </w:rPr>
              <w:t>Relative Risk (95% CI)</w:t>
            </w:r>
            <w:r w:rsidR="000E42DF">
              <w:rPr>
                <w:b w:val="0"/>
                <w:bCs w:val="0"/>
                <w:lang w:eastAsia="en-US"/>
              </w:rPr>
              <w:t>,</w:t>
            </w:r>
          </w:p>
          <w:p w14:paraId="625E910E" w14:textId="5E5DE447"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60EFBECB" w14:textId="77777777" w:rsidR="00072DE1" w:rsidRPr="00A12142" w:rsidRDefault="00072DE1">
            <w:pPr>
              <w:pStyle w:val="TableFigureHeading"/>
              <w:rPr>
                <w:b w:val="0"/>
                <w:bCs w:val="0"/>
              </w:rPr>
            </w:pPr>
            <w:r w:rsidRPr="00A12142">
              <w:rPr>
                <w:b w:val="0"/>
                <w:bCs w:val="0"/>
              </w:rPr>
              <w:t>0.22 (0.04, 1.28)</w:t>
            </w:r>
          </w:p>
          <w:p w14:paraId="6877637C" w14:textId="77777777" w:rsidR="00072DE1" w:rsidRPr="00A12142" w:rsidRDefault="00072DE1">
            <w:pPr>
              <w:pStyle w:val="TableFigureHeading"/>
              <w:rPr>
                <w:b w:val="0"/>
                <w:bCs w:val="0"/>
                <w:lang w:eastAsia="en-US"/>
              </w:rPr>
            </w:pPr>
            <w:r w:rsidRPr="00A12142">
              <w:rPr>
                <w:b w:val="0"/>
                <w:bCs w:val="0"/>
              </w:rPr>
              <w:t>0.093</w:t>
            </w:r>
          </w:p>
        </w:tc>
        <w:tc>
          <w:tcPr>
            <w:tcW w:w="2255" w:type="dxa"/>
          </w:tcPr>
          <w:p w14:paraId="473081E9" w14:textId="77777777" w:rsidR="00072DE1" w:rsidRPr="00A12142" w:rsidRDefault="00072DE1">
            <w:pPr>
              <w:pStyle w:val="TableFigureHeading"/>
              <w:rPr>
                <w:b w:val="0"/>
                <w:bCs w:val="0"/>
              </w:rPr>
            </w:pPr>
            <w:r w:rsidRPr="00A12142">
              <w:rPr>
                <w:b w:val="0"/>
                <w:bCs w:val="0"/>
              </w:rPr>
              <w:t>1.64 (0.50, 5.30)</w:t>
            </w:r>
          </w:p>
          <w:p w14:paraId="2AF496C5" w14:textId="77777777" w:rsidR="00072DE1" w:rsidRPr="00A12142" w:rsidRDefault="00072DE1">
            <w:pPr>
              <w:pStyle w:val="TableFigureHeading"/>
              <w:rPr>
                <w:b w:val="0"/>
                <w:bCs w:val="0"/>
                <w:lang w:eastAsia="en-US"/>
              </w:rPr>
            </w:pPr>
            <w:r w:rsidRPr="00A12142">
              <w:rPr>
                <w:b w:val="0"/>
                <w:bCs w:val="0"/>
              </w:rPr>
              <w:t>0.412</w:t>
            </w:r>
          </w:p>
        </w:tc>
      </w:tr>
      <w:tr w:rsidR="00072DE1" w:rsidRPr="003F25EC" w14:paraId="5165D925" w14:textId="77777777">
        <w:tc>
          <w:tcPr>
            <w:tcW w:w="2254" w:type="dxa"/>
          </w:tcPr>
          <w:p w14:paraId="794EBCDD" w14:textId="77777777" w:rsidR="00072DE1" w:rsidRPr="003F25EC" w:rsidRDefault="00072DE1">
            <w:pPr>
              <w:pStyle w:val="TableFigureHeading"/>
              <w:rPr>
                <w:b w:val="0"/>
                <w:bCs w:val="0"/>
                <w:lang w:eastAsia="en-US"/>
              </w:rPr>
            </w:pPr>
            <w:r>
              <w:rPr>
                <w:b w:val="0"/>
                <w:bCs w:val="0"/>
                <w:lang w:eastAsia="en-US"/>
              </w:rPr>
              <w:t>Weight increase</w:t>
            </w:r>
          </w:p>
        </w:tc>
        <w:tc>
          <w:tcPr>
            <w:tcW w:w="2254" w:type="dxa"/>
          </w:tcPr>
          <w:p w14:paraId="5CB07606" w14:textId="26E95A7A" w:rsidR="00072DE1"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78ACBB3D" w14:textId="7915CE2B"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1598050E" w14:textId="77777777" w:rsidR="00072DE1" w:rsidRPr="00A12142" w:rsidRDefault="00072DE1">
            <w:pPr>
              <w:pStyle w:val="TableFigureHeading"/>
              <w:rPr>
                <w:b w:val="0"/>
                <w:bCs w:val="0"/>
              </w:rPr>
            </w:pPr>
            <w:r w:rsidRPr="00A12142">
              <w:rPr>
                <w:b w:val="0"/>
                <w:bCs w:val="0"/>
              </w:rPr>
              <w:t>0.21 (0.03, 1.29)</w:t>
            </w:r>
          </w:p>
          <w:p w14:paraId="0406A12A" w14:textId="77777777" w:rsidR="00072DE1" w:rsidRPr="00A12142" w:rsidRDefault="00072DE1">
            <w:pPr>
              <w:pStyle w:val="TableFigureHeading"/>
              <w:rPr>
                <w:b w:val="0"/>
                <w:bCs w:val="0"/>
                <w:lang w:eastAsia="en-US"/>
              </w:rPr>
            </w:pPr>
            <w:r w:rsidRPr="00A12142">
              <w:rPr>
                <w:b w:val="0"/>
                <w:bCs w:val="0"/>
              </w:rPr>
              <w:t>0.092</w:t>
            </w:r>
          </w:p>
        </w:tc>
        <w:tc>
          <w:tcPr>
            <w:tcW w:w="2255" w:type="dxa"/>
          </w:tcPr>
          <w:p w14:paraId="0D6168C8" w14:textId="77777777" w:rsidR="00072DE1" w:rsidRPr="00A12142" w:rsidRDefault="00072DE1">
            <w:pPr>
              <w:pStyle w:val="TableFigureHeading"/>
              <w:rPr>
                <w:b w:val="0"/>
                <w:bCs w:val="0"/>
              </w:rPr>
            </w:pPr>
            <w:r w:rsidRPr="00A12142">
              <w:rPr>
                <w:b w:val="0"/>
                <w:bCs w:val="0"/>
              </w:rPr>
              <w:t>1.67 (0.48, 5.83)</w:t>
            </w:r>
          </w:p>
          <w:p w14:paraId="6CFD6DB0" w14:textId="77777777" w:rsidR="00072DE1" w:rsidRPr="00A12142" w:rsidRDefault="00072DE1">
            <w:pPr>
              <w:pStyle w:val="TableFigureHeading"/>
              <w:rPr>
                <w:b w:val="0"/>
                <w:bCs w:val="0"/>
                <w:lang w:eastAsia="en-US"/>
              </w:rPr>
            </w:pPr>
            <w:r w:rsidRPr="00A12142">
              <w:rPr>
                <w:b w:val="0"/>
                <w:bCs w:val="0"/>
              </w:rPr>
              <w:t>0.419</w:t>
            </w:r>
          </w:p>
        </w:tc>
      </w:tr>
      <w:tr w:rsidR="00072DE1" w:rsidRPr="003F25EC" w14:paraId="7FF38863" w14:textId="77777777">
        <w:tc>
          <w:tcPr>
            <w:tcW w:w="2254" w:type="dxa"/>
          </w:tcPr>
          <w:p w14:paraId="4B4842F9" w14:textId="77777777" w:rsidR="00072DE1" w:rsidRPr="003F25EC" w:rsidRDefault="00072DE1">
            <w:pPr>
              <w:pStyle w:val="TableFigureHeading"/>
              <w:rPr>
                <w:b w:val="0"/>
                <w:bCs w:val="0"/>
                <w:lang w:eastAsia="en-US"/>
              </w:rPr>
            </w:pPr>
            <w:r>
              <w:rPr>
                <w:b w:val="0"/>
                <w:bCs w:val="0"/>
                <w:lang w:eastAsia="en-US"/>
              </w:rPr>
              <w:t>Extrapyramidal symptoms</w:t>
            </w:r>
          </w:p>
        </w:tc>
        <w:tc>
          <w:tcPr>
            <w:tcW w:w="2254" w:type="dxa"/>
          </w:tcPr>
          <w:p w14:paraId="2E3E1ED4" w14:textId="4EA70225" w:rsidR="00072DE1" w:rsidRPr="003F25EC" w:rsidRDefault="00072DE1" w:rsidP="001E072A">
            <w:pPr>
              <w:pStyle w:val="TableFigureHeading"/>
              <w:jc w:val="right"/>
              <w:rPr>
                <w:b w:val="0"/>
                <w:bCs w:val="0"/>
                <w:lang w:eastAsia="en-US"/>
              </w:rPr>
            </w:pPr>
            <w:r w:rsidRPr="003F25EC">
              <w:rPr>
                <w:b w:val="0"/>
                <w:bCs w:val="0"/>
                <w:lang w:eastAsia="en-US"/>
              </w:rPr>
              <w:t>Risk Difference (95% CI)</w:t>
            </w:r>
            <w:r w:rsidR="000E42DF">
              <w:rPr>
                <w:b w:val="0"/>
                <w:bCs w:val="0"/>
                <w:lang w:eastAsia="en-US"/>
              </w:rPr>
              <w:t>,</w:t>
            </w:r>
          </w:p>
          <w:p w14:paraId="203172B9" w14:textId="31487AA0"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240AF688" w14:textId="77777777" w:rsidR="00072DE1" w:rsidRPr="00A12142" w:rsidRDefault="00072DE1">
            <w:pPr>
              <w:pStyle w:val="TableFigureHeading"/>
              <w:rPr>
                <w:b w:val="0"/>
                <w:bCs w:val="0"/>
              </w:rPr>
            </w:pPr>
            <w:r w:rsidRPr="00A12142">
              <w:rPr>
                <w:b w:val="0"/>
                <w:bCs w:val="0"/>
              </w:rPr>
              <w:t>0.5% (–4.5%, 5.6%)</w:t>
            </w:r>
          </w:p>
          <w:p w14:paraId="53A07248" w14:textId="77777777" w:rsidR="00072DE1" w:rsidRPr="00A12142" w:rsidRDefault="00072DE1">
            <w:pPr>
              <w:pStyle w:val="TableFigureHeading"/>
              <w:rPr>
                <w:b w:val="0"/>
                <w:bCs w:val="0"/>
                <w:lang w:eastAsia="en-US"/>
              </w:rPr>
            </w:pPr>
            <w:r w:rsidRPr="00A12142">
              <w:rPr>
                <w:b w:val="0"/>
                <w:bCs w:val="0"/>
              </w:rPr>
              <w:t>0.838</w:t>
            </w:r>
          </w:p>
        </w:tc>
        <w:tc>
          <w:tcPr>
            <w:tcW w:w="2255" w:type="dxa"/>
          </w:tcPr>
          <w:p w14:paraId="4D4D1ACF" w14:textId="77777777" w:rsidR="00072DE1" w:rsidRPr="00A12142" w:rsidRDefault="00072DE1">
            <w:pPr>
              <w:pStyle w:val="TableFigureHeading"/>
              <w:rPr>
                <w:b w:val="0"/>
                <w:bCs w:val="0"/>
              </w:rPr>
            </w:pPr>
            <w:r w:rsidRPr="00A12142">
              <w:rPr>
                <w:b w:val="0"/>
                <w:bCs w:val="0"/>
              </w:rPr>
              <w:t>–0.3% (–7.6%, 7.1%)</w:t>
            </w:r>
          </w:p>
          <w:p w14:paraId="220A4B32" w14:textId="77777777" w:rsidR="00072DE1" w:rsidRPr="00A12142" w:rsidRDefault="00072DE1">
            <w:pPr>
              <w:pStyle w:val="TableFigureHeading"/>
              <w:rPr>
                <w:b w:val="0"/>
                <w:bCs w:val="0"/>
                <w:lang w:eastAsia="en-US"/>
              </w:rPr>
            </w:pPr>
            <w:r w:rsidRPr="00A12142">
              <w:rPr>
                <w:b w:val="0"/>
                <w:bCs w:val="0"/>
              </w:rPr>
              <w:t>0.943</w:t>
            </w:r>
          </w:p>
        </w:tc>
      </w:tr>
      <w:tr w:rsidR="00072DE1" w:rsidRPr="003F25EC" w14:paraId="78532980" w14:textId="77777777">
        <w:tc>
          <w:tcPr>
            <w:tcW w:w="2254" w:type="dxa"/>
          </w:tcPr>
          <w:p w14:paraId="3CC44C41" w14:textId="77777777" w:rsidR="00072DE1" w:rsidRPr="003F25EC" w:rsidRDefault="00072DE1">
            <w:pPr>
              <w:pStyle w:val="TableFigureHeading"/>
              <w:rPr>
                <w:b w:val="0"/>
                <w:bCs w:val="0"/>
                <w:lang w:eastAsia="en-US"/>
              </w:rPr>
            </w:pPr>
            <w:r>
              <w:rPr>
                <w:b w:val="0"/>
                <w:bCs w:val="0"/>
                <w:lang w:eastAsia="en-US"/>
              </w:rPr>
              <w:t>Extrapyramidal symptoms</w:t>
            </w:r>
          </w:p>
        </w:tc>
        <w:tc>
          <w:tcPr>
            <w:tcW w:w="2254" w:type="dxa"/>
          </w:tcPr>
          <w:p w14:paraId="51AE310E" w14:textId="4B3B32C1" w:rsidR="00072DE1" w:rsidRPr="003F25EC" w:rsidRDefault="00072DE1" w:rsidP="001E072A">
            <w:pPr>
              <w:pStyle w:val="TableFigureHeading"/>
              <w:jc w:val="right"/>
              <w:rPr>
                <w:b w:val="0"/>
                <w:bCs w:val="0"/>
                <w:lang w:eastAsia="en-US"/>
              </w:rPr>
            </w:pPr>
            <w:r w:rsidRPr="003F25EC">
              <w:rPr>
                <w:b w:val="0"/>
                <w:bCs w:val="0"/>
                <w:lang w:eastAsia="en-US"/>
              </w:rPr>
              <w:t>Relative Risk (95% CI)</w:t>
            </w:r>
            <w:r w:rsidR="000E42DF">
              <w:rPr>
                <w:b w:val="0"/>
                <w:bCs w:val="0"/>
                <w:lang w:eastAsia="en-US"/>
              </w:rPr>
              <w:t>,</w:t>
            </w:r>
          </w:p>
          <w:p w14:paraId="229CBEF4" w14:textId="2623C5D5"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72565A73" w14:textId="77777777" w:rsidR="00072DE1" w:rsidRPr="00A12142" w:rsidRDefault="00072DE1">
            <w:pPr>
              <w:pStyle w:val="TableFigureHeading"/>
              <w:rPr>
                <w:b w:val="0"/>
                <w:bCs w:val="0"/>
              </w:rPr>
            </w:pPr>
            <w:r w:rsidRPr="00A12142">
              <w:rPr>
                <w:b w:val="0"/>
                <w:bCs w:val="0"/>
              </w:rPr>
              <w:t>5.78 (0.28, 121.16)</w:t>
            </w:r>
          </w:p>
          <w:p w14:paraId="75D8D660" w14:textId="77777777" w:rsidR="00072DE1" w:rsidRPr="00A12142" w:rsidRDefault="00072DE1">
            <w:pPr>
              <w:pStyle w:val="TableFigureHeading"/>
              <w:rPr>
                <w:b w:val="0"/>
                <w:bCs w:val="0"/>
                <w:lang w:eastAsia="en-US"/>
              </w:rPr>
            </w:pPr>
            <w:r w:rsidRPr="00A12142">
              <w:rPr>
                <w:b w:val="0"/>
                <w:bCs w:val="0"/>
              </w:rPr>
              <w:t>0.259</w:t>
            </w:r>
          </w:p>
        </w:tc>
        <w:tc>
          <w:tcPr>
            <w:tcW w:w="2255" w:type="dxa"/>
          </w:tcPr>
          <w:p w14:paraId="1AA51098" w14:textId="77777777" w:rsidR="00072DE1" w:rsidRPr="00A12142" w:rsidRDefault="00072DE1">
            <w:pPr>
              <w:pStyle w:val="TableFigureHeading"/>
              <w:rPr>
                <w:b w:val="0"/>
                <w:bCs w:val="0"/>
              </w:rPr>
            </w:pPr>
            <w:r w:rsidRPr="00A12142">
              <w:rPr>
                <w:b w:val="0"/>
                <w:bCs w:val="0"/>
              </w:rPr>
              <w:t>12.13 (0.67, 219.75)</w:t>
            </w:r>
          </w:p>
          <w:p w14:paraId="497A6A77" w14:textId="77777777" w:rsidR="00072DE1" w:rsidRPr="00A12142" w:rsidRDefault="00072DE1">
            <w:pPr>
              <w:pStyle w:val="TableFigureHeading"/>
              <w:rPr>
                <w:b w:val="0"/>
                <w:bCs w:val="0"/>
                <w:lang w:eastAsia="en-US"/>
              </w:rPr>
            </w:pPr>
            <w:r w:rsidRPr="00A12142">
              <w:rPr>
                <w:b w:val="0"/>
                <w:bCs w:val="0"/>
              </w:rPr>
              <w:t>0.091</w:t>
            </w:r>
          </w:p>
        </w:tc>
      </w:tr>
      <w:tr w:rsidR="00072DE1" w:rsidRPr="003F25EC" w14:paraId="692BB388" w14:textId="77777777">
        <w:tc>
          <w:tcPr>
            <w:tcW w:w="2254" w:type="dxa"/>
          </w:tcPr>
          <w:p w14:paraId="296BFE46" w14:textId="77777777" w:rsidR="00072DE1" w:rsidRPr="003F25EC" w:rsidRDefault="00072DE1">
            <w:pPr>
              <w:pStyle w:val="TableFigureHeading"/>
              <w:rPr>
                <w:b w:val="0"/>
                <w:bCs w:val="0"/>
                <w:lang w:eastAsia="en-US"/>
              </w:rPr>
            </w:pPr>
            <w:r>
              <w:rPr>
                <w:b w:val="0"/>
                <w:bCs w:val="0"/>
                <w:lang w:eastAsia="en-US"/>
              </w:rPr>
              <w:t>Extrapyramidal symptoms</w:t>
            </w:r>
          </w:p>
        </w:tc>
        <w:tc>
          <w:tcPr>
            <w:tcW w:w="2254" w:type="dxa"/>
          </w:tcPr>
          <w:p w14:paraId="2F069720" w14:textId="6FE54AA9" w:rsidR="00072DE1"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2AE07C58" w14:textId="6FE4D026"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010F0E05" w14:textId="77777777" w:rsidR="00072DE1" w:rsidRPr="00A12142" w:rsidRDefault="00072DE1">
            <w:pPr>
              <w:pStyle w:val="TableFigureHeading"/>
              <w:rPr>
                <w:b w:val="0"/>
                <w:bCs w:val="0"/>
              </w:rPr>
            </w:pPr>
            <w:r w:rsidRPr="00A12142">
              <w:rPr>
                <w:b w:val="0"/>
                <w:bCs w:val="0"/>
              </w:rPr>
              <w:t>5.80 (0.27, 125.02)</w:t>
            </w:r>
          </w:p>
          <w:p w14:paraId="39998552" w14:textId="77777777" w:rsidR="00072DE1" w:rsidRPr="00A12142" w:rsidRDefault="00072DE1">
            <w:pPr>
              <w:pStyle w:val="TableFigureHeading"/>
              <w:rPr>
                <w:b w:val="0"/>
                <w:bCs w:val="0"/>
                <w:lang w:eastAsia="en-US"/>
              </w:rPr>
            </w:pPr>
            <w:r w:rsidRPr="00A12142">
              <w:rPr>
                <w:b w:val="0"/>
                <w:bCs w:val="0"/>
              </w:rPr>
              <w:t>0.262</w:t>
            </w:r>
          </w:p>
        </w:tc>
        <w:tc>
          <w:tcPr>
            <w:tcW w:w="2255" w:type="dxa"/>
          </w:tcPr>
          <w:p w14:paraId="519C7AC6" w14:textId="77777777" w:rsidR="00072DE1" w:rsidRPr="00A12142" w:rsidRDefault="00072DE1">
            <w:pPr>
              <w:pStyle w:val="TableFigureHeading"/>
              <w:rPr>
                <w:b w:val="0"/>
                <w:bCs w:val="0"/>
              </w:rPr>
            </w:pPr>
            <w:r w:rsidRPr="00A12142">
              <w:rPr>
                <w:b w:val="0"/>
                <w:bCs w:val="0"/>
              </w:rPr>
              <w:t>12.02 (0.64, 224.61)</w:t>
            </w:r>
          </w:p>
          <w:p w14:paraId="7B1ED704" w14:textId="77777777" w:rsidR="00072DE1" w:rsidRPr="00A12142" w:rsidRDefault="00072DE1">
            <w:pPr>
              <w:pStyle w:val="TableFigureHeading"/>
              <w:rPr>
                <w:b w:val="0"/>
                <w:bCs w:val="0"/>
                <w:lang w:eastAsia="en-US"/>
              </w:rPr>
            </w:pPr>
            <w:r w:rsidRPr="00A12142">
              <w:rPr>
                <w:b w:val="0"/>
                <w:bCs w:val="0"/>
              </w:rPr>
              <w:t>0.096</w:t>
            </w:r>
          </w:p>
        </w:tc>
      </w:tr>
      <w:tr w:rsidR="00072DE1" w:rsidRPr="003F25EC" w14:paraId="2BEBAB31" w14:textId="77777777">
        <w:tc>
          <w:tcPr>
            <w:tcW w:w="2254" w:type="dxa"/>
          </w:tcPr>
          <w:p w14:paraId="4C9344A4" w14:textId="2F21FC69" w:rsidR="00072DE1" w:rsidRPr="003F25EC" w:rsidRDefault="00072DE1">
            <w:pPr>
              <w:pStyle w:val="TableFigureHeading"/>
              <w:rPr>
                <w:b w:val="0"/>
                <w:bCs w:val="0"/>
                <w:lang w:eastAsia="en-US"/>
              </w:rPr>
            </w:pPr>
            <w:r>
              <w:rPr>
                <w:b w:val="0"/>
                <w:bCs w:val="0"/>
                <w:lang w:eastAsia="en-US"/>
              </w:rPr>
              <w:t>Prolactin</w:t>
            </w:r>
            <w:r w:rsidR="002D15C9">
              <w:rPr>
                <w:b w:val="0"/>
                <w:bCs w:val="0"/>
                <w:lang w:eastAsia="en-US"/>
              </w:rPr>
              <w:noBreakHyphen/>
            </w:r>
            <w:r>
              <w:rPr>
                <w:b w:val="0"/>
                <w:bCs w:val="0"/>
                <w:lang w:eastAsia="en-US"/>
              </w:rPr>
              <w:t>related AE</w:t>
            </w:r>
          </w:p>
        </w:tc>
        <w:tc>
          <w:tcPr>
            <w:tcW w:w="2254" w:type="dxa"/>
          </w:tcPr>
          <w:p w14:paraId="48BD386C" w14:textId="23AE7D5F" w:rsidR="00072DE1" w:rsidRPr="003F25EC" w:rsidRDefault="00072DE1" w:rsidP="001E072A">
            <w:pPr>
              <w:pStyle w:val="TableFigureHeading"/>
              <w:jc w:val="right"/>
              <w:rPr>
                <w:b w:val="0"/>
                <w:bCs w:val="0"/>
                <w:lang w:eastAsia="en-US"/>
              </w:rPr>
            </w:pPr>
            <w:r w:rsidRPr="003F25EC">
              <w:rPr>
                <w:b w:val="0"/>
                <w:bCs w:val="0"/>
                <w:lang w:eastAsia="en-US"/>
              </w:rPr>
              <w:t>Risk Difference (95% CI)</w:t>
            </w:r>
            <w:r w:rsidR="000E42DF">
              <w:rPr>
                <w:b w:val="0"/>
                <w:bCs w:val="0"/>
                <w:lang w:eastAsia="en-US"/>
              </w:rPr>
              <w:t>,</w:t>
            </w:r>
          </w:p>
          <w:p w14:paraId="1E2A4FD8" w14:textId="4B825F5A"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5845C551" w14:textId="77777777" w:rsidR="00072DE1" w:rsidRPr="00A12142" w:rsidRDefault="00072DE1">
            <w:pPr>
              <w:pStyle w:val="TableFigureHeading"/>
              <w:rPr>
                <w:b w:val="0"/>
                <w:bCs w:val="0"/>
              </w:rPr>
            </w:pPr>
            <w:r w:rsidRPr="00A12142">
              <w:rPr>
                <w:b w:val="0"/>
                <w:bCs w:val="0"/>
              </w:rPr>
              <w:t>–0.4% (–3.5%, 2.7%)</w:t>
            </w:r>
          </w:p>
          <w:p w14:paraId="07AFA8F1" w14:textId="77777777" w:rsidR="00072DE1" w:rsidRPr="00A12142" w:rsidRDefault="00072DE1">
            <w:pPr>
              <w:pStyle w:val="TableFigureHeading"/>
              <w:rPr>
                <w:b w:val="0"/>
                <w:bCs w:val="0"/>
              </w:rPr>
            </w:pPr>
            <w:r w:rsidRPr="00A12142">
              <w:rPr>
                <w:b w:val="0"/>
                <w:bCs w:val="0"/>
              </w:rPr>
              <w:t>0.816</w:t>
            </w:r>
          </w:p>
        </w:tc>
        <w:tc>
          <w:tcPr>
            <w:tcW w:w="2255" w:type="dxa"/>
          </w:tcPr>
          <w:p w14:paraId="78F0EA55" w14:textId="77777777" w:rsidR="00072DE1" w:rsidRPr="00A12142" w:rsidRDefault="00072DE1">
            <w:pPr>
              <w:pStyle w:val="TableFigureHeading"/>
              <w:rPr>
                <w:color w:val="000000" w:themeColor="text1"/>
              </w:rPr>
            </w:pPr>
            <w:r w:rsidRPr="00A12142">
              <w:rPr>
                <w:color w:val="000000" w:themeColor="text1"/>
              </w:rPr>
              <w:t>6.4% (1.2%, 11.5%)</w:t>
            </w:r>
          </w:p>
          <w:p w14:paraId="4D5AB557" w14:textId="77777777" w:rsidR="00072DE1" w:rsidRPr="00A12142" w:rsidRDefault="00072DE1">
            <w:pPr>
              <w:pStyle w:val="TableFigureHeading"/>
              <w:rPr>
                <w:b w:val="0"/>
                <w:bCs w:val="0"/>
              </w:rPr>
            </w:pPr>
            <w:r w:rsidRPr="00A12142">
              <w:rPr>
                <w:color w:val="000000" w:themeColor="text1"/>
              </w:rPr>
              <w:t>0.015</w:t>
            </w:r>
          </w:p>
        </w:tc>
      </w:tr>
      <w:tr w:rsidR="00072DE1" w:rsidRPr="003F25EC" w14:paraId="7789D8A9" w14:textId="77777777">
        <w:tc>
          <w:tcPr>
            <w:tcW w:w="2254" w:type="dxa"/>
          </w:tcPr>
          <w:p w14:paraId="0B132F73" w14:textId="49B66EC2" w:rsidR="00072DE1" w:rsidRPr="003F25EC" w:rsidRDefault="00072DE1">
            <w:pPr>
              <w:pStyle w:val="TableFigureHeading"/>
              <w:rPr>
                <w:b w:val="0"/>
                <w:bCs w:val="0"/>
                <w:lang w:eastAsia="en-US"/>
              </w:rPr>
            </w:pPr>
            <w:r>
              <w:rPr>
                <w:b w:val="0"/>
                <w:bCs w:val="0"/>
                <w:lang w:eastAsia="en-US"/>
              </w:rPr>
              <w:t>Prolactin</w:t>
            </w:r>
            <w:r w:rsidR="002D15C9">
              <w:rPr>
                <w:b w:val="0"/>
                <w:bCs w:val="0"/>
                <w:lang w:eastAsia="en-US"/>
              </w:rPr>
              <w:noBreakHyphen/>
            </w:r>
            <w:r>
              <w:rPr>
                <w:b w:val="0"/>
                <w:bCs w:val="0"/>
                <w:lang w:eastAsia="en-US"/>
              </w:rPr>
              <w:t>related AE</w:t>
            </w:r>
          </w:p>
        </w:tc>
        <w:tc>
          <w:tcPr>
            <w:tcW w:w="2254" w:type="dxa"/>
          </w:tcPr>
          <w:p w14:paraId="7A100E8A" w14:textId="2F6CE508" w:rsidR="00072DE1" w:rsidRPr="003F25EC" w:rsidRDefault="00072DE1" w:rsidP="001E072A">
            <w:pPr>
              <w:pStyle w:val="TableFigureHeading"/>
              <w:jc w:val="right"/>
              <w:rPr>
                <w:b w:val="0"/>
                <w:bCs w:val="0"/>
                <w:lang w:eastAsia="en-US"/>
              </w:rPr>
            </w:pPr>
            <w:r w:rsidRPr="003F25EC">
              <w:rPr>
                <w:b w:val="0"/>
                <w:bCs w:val="0"/>
                <w:lang w:eastAsia="en-US"/>
              </w:rPr>
              <w:t>Relative Risk (95% CI)</w:t>
            </w:r>
            <w:r w:rsidR="000E42DF">
              <w:rPr>
                <w:b w:val="0"/>
                <w:bCs w:val="0"/>
                <w:lang w:eastAsia="en-US"/>
              </w:rPr>
              <w:t>,</w:t>
            </w:r>
          </w:p>
          <w:p w14:paraId="550AB413" w14:textId="51E844F4"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16AB2521" w14:textId="77777777" w:rsidR="00072DE1" w:rsidRPr="00A12142" w:rsidRDefault="00072DE1">
            <w:pPr>
              <w:pStyle w:val="TableFigureHeading"/>
              <w:rPr>
                <w:b w:val="0"/>
                <w:bCs w:val="0"/>
              </w:rPr>
            </w:pPr>
            <w:r w:rsidRPr="00A12142">
              <w:rPr>
                <w:b w:val="0"/>
                <w:bCs w:val="0"/>
              </w:rPr>
              <w:t>1.98 (0.06, 61.57)</w:t>
            </w:r>
          </w:p>
          <w:p w14:paraId="3EBC2FDD" w14:textId="77777777" w:rsidR="00072DE1" w:rsidRPr="00A12142" w:rsidRDefault="00072DE1">
            <w:pPr>
              <w:pStyle w:val="TableFigureHeading"/>
              <w:rPr>
                <w:b w:val="0"/>
                <w:bCs w:val="0"/>
                <w:lang w:eastAsia="en-US"/>
              </w:rPr>
            </w:pPr>
            <w:r w:rsidRPr="00A12142">
              <w:rPr>
                <w:b w:val="0"/>
                <w:bCs w:val="0"/>
              </w:rPr>
              <w:t>0.698</w:t>
            </w:r>
          </w:p>
        </w:tc>
        <w:tc>
          <w:tcPr>
            <w:tcW w:w="2255" w:type="dxa"/>
          </w:tcPr>
          <w:p w14:paraId="5485190F" w14:textId="77777777" w:rsidR="00072DE1" w:rsidRPr="00A12142" w:rsidRDefault="00072DE1">
            <w:pPr>
              <w:pStyle w:val="TableFigureHeading"/>
              <w:rPr>
                <w:b w:val="0"/>
                <w:bCs w:val="0"/>
              </w:rPr>
            </w:pPr>
            <w:r w:rsidRPr="00A12142">
              <w:rPr>
                <w:b w:val="0"/>
                <w:bCs w:val="0"/>
              </w:rPr>
              <w:t>18.66 (0.75, 463.95)</w:t>
            </w:r>
          </w:p>
          <w:p w14:paraId="111F443F" w14:textId="77777777" w:rsidR="00072DE1" w:rsidRPr="00A12142" w:rsidRDefault="00072DE1">
            <w:pPr>
              <w:pStyle w:val="TableFigureHeading"/>
              <w:rPr>
                <w:b w:val="0"/>
                <w:bCs w:val="0"/>
                <w:lang w:eastAsia="en-US"/>
              </w:rPr>
            </w:pPr>
            <w:r w:rsidRPr="00A12142">
              <w:rPr>
                <w:b w:val="0"/>
                <w:bCs w:val="0"/>
              </w:rPr>
              <w:t>0.074</w:t>
            </w:r>
          </w:p>
        </w:tc>
      </w:tr>
      <w:tr w:rsidR="00072DE1" w:rsidRPr="003F25EC" w14:paraId="0C4380B1" w14:textId="77777777">
        <w:tc>
          <w:tcPr>
            <w:tcW w:w="2254" w:type="dxa"/>
          </w:tcPr>
          <w:p w14:paraId="7E49B8F0" w14:textId="5834DCC9" w:rsidR="00072DE1" w:rsidRPr="003F25EC" w:rsidRDefault="00072DE1">
            <w:pPr>
              <w:pStyle w:val="TableFigureHeading"/>
              <w:rPr>
                <w:b w:val="0"/>
                <w:bCs w:val="0"/>
                <w:lang w:eastAsia="en-US"/>
              </w:rPr>
            </w:pPr>
            <w:r>
              <w:rPr>
                <w:b w:val="0"/>
                <w:bCs w:val="0"/>
                <w:lang w:eastAsia="en-US"/>
              </w:rPr>
              <w:t>Prolactin</w:t>
            </w:r>
            <w:r w:rsidR="002D15C9">
              <w:rPr>
                <w:b w:val="0"/>
                <w:bCs w:val="0"/>
                <w:lang w:eastAsia="en-US"/>
              </w:rPr>
              <w:noBreakHyphen/>
            </w:r>
            <w:r>
              <w:rPr>
                <w:b w:val="0"/>
                <w:bCs w:val="0"/>
                <w:lang w:eastAsia="en-US"/>
              </w:rPr>
              <w:t>related AE</w:t>
            </w:r>
          </w:p>
        </w:tc>
        <w:tc>
          <w:tcPr>
            <w:tcW w:w="2254" w:type="dxa"/>
          </w:tcPr>
          <w:p w14:paraId="6D48BE9A" w14:textId="2FFAA631" w:rsidR="00072DE1" w:rsidRPr="003F25EC" w:rsidRDefault="00072DE1" w:rsidP="001E072A">
            <w:pPr>
              <w:pStyle w:val="TableFigureHeading"/>
              <w:jc w:val="right"/>
              <w:rPr>
                <w:b w:val="0"/>
                <w:bCs w:val="0"/>
                <w:lang w:eastAsia="en-US"/>
              </w:rPr>
            </w:pPr>
            <w:r w:rsidRPr="003F25EC">
              <w:rPr>
                <w:b w:val="0"/>
                <w:bCs w:val="0"/>
                <w:lang w:eastAsia="en-US"/>
              </w:rPr>
              <w:t>Odds Ratio (95% CI)</w:t>
            </w:r>
            <w:r w:rsidR="000E42DF">
              <w:rPr>
                <w:b w:val="0"/>
                <w:bCs w:val="0"/>
                <w:lang w:eastAsia="en-US"/>
              </w:rPr>
              <w:t>,</w:t>
            </w:r>
          </w:p>
          <w:p w14:paraId="1AC51E0C" w14:textId="46C01B02" w:rsidR="00072DE1" w:rsidRPr="003F25EC" w:rsidRDefault="000E42DF" w:rsidP="001E072A">
            <w:pPr>
              <w:pStyle w:val="TableFigureHeading"/>
              <w:jc w:val="right"/>
              <w:rPr>
                <w:b w:val="0"/>
                <w:bCs w:val="0"/>
                <w:lang w:eastAsia="en-US"/>
              </w:rPr>
            </w:pPr>
            <w:r w:rsidRPr="003F25EC">
              <w:rPr>
                <w:b w:val="0"/>
                <w:bCs w:val="0"/>
                <w:lang w:eastAsia="en-US"/>
              </w:rPr>
              <w:t>P</w:t>
            </w:r>
            <w:r w:rsidR="002D15C9">
              <w:rPr>
                <w:b w:val="0"/>
                <w:bCs w:val="0"/>
                <w:lang w:eastAsia="en-US"/>
              </w:rPr>
              <w:noBreakHyphen/>
            </w:r>
            <w:r>
              <w:rPr>
                <w:b w:val="0"/>
                <w:bCs w:val="0"/>
                <w:lang w:eastAsia="en-US"/>
              </w:rPr>
              <w:t>value</w:t>
            </w:r>
          </w:p>
        </w:tc>
        <w:tc>
          <w:tcPr>
            <w:tcW w:w="2254" w:type="dxa"/>
          </w:tcPr>
          <w:p w14:paraId="171E6ED4" w14:textId="77777777" w:rsidR="00072DE1" w:rsidRPr="00A12142" w:rsidRDefault="00072DE1">
            <w:pPr>
              <w:pStyle w:val="TableFigureHeading"/>
              <w:rPr>
                <w:b w:val="0"/>
                <w:bCs w:val="0"/>
              </w:rPr>
            </w:pPr>
            <w:r w:rsidRPr="00A12142">
              <w:rPr>
                <w:b w:val="0"/>
                <w:bCs w:val="0"/>
              </w:rPr>
              <w:t>1.97 (0.06, 62.78)</w:t>
            </w:r>
          </w:p>
          <w:p w14:paraId="058E84E6" w14:textId="77777777" w:rsidR="00072DE1" w:rsidRPr="00A12142" w:rsidRDefault="00072DE1">
            <w:pPr>
              <w:pStyle w:val="TableFigureHeading"/>
              <w:rPr>
                <w:b w:val="0"/>
                <w:bCs w:val="0"/>
                <w:lang w:eastAsia="en-US"/>
              </w:rPr>
            </w:pPr>
            <w:r w:rsidRPr="00A12142">
              <w:rPr>
                <w:b w:val="0"/>
                <w:bCs w:val="0"/>
              </w:rPr>
              <w:t>0.702</w:t>
            </w:r>
          </w:p>
        </w:tc>
        <w:tc>
          <w:tcPr>
            <w:tcW w:w="2255" w:type="dxa"/>
          </w:tcPr>
          <w:p w14:paraId="478D22C7" w14:textId="77777777" w:rsidR="00072DE1" w:rsidRPr="00A12142" w:rsidRDefault="00072DE1">
            <w:pPr>
              <w:pStyle w:val="TableFigureHeading"/>
              <w:rPr>
                <w:b w:val="0"/>
                <w:bCs w:val="0"/>
              </w:rPr>
            </w:pPr>
            <w:r w:rsidRPr="00A12142">
              <w:rPr>
                <w:b w:val="0"/>
                <w:bCs w:val="0"/>
              </w:rPr>
              <w:t>19.93 (0.78, 509.48)</w:t>
            </w:r>
          </w:p>
          <w:p w14:paraId="0C7C011E" w14:textId="77777777" w:rsidR="00072DE1" w:rsidRPr="00A12142" w:rsidRDefault="00072DE1">
            <w:pPr>
              <w:pStyle w:val="TableFigureHeading"/>
              <w:rPr>
                <w:b w:val="0"/>
                <w:bCs w:val="0"/>
                <w:lang w:eastAsia="en-US"/>
              </w:rPr>
            </w:pPr>
            <w:r w:rsidRPr="00A12142">
              <w:rPr>
                <w:b w:val="0"/>
                <w:bCs w:val="0"/>
              </w:rPr>
              <w:t>0.070</w:t>
            </w:r>
          </w:p>
        </w:tc>
      </w:tr>
    </w:tbl>
    <w:p w14:paraId="14ACC0E6" w14:textId="676B97B1" w:rsidR="00072DE1" w:rsidRDefault="00072DE1" w:rsidP="00072DE1">
      <w:pPr>
        <w:pStyle w:val="TableFigureFooter"/>
        <w:rPr>
          <w:b/>
          <w:lang w:eastAsia="en-US"/>
        </w:rPr>
      </w:pPr>
      <w:r>
        <w:rPr>
          <w:lang w:eastAsia="en-US"/>
        </w:rPr>
        <w:t>Source: Table 2</w:t>
      </w:r>
      <w:r w:rsidR="002D15C9">
        <w:rPr>
          <w:lang w:eastAsia="en-US"/>
        </w:rPr>
        <w:noBreakHyphen/>
      </w:r>
      <w:r>
        <w:rPr>
          <w:lang w:eastAsia="en-US"/>
        </w:rPr>
        <w:t xml:space="preserve">44, p157 of the submission. </w:t>
      </w:r>
    </w:p>
    <w:p w14:paraId="4270ECAE" w14:textId="77777777" w:rsidR="00072DE1" w:rsidRPr="003F25EC" w:rsidRDefault="00072DE1" w:rsidP="00072DE1">
      <w:pPr>
        <w:pStyle w:val="TableFigureFooter"/>
        <w:rPr>
          <w:b/>
          <w:lang w:eastAsia="en-US"/>
        </w:rPr>
      </w:pPr>
      <w:r>
        <w:rPr>
          <w:b/>
          <w:lang w:eastAsia="en-US"/>
        </w:rPr>
        <w:t xml:space="preserve">Bold </w:t>
      </w:r>
      <w:r>
        <w:rPr>
          <w:lang w:eastAsia="en-US"/>
        </w:rPr>
        <w:t>= statistically significant</w:t>
      </w:r>
      <w:r>
        <w:rPr>
          <w:b/>
          <w:lang w:eastAsia="en-US"/>
        </w:rPr>
        <w:t xml:space="preserve"> </w:t>
      </w:r>
      <w:r>
        <w:rPr>
          <w:lang w:eastAsia="en-US"/>
        </w:rPr>
        <w:t xml:space="preserve">AE = adverse event; A1M = aripiprazole CI = confidence interval; PP1M = paliperidone; SAE = serious adverse event; TEAE = treatment emergent adverse event. </w:t>
      </w:r>
    </w:p>
    <w:p w14:paraId="04908C7F" w14:textId="5227B55A" w:rsidR="007F1017" w:rsidRPr="0098262F" w:rsidRDefault="007F1017" w:rsidP="00D86231">
      <w:pPr>
        <w:pStyle w:val="4-SubsectionHeading"/>
      </w:pPr>
      <w:bookmarkStart w:id="35" w:name="_Toc22897643"/>
      <w:bookmarkStart w:id="36" w:name="_Toc219904436"/>
      <w:bookmarkEnd w:id="33"/>
      <w:r w:rsidRPr="0098262F">
        <w:t>Benefits/harms</w:t>
      </w:r>
      <w:bookmarkEnd w:id="35"/>
      <w:bookmarkEnd w:id="36"/>
    </w:p>
    <w:p w14:paraId="02B9BDE3" w14:textId="7D1989F8" w:rsidR="007A1345" w:rsidRPr="0098262F" w:rsidRDefault="00311D9B" w:rsidP="00D2155B">
      <w:pPr>
        <w:pStyle w:val="3-BodyText"/>
      </w:pPr>
      <w:r w:rsidRPr="0098262F">
        <w:t xml:space="preserve">A benefits and harms table </w:t>
      </w:r>
      <w:r w:rsidR="00C12C6C">
        <w:t>wa</w:t>
      </w:r>
      <w:r w:rsidR="00C12C6C" w:rsidRPr="0098262F">
        <w:t xml:space="preserve">s </w:t>
      </w:r>
      <w:r w:rsidRPr="0098262F">
        <w:t>not presented as the submission made a claim of non</w:t>
      </w:r>
      <w:r w:rsidR="002D15C9">
        <w:noBreakHyphen/>
      </w:r>
      <w:r w:rsidRPr="0098262F">
        <w:t>inferiority.</w:t>
      </w:r>
      <w:r w:rsidR="00E926A5" w:rsidRPr="0098262F">
        <w:t xml:space="preserve"> </w:t>
      </w:r>
    </w:p>
    <w:p w14:paraId="7A1772B6" w14:textId="33EFBECE" w:rsidR="00B60939" w:rsidRPr="0098262F" w:rsidRDefault="00B60939" w:rsidP="00E9094A">
      <w:pPr>
        <w:pStyle w:val="4-SubsectionHeading"/>
      </w:pPr>
      <w:bookmarkStart w:id="37" w:name="_Toc22897644"/>
      <w:bookmarkStart w:id="38" w:name="_Toc219904437"/>
      <w:r w:rsidRPr="0098262F">
        <w:t>Clinical claim</w:t>
      </w:r>
      <w:bookmarkEnd w:id="37"/>
      <w:bookmarkEnd w:id="38"/>
    </w:p>
    <w:p w14:paraId="54D3A82D" w14:textId="0E47B103" w:rsidR="005F7588" w:rsidRPr="00D96E9F" w:rsidRDefault="005F7588">
      <w:pPr>
        <w:pStyle w:val="3-BodyText"/>
        <w:rPr>
          <w:rFonts w:eastAsia="Calibri"/>
          <w:iCs/>
        </w:rPr>
      </w:pPr>
      <w:r w:rsidRPr="00D96E9F">
        <w:rPr>
          <w:rFonts w:eastAsia="Calibri"/>
        </w:rPr>
        <w:t xml:space="preserve">The submission described </w:t>
      </w:r>
      <w:r w:rsidR="004D4ABF" w:rsidRPr="00D96E9F">
        <w:rPr>
          <w:rFonts w:eastAsia="Calibri"/>
        </w:rPr>
        <w:t xml:space="preserve">MRSC </w:t>
      </w:r>
      <w:r w:rsidR="00FB76A5" w:rsidRPr="00D96E9F">
        <w:rPr>
          <w:rFonts w:eastAsia="Calibri"/>
        </w:rPr>
        <w:t>risperidone</w:t>
      </w:r>
      <w:r w:rsidR="00CE0233" w:rsidRPr="00D96E9F">
        <w:rPr>
          <w:rFonts w:eastAsia="Calibri"/>
        </w:rPr>
        <w:t xml:space="preserve"> as</w:t>
      </w:r>
      <w:r w:rsidR="00FB76A5" w:rsidRPr="00D96E9F">
        <w:rPr>
          <w:rFonts w:eastAsia="Calibri"/>
        </w:rPr>
        <w:t xml:space="preserve"> </w:t>
      </w:r>
      <w:r w:rsidRPr="00D96E9F">
        <w:rPr>
          <w:rFonts w:eastAsia="Calibri"/>
        </w:rPr>
        <w:t>non</w:t>
      </w:r>
      <w:r w:rsidR="002D15C9">
        <w:rPr>
          <w:rFonts w:eastAsia="Calibri"/>
        </w:rPr>
        <w:noBreakHyphen/>
      </w:r>
      <w:r w:rsidRPr="00D96E9F">
        <w:rPr>
          <w:rFonts w:eastAsia="Calibri"/>
        </w:rPr>
        <w:t xml:space="preserve">inferior in terms of effectiveness compared to </w:t>
      </w:r>
      <w:r w:rsidR="004D4ABF" w:rsidRPr="00D96E9F">
        <w:rPr>
          <w:rFonts w:eastAsia="Calibri"/>
        </w:rPr>
        <w:t>PP1M</w:t>
      </w:r>
      <w:r w:rsidR="00FB76A5" w:rsidRPr="00D96E9F">
        <w:rPr>
          <w:rFonts w:eastAsia="Calibri"/>
        </w:rPr>
        <w:t xml:space="preserve">, </w:t>
      </w:r>
      <w:r w:rsidR="007D37F7" w:rsidRPr="00D96E9F">
        <w:rPr>
          <w:rFonts w:eastAsia="Calibri"/>
        </w:rPr>
        <w:t>A1M</w:t>
      </w:r>
      <w:r w:rsidR="00FB76A5" w:rsidRPr="00D96E9F">
        <w:rPr>
          <w:rFonts w:eastAsia="Calibri"/>
        </w:rPr>
        <w:t xml:space="preserve">, </w:t>
      </w:r>
      <w:r w:rsidR="003F7733" w:rsidRPr="00D96E9F">
        <w:rPr>
          <w:rFonts w:eastAsia="Calibri"/>
        </w:rPr>
        <w:t>R2WIM</w:t>
      </w:r>
      <w:r w:rsidR="00CE0233" w:rsidRPr="00D96E9F">
        <w:rPr>
          <w:rFonts w:eastAsia="Calibri"/>
        </w:rPr>
        <w:t>,</w:t>
      </w:r>
      <w:r w:rsidR="003F7733" w:rsidRPr="00D96E9F">
        <w:rPr>
          <w:rFonts w:eastAsia="Calibri"/>
        </w:rPr>
        <w:t xml:space="preserve"> and R4WIM</w:t>
      </w:r>
      <w:r w:rsidRPr="00D96E9F">
        <w:rPr>
          <w:rFonts w:eastAsia="Calibri"/>
        </w:rPr>
        <w:t xml:space="preserve">. </w:t>
      </w:r>
      <w:r w:rsidR="00FB76A5" w:rsidRPr="00D96E9F">
        <w:rPr>
          <w:rFonts w:eastAsia="Calibri"/>
          <w:iCs/>
        </w:rPr>
        <w:t>The</w:t>
      </w:r>
      <w:r w:rsidR="007E16A0" w:rsidRPr="00D96E9F">
        <w:rPr>
          <w:rFonts w:eastAsia="Calibri"/>
          <w:iCs/>
        </w:rPr>
        <w:t xml:space="preserve"> evaluation considered </w:t>
      </w:r>
      <w:r w:rsidR="00720260" w:rsidRPr="00D96E9F">
        <w:rPr>
          <w:rFonts w:eastAsia="Calibri"/>
          <w:iCs/>
        </w:rPr>
        <w:t xml:space="preserve">that </w:t>
      </w:r>
      <w:r w:rsidR="007E16A0" w:rsidRPr="00D96E9F">
        <w:rPr>
          <w:rFonts w:eastAsia="Calibri"/>
          <w:iCs/>
        </w:rPr>
        <w:t>the</w:t>
      </w:r>
      <w:r w:rsidR="00FB76A5" w:rsidRPr="00D96E9F">
        <w:rPr>
          <w:rFonts w:eastAsia="Calibri"/>
          <w:iCs/>
        </w:rPr>
        <w:t xml:space="preserve"> claim </w:t>
      </w:r>
      <w:r w:rsidR="00DE6A8E" w:rsidRPr="00D96E9F">
        <w:rPr>
          <w:rFonts w:eastAsia="Calibri"/>
          <w:iCs/>
        </w:rPr>
        <w:t>regarding</w:t>
      </w:r>
      <w:r w:rsidR="00FB76A5" w:rsidRPr="00D96E9F">
        <w:rPr>
          <w:rFonts w:eastAsia="Calibri"/>
          <w:iCs/>
        </w:rPr>
        <w:t xml:space="preserve"> paliperidone and aripiprazole was not convincingly supported because of concerns about the transitivity assumptions underlying the </w:t>
      </w:r>
      <w:r w:rsidR="004122B1" w:rsidRPr="00D96E9F">
        <w:rPr>
          <w:rFonts w:eastAsia="Calibri"/>
          <w:iCs/>
        </w:rPr>
        <w:t>ITC but</w:t>
      </w:r>
      <w:r w:rsidR="00FB76A5" w:rsidRPr="00D96E9F">
        <w:rPr>
          <w:rFonts w:eastAsia="Calibri"/>
          <w:iCs/>
        </w:rPr>
        <w:t xml:space="preserve"> </w:t>
      </w:r>
      <w:r w:rsidR="00720260" w:rsidRPr="00D96E9F">
        <w:rPr>
          <w:rFonts w:eastAsia="Calibri"/>
          <w:iCs/>
        </w:rPr>
        <w:t>wa</w:t>
      </w:r>
      <w:r w:rsidR="00FB76A5" w:rsidRPr="00D96E9F">
        <w:rPr>
          <w:rFonts w:eastAsia="Calibri"/>
          <w:iCs/>
        </w:rPr>
        <w:t xml:space="preserve">s probably </w:t>
      </w:r>
      <w:r w:rsidR="00FB76A5" w:rsidRPr="00D96E9F">
        <w:rPr>
          <w:rFonts w:eastAsia="Calibri"/>
          <w:iCs/>
        </w:rPr>
        <w:lastRenderedPageBreak/>
        <w:t>reasonable given the duration and extent of clinical experience with these medications.</w:t>
      </w:r>
      <w:r w:rsidR="001E39D0" w:rsidRPr="00D96E9F">
        <w:rPr>
          <w:rFonts w:eastAsia="Calibri"/>
          <w:iCs/>
        </w:rPr>
        <w:t xml:space="preserve"> The evaluation further noted that n</w:t>
      </w:r>
      <w:r w:rsidR="00FB76A5" w:rsidRPr="00D96E9F">
        <w:rPr>
          <w:rFonts w:eastAsia="Calibri"/>
          <w:iCs/>
        </w:rPr>
        <w:t xml:space="preserve">o evidence to support the claim </w:t>
      </w:r>
      <w:r w:rsidR="00F03633" w:rsidRPr="00D96E9F">
        <w:rPr>
          <w:rFonts w:eastAsia="Calibri"/>
          <w:iCs/>
        </w:rPr>
        <w:t>regarding</w:t>
      </w:r>
      <w:r w:rsidR="00FB76A5" w:rsidRPr="00D96E9F">
        <w:rPr>
          <w:rFonts w:eastAsia="Calibri"/>
          <w:iCs/>
        </w:rPr>
        <w:t xml:space="preserve"> </w:t>
      </w:r>
      <w:r w:rsidR="00611984" w:rsidRPr="00D96E9F">
        <w:rPr>
          <w:rFonts w:eastAsia="Calibri"/>
          <w:iCs/>
        </w:rPr>
        <w:t>non</w:t>
      </w:r>
      <w:r w:rsidR="002D15C9">
        <w:rPr>
          <w:rFonts w:eastAsia="Calibri"/>
          <w:iCs/>
        </w:rPr>
        <w:noBreakHyphen/>
      </w:r>
      <w:r w:rsidR="00611984" w:rsidRPr="00D96E9F">
        <w:rPr>
          <w:rFonts w:eastAsia="Calibri"/>
          <w:iCs/>
        </w:rPr>
        <w:t>inferiority to R2WIM</w:t>
      </w:r>
      <w:r w:rsidR="00FB76A5" w:rsidRPr="00D96E9F">
        <w:rPr>
          <w:rFonts w:eastAsia="Calibri"/>
          <w:iCs/>
        </w:rPr>
        <w:t xml:space="preserve"> and </w:t>
      </w:r>
      <w:r w:rsidR="00611984" w:rsidRPr="00D96E9F">
        <w:rPr>
          <w:rFonts w:eastAsia="Calibri"/>
          <w:iCs/>
        </w:rPr>
        <w:t>R4</w:t>
      </w:r>
      <w:r w:rsidR="00A645CF" w:rsidRPr="00D96E9F">
        <w:rPr>
          <w:rFonts w:eastAsia="Calibri"/>
          <w:iCs/>
        </w:rPr>
        <w:t>W</w:t>
      </w:r>
      <w:r w:rsidR="00611984" w:rsidRPr="00D96E9F">
        <w:rPr>
          <w:rFonts w:eastAsia="Calibri"/>
          <w:iCs/>
        </w:rPr>
        <w:t>IM</w:t>
      </w:r>
      <w:r w:rsidR="00FB76A5" w:rsidRPr="00D96E9F">
        <w:rPr>
          <w:rFonts w:eastAsia="Calibri"/>
          <w:iCs/>
        </w:rPr>
        <w:t xml:space="preserve"> was presented, but </w:t>
      </w:r>
      <w:r w:rsidR="00BD1CDA" w:rsidRPr="00D96E9F">
        <w:rPr>
          <w:rFonts w:eastAsia="Calibri"/>
          <w:iCs/>
        </w:rPr>
        <w:t xml:space="preserve">considered </w:t>
      </w:r>
      <w:r w:rsidR="00696937" w:rsidRPr="00D96E9F">
        <w:rPr>
          <w:rFonts w:eastAsia="Calibri"/>
          <w:iCs/>
        </w:rPr>
        <w:t xml:space="preserve">the claim </w:t>
      </w:r>
      <w:r w:rsidR="00FB76A5" w:rsidRPr="00D96E9F">
        <w:rPr>
          <w:rFonts w:eastAsia="Calibri"/>
          <w:iCs/>
        </w:rPr>
        <w:t xml:space="preserve">is probably reasonable. </w:t>
      </w:r>
      <w:r w:rsidR="00D96E9F" w:rsidRPr="00113C9D">
        <w:rPr>
          <w:rFonts w:eastAsia="Calibri"/>
          <w:iCs/>
        </w:rPr>
        <w:t>The ESC noted the concerns regarding the transitivity assumptions underlying the ITC</w:t>
      </w:r>
      <w:r w:rsidR="00662ED9" w:rsidRPr="00113C9D">
        <w:rPr>
          <w:rFonts w:eastAsia="Calibri"/>
          <w:iCs/>
        </w:rPr>
        <w:t xml:space="preserve"> and agreed with the evaluation</w:t>
      </w:r>
      <w:r w:rsidR="00D96E9F" w:rsidRPr="00113C9D">
        <w:rPr>
          <w:rFonts w:eastAsia="Calibri"/>
          <w:iCs/>
        </w:rPr>
        <w:t xml:space="preserve"> that the claim of non</w:t>
      </w:r>
      <w:r w:rsidR="002D15C9">
        <w:rPr>
          <w:rFonts w:eastAsia="Calibri"/>
          <w:iCs/>
        </w:rPr>
        <w:noBreakHyphen/>
      </w:r>
      <w:r w:rsidR="00D96E9F" w:rsidRPr="00113C9D">
        <w:rPr>
          <w:rFonts w:eastAsia="Calibri"/>
          <w:iCs/>
        </w:rPr>
        <w:t xml:space="preserve">inferior effectiveness </w:t>
      </w:r>
      <w:r w:rsidR="00EC7B6A" w:rsidRPr="00113C9D">
        <w:rPr>
          <w:rFonts w:eastAsia="Calibri"/>
          <w:iCs/>
        </w:rPr>
        <w:t>was</w:t>
      </w:r>
      <w:r w:rsidR="00D96E9F" w:rsidRPr="00113C9D">
        <w:rPr>
          <w:rFonts w:eastAsia="Calibri"/>
          <w:iCs/>
        </w:rPr>
        <w:t xml:space="preserve"> reasonable.</w:t>
      </w:r>
    </w:p>
    <w:p w14:paraId="46BDEC00" w14:textId="2AD1B34A" w:rsidR="001E4108" w:rsidRDefault="005F7588" w:rsidP="00652305">
      <w:pPr>
        <w:pStyle w:val="3-BodyText"/>
        <w:rPr>
          <w:rFonts w:eastAsia="Calibri"/>
          <w:iCs/>
        </w:rPr>
      </w:pPr>
      <w:r w:rsidRPr="001F3BEA">
        <w:rPr>
          <w:rFonts w:eastAsia="Calibri"/>
        </w:rPr>
        <w:t>The submission described</w:t>
      </w:r>
      <w:r w:rsidR="00FA6378" w:rsidRPr="001F3BEA">
        <w:rPr>
          <w:rFonts w:eastAsia="Calibri"/>
        </w:rPr>
        <w:t xml:space="preserve"> </w:t>
      </w:r>
      <w:r w:rsidR="004D4ABF" w:rsidRPr="001F3BEA">
        <w:rPr>
          <w:rFonts w:eastAsia="Calibri"/>
        </w:rPr>
        <w:t xml:space="preserve">MRSC </w:t>
      </w:r>
      <w:r w:rsidR="00FA6378" w:rsidRPr="001F3BEA">
        <w:rPr>
          <w:rFonts w:eastAsia="Calibri"/>
        </w:rPr>
        <w:t xml:space="preserve">risperidone </w:t>
      </w:r>
      <w:r w:rsidRPr="001F3BEA">
        <w:rPr>
          <w:rFonts w:eastAsia="Calibri"/>
        </w:rPr>
        <w:t>as non</w:t>
      </w:r>
      <w:r w:rsidR="002D15C9">
        <w:rPr>
          <w:rFonts w:eastAsia="Calibri"/>
        </w:rPr>
        <w:noBreakHyphen/>
      </w:r>
      <w:r w:rsidRPr="001F3BEA">
        <w:rPr>
          <w:rFonts w:eastAsia="Calibri"/>
        </w:rPr>
        <w:t>inferior in term</w:t>
      </w:r>
      <w:r w:rsidR="00156F8F" w:rsidRPr="001F3BEA">
        <w:rPr>
          <w:rFonts w:eastAsia="Calibri"/>
        </w:rPr>
        <w:t>s</w:t>
      </w:r>
      <w:r w:rsidRPr="001F3BEA">
        <w:rPr>
          <w:rFonts w:eastAsia="Calibri"/>
        </w:rPr>
        <w:t xml:space="preserve"> of safety compared to </w:t>
      </w:r>
      <w:r w:rsidR="004D4ABF" w:rsidRPr="001F3BEA">
        <w:rPr>
          <w:rFonts w:eastAsia="Calibri"/>
        </w:rPr>
        <w:t xml:space="preserve">PP1M </w:t>
      </w:r>
      <w:r w:rsidR="00FA6378" w:rsidRPr="001F3BEA">
        <w:rPr>
          <w:rFonts w:eastAsia="Calibri"/>
        </w:rPr>
        <w:t xml:space="preserve">and </w:t>
      </w:r>
      <w:r w:rsidR="007D37F7" w:rsidRPr="001F3BEA">
        <w:rPr>
          <w:rFonts w:eastAsia="Calibri"/>
        </w:rPr>
        <w:t>A1M</w:t>
      </w:r>
      <w:r w:rsidRPr="001F3BEA">
        <w:rPr>
          <w:rFonts w:eastAsia="Calibri"/>
        </w:rPr>
        <w:t>. T</w:t>
      </w:r>
      <w:r w:rsidR="00D858CC" w:rsidRPr="001F3BEA">
        <w:rPr>
          <w:rFonts w:eastAsia="Calibri"/>
        </w:rPr>
        <w:t>he evaluation considered this</w:t>
      </w:r>
      <w:r w:rsidRPr="001F3BEA">
        <w:rPr>
          <w:rFonts w:eastAsia="Calibri"/>
        </w:rPr>
        <w:t xml:space="preserve"> claim was</w:t>
      </w:r>
      <w:r w:rsidR="00FA6378" w:rsidRPr="001F3BEA">
        <w:rPr>
          <w:rFonts w:eastAsia="Calibri"/>
        </w:rPr>
        <w:t xml:space="preserve"> </w:t>
      </w:r>
      <w:r w:rsidR="007C70FF" w:rsidRPr="001F3BEA">
        <w:rPr>
          <w:rFonts w:eastAsia="Calibri"/>
        </w:rPr>
        <w:t xml:space="preserve">not </w:t>
      </w:r>
      <w:r w:rsidRPr="001F3BEA">
        <w:rPr>
          <w:rFonts w:eastAsia="Calibri"/>
        </w:rPr>
        <w:t>adequately supported</w:t>
      </w:r>
      <w:r w:rsidR="00FA6378" w:rsidRPr="001F3BEA">
        <w:rPr>
          <w:rFonts w:eastAsia="Calibri"/>
        </w:rPr>
        <w:t xml:space="preserve"> </w:t>
      </w:r>
      <w:r w:rsidR="006E1BEA" w:rsidRPr="001F3BEA">
        <w:rPr>
          <w:rFonts w:eastAsia="Calibri"/>
        </w:rPr>
        <w:t>regarding</w:t>
      </w:r>
      <w:r w:rsidR="00FA6378" w:rsidRPr="001F3BEA">
        <w:rPr>
          <w:rFonts w:eastAsia="Calibri"/>
        </w:rPr>
        <w:t xml:space="preserve"> aripiprazole.</w:t>
      </w:r>
      <w:r w:rsidR="00292344">
        <w:rPr>
          <w:rFonts w:eastAsia="Calibri"/>
        </w:rPr>
        <w:t xml:space="preserve"> </w:t>
      </w:r>
      <w:r w:rsidR="00FA6378" w:rsidRPr="001F3BEA">
        <w:rPr>
          <w:rFonts w:eastAsia="Calibri"/>
        </w:rPr>
        <w:t xml:space="preserve">Adverse events leading to treatment withdrawal, adverse events related to prolactin elevation, and adverse events related to extrapyramidal symptoms were more frequent with </w:t>
      </w:r>
      <w:r w:rsidR="00184A59" w:rsidRPr="001F3BEA">
        <w:rPr>
          <w:rFonts w:eastAsia="Calibri"/>
        </w:rPr>
        <w:t>MRSC</w:t>
      </w:r>
      <w:r w:rsidR="00FA6378" w:rsidRPr="001F3BEA">
        <w:rPr>
          <w:rFonts w:eastAsia="Calibri"/>
        </w:rPr>
        <w:t xml:space="preserve"> risperidone. </w:t>
      </w:r>
      <w:r w:rsidR="00236517" w:rsidRPr="00113C9D">
        <w:rPr>
          <w:rFonts w:eastAsia="Calibri"/>
          <w:iCs/>
        </w:rPr>
        <w:t xml:space="preserve">The PSCR </w:t>
      </w:r>
      <w:r w:rsidR="00D478CE" w:rsidRPr="00113C9D">
        <w:rPr>
          <w:rFonts w:eastAsia="Calibri"/>
          <w:iCs/>
        </w:rPr>
        <w:t>argued the</w:t>
      </w:r>
      <w:r w:rsidR="00236517" w:rsidRPr="00113C9D">
        <w:rPr>
          <w:rFonts w:eastAsia="Calibri"/>
          <w:iCs/>
        </w:rPr>
        <w:t xml:space="preserve"> results from the network meta</w:t>
      </w:r>
      <w:r w:rsidR="00236517" w:rsidRPr="00113C9D">
        <w:rPr>
          <w:rFonts w:ascii="Cambria Math" w:eastAsia="Calibri" w:hAnsi="Cambria Math" w:cs="Cambria Math"/>
          <w:iCs/>
        </w:rPr>
        <w:t>‑</w:t>
      </w:r>
      <w:r w:rsidR="00236517" w:rsidRPr="00113C9D">
        <w:rPr>
          <w:rFonts w:eastAsia="Calibri"/>
          <w:iCs/>
        </w:rPr>
        <w:t>analysis supported comparable effectiveness and safety across long</w:t>
      </w:r>
      <w:r w:rsidR="00236517" w:rsidRPr="00113C9D">
        <w:rPr>
          <w:rFonts w:ascii="Cambria Math" w:eastAsia="Calibri" w:hAnsi="Cambria Math" w:cs="Cambria Math"/>
          <w:iCs/>
        </w:rPr>
        <w:t>‑</w:t>
      </w:r>
      <w:r w:rsidR="00236517" w:rsidRPr="00113C9D">
        <w:rPr>
          <w:rFonts w:eastAsia="Calibri"/>
          <w:iCs/>
        </w:rPr>
        <w:t>acting antipsychotics, reinforcing the plausibility of the non</w:t>
      </w:r>
      <w:r w:rsidR="00236517" w:rsidRPr="00113C9D">
        <w:rPr>
          <w:rFonts w:ascii="Cambria Math" w:eastAsia="Calibri" w:hAnsi="Cambria Math" w:cs="Cambria Math"/>
          <w:iCs/>
        </w:rPr>
        <w:t>‑</w:t>
      </w:r>
      <w:r w:rsidR="00236517" w:rsidRPr="00113C9D">
        <w:rPr>
          <w:rFonts w:eastAsia="Calibri"/>
          <w:iCs/>
        </w:rPr>
        <w:t>inferiority conclusion</w:t>
      </w:r>
      <w:r w:rsidR="00D478CE" w:rsidRPr="00113C9D">
        <w:rPr>
          <w:rFonts w:eastAsia="Calibri"/>
          <w:iCs/>
        </w:rPr>
        <w:t>, and that MRSC risperidone</w:t>
      </w:r>
      <w:r w:rsidR="00236517" w:rsidRPr="00113C9D">
        <w:rPr>
          <w:rFonts w:eastAsia="Calibri"/>
          <w:iCs/>
        </w:rPr>
        <w:t xml:space="preserve"> demonstrated advantages in some safety measures, including a lower likelihood of ≥7% weight gain compared with </w:t>
      </w:r>
      <w:r w:rsidR="00D478CE" w:rsidRPr="00113C9D">
        <w:rPr>
          <w:rFonts w:eastAsia="Calibri"/>
          <w:iCs/>
        </w:rPr>
        <w:t>PP1M</w:t>
      </w:r>
      <w:r w:rsidR="00236517" w:rsidRPr="00113C9D">
        <w:rPr>
          <w:rFonts w:eastAsia="Calibri"/>
          <w:iCs/>
        </w:rPr>
        <w:t>, supporting the comparative safety profile</w:t>
      </w:r>
      <w:r w:rsidR="0079435F" w:rsidRPr="00113C9D">
        <w:rPr>
          <w:rStyle w:val="FootnoteReference"/>
          <w:rFonts w:eastAsia="Calibri"/>
          <w:iCs/>
        </w:rPr>
        <w:footnoteReference w:id="9"/>
      </w:r>
      <w:r w:rsidR="00236517" w:rsidRPr="00113C9D">
        <w:rPr>
          <w:rFonts w:eastAsia="Calibri"/>
          <w:iCs/>
        </w:rPr>
        <w:t>.</w:t>
      </w:r>
      <w:r w:rsidR="00B71BE2" w:rsidRPr="00113C9D">
        <w:rPr>
          <w:rFonts w:eastAsia="Calibri"/>
          <w:iCs/>
        </w:rPr>
        <w:t xml:space="preserve"> The ESC noted the </w:t>
      </w:r>
      <w:r w:rsidR="00DE51CE" w:rsidRPr="00113C9D">
        <w:rPr>
          <w:rFonts w:eastAsia="Calibri"/>
          <w:iCs/>
        </w:rPr>
        <w:t xml:space="preserve">concerns raised by the evaluation and </w:t>
      </w:r>
      <w:r w:rsidR="002C3CCF" w:rsidRPr="00113C9D">
        <w:rPr>
          <w:rFonts w:eastAsia="Calibri"/>
          <w:iCs/>
        </w:rPr>
        <w:t xml:space="preserve">noted the PSCR. </w:t>
      </w:r>
      <w:r w:rsidR="000B0471" w:rsidRPr="00113C9D">
        <w:rPr>
          <w:rFonts w:eastAsia="Calibri"/>
          <w:iCs/>
        </w:rPr>
        <w:t xml:space="preserve">While the ESC agreed </w:t>
      </w:r>
      <w:r w:rsidR="00BB4543" w:rsidRPr="00113C9D">
        <w:rPr>
          <w:rFonts w:eastAsia="Calibri"/>
          <w:iCs/>
        </w:rPr>
        <w:t>with the safety concerns raised by the evaluation</w:t>
      </w:r>
      <w:r w:rsidR="009F44BD" w:rsidRPr="00113C9D">
        <w:rPr>
          <w:rFonts w:eastAsia="Calibri"/>
          <w:iCs/>
        </w:rPr>
        <w:t xml:space="preserve"> and </w:t>
      </w:r>
      <w:r w:rsidR="00C346D6" w:rsidRPr="00113C9D">
        <w:rPr>
          <w:rFonts w:eastAsia="Calibri"/>
          <w:iCs/>
        </w:rPr>
        <w:t>that it</w:t>
      </w:r>
      <w:r w:rsidR="00341D6B" w:rsidRPr="00113C9D">
        <w:rPr>
          <w:rFonts w:eastAsia="Calibri"/>
          <w:iCs/>
        </w:rPr>
        <w:t xml:space="preserve"> may impact the validity of the non</w:t>
      </w:r>
      <w:r w:rsidR="002D15C9">
        <w:rPr>
          <w:rFonts w:eastAsia="Calibri"/>
          <w:iCs/>
        </w:rPr>
        <w:noBreakHyphen/>
      </w:r>
      <w:r w:rsidR="00341D6B" w:rsidRPr="00113C9D">
        <w:rPr>
          <w:rFonts w:eastAsia="Calibri"/>
          <w:iCs/>
        </w:rPr>
        <w:t xml:space="preserve">inferior safety claim, the ESC considered the </w:t>
      </w:r>
      <w:r w:rsidR="00BC790B" w:rsidRPr="00113C9D">
        <w:rPr>
          <w:rFonts w:eastAsia="Calibri"/>
          <w:iCs/>
        </w:rPr>
        <w:t xml:space="preserve">safety </w:t>
      </w:r>
      <w:r w:rsidR="00D96E9F" w:rsidRPr="00113C9D">
        <w:rPr>
          <w:rFonts w:eastAsia="Calibri"/>
          <w:iCs/>
        </w:rPr>
        <w:t xml:space="preserve">concerns to be manageable and </w:t>
      </w:r>
      <w:r w:rsidR="008C0632" w:rsidRPr="00113C9D">
        <w:rPr>
          <w:rFonts w:eastAsia="Calibri"/>
          <w:iCs/>
        </w:rPr>
        <w:t>low risk</w:t>
      </w:r>
      <w:r w:rsidR="00D96E9F" w:rsidRPr="00113C9D">
        <w:rPr>
          <w:rFonts w:eastAsia="Calibri"/>
          <w:iCs/>
        </w:rPr>
        <w:t>.</w:t>
      </w:r>
      <w:r w:rsidR="00C23200" w:rsidRPr="00113C9D">
        <w:rPr>
          <w:rFonts w:eastAsia="Calibri"/>
          <w:iCs/>
        </w:rPr>
        <w:t xml:space="preserve"> The ESC therefore considered the claim of non</w:t>
      </w:r>
      <w:r w:rsidR="002D15C9">
        <w:rPr>
          <w:rFonts w:eastAsia="Calibri"/>
          <w:iCs/>
        </w:rPr>
        <w:noBreakHyphen/>
      </w:r>
      <w:r w:rsidR="00C23200" w:rsidRPr="00113C9D">
        <w:rPr>
          <w:rFonts w:eastAsia="Calibri"/>
          <w:iCs/>
        </w:rPr>
        <w:t>inferior safety likely reasonable.</w:t>
      </w:r>
    </w:p>
    <w:p w14:paraId="45C56B96" w14:textId="731BF148" w:rsidR="00551634" w:rsidRPr="00795851" w:rsidRDefault="00795851" w:rsidP="00C351F7">
      <w:pPr>
        <w:pStyle w:val="3-BodyText"/>
        <w:rPr>
          <w:snapToGrid w:val="0"/>
        </w:rPr>
      </w:pPr>
      <w:bookmarkStart w:id="39" w:name="_Hlk76376200"/>
      <w:r w:rsidRPr="00CE42B4">
        <w:rPr>
          <w:iCs/>
          <w:snapToGrid w:val="0"/>
        </w:rPr>
        <w:t>The</w:t>
      </w:r>
      <w:r w:rsidRPr="00CE42B4">
        <w:rPr>
          <w:snapToGrid w:val="0"/>
        </w:rPr>
        <w:t xml:space="preserve"> PBAC considered that the claim of </w:t>
      </w:r>
      <w:r w:rsidRPr="00B05817">
        <w:rPr>
          <w:snapToGrid w:val="0"/>
        </w:rPr>
        <w:t>non</w:t>
      </w:r>
      <w:r w:rsidR="002D15C9">
        <w:rPr>
          <w:snapToGrid w:val="0"/>
        </w:rPr>
        <w:noBreakHyphen/>
      </w:r>
      <w:r w:rsidRPr="00B05817">
        <w:rPr>
          <w:snapToGrid w:val="0"/>
        </w:rPr>
        <w:t>inferior</w:t>
      </w:r>
      <w:r w:rsidRPr="00CE42B4">
        <w:rPr>
          <w:snapToGrid w:val="0"/>
        </w:rPr>
        <w:t xml:space="preserve"> comparative effectiveness </w:t>
      </w:r>
      <w:r w:rsidR="00C351F7">
        <w:rPr>
          <w:snapToGrid w:val="0"/>
        </w:rPr>
        <w:t>and</w:t>
      </w:r>
      <w:r w:rsidRPr="00CE42B4">
        <w:rPr>
          <w:snapToGrid w:val="0"/>
        </w:rPr>
        <w:t xml:space="preserve"> </w:t>
      </w:r>
      <w:r w:rsidRPr="00B05817">
        <w:rPr>
          <w:snapToGrid w:val="0"/>
        </w:rPr>
        <w:t>non</w:t>
      </w:r>
      <w:r w:rsidR="002D15C9">
        <w:rPr>
          <w:snapToGrid w:val="0"/>
        </w:rPr>
        <w:noBreakHyphen/>
      </w:r>
      <w:r w:rsidRPr="00B05817">
        <w:rPr>
          <w:snapToGrid w:val="0"/>
        </w:rPr>
        <w:t>inferior</w:t>
      </w:r>
      <w:r w:rsidRPr="00CE42B4">
        <w:rPr>
          <w:snapToGrid w:val="0"/>
        </w:rPr>
        <w:t xml:space="preserve"> comparative safety was reasonable.</w:t>
      </w:r>
      <w:bookmarkEnd w:id="39"/>
    </w:p>
    <w:p w14:paraId="74A1172E" w14:textId="128C170E" w:rsidR="00B60939" w:rsidRPr="0098262F" w:rsidRDefault="00B60939" w:rsidP="00E9094A">
      <w:pPr>
        <w:pStyle w:val="4-SubsectionHeading"/>
      </w:pPr>
      <w:bookmarkStart w:id="40" w:name="_Toc22897645"/>
      <w:bookmarkStart w:id="41" w:name="_Toc219904438"/>
      <w:r w:rsidRPr="0098262F">
        <w:t>Economic analysis</w:t>
      </w:r>
      <w:bookmarkEnd w:id="40"/>
      <w:bookmarkEnd w:id="41"/>
      <w:r w:rsidR="00491B3A" w:rsidRPr="0098262F">
        <w:t xml:space="preserve"> </w:t>
      </w:r>
    </w:p>
    <w:p w14:paraId="1C3AD251" w14:textId="450D18E4" w:rsidR="00BB2473" w:rsidRPr="00BB2473" w:rsidRDefault="002C654A" w:rsidP="00134532">
      <w:pPr>
        <w:pStyle w:val="3-BodyText"/>
        <w:rPr>
          <w:color w:val="0066FF"/>
        </w:rPr>
      </w:pPr>
      <w:r>
        <w:t xml:space="preserve">The </w:t>
      </w:r>
      <w:r w:rsidR="008C7BCD">
        <w:t>submission</w:t>
      </w:r>
      <w:r>
        <w:t xml:space="preserve"> presented a cost minimisation approach to the </w:t>
      </w:r>
      <w:r w:rsidR="00CC7C23">
        <w:t>lowest cost alternative</w:t>
      </w:r>
      <w:r>
        <w:t>.</w:t>
      </w:r>
      <w:r w:rsidR="00134532">
        <w:t xml:space="preserve"> </w:t>
      </w:r>
      <w:bookmarkStart w:id="42" w:name="_Ref107305381"/>
      <w:r w:rsidR="00134532">
        <w:t>The submission considered that all PBS</w:t>
      </w:r>
      <w:r w:rsidR="002D15C9">
        <w:noBreakHyphen/>
      </w:r>
      <w:r w:rsidR="00134532">
        <w:t>listed antipsychotic LAIs for the treatment of schizophrenia</w:t>
      </w:r>
      <w:r w:rsidR="0073631C">
        <w:t>,</w:t>
      </w:r>
      <w:r w:rsidR="00134532">
        <w:t xml:space="preserve"> except olanzapine</w:t>
      </w:r>
      <w:r w:rsidR="0073631C">
        <w:t>,</w:t>
      </w:r>
      <w:r w:rsidR="00134532">
        <w:t xml:space="preserve"> </w:t>
      </w:r>
      <w:r w:rsidR="0044001C" w:rsidRPr="00C7236D">
        <w:t>could replace</w:t>
      </w:r>
      <w:r w:rsidR="00134532">
        <w:t xml:space="preserve"> MRSC risperidone</w:t>
      </w:r>
      <w:r w:rsidR="0073631C" w:rsidRPr="00C7236D">
        <w:t xml:space="preserve"> in practice</w:t>
      </w:r>
      <w:r w:rsidR="0073631C">
        <w:t xml:space="preserve"> and therefore would be alternative therapies</w:t>
      </w:r>
      <w:r w:rsidR="00134532">
        <w:t xml:space="preserve"> .</w:t>
      </w:r>
    </w:p>
    <w:p w14:paraId="4AE2D657" w14:textId="24FF5E29" w:rsidR="00134532" w:rsidRPr="00E360B7" w:rsidRDefault="00134532" w:rsidP="00134532">
      <w:pPr>
        <w:pStyle w:val="3-BodyText"/>
        <w:rPr>
          <w:color w:val="0066FF"/>
        </w:rPr>
      </w:pPr>
      <w:r>
        <w:t>The submission has not claimed that MRSC risperidone provides a significant improvement in efficacy nor reduction in toxicity over the alternative therapies.</w:t>
      </w:r>
      <w:bookmarkEnd w:id="42"/>
    </w:p>
    <w:p w14:paraId="5F39726D" w14:textId="73CC16A5" w:rsidR="002C654A" w:rsidRPr="002C654A" w:rsidRDefault="002C654A" w:rsidP="002C654A">
      <w:pPr>
        <w:pStyle w:val="3-BodyText"/>
        <w:rPr>
          <w:b/>
          <w:bCs/>
          <w:color w:val="0066FF"/>
        </w:rPr>
      </w:pPr>
      <w:r>
        <w:t xml:space="preserve">The key components and assumptions used in the approach are shown in </w:t>
      </w:r>
      <w:r w:rsidR="00641E01">
        <w:fldChar w:fldCharType="begin"/>
      </w:r>
      <w:r w:rsidR="00641E01">
        <w:instrText xml:space="preserve"> REF _Ref215049724 \h </w:instrText>
      </w:r>
      <w:r w:rsidR="00641E01">
        <w:fldChar w:fldCharType="separate"/>
      </w:r>
      <w:r w:rsidR="00641E01">
        <w:t xml:space="preserve">Table </w:t>
      </w:r>
      <w:r w:rsidR="00641E01">
        <w:rPr>
          <w:noProof/>
        </w:rPr>
        <w:t>9</w:t>
      </w:r>
      <w:r w:rsidR="00641E01">
        <w:fldChar w:fldCharType="end"/>
      </w:r>
      <w:r w:rsidR="00641E01">
        <w:t>.</w:t>
      </w:r>
    </w:p>
    <w:p w14:paraId="65779173" w14:textId="69DCEDE7" w:rsidR="002C654A" w:rsidRPr="0098262F" w:rsidRDefault="00641E01" w:rsidP="00641E01">
      <w:pPr>
        <w:pStyle w:val="Caption"/>
        <w:rPr>
          <w:rStyle w:val="CommentReference"/>
          <w:b/>
          <w:szCs w:val="24"/>
        </w:rPr>
      </w:pPr>
      <w:bookmarkStart w:id="43" w:name="_Ref215049724"/>
      <w:r>
        <w:lastRenderedPageBreak/>
        <w:t xml:space="preserve">Table </w:t>
      </w:r>
      <w:fldSimple w:instr=" SEQ Table \* ARABIC ">
        <w:r w:rsidR="002D15C9">
          <w:rPr>
            <w:noProof/>
          </w:rPr>
          <w:t>9</w:t>
        </w:r>
      </w:fldSimple>
      <w:bookmarkEnd w:id="43"/>
      <w:r>
        <w:t xml:space="preserve">: </w:t>
      </w:r>
      <w:r w:rsidR="002C654A" w:rsidRPr="0098262F">
        <w:rPr>
          <w:rStyle w:val="CommentReference"/>
          <w:b/>
          <w:szCs w:val="24"/>
        </w:rPr>
        <w:t>Key components and assumptions of the cost</w:t>
      </w:r>
      <w:r w:rsidR="002D15C9">
        <w:rPr>
          <w:rStyle w:val="CommentReference"/>
          <w:b/>
          <w:szCs w:val="24"/>
        </w:rPr>
        <w:noBreakHyphen/>
      </w:r>
      <w:r w:rsidR="002C654A" w:rsidRPr="0098262F">
        <w:rPr>
          <w:rStyle w:val="CommentReference"/>
          <w:b/>
          <w:szCs w:val="24"/>
        </w:rPr>
        <w: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Key components and assumptions of the cost minimisation approach"/>
      </w:tblPr>
      <w:tblGrid>
        <w:gridCol w:w="2660"/>
        <w:gridCol w:w="6520"/>
      </w:tblGrid>
      <w:tr w:rsidR="002C654A" w:rsidRPr="0098262F" w14:paraId="50BB2611" w14:textId="77777777">
        <w:tc>
          <w:tcPr>
            <w:tcW w:w="2660" w:type="dxa"/>
            <w:vAlign w:val="center"/>
          </w:tcPr>
          <w:p w14:paraId="3713DFFD" w14:textId="77777777" w:rsidR="002C654A" w:rsidRPr="0098262F" w:rsidRDefault="002C654A" w:rsidP="00900AB0">
            <w:pPr>
              <w:pStyle w:val="In-tableHeading"/>
            </w:pPr>
            <w:r w:rsidRPr="0098262F">
              <w:t>Component</w:t>
            </w:r>
          </w:p>
        </w:tc>
        <w:tc>
          <w:tcPr>
            <w:tcW w:w="6520" w:type="dxa"/>
            <w:vAlign w:val="center"/>
          </w:tcPr>
          <w:p w14:paraId="1084C661" w14:textId="77777777" w:rsidR="002C654A" w:rsidRPr="0098262F" w:rsidRDefault="002C654A" w:rsidP="00900AB0">
            <w:pPr>
              <w:pStyle w:val="In-tableHeading"/>
            </w:pPr>
            <w:r w:rsidRPr="0098262F">
              <w:t>Claim or assumption</w:t>
            </w:r>
          </w:p>
        </w:tc>
      </w:tr>
      <w:tr w:rsidR="002C654A" w:rsidRPr="0098262F" w14:paraId="1F8D9C9B" w14:textId="77777777">
        <w:tc>
          <w:tcPr>
            <w:tcW w:w="2660" w:type="dxa"/>
            <w:vAlign w:val="center"/>
          </w:tcPr>
          <w:p w14:paraId="36B0482C" w14:textId="77777777" w:rsidR="002C654A" w:rsidRPr="0098262F" w:rsidRDefault="002C654A" w:rsidP="009826C7">
            <w:pPr>
              <w:pStyle w:val="TableText"/>
            </w:pPr>
            <w:r w:rsidRPr="0098262F">
              <w:t>Therapeutic claim: effectiveness</w:t>
            </w:r>
          </w:p>
        </w:tc>
        <w:tc>
          <w:tcPr>
            <w:tcW w:w="6520" w:type="dxa"/>
            <w:vAlign w:val="center"/>
          </w:tcPr>
          <w:p w14:paraId="23CD8C57" w14:textId="18FBF50A" w:rsidR="002C654A" w:rsidRPr="0098262F" w:rsidRDefault="002C654A" w:rsidP="009826C7">
            <w:pPr>
              <w:pStyle w:val="TableText"/>
            </w:pPr>
            <w:r w:rsidRPr="0098262F">
              <w:t>Based on evidence presented in Section 2, effectiveness is assumed to be non</w:t>
            </w:r>
            <w:r w:rsidR="002D15C9">
              <w:noBreakHyphen/>
            </w:r>
            <w:r w:rsidRPr="0098262F">
              <w:t>inferior</w:t>
            </w:r>
            <w:r>
              <w:t>.</w:t>
            </w:r>
          </w:p>
        </w:tc>
      </w:tr>
      <w:tr w:rsidR="002C654A" w:rsidRPr="0098262F" w14:paraId="56DB5A8A" w14:textId="77777777">
        <w:tc>
          <w:tcPr>
            <w:tcW w:w="2660" w:type="dxa"/>
            <w:vAlign w:val="center"/>
          </w:tcPr>
          <w:p w14:paraId="16BDA63A" w14:textId="77777777" w:rsidR="002C654A" w:rsidRPr="0098262F" w:rsidRDefault="002C654A" w:rsidP="009826C7">
            <w:pPr>
              <w:pStyle w:val="TableText"/>
            </w:pPr>
            <w:r w:rsidRPr="0098262F">
              <w:t>Therapeutic claim: safety</w:t>
            </w:r>
          </w:p>
        </w:tc>
        <w:tc>
          <w:tcPr>
            <w:tcW w:w="6520" w:type="dxa"/>
            <w:vAlign w:val="center"/>
          </w:tcPr>
          <w:p w14:paraId="049EB03A" w14:textId="7AC18256" w:rsidR="002C654A" w:rsidRPr="0098262F" w:rsidRDefault="002C654A" w:rsidP="009826C7">
            <w:pPr>
              <w:pStyle w:val="TableText"/>
            </w:pPr>
            <w:r w:rsidRPr="0098262F">
              <w:t>Based on evidence presented in Section 2, safety is assumed to be non</w:t>
            </w:r>
            <w:r w:rsidR="002D15C9">
              <w:noBreakHyphen/>
            </w:r>
            <w:r w:rsidRPr="0098262F">
              <w:t>inferior</w:t>
            </w:r>
            <w:r>
              <w:t xml:space="preserve">. </w:t>
            </w:r>
          </w:p>
        </w:tc>
      </w:tr>
      <w:tr w:rsidR="002C654A" w:rsidRPr="0098262F" w14:paraId="29C0528F" w14:textId="77777777">
        <w:tc>
          <w:tcPr>
            <w:tcW w:w="2660" w:type="dxa"/>
            <w:vAlign w:val="center"/>
          </w:tcPr>
          <w:p w14:paraId="382D4630" w14:textId="77777777" w:rsidR="002C654A" w:rsidRPr="0098262F" w:rsidRDefault="002C654A" w:rsidP="009826C7">
            <w:pPr>
              <w:pStyle w:val="TableText"/>
            </w:pPr>
            <w:r w:rsidRPr="0098262F">
              <w:t>Evidence base</w:t>
            </w:r>
          </w:p>
        </w:tc>
        <w:tc>
          <w:tcPr>
            <w:tcW w:w="6520" w:type="dxa"/>
            <w:vAlign w:val="center"/>
          </w:tcPr>
          <w:p w14:paraId="733E6C33" w14:textId="072EFB07" w:rsidR="002954DD" w:rsidRDefault="002C635E" w:rsidP="009826C7">
            <w:pPr>
              <w:pStyle w:val="TableText"/>
            </w:pPr>
            <w:r>
              <w:t>MRSC risperidone</w:t>
            </w:r>
            <w:r w:rsidR="00B54665">
              <w:t xml:space="preserve"> vs paliperidone </w:t>
            </w:r>
            <w:r w:rsidR="002D15C9">
              <w:noBreakHyphen/>
            </w:r>
            <w:r w:rsidR="00B54665">
              <w:t xml:space="preserve"> </w:t>
            </w:r>
            <w:r w:rsidR="002954DD">
              <w:t>i</w:t>
            </w:r>
            <w:r w:rsidR="002C654A" w:rsidRPr="0098262F">
              <w:t xml:space="preserve">ndirect comparison </w:t>
            </w:r>
            <w:r w:rsidR="002954DD">
              <w:t>using 1 RCT for each</w:t>
            </w:r>
          </w:p>
          <w:p w14:paraId="3BEA620D" w14:textId="12DDD78F" w:rsidR="002C654A" w:rsidRPr="0098262F" w:rsidRDefault="009646DB" w:rsidP="009826C7">
            <w:pPr>
              <w:pStyle w:val="TableText"/>
            </w:pPr>
            <w:r>
              <w:t xml:space="preserve">MRSC risperidone </w:t>
            </w:r>
            <w:r w:rsidR="002954DD">
              <w:t xml:space="preserve">vs aripiprazole </w:t>
            </w:r>
            <w:r w:rsidR="002D15C9">
              <w:noBreakHyphen/>
            </w:r>
            <w:r w:rsidR="002954DD">
              <w:t xml:space="preserve"> i</w:t>
            </w:r>
            <w:r w:rsidR="002954DD" w:rsidRPr="0098262F">
              <w:t xml:space="preserve">ndirect comparison </w:t>
            </w:r>
            <w:r w:rsidR="002954DD">
              <w:t>using 1 RCT for each</w:t>
            </w:r>
          </w:p>
        </w:tc>
      </w:tr>
      <w:tr w:rsidR="002C654A" w:rsidRPr="0098262F" w14:paraId="4F281646" w14:textId="77777777">
        <w:tc>
          <w:tcPr>
            <w:tcW w:w="2660" w:type="dxa"/>
            <w:vAlign w:val="center"/>
          </w:tcPr>
          <w:p w14:paraId="522BF683" w14:textId="09BC22FA" w:rsidR="002C654A" w:rsidRPr="0098262F" w:rsidRDefault="002C654A" w:rsidP="009826C7">
            <w:pPr>
              <w:pStyle w:val="TableText"/>
            </w:pPr>
            <w:r w:rsidRPr="0098262F">
              <w:t>Equi</w:t>
            </w:r>
            <w:r w:rsidR="002D15C9">
              <w:noBreakHyphen/>
            </w:r>
            <w:r w:rsidRPr="0098262F">
              <w:t>effective doses</w:t>
            </w:r>
          </w:p>
        </w:tc>
        <w:tc>
          <w:tcPr>
            <w:tcW w:w="6520" w:type="dxa"/>
            <w:vAlign w:val="center"/>
          </w:tcPr>
          <w:p w14:paraId="7B9CF320" w14:textId="46FDEFB9" w:rsidR="002C654A" w:rsidRPr="0098262F" w:rsidRDefault="0087706D" w:rsidP="009826C7">
            <w:pPr>
              <w:pStyle w:val="TableText"/>
            </w:pPr>
            <w:r>
              <w:t>Used PI based dosing adjusted for frequency of injection</w:t>
            </w:r>
            <w:r w:rsidR="00B54665">
              <w:t xml:space="preserve"> to calculate weighted average drug cost per month</w:t>
            </w:r>
          </w:p>
        </w:tc>
      </w:tr>
      <w:tr w:rsidR="002C654A" w:rsidRPr="0098262F" w14:paraId="2B640CF6" w14:textId="77777777">
        <w:tc>
          <w:tcPr>
            <w:tcW w:w="2660" w:type="dxa"/>
            <w:vAlign w:val="center"/>
          </w:tcPr>
          <w:p w14:paraId="4FEB5AD0" w14:textId="79AFBBE3" w:rsidR="002C654A" w:rsidRPr="0098262F" w:rsidRDefault="002C654A" w:rsidP="009826C7">
            <w:pPr>
              <w:pStyle w:val="TableText"/>
            </w:pPr>
            <w:r w:rsidRPr="0098262F">
              <w:t>Direct medicine costs</w:t>
            </w:r>
            <w:r w:rsidR="00CC34AB">
              <w:t>, AEMP weighted average cost per month</w:t>
            </w:r>
          </w:p>
        </w:tc>
        <w:tc>
          <w:tcPr>
            <w:tcW w:w="6520" w:type="dxa"/>
            <w:vAlign w:val="center"/>
          </w:tcPr>
          <w:p w14:paraId="0385142E" w14:textId="5D45E020" w:rsidR="00B54665" w:rsidRDefault="00594021" w:rsidP="009826C7">
            <w:pPr>
              <w:pStyle w:val="TableText"/>
            </w:pPr>
            <w:r>
              <w:t>R2WIM</w:t>
            </w:r>
            <w:r w:rsidR="009646DB">
              <w:t xml:space="preserve"> </w:t>
            </w:r>
            <w:r w:rsidR="002D15C9">
              <w:noBreakHyphen/>
            </w:r>
            <w:r w:rsidR="00B54665">
              <w:t xml:space="preserve"> </w:t>
            </w:r>
            <w:r w:rsidR="00CC34AB">
              <w:t>PBS items 8780D, 8781E, 8782F</w:t>
            </w:r>
            <w:r w:rsidR="002D15C9">
              <w:noBreakHyphen/>
            </w:r>
            <w:r w:rsidR="00CC34AB">
              <w:t xml:space="preserve"> </w:t>
            </w:r>
            <w:r w:rsidR="00B54665">
              <w:t>$232.21</w:t>
            </w:r>
          </w:p>
          <w:p w14:paraId="54995CB1" w14:textId="165131CE" w:rsidR="002C654A" w:rsidRDefault="001A1DC8" w:rsidP="009826C7">
            <w:pPr>
              <w:pStyle w:val="TableText"/>
            </w:pPr>
            <w:r>
              <w:t xml:space="preserve">PP1M </w:t>
            </w:r>
            <w:r w:rsidR="002D15C9">
              <w:noBreakHyphen/>
            </w:r>
            <w:r w:rsidR="00CC34AB">
              <w:t xml:space="preserve"> PBS items 5100K, 5102M, 5107T, 5109X </w:t>
            </w:r>
            <w:r w:rsidR="002D15C9">
              <w:noBreakHyphen/>
            </w:r>
            <w:r w:rsidR="00CC34AB">
              <w:t xml:space="preserve"> </w:t>
            </w:r>
            <w:r w:rsidR="00B54665">
              <w:t>$227.66</w:t>
            </w:r>
          </w:p>
          <w:p w14:paraId="1307C02C" w14:textId="6D4E899D" w:rsidR="00B54665" w:rsidRPr="0098262F" w:rsidRDefault="007D37F7" w:rsidP="009826C7">
            <w:pPr>
              <w:pStyle w:val="TableText"/>
            </w:pPr>
            <w:r>
              <w:t>A1M</w:t>
            </w:r>
            <w:r w:rsidR="001A1DC8">
              <w:t xml:space="preserve"> </w:t>
            </w:r>
            <w:r w:rsidR="002D15C9">
              <w:noBreakHyphen/>
            </w:r>
            <w:r w:rsidR="00B54665">
              <w:t xml:space="preserve"> </w:t>
            </w:r>
            <w:r w:rsidR="00CC34AB">
              <w:t xml:space="preserve">PBS items 10219W, 10224D </w:t>
            </w:r>
            <w:r w:rsidR="002D15C9">
              <w:noBreakHyphen/>
            </w:r>
            <w:r w:rsidR="00CC34AB">
              <w:t xml:space="preserve"> </w:t>
            </w:r>
            <w:r w:rsidR="00B54665">
              <w:t>$295.92</w:t>
            </w:r>
          </w:p>
        </w:tc>
      </w:tr>
      <w:tr w:rsidR="002C654A" w:rsidRPr="0098262F" w14:paraId="144DE8F7" w14:textId="77777777">
        <w:tc>
          <w:tcPr>
            <w:tcW w:w="2660" w:type="dxa"/>
            <w:vAlign w:val="center"/>
          </w:tcPr>
          <w:p w14:paraId="3851FCF4" w14:textId="77777777" w:rsidR="002C654A" w:rsidRPr="0098262F" w:rsidRDefault="002C654A" w:rsidP="009826C7">
            <w:pPr>
              <w:pStyle w:val="TableText"/>
            </w:pPr>
            <w:r w:rsidRPr="0098262F">
              <w:t>Other costs or cost offsets</w:t>
            </w:r>
          </w:p>
        </w:tc>
        <w:tc>
          <w:tcPr>
            <w:tcW w:w="6520" w:type="dxa"/>
            <w:vAlign w:val="center"/>
          </w:tcPr>
          <w:p w14:paraId="3C61F056" w14:textId="24A197E5" w:rsidR="002C654A" w:rsidRPr="0098262F" w:rsidRDefault="0087706D" w:rsidP="009826C7">
            <w:pPr>
              <w:pStyle w:val="TableText"/>
            </w:pPr>
            <w:r>
              <w:t>Health Care Provider costs fo</w:t>
            </w:r>
            <w:r w:rsidR="00B54665">
              <w:t>r</w:t>
            </w:r>
            <w:r>
              <w:t xml:space="preserve"> injections</w:t>
            </w:r>
            <w:r w:rsidR="00B54665">
              <w:t>, MBS item 23</w:t>
            </w:r>
          </w:p>
        </w:tc>
      </w:tr>
    </w:tbl>
    <w:p w14:paraId="0BEEF76B" w14:textId="7975F1D9" w:rsidR="002C654A" w:rsidRDefault="002C654A" w:rsidP="002C654A">
      <w:pPr>
        <w:pStyle w:val="FooterTableFigure"/>
      </w:pPr>
      <w:r w:rsidRPr="0098262F">
        <w:t>Source:</w:t>
      </w:r>
      <w:r w:rsidR="00292344">
        <w:t xml:space="preserve"> </w:t>
      </w:r>
      <w:r w:rsidR="002954DD">
        <w:t>Compiled from Attachment 12, Section 3 of the submission.</w:t>
      </w:r>
    </w:p>
    <w:p w14:paraId="0CE2464A" w14:textId="3C96E7DB" w:rsidR="001A1DC8" w:rsidRPr="0098262F" w:rsidRDefault="001A1DC8" w:rsidP="002C654A">
      <w:pPr>
        <w:pStyle w:val="FooterTableFigure"/>
        <w:rPr>
          <w:sz w:val="20"/>
        </w:rPr>
      </w:pPr>
      <w:r>
        <w:t xml:space="preserve">PI = TGA Product Information; </w:t>
      </w:r>
      <w:r w:rsidR="00E70E93">
        <w:t xml:space="preserve">RCT = randomised controlled trial; </w:t>
      </w:r>
      <w:r w:rsidR="000D3A09">
        <w:t>R2WIM = risperidone 2 weekly intramuscular injection</w:t>
      </w:r>
      <w:r>
        <w:t>; PP1M = paliperidone once</w:t>
      </w:r>
      <w:r w:rsidR="002D15C9">
        <w:noBreakHyphen/>
      </w:r>
      <w:r>
        <w:t>monthly</w:t>
      </w:r>
      <w:r w:rsidR="005F36EF">
        <w:t xml:space="preserve"> </w:t>
      </w:r>
      <w:r w:rsidR="00970040">
        <w:t>intramuscular injection</w:t>
      </w:r>
      <w:r>
        <w:t xml:space="preserve">, </w:t>
      </w:r>
      <w:r w:rsidR="007D37F7">
        <w:t>A1M</w:t>
      </w:r>
      <w:r>
        <w:t xml:space="preserve"> = aripiprazole once</w:t>
      </w:r>
      <w:r w:rsidR="002D15C9">
        <w:noBreakHyphen/>
      </w:r>
      <w:r>
        <w:t>monthly</w:t>
      </w:r>
      <w:r w:rsidR="00970040">
        <w:t xml:space="preserve"> intramuscular injection.</w:t>
      </w:r>
    </w:p>
    <w:p w14:paraId="3BD5FC91" w14:textId="132A7A9D" w:rsidR="00FD3FAF" w:rsidRDefault="00FD3FAF" w:rsidP="00E07266">
      <w:pPr>
        <w:pStyle w:val="3-BodyText"/>
      </w:pPr>
      <w:r>
        <w:t>The equi</w:t>
      </w:r>
      <w:r w:rsidR="002D15C9">
        <w:noBreakHyphen/>
      </w:r>
      <w:r>
        <w:t>effective doses were derived from the doses recommended in the PIs, adjusted for frequency of injection and weighted according to the proportion of PBS services for the specified PBS items based on 2024 Services Australia data. The PBS items for R2WIM include use in bipolar disorder whereas the other item numbers are specific for schizophrenia.</w:t>
      </w:r>
      <w:r w:rsidR="00D815DF">
        <w:t xml:space="preserve"> </w:t>
      </w:r>
      <w:r w:rsidR="009437D8">
        <w:t xml:space="preserve">The submission </w:t>
      </w:r>
      <w:r w:rsidR="008C7E67">
        <w:t xml:space="preserve">presented a dose comparison </w:t>
      </w:r>
      <w:r w:rsidR="00015C0B">
        <w:t xml:space="preserve">which </w:t>
      </w:r>
      <w:r w:rsidR="00E07266">
        <w:t xml:space="preserve">is shown in </w:t>
      </w:r>
      <w:r w:rsidR="002D15C9">
        <w:fldChar w:fldCharType="begin"/>
      </w:r>
      <w:r w:rsidR="002D15C9">
        <w:instrText xml:space="preserve"> REF _Ref226039937 \h </w:instrText>
      </w:r>
      <w:r w:rsidR="002D15C9">
        <w:fldChar w:fldCharType="separate"/>
      </w:r>
      <w:r w:rsidR="002D15C9">
        <w:t xml:space="preserve">Table </w:t>
      </w:r>
      <w:r w:rsidR="002D15C9">
        <w:rPr>
          <w:noProof/>
        </w:rPr>
        <w:t>10</w:t>
      </w:r>
      <w:r w:rsidR="002D15C9">
        <w:fldChar w:fldCharType="end"/>
      </w:r>
      <w:r w:rsidR="0059618F">
        <w:t>.</w:t>
      </w:r>
    </w:p>
    <w:p w14:paraId="3DEB1615" w14:textId="23573BAE" w:rsidR="00AF17C5" w:rsidRDefault="002D15C9" w:rsidP="00722ACE">
      <w:pPr>
        <w:pStyle w:val="Caption"/>
      </w:pPr>
      <w:bookmarkStart w:id="44" w:name="_Ref226039937"/>
      <w:r>
        <w:t xml:space="preserve">Table </w:t>
      </w:r>
      <w:fldSimple w:instr=" SEQ Table \* ARABIC ">
        <w:r>
          <w:rPr>
            <w:noProof/>
          </w:rPr>
          <w:t>10</w:t>
        </w:r>
      </w:fldSimple>
      <w:bookmarkEnd w:id="44"/>
      <w:r w:rsidR="00D03498">
        <w:t xml:space="preserve">: Dose equivalence </w:t>
      </w:r>
      <w:r w:rsidR="00AA4FAC">
        <w:t xml:space="preserve">of oral risperidone, </w:t>
      </w:r>
      <w:r w:rsidR="00200B7E">
        <w:t>MRSC risperidone</w:t>
      </w:r>
      <w:r w:rsidR="00AA4FAC">
        <w:t xml:space="preserve">, </w:t>
      </w:r>
      <w:r w:rsidR="00200B7E">
        <w:t>R2WIM</w:t>
      </w:r>
      <w:r w:rsidR="0059618F">
        <w:t xml:space="preserve">, </w:t>
      </w:r>
      <w:r w:rsidR="00200B7E">
        <w:t>PP1M</w:t>
      </w:r>
      <w:r w:rsidR="0059618F">
        <w:t xml:space="preserve">, and </w:t>
      </w:r>
      <w:r w:rsidR="00200B7E">
        <w:t>R4WIM</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Dose equivalence of oral risperidone, MRSC risperidone, R2WIM, PP1M, and R4WIM"/>
      </w:tblPr>
      <w:tblGrid>
        <w:gridCol w:w="1804"/>
        <w:gridCol w:w="1805"/>
        <w:gridCol w:w="1803"/>
        <w:gridCol w:w="1803"/>
        <w:gridCol w:w="1993"/>
      </w:tblGrid>
      <w:tr w:rsidR="006E5BBB" w:rsidRPr="0098262F" w14:paraId="317F1DB5" w14:textId="77777777" w:rsidTr="00DA6204">
        <w:tc>
          <w:tcPr>
            <w:tcW w:w="980" w:type="pct"/>
          </w:tcPr>
          <w:p w14:paraId="694B64A6" w14:textId="4714C678" w:rsidR="006E5BBB" w:rsidRPr="0098262F" w:rsidRDefault="006E5BBB" w:rsidP="006E5BBB">
            <w:pPr>
              <w:pStyle w:val="In-tableHeading"/>
            </w:pPr>
            <w:r w:rsidRPr="00B95704">
              <w:t xml:space="preserve">Oral risperidone </w:t>
            </w:r>
            <w:r w:rsidR="00377436">
              <w:t>(1</w:t>
            </w:r>
            <w:r w:rsidR="002D15C9">
              <w:noBreakHyphen/>
            </w:r>
            <w:r w:rsidR="00377436">
              <w:t>daily)</w:t>
            </w:r>
          </w:p>
        </w:tc>
        <w:tc>
          <w:tcPr>
            <w:tcW w:w="980" w:type="pct"/>
          </w:tcPr>
          <w:p w14:paraId="0C6125E7" w14:textId="669A9FF2" w:rsidR="006E5BBB" w:rsidRPr="0098262F" w:rsidRDefault="003B5692" w:rsidP="006E5BBB">
            <w:pPr>
              <w:pStyle w:val="In-tableHeading"/>
            </w:pPr>
            <w:r>
              <w:t xml:space="preserve">MRSC </w:t>
            </w:r>
            <w:r w:rsidR="006E5BBB" w:rsidRPr="00B95704">
              <w:t>risperidone</w:t>
            </w:r>
            <w:r w:rsidR="00DD3FEB">
              <w:t xml:space="preserve"> (1</w:t>
            </w:r>
            <w:r w:rsidR="002D15C9">
              <w:noBreakHyphen/>
            </w:r>
            <w:r w:rsidR="00DD3FEB">
              <w:t>monthly</w:t>
            </w:r>
            <w:r w:rsidR="006E5BBB" w:rsidRPr="00B95704">
              <w:t>)</w:t>
            </w:r>
          </w:p>
        </w:tc>
        <w:tc>
          <w:tcPr>
            <w:tcW w:w="979" w:type="pct"/>
          </w:tcPr>
          <w:p w14:paraId="33FCD359" w14:textId="20581AED" w:rsidR="006E5BBB" w:rsidRPr="0098262F" w:rsidRDefault="00DD3FEB" w:rsidP="006E5BBB">
            <w:pPr>
              <w:pStyle w:val="In-tableHeading"/>
            </w:pPr>
            <w:r>
              <w:t>R</w:t>
            </w:r>
            <w:r w:rsidR="003B5692">
              <w:t>2WIM (2</w:t>
            </w:r>
            <w:r w:rsidR="002D15C9">
              <w:noBreakHyphen/>
            </w:r>
            <w:r w:rsidR="003B5692">
              <w:t>weekly)</w:t>
            </w:r>
          </w:p>
        </w:tc>
        <w:tc>
          <w:tcPr>
            <w:tcW w:w="979" w:type="pct"/>
          </w:tcPr>
          <w:p w14:paraId="33CEFD52" w14:textId="7BB90C5A" w:rsidR="006E5BBB" w:rsidRPr="0098262F" w:rsidRDefault="00DD3FEB" w:rsidP="006E5BBB">
            <w:pPr>
              <w:pStyle w:val="In-tableHeading"/>
            </w:pPr>
            <w:r>
              <w:t>PP1M (1</w:t>
            </w:r>
            <w:r w:rsidR="002D15C9">
              <w:noBreakHyphen/>
            </w:r>
            <w:r>
              <w:t>monthly)</w:t>
            </w:r>
          </w:p>
        </w:tc>
        <w:tc>
          <w:tcPr>
            <w:tcW w:w="1082" w:type="pct"/>
          </w:tcPr>
          <w:p w14:paraId="20D3EBE8" w14:textId="19EF2F33" w:rsidR="006E5BBB" w:rsidRPr="0098262F" w:rsidRDefault="00DD3FEB" w:rsidP="006E5BBB">
            <w:pPr>
              <w:pStyle w:val="In-tableHeading"/>
            </w:pPr>
            <w:r>
              <w:t>R4WIM (4</w:t>
            </w:r>
            <w:r w:rsidR="002D15C9">
              <w:noBreakHyphen/>
            </w:r>
            <w:r>
              <w:t>weekly)</w:t>
            </w:r>
          </w:p>
        </w:tc>
      </w:tr>
      <w:tr w:rsidR="00216AD0" w:rsidRPr="0098262F" w14:paraId="45C894CF" w14:textId="58B3006B" w:rsidTr="00533B5B">
        <w:tc>
          <w:tcPr>
            <w:tcW w:w="980" w:type="pct"/>
            <w:vAlign w:val="center"/>
          </w:tcPr>
          <w:p w14:paraId="0B6DFF70" w14:textId="5DCA48F7" w:rsidR="002E5B30" w:rsidRPr="0098262F" w:rsidRDefault="002E5B30" w:rsidP="00377436">
            <w:pPr>
              <w:pStyle w:val="TableText"/>
              <w:jc w:val="center"/>
            </w:pPr>
            <w:r w:rsidRPr="00B17B55">
              <w:t>1</w:t>
            </w:r>
            <w:r w:rsidR="00377436">
              <w:t xml:space="preserve"> </w:t>
            </w:r>
            <w:r w:rsidRPr="00B17B55">
              <w:t>mg</w:t>
            </w:r>
          </w:p>
        </w:tc>
        <w:tc>
          <w:tcPr>
            <w:tcW w:w="980" w:type="pct"/>
            <w:vAlign w:val="center"/>
          </w:tcPr>
          <w:p w14:paraId="15ED259C" w14:textId="3B59F592" w:rsidR="002E5B30" w:rsidRPr="0098262F" w:rsidRDefault="002E5B30" w:rsidP="00377436">
            <w:pPr>
              <w:pStyle w:val="TableText"/>
              <w:jc w:val="center"/>
            </w:pPr>
          </w:p>
        </w:tc>
        <w:tc>
          <w:tcPr>
            <w:tcW w:w="979" w:type="pct"/>
            <w:vAlign w:val="center"/>
          </w:tcPr>
          <w:p w14:paraId="4475D2A1" w14:textId="77777777" w:rsidR="002E5B30" w:rsidRPr="0098262F" w:rsidRDefault="002E5B30" w:rsidP="00377436">
            <w:pPr>
              <w:pStyle w:val="TableText"/>
              <w:jc w:val="center"/>
            </w:pPr>
          </w:p>
        </w:tc>
        <w:tc>
          <w:tcPr>
            <w:tcW w:w="979" w:type="pct"/>
            <w:vAlign w:val="center"/>
          </w:tcPr>
          <w:p w14:paraId="682A5F43" w14:textId="7AA53298" w:rsidR="002E5B30" w:rsidRPr="0098262F" w:rsidRDefault="002E5B30" w:rsidP="00377436">
            <w:pPr>
              <w:pStyle w:val="TableText"/>
              <w:jc w:val="center"/>
            </w:pPr>
            <w:r w:rsidRPr="00B17B55">
              <w:t>25</w:t>
            </w:r>
            <w:r w:rsidR="00377436">
              <w:t xml:space="preserve"> </w:t>
            </w:r>
            <w:r w:rsidRPr="00B17B55">
              <w:t xml:space="preserve">mg </w:t>
            </w:r>
            <w:r w:rsidRPr="00216AD0">
              <w:rPr>
                <w:vertAlign w:val="superscript"/>
              </w:rPr>
              <w:t>d</w:t>
            </w:r>
          </w:p>
        </w:tc>
        <w:tc>
          <w:tcPr>
            <w:tcW w:w="1082" w:type="pct"/>
            <w:vAlign w:val="center"/>
          </w:tcPr>
          <w:p w14:paraId="6623E854" w14:textId="77777777" w:rsidR="002E5B30" w:rsidRPr="0098262F" w:rsidRDefault="002E5B30" w:rsidP="00377436">
            <w:pPr>
              <w:pStyle w:val="TableText"/>
              <w:jc w:val="center"/>
            </w:pPr>
          </w:p>
        </w:tc>
      </w:tr>
      <w:tr w:rsidR="00216AD0" w:rsidRPr="0098262F" w14:paraId="12BCFFB9" w14:textId="395C585D" w:rsidTr="00533B5B">
        <w:tc>
          <w:tcPr>
            <w:tcW w:w="980" w:type="pct"/>
            <w:vAlign w:val="center"/>
          </w:tcPr>
          <w:p w14:paraId="3B019973" w14:textId="0C87DD96" w:rsidR="002E5B30" w:rsidRPr="0098262F" w:rsidRDefault="002E5B30" w:rsidP="00377436">
            <w:pPr>
              <w:pStyle w:val="TableText"/>
              <w:jc w:val="center"/>
            </w:pPr>
            <w:r w:rsidRPr="00B17B55">
              <w:t>2</w:t>
            </w:r>
            <w:r w:rsidR="00377436">
              <w:t xml:space="preserve"> </w:t>
            </w:r>
            <w:r w:rsidRPr="00B17B55">
              <w:t>mg</w:t>
            </w:r>
          </w:p>
        </w:tc>
        <w:tc>
          <w:tcPr>
            <w:tcW w:w="980" w:type="pct"/>
            <w:vAlign w:val="center"/>
          </w:tcPr>
          <w:p w14:paraId="476898DC" w14:textId="4DB28598" w:rsidR="002E5B30" w:rsidRPr="0098262F" w:rsidRDefault="002E5B30" w:rsidP="00377436">
            <w:pPr>
              <w:pStyle w:val="TableText"/>
              <w:jc w:val="center"/>
            </w:pPr>
            <w:r w:rsidRPr="00B17B55">
              <w:t>50</w:t>
            </w:r>
            <w:r w:rsidR="00377436">
              <w:t xml:space="preserve"> </w:t>
            </w:r>
            <w:r w:rsidRPr="00B17B55">
              <w:t xml:space="preserve">mg </w:t>
            </w:r>
            <w:r w:rsidRPr="00216AD0">
              <w:rPr>
                <w:vertAlign w:val="superscript"/>
              </w:rPr>
              <w:t>a</w:t>
            </w:r>
          </w:p>
        </w:tc>
        <w:tc>
          <w:tcPr>
            <w:tcW w:w="979" w:type="pct"/>
            <w:vAlign w:val="center"/>
          </w:tcPr>
          <w:p w14:paraId="32A382D4" w14:textId="45EEA661" w:rsidR="002E5B30" w:rsidRPr="0098262F" w:rsidRDefault="002E5B30" w:rsidP="00377436">
            <w:pPr>
              <w:pStyle w:val="TableText"/>
              <w:jc w:val="center"/>
            </w:pPr>
            <w:r w:rsidRPr="00B17B55">
              <w:t>25</w:t>
            </w:r>
            <w:r w:rsidR="00377436">
              <w:t xml:space="preserve"> </w:t>
            </w:r>
            <w:r w:rsidRPr="00B17B55">
              <w:t xml:space="preserve">mg </w:t>
            </w:r>
            <w:r w:rsidRPr="00216AD0">
              <w:rPr>
                <w:vertAlign w:val="superscript"/>
              </w:rPr>
              <w:t>b, c</w:t>
            </w:r>
          </w:p>
        </w:tc>
        <w:tc>
          <w:tcPr>
            <w:tcW w:w="979" w:type="pct"/>
            <w:vAlign w:val="center"/>
          </w:tcPr>
          <w:p w14:paraId="116E18DE" w14:textId="0E7EE00D" w:rsidR="002E5B30" w:rsidRPr="0098262F" w:rsidRDefault="002E5B30" w:rsidP="00377436">
            <w:pPr>
              <w:pStyle w:val="TableText"/>
              <w:jc w:val="center"/>
            </w:pPr>
            <w:r w:rsidRPr="00B17B55">
              <w:t>50</w:t>
            </w:r>
            <w:r w:rsidR="00377436">
              <w:t xml:space="preserve"> </w:t>
            </w:r>
            <w:r w:rsidRPr="00B17B55">
              <w:t xml:space="preserve">mg </w:t>
            </w:r>
            <w:r w:rsidRPr="00216AD0">
              <w:rPr>
                <w:vertAlign w:val="superscript"/>
              </w:rPr>
              <w:t>b, d</w:t>
            </w:r>
          </w:p>
        </w:tc>
        <w:tc>
          <w:tcPr>
            <w:tcW w:w="1082" w:type="pct"/>
            <w:vAlign w:val="center"/>
          </w:tcPr>
          <w:p w14:paraId="26B6B7F6" w14:textId="77777777" w:rsidR="002E5B30" w:rsidRPr="0098262F" w:rsidRDefault="002E5B30" w:rsidP="00377436">
            <w:pPr>
              <w:pStyle w:val="TableText"/>
              <w:jc w:val="center"/>
            </w:pPr>
          </w:p>
        </w:tc>
      </w:tr>
      <w:tr w:rsidR="00216AD0" w:rsidRPr="0098262F" w14:paraId="6548E065" w14:textId="4C6F9991" w:rsidTr="00533B5B">
        <w:tc>
          <w:tcPr>
            <w:tcW w:w="980" w:type="pct"/>
            <w:vAlign w:val="center"/>
          </w:tcPr>
          <w:p w14:paraId="77AB20D7" w14:textId="2E7324CF" w:rsidR="002E5B30" w:rsidRPr="0098262F" w:rsidRDefault="002E5B30" w:rsidP="00377436">
            <w:pPr>
              <w:pStyle w:val="TableText"/>
              <w:jc w:val="center"/>
            </w:pPr>
            <w:r w:rsidRPr="00B17B55">
              <w:t>3</w:t>
            </w:r>
            <w:r w:rsidR="00377436">
              <w:t xml:space="preserve"> </w:t>
            </w:r>
            <w:r w:rsidRPr="00B17B55">
              <w:t>mg</w:t>
            </w:r>
          </w:p>
        </w:tc>
        <w:tc>
          <w:tcPr>
            <w:tcW w:w="980" w:type="pct"/>
            <w:vAlign w:val="center"/>
          </w:tcPr>
          <w:p w14:paraId="5945C950" w14:textId="65E58B2A" w:rsidR="002E5B30" w:rsidRPr="0098262F" w:rsidRDefault="002E5B30" w:rsidP="00377436">
            <w:pPr>
              <w:pStyle w:val="TableText"/>
              <w:jc w:val="center"/>
            </w:pPr>
            <w:r w:rsidRPr="00B17B55">
              <w:t>75</w:t>
            </w:r>
            <w:r w:rsidR="00377436">
              <w:t xml:space="preserve"> </w:t>
            </w:r>
            <w:r w:rsidRPr="00B17B55">
              <w:t xml:space="preserve">mg </w:t>
            </w:r>
            <w:r w:rsidRPr="00216AD0">
              <w:rPr>
                <w:vertAlign w:val="superscript"/>
              </w:rPr>
              <w:t>a</w:t>
            </w:r>
          </w:p>
        </w:tc>
        <w:tc>
          <w:tcPr>
            <w:tcW w:w="979" w:type="pct"/>
            <w:vAlign w:val="center"/>
          </w:tcPr>
          <w:p w14:paraId="72B1AB57" w14:textId="4DED49B7" w:rsidR="002E5B30" w:rsidRPr="0098262F" w:rsidRDefault="002E5B30" w:rsidP="00377436">
            <w:pPr>
              <w:pStyle w:val="TableText"/>
              <w:jc w:val="center"/>
            </w:pPr>
            <w:r w:rsidRPr="00B17B55">
              <w:t>37.5</w:t>
            </w:r>
            <w:r w:rsidR="00377436">
              <w:t xml:space="preserve"> </w:t>
            </w:r>
            <w:r w:rsidRPr="00B17B55">
              <w:t xml:space="preserve">mg </w:t>
            </w:r>
            <w:r w:rsidRPr="00216AD0">
              <w:rPr>
                <w:vertAlign w:val="superscript"/>
              </w:rPr>
              <w:t>b, c</w:t>
            </w:r>
          </w:p>
        </w:tc>
        <w:tc>
          <w:tcPr>
            <w:tcW w:w="979" w:type="pct"/>
            <w:vAlign w:val="center"/>
          </w:tcPr>
          <w:p w14:paraId="3286A27E" w14:textId="29B54BC9" w:rsidR="002E5B30" w:rsidRPr="0098262F" w:rsidRDefault="002E5B30" w:rsidP="00377436">
            <w:pPr>
              <w:pStyle w:val="TableText"/>
              <w:jc w:val="center"/>
            </w:pPr>
            <w:r w:rsidRPr="00B17B55">
              <w:t>75</w:t>
            </w:r>
            <w:r w:rsidR="00377436">
              <w:t xml:space="preserve"> </w:t>
            </w:r>
            <w:r w:rsidRPr="00B17B55">
              <w:t xml:space="preserve">mg </w:t>
            </w:r>
            <w:r w:rsidRPr="00216AD0">
              <w:rPr>
                <w:vertAlign w:val="superscript"/>
              </w:rPr>
              <w:t>b, d</w:t>
            </w:r>
          </w:p>
        </w:tc>
        <w:tc>
          <w:tcPr>
            <w:tcW w:w="1082" w:type="pct"/>
            <w:vAlign w:val="center"/>
          </w:tcPr>
          <w:p w14:paraId="70633BB8" w14:textId="40A71E65" w:rsidR="002E5B30" w:rsidRPr="0098262F" w:rsidRDefault="002E5B30" w:rsidP="00377436">
            <w:pPr>
              <w:pStyle w:val="TableText"/>
              <w:jc w:val="center"/>
            </w:pPr>
            <w:r w:rsidRPr="00B17B55">
              <w:t>75</w:t>
            </w:r>
            <w:r w:rsidR="00533B5B">
              <w:t xml:space="preserve"> </w:t>
            </w:r>
            <w:r w:rsidRPr="00B17B55">
              <w:t xml:space="preserve">mg </w:t>
            </w:r>
            <w:r w:rsidRPr="00216AD0">
              <w:rPr>
                <w:vertAlign w:val="superscript"/>
              </w:rPr>
              <w:t>e</w:t>
            </w:r>
          </w:p>
        </w:tc>
      </w:tr>
      <w:tr w:rsidR="00216AD0" w:rsidRPr="0098262F" w14:paraId="15ADCB48" w14:textId="09CB2C53" w:rsidTr="00533B5B">
        <w:tc>
          <w:tcPr>
            <w:tcW w:w="980" w:type="pct"/>
            <w:vAlign w:val="center"/>
          </w:tcPr>
          <w:p w14:paraId="37D576D5" w14:textId="66FA133D" w:rsidR="002E5B30" w:rsidRPr="0098262F" w:rsidRDefault="002E5B30" w:rsidP="00377436">
            <w:pPr>
              <w:pStyle w:val="TableText"/>
              <w:jc w:val="center"/>
            </w:pPr>
            <w:r w:rsidRPr="00B17B55">
              <w:t>4</w:t>
            </w:r>
            <w:r w:rsidR="00377436">
              <w:t xml:space="preserve"> </w:t>
            </w:r>
            <w:r w:rsidRPr="00B17B55">
              <w:t>mg</w:t>
            </w:r>
          </w:p>
        </w:tc>
        <w:tc>
          <w:tcPr>
            <w:tcW w:w="980" w:type="pct"/>
            <w:vAlign w:val="center"/>
          </w:tcPr>
          <w:p w14:paraId="133C91B0" w14:textId="7B76142A" w:rsidR="002E5B30" w:rsidRPr="0098262F" w:rsidRDefault="002E5B30" w:rsidP="00377436">
            <w:pPr>
              <w:pStyle w:val="TableText"/>
              <w:jc w:val="center"/>
            </w:pPr>
            <w:r w:rsidRPr="00B17B55">
              <w:t>100</w:t>
            </w:r>
            <w:r w:rsidR="00377436">
              <w:t xml:space="preserve"> </w:t>
            </w:r>
            <w:r w:rsidRPr="00B17B55">
              <w:t xml:space="preserve">mg </w:t>
            </w:r>
            <w:r w:rsidRPr="00216AD0">
              <w:rPr>
                <w:vertAlign w:val="superscript"/>
              </w:rPr>
              <w:t>a</w:t>
            </w:r>
          </w:p>
        </w:tc>
        <w:tc>
          <w:tcPr>
            <w:tcW w:w="979" w:type="pct"/>
            <w:vAlign w:val="center"/>
          </w:tcPr>
          <w:p w14:paraId="2E37A641" w14:textId="10983FB3" w:rsidR="002E5B30" w:rsidRPr="0098262F" w:rsidRDefault="002E5B30" w:rsidP="00377436">
            <w:pPr>
              <w:pStyle w:val="TableText"/>
              <w:jc w:val="center"/>
            </w:pPr>
            <w:r w:rsidRPr="00B17B55">
              <w:t>50</w:t>
            </w:r>
            <w:r w:rsidR="00377436">
              <w:t xml:space="preserve"> </w:t>
            </w:r>
            <w:r w:rsidRPr="00B17B55">
              <w:t xml:space="preserve">mg </w:t>
            </w:r>
            <w:r w:rsidRPr="00216AD0">
              <w:rPr>
                <w:vertAlign w:val="superscript"/>
              </w:rPr>
              <w:t>b, c</w:t>
            </w:r>
          </w:p>
        </w:tc>
        <w:tc>
          <w:tcPr>
            <w:tcW w:w="979" w:type="pct"/>
            <w:vAlign w:val="center"/>
          </w:tcPr>
          <w:p w14:paraId="13D9D377" w14:textId="38C6010B" w:rsidR="002E5B30" w:rsidRPr="0098262F" w:rsidRDefault="002E5B30" w:rsidP="00377436">
            <w:pPr>
              <w:pStyle w:val="TableText"/>
              <w:jc w:val="center"/>
            </w:pPr>
            <w:r w:rsidRPr="00B17B55">
              <w:t>100</w:t>
            </w:r>
            <w:r w:rsidR="00377436">
              <w:t xml:space="preserve"> </w:t>
            </w:r>
            <w:r w:rsidRPr="00B17B55">
              <w:t xml:space="preserve">mg </w:t>
            </w:r>
            <w:r w:rsidRPr="00216AD0">
              <w:rPr>
                <w:vertAlign w:val="superscript"/>
              </w:rPr>
              <w:t>b, d</w:t>
            </w:r>
          </w:p>
        </w:tc>
        <w:tc>
          <w:tcPr>
            <w:tcW w:w="1082" w:type="pct"/>
            <w:vAlign w:val="center"/>
          </w:tcPr>
          <w:p w14:paraId="52702805" w14:textId="4563A435" w:rsidR="002E5B30" w:rsidRPr="0098262F" w:rsidRDefault="002E5B30" w:rsidP="00377436">
            <w:pPr>
              <w:pStyle w:val="TableText"/>
              <w:jc w:val="center"/>
            </w:pPr>
            <w:r w:rsidRPr="00B17B55">
              <w:t>100</w:t>
            </w:r>
            <w:r w:rsidR="00533B5B">
              <w:t xml:space="preserve"> </w:t>
            </w:r>
            <w:r w:rsidRPr="00B17B55">
              <w:t xml:space="preserve">mg </w:t>
            </w:r>
            <w:r w:rsidRPr="00216AD0">
              <w:rPr>
                <w:vertAlign w:val="superscript"/>
              </w:rPr>
              <w:t>e</w:t>
            </w:r>
          </w:p>
        </w:tc>
      </w:tr>
      <w:tr w:rsidR="00216AD0" w:rsidRPr="0098262F" w14:paraId="3C7CD492" w14:textId="1A29B875" w:rsidTr="00533B5B">
        <w:tc>
          <w:tcPr>
            <w:tcW w:w="980" w:type="pct"/>
            <w:vAlign w:val="center"/>
          </w:tcPr>
          <w:p w14:paraId="475C416D" w14:textId="35880C58" w:rsidR="002E5B30" w:rsidRPr="0098262F" w:rsidRDefault="002E5B30" w:rsidP="00377436">
            <w:pPr>
              <w:pStyle w:val="TableText"/>
              <w:jc w:val="center"/>
            </w:pPr>
            <w:r w:rsidRPr="00B17B55">
              <w:t>5</w:t>
            </w:r>
            <w:r w:rsidR="00377436">
              <w:t xml:space="preserve"> </w:t>
            </w:r>
            <w:r w:rsidRPr="00B17B55">
              <w:t>mg</w:t>
            </w:r>
          </w:p>
        </w:tc>
        <w:tc>
          <w:tcPr>
            <w:tcW w:w="980" w:type="pct"/>
            <w:vAlign w:val="center"/>
          </w:tcPr>
          <w:p w14:paraId="2EF307BE" w14:textId="0EE6E8E1" w:rsidR="002E5B30" w:rsidRPr="0098262F" w:rsidRDefault="002E5B30" w:rsidP="00377436">
            <w:pPr>
              <w:pStyle w:val="TableText"/>
              <w:jc w:val="center"/>
            </w:pPr>
            <w:r w:rsidRPr="00B17B55">
              <w:t>125</w:t>
            </w:r>
            <w:r w:rsidR="00377436">
              <w:t xml:space="preserve"> </w:t>
            </w:r>
            <w:r w:rsidRPr="00B17B55">
              <w:t xml:space="preserve">mg </w:t>
            </w:r>
            <w:r w:rsidRPr="00216AD0">
              <w:rPr>
                <w:vertAlign w:val="superscript"/>
              </w:rPr>
              <w:t>a</w:t>
            </w:r>
          </w:p>
        </w:tc>
        <w:tc>
          <w:tcPr>
            <w:tcW w:w="979" w:type="pct"/>
            <w:vAlign w:val="center"/>
          </w:tcPr>
          <w:p w14:paraId="1E0B9EEC" w14:textId="77777777" w:rsidR="002E5B30" w:rsidRPr="0098262F" w:rsidRDefault="002E5B30" w:rsidP="00377436">
            <w:pPr>
              <w:pStyle w:val="TableText"/>
              <w:jc w:val="center"/>
            </w:pPr>
          </w:p>
        </w:tc>
        <w:tc>
          <w:tcPr>
            <w:tcW w:w="979" w:type="pct"/>
            <w:vAlign w:val="center"/>
          </w:tcPr>
          <w:p w14:paraId="7151EE8F" w14:textId="77777777" w:rsidR="002E5B30" w:rsidRPr="0098262F" w:rsidRDefault="002E5B30" w:rsidP="00377436">
            <w:pPr>
              <w:pStyle w:val="TableText"/>
              <w:jc w:val="center"/>
            </w:pPr>
          </w:p>
        </w:tc>
        <w:tc>
          <w:tcPr>
            <w:tcW w:w="1082" w:type="pct"/>
            <w:vAlign w:val="center"/>
          </w:tcPr>
          <w:p w14:paraId="4D962177" w14:textId="77777777" w:rsidR="002E5B30" w:rsidRPr="0098262F" w:rsidRDefault="002E5B30" w:rsidP="00377436">
            <w:pPr>
              <w:pStyle w:val="TableText"/>
              <w:jc w:val="center"/>
            </w:pPr>
          </w:p>
        </w:tc>
      </w:tr>
      <w:tr w:rsidR="00216AD0" w:rsidRPr="0098262F" w14:paraId="336EA880" w14:textId="77777777" w:rsidTr="00377436">
        <w:tc>
          <w:tcPr>
            <w:tcW w:w="980" w:type="pct"/>
            <w:vAlign w:val="center"/>
          </w:tcPr>
          <w:p w14:paraId="1BF3C8FF" w14:textId="0EDCE3FA" w:rsidR="002E5B30" w:rsidRPr="0098262F" w:rsidRDefault="002E5B30" w:rsidP="00377436">
            <w:pPr>
              <w:pStyle w:val="TableText"/>
              <w:jc w:val="center"/>
            </w:pPr>
            <w:r w:rsidRPr="00B17B55">
              <w:t>6</w:t>
            </w:r>
            <w:r w:rsidR="00377436">
              <w:t xml:space="preserve"> </w:t>
            </w:r>
            <w:r w:rsidRPr="00B17B55">
              <w:t>mg</w:t>
            </w:r>
          </w:p>
        </w:tc>
        <w:tc>
          <w:tcPr>
            <w:tcW w:w="980" w:type="pct"/>
            <w:vAlign w:val="center"/>
          </w:tcPr>
          <w:p w14:paraId="72729DF3" w14:textId="4CBAD888" w:rsidR="002E5B30" w:rsidRPr="0098262F" w:rsidRDefault="002E5B30" w:rsidP="00377436">
            <w:pPr>
              <w:pStyle w:val="TableText"/>
              <w:jc w:val="center"/>
            </w:pPr>
          </w:p>
        </w:tc>
        <w:tc>
          <w:tcPr>
            <w:tcW w:w="979" w:type="pct"/>
            <w:vAlign w:val="center"/>
          </w:tcPr>
          <w:p w14:paraId="5186BA12" w14:textId="77777777" w:rsidR="002E5B30" w:rsidRPr="0098262F" w:rsidRDefault="002E5B30" w:rsidP="00377436">
            <w:pPr>
              <w:pStyle w:val="TableText"/>
              <w:jc w:val="center"/>
            </w:pPr>
          </w:p>
        </w:tc>
        <w:tc>
          <w:tcPr>
            <w:tcW w:w="979" w:type="pct"/>
            <w:vAlign w:val="center"/>
          </w:tcPr>
          <w:p w14:paraId="46AF8719" w14:textId="602DD168" w:rsidR="002E5B30" w:rsidRPr="0098262F" w:rsidRDefault="002E5B30" w:rsidP="00377436">
            <w:pPr>
              <w:pStyle w:val="TableText"/>
              <w:jc w:val="center"/>
            </w:pPr>
            <w:r w:rsidRPr="00B17B55">
              <w:t>150</w:t>
            </w:r>
            <w:r w:rsidR="00377436">
              <w:t xml:space="preserve"> </w:t>
            </w:r>
            <w:r w:rsidRPr="00B17B55">
              <w:t xml:space="preserve">mg </w:t>
            </w:r>
            <w:r w:rsidRPr="00216AD0">
              <w:rPr>
                <w:vertAlign w:val="superscript"/>
              </w:rPr>
              <w:t>d</w:t>
            </w:r>
          </w:p>
        </w:tc>
        <w:tc>
          <w:tcPr>
            <w:tcW w:w="1082" w:type="pct"/>
            <w:vAlign w:val="center"/>
          </w:tcPr>
          <w:p w14:paraId="07DC0A0A" w14:textId="77777777" w:rsidR="002E5B30" w:rsidRPr="0098262F" w:rsidRDefault="002E5B30" w:rsidP="00377436">
            <w:pPr>
              <w:pStyle w:val="TableText"/>
              <w:jc w:val="center"/>
            </w:pPr>
          </w:p>
        </w:tc>
      </w:tr>
    </w:tbl>
    <w:p w14:paraId="29254B57" w14:textId="7AC06E5E" w:rsidR="00D20A47" w:rsidRDefault="009E332C" w:rsidP="00216AD0">
      <w:pPr>
        <w:pStyle w:val="TableFooter"/>
      </w:pPr>
      <w:r>
        <w:t xml:space="preserve">Source: </w:t>
      </w:r>
      <w:r w:rsidR="009256B2">
        <w:t>Table 1</w:t>
      </w:r>
      <w:r w:rsidR="002D15C9">
        <w:noBreakHyphen/>
      </w:r>
      <w:r w:rsidR="009256B2">
        <w:t>6 of the submission</w:t>
      </w:r>
    </w:p>
    <w:p w14:paraId="2C447892" w14:textId="77777777" w:rsidR="00F54BE6" w:rsidRDefault="00F54BE6" w:rsidP="00216AD0">
      <w:pPr>
        <w:pStyle w:val="TableFooter"/>
      </w:pPr>
      <w:r w:rsidRPr="00F54BE6">
        <w:t>q1m</w:t>
      </w:r>
      <w:r>
        <w:t xml:space="preserve"> = </w:t>
      </w:r>
      <w:r w:rsidRPr="00F54BE6">
        <w:t>every month</w:t>
      </w:r>
      <w:r>
        <w:t>;</w:t>
      </w:r>
      <w:r w:rsidRPr="00F54BE6">
        <w:t xml:space="preserve"> q2m</w:t>
      </w:r>
      <w:r>
        <w:t xml:space="preserve"> =</w:t>
      </w:r>
      <w:r w:rsidRPr="00F54BE6">
        <w:t xml:space="preserve"> every 2 months</w:t>
      </w:r>
      <w:r>
        <w:t>;</w:t>
      </w:r>
      <w:r w:rsidRPr="00F54BE6">
        <w:t xml:space="preserve"> q2w</w:t>
      </w:r>
      <w:r>
        <w:t xml:space="preserve"> =</w:t>
      </w:r>
      <w:r w:rsidRPr="00F54BE6">
        <w:t>every 2 weeks</w:t>
      </w:r>
      <w:r>
        <w:t>;</w:t>
      </w:r>
      <w:r w:rsidRPr="00F54BE6">
        <w:t xml:space="preserve"> q4w</w:t>
      </w:r>
      <w:r>
        <w:t xml:space="preserve"> =</w:t>
      </w:r>
      <w:r w:rsidRPr="00F54BE6">
        <w:t xml:space="preserve"> every 4 weeks.</w:t>
      </w:r>
    </w:p>
    <w:p w14:paraId="329EFED8" w14:textId="5EB9B140" w:rsidR="00216AD0" w:rsidRDefault="00216AD0" w:rsidP="00216AD0">
      <w:pPr>
        <w:pStyle w:val="TableFooter"/>
      </w:pPr>
      <w:r>
        <w:t>a. dose equivalence of risperidone oral and Uzedy from Uzedy</w:t>
      </w:r>
      <w:r w:rsidR="001E6969">
        <w:t xml:space="preserve"> AU</w:t>
      </w:r>
      <w:r>
        <w:t xml:space="preserve"> PI (Attachment 1).</w:t>
      </w:r>
    </w:p>
    <w:p w14:paraId="18A369DB" w14:textId="5AA9CC84" w:rsidR="00216AD0" w:rsidRDefault="00216AD0" w:rsidP="00216AD0">
      <w:pPr>
        <w:pStyle w:val="TableFooter"/>
      </w:pPr>
      <w:r>
        <w:t>b. dose equivalence of Risperdal Consta and Invega Sustenna from Invega Sustenna PI (Janssen 2023b)</w:t>
      </w:r>
    </w:p>
    <w:p w14:paraId="5020B1AD" w14:textId="6471F228" w:rsidR="00216AD0" w:rsidRDefault="00216AD0" w:rsidP="00216AD0">
      <w:pPr>
        <w:pStyle w:val="TableFooter"/>
      </w:pPr>
      <w:r>
        <w:t>c. dose equivalence of risperidone oral and Risperdal Consta from (Therapeutic Guidelines 2021b)</w:t>
      </w:r>
    </w:p>
    <w:p w14:paraId="114D1FC1" w14:textId="1AE269F6" w:rsidR="00216AD0" w:rsidRDefault="00216AD0" w:rsidP="00216AD0">
      <w:pPr>
        <w:pStyle w:val="TableFooter"/>
      </w:pPr>
      <w:r>
        <w:t>d. dose equivalence of risperidone oral and Invega Sustenna from (Russu et al. 2018).</w:t>
      </w:r>
    </w:p>
    <w:p w14:paraId="658CC0F8" w14:textId="2A3BE7AB" w:rsidR="0059618F" w:rsidRDefault="00216AD0" w:rsidP="00F54BE6">
      <w:pPr>
        <w:pStyle w:val="TableFooter"/>
      </w:pPr>
      <w:r>
        <w:t>e. dose equivalence of risperidone oral, Risperdal Consta and Risvan from Risvan PI (Servier Laboratories 2023)</w:t>
      </w:r>
    </w:p>
    <w:p w14:paraId="03687041" w14:textId="7611E180" w:rsidR="00E57FA7" w:rsidRDefault="00066D44" w:rsidP="009C523C">
      <w:pPr>
        <w:pStyle w:val="3-BodyText"/>
      </w:pPr>
      <w:r w:rsidRPr="00DC2E33">
        <w:t xml:space="preserve">The submission </w:t>
      </w:r>
      <w:r>
        <w:t>used</w:t>
      </w:r>
      <w:r w:rsidR="00FD3FAF">
        <w:t xml:space="preserve"> the same </w:t>
      </w:r>
      <w:r w:rsidR="00CB5ECA">
        <w:t xml:space="preserve">weighting </w:t>
      </w:r>
      <w:r w:rsidR="00FD3FAF">
        <w:t xml:space="preserve">approach to </w:t>
      </w:r>
      <w:r w:rsidRPr="00DC2E33">
        <w:t>derive the effective price</w:t>
      </w:r>
      <w:r w:rsidR="00866050">
        <w:t xml:space="preserve"> and </w:t>
      </w:r>
      <w:r w:rsidR="00866050" w:rsidRPr="00AB1364">
        <w:t xml:space="preserve">proposed a flat pricing structure </w:t>
      </w:r>
      <w:r w:rsidR="00866050">
        <w:t>so that all strengths would have the same effective AEMP</w:t>
      </w:r>
      <w:r w:rsidR="003F1B67">
        <w:t>.</w:t>
      </w:r>
    </w:p>
    <w:p w14:paraId="7794A850" w14:textId="5E25183B" w:rsidR="006A47CA" w:rsidRPr="00AB1364" w:rsidRDefault="00B6113B" w:rsidP="00AB1364">
      <w:pPr>
        <w:pStyle w:val="3-BodyText"/>
      </w:pPr>
      <w:r w:rsidRPr="00B6113B">
        <w:t xml:space="preserve">The calculations </w:t>
      </w:r>
      <w:r w:rsidR="00B90228">
        <w:t xml:space="preserve">used </w:t>
      </w:r>
      <w:r w:rsidR="000B5856">
        <w:t>to determine</w:t>
      </w:r>
      <w:r w:rsidR="000B5856" w:rsidRPr="00B6113B">
        <w:t xml:space="preserve"> </w:t>
      </w:r>
      <w:r w:rsidRPr="00B6113B">
        <w:t xml:space="preserve">the </w:t>
      </w:r>
      <w:r>
        <w:t xml:space="preserve">lowest cost </w:t>
      </w:r>
      <w:r w:rsidR="000B5856">
        <w:t xml:space="preserve">alternative </w:t>
      </w:r>
      <w:r>
        <w:t xml:space="preserve">are shown in </w:t>
      </w:r>
      <w:r w:rsidR="00641E01">
        <w:fldChar w:fldCharType="begin"/>
      </w:r>
      <w:r w:rsidR="00641E01">
        <w:instrText xml:space="preserve"> REF _Ref215049748 \h </w:instrText>
      </w:r>
      <w:r w:rsidR="00641E01">
        <w:fldChar w:fldCharType="separate"/>
      </w:r>
      <w:r w:rsidR="00641E01">
        <w:t xml:space="preserve">Table </w:t>
      </w:r>
      <w:r w:rsidR="00641E01">
        <w:rPr>
          <w:noProof/>
        </w:rPr>
        <w:t>10</w:t>
      </w:r>
      <w:r w:rsidR="00641E01">
        <w:fldChar w:fldCharType="end"/>
      </w:r>
      <w:r>
        <w:t>.</w:t>
      </w:r>
    </w:p>
    <w:p w14:paraId="1D7491FD" w14:textId="19E3CE51" w:rsidR="00E20B3B" w:rsidRPr="006A47CA" w:rsidRDefault="00641E01" w:rsidP="00104720">
      <w:pPr>
        <w:pStyle w:val="TableFigureHeading"/>
      </w:pPr>
      <w:bookmarkStart w:id="45" w:name="_Ref215049748"/>
      <w:r>
        <w:lastRenderedPageBreak/>
        <w:t xml:space="preserve">Table </w:t>
      </w:r>
      <w:fldSimple w:instr=" SEQ Table \* ARABIC ">
        <w:r w:rsidR="002D15C9">
          <w:rPr>
            <w:noProof/>
          </w:rPr>
          <w:t>11</w:t>
        </w:r>
      </w:fldSimple>
      <w:bookmarkEnd w:id="45"/>
      <w:r>
        <w:t xml:space="preserve">: </w:t>
      </w:r>
      <w:r w:rsidR="00E20B3B" w:rsidRPr="006A47CA">
        <w:t>Lowest Cost comparator derivation (June 2025 PBS prices)</w:t>
      </w:r>
    </w:p>
    <w:tbl>
      <w:tblPr>
        <w:tblW w:w="0" w:type="auto"/>
        <w:tblLook w:val="04A0" w:firstRow="1" w:lastRow="0" w:firstColumn="1" w:lastColumn="0" w:noHBand="0" w:noVBand="1"/>
        <w:tblCaption w:val="Table 11: Lowest Cost comparator derivation (June 2025 PBS prices)"/>
      </w:tblPr>
      <w:tblGrid>
        <w:gridCol w:w="1413"/>
        <w:gridCol w:w="992"/>
        <w:gridCol w:w="1134"/>
        <w:gridCol w:w="936"/>
        <w:gridCol w:w="993"/>
        <w:gridCol w:w="769"/>
        <w:gridCol w:w="509"/>
        <w:gridCol w:w="848"/>
        <w:gridCol w:w="714"/>
        <w:gridCol w:w="709"/>
      </w:tblGrid>
      <w:tr w:rsidR="007E6A33" w14:paraId="528E3360" w14:textId="77777777" w:rsidTr="00900AB0">
        <w:trPr>
          <w:cantSplit/>
          <w:trHeight w:val="1722"/>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C114C56" w14:textId="3E5D14B8" w:rsidR="00E20B3B" w:rsidRPr="00104720" w:rsidRDefault="00E20B3B" w:rsidP="00900AB0">
            <w:pPr>
              <w:pStyle w:val="In-tableHeading"/>
              <w:jc w:val="center"/>
            </w:pPr>
            <w:r w:rsidRPr="00104720">
              <w:t>Product</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5EAA4646" w14:textId="1D135818" w:rsidR="00E20B3B" w:rsidRPr="00104720" w:rsidRDefault="00E20B3B" w:rsidP="00900AB0">
            <w:pPr>
              <w:pStyle w:val="In-tableHeading"/>
              <w:jc w:val="center"/>
            </w:pPr>
            <w:r w:rsidRPr="00104720">
              <w:t>AEMP (Oct 2025)</w:t>
            </w:r>
          </w:p>
        </w:tc>
        <w:tc>
          <w:tcPr>
            <w:tcW w:w="1134" w:type="dxa"/>
            <w:tcBorders>
              <w:top w:val="single" w:sz="4" w:space="0" w:color="auto"/>
              <w:left w:val="nil"/>
              <w:bottom w:val="single" w:sz="4" w:space="0" w:color="auto"/>
              <w:right w:val="single" w:sz="4" w:space="0" w:color="auto"/>
            </w:tcBorders>
            <w:tcMar>
              <w:left w:w="28" w:type="dxa"/>
              <w:right w:w="28" w:type="dxa"/>
            </w:tcMar>
            <w:vAlign w:val="center"/>
            <w:hideMark/>
          </w:tcPr>
          <w:p w14:paraId="4556CCC3" w14:textId="0A2741C3" w:rsidR="00E20B3B" w:rsidRPr="00104720" w:rsidRDefault="00E20B3B" w:rsidP="00900AB0">
            <w:pPr>
              <w:pStyle w:val="In-tableHeading"/>
              <w:jc w:val="center"/>
            </w:pPr>
            <w:r w:rsidRPr="00104720">
              <w:t>Cost of drug per calendar month</w:t>
            </w:r>
          </w:p>
        </w:tc>
        <w:tc>
          <w:tcPr>
            <w:tcW w:w="1985" w:type="dxa"/>
            <w:gridSpan w:val="2"/>
            <w:tcBorders>
              <w:top w:val="single" w:sz="4" w:space="0" w:color="auto"/>
              <w:left w:val="nil"/>
              <w:bottom w:val="single" w:sz="4" w:space="0" w:color="auto"/>
              <w:right w:val="single" w:sz="4" w:space="0" w:color="auto"/>
            </w:tcBorders>
            <w:tcMar>
              <w:left w:w="28" w:type="dxa"/>
              <w:right w:w="28" w:type="dxa"/>
            </w:tcMar>
            <w:vAlign w:val="center"/>
            <w:hideMark/>
          </w:tcPr>
          <w:p w14:paraId="2DFA2CCF" w14:textId="1F12980B" w:rsidR="00E20B3B" w:rsidRPr="00104720" w:rsidRDefault="00E20B3B" w:rsidP="00900AB0">
            <w:pPr>
              <w:pStyle w:val="In-tableHeading"/>
              <w:jc w:val="center"/>
            </w:pPr>
            <w:r w:rsidRPr="00104720">
              <w:t>PBS Services (2024 Rx)</w:t>
            </w:r>
          </w:p>
        </w:tc>
        <w:tc>
          <w:tcPr>
            <w:tcW w:w="769" w:type="dxa"/>
            <w:tcBorders>
              <w:top w:val="single" w:sz="4" w:space="0" w:color="auto"/>
              <w:left w:val="nil"/>
              <w:bottom w:val="single" w:sz="4" w:space="0" w:color="auto"/>
              <w:right w:val="single" w:sz="4" w:space="0" w:color="auto"/>
            </w:tcBorders>
            <w:tcMar>
              <w:left w:w="28" w:type="dxa"/>
              <w:right w:w="28" w:type="dxa"/>
            </w:tcMar>
            <w:textDirection w:val="tbRl"/>
            <w:vAlign w:val="center"/>
            <w:hideMark/>
          </w:tcPr>
          <w:p w14:paraId="7195BE1D" w14:textId="77777777" w:rsidR="00E20B3B" w:rsidRPr="00104720" w:rsidRDefault="00E20B3B" w:rsidP="00900AB0">
            <w:pPr>
              <w:pStyle w:val="In-tableHeading"/>
              <w:jc w:val="center"/>
            </w:pPr>
            <w:r w:rsidRPr="00104720">
              <w:t>Weighted Avg Drug cost per month</w:t>
            </w:r>
          </w:p>
        </w:tc>
        <w:tc>
          <w:tcPr>
            <w:tcW w:w="509" w:type="dxa"/>
            <w:tcBorders>
              <w:top w:val="single" w:sz="4" w:space="0" w:color="auto"/>
              <w:left w:val="nil"/>
              <w:bottom w:val="single" w:sz="4" w:space="0" w:color="auto"/>
              <w:right w:val="single" w:sz="4" w:space="0" w:color="auto"/>
            </w:tcBorders>
            <w:tcMar>
              <w:left w:w="28" w:type="dxa"/>
              <w:right w:w="28" w:type="dxa"/>
            </w:tcMar>
            <w:textDirection w:val="tbRl"/>
            <w:vAlign w:val="center"/>
            <w:hideMark/>
          </w:tcPr>
          <w:p w14:paraId="18AB523A" w14:textId="17ED2ADB" w:rsidR="00E20B3B" w:rsidRPr="00104720" w:rsidRDefault="00E20B3B" w:rsidP="00900AB0">
            <w:pPr>
              <w:pStyle w:val="In-tableHeading"/>
              <w:jc w:val="center"/>
            </w:pPr>
            <w:r w:rsidRPr="00104720">
              <w:t>No. of HCP injections</w:t>
            </w:r>
            <w:r w:rsidR="00951430">
              <w:t>/annum</w:t>
            </w:r>
          </w:p>
        </w:tc>
        <w:tc>
          <w:tcPr>
            <w:tcW w:w="848" w:type="dxa"/>
            <w:tcBorders>
              <w:top w:val="single" w:sz="4" w:space="0" w:color="auto"/>
              <w:left w:val="nil"/>
              <w:bottom w:val="single" w:sz="4" w:space="0" w:color="auto"/>
              <w:right w:val="single" w:sz="4" w:space="0" w:color="auto"/>
            </w:tcBorders>
            <w:tcMar>
              <w:left w:w="28" w:type="dxa"/>
              <w:right w:w="28" w:type="dxa"/>
            </w:tcMar>
            <w:textDirection w:val="tbRl"/>
            <w:vAlign w:val="center"/>
            <w:hideMark/>
          </w:tcPr>
          <w:p w14:paraId="7F7E3FED" w14:textId="0091C816" w:rsidR="00E20B3B" w:rsidRPr="00104720" w:rsidRDefault="00E20B3B" w:rsidP="00900AB0">
            <w:pPr>
              <w:pStyle w:val="In-tableHeading"/>
              <w:jc w:val="center"/>
            </w:pPr>
            <w:r w:rsidRPr="00104720">
              <w:t>Cost of HCP</w:t>
            </w:r>
            <w:r w:rsidR="00951430">
              <w:t>/annum</w:t>
            </w:r>
          </w:p>
        </w:tc>
        <w:tc>
          <w:tcPr>
            <w:tcW w:w="714" w:type="dxa"/>
            <w:tcBorders>
              <w:top w:val="single" w:sz="4" w:space="0" w:color="auto"/>
              <w:left w:val="nil"/>
              <w:bottom w:val="single" w:sz="4" w:space="0" w:color="auto"/>
              <w:right w:val="single" w:sz="4" w:space="0" w:color="auto"/>
            </w:tcBorders>
            <w:tcMar>
              <w:left w:w="28" w:type="dxa"/>
              <w:right w:w="28" w:type="dxa"/>
            </w:tcMar>
            <w:textDirection w:val="tbRl"/>
            <w:vAlign w:val="center"/>
            <w:hideMark/>
          </w:tcPr>
          <w:p w14:paraId="29676488" w14:textId="760F2342" w:rsidR="00E20B3B" w:rsidRPr="00104720" w:rsidRDefault="00E20B3B" w:rsidP="00900AB0">
            <w:pPr>
              <w:pStyle w:val="In-tableHeading"/>
              <w:jc w:val="center"/>
            </w:pPr>
            <w:r w:rsidRPr="00104720">
              <w:t>Cost of HCP</w:t>
            </w:r>
            <w:r w:rsidR="00951430">
              <w:t>/month</w:t>
            </w:r>
          </w:p>
        </w:tc>
        <w:tc>
          <w:tcPr>
            <w:tcW w:w="0" w:type="auto"/>
            <w:tcBorders>
              <w:top w:val="single" w:sz="4" w:space="0" w:color="auto"/>
              <w:left w:val="nil"/>
              <w:bottom w:val="single" w:sz="4" w:space="0" w:color="auto"/>
              <w:right w:val="single" w:sz="4" w:space="0" w:color="auto"/>
            </w:tcBorders>
            <w:tcMar>
              <w:left w:w="28" w:type="dxa"/>
              <w:right w:w="28" w:type="dxa"/>
            </w:tcMar>
            <w:textDirection w:val="tbRl"/>
            <w:vAlign w:val="center"/>
            <w:hideMark/>
          </w:tcPr>
          <w:p w14:paraId="7E886B6D" w14:textId="77777777" w:rsidR="00E20B3B" w:rsidRPr="00104720" w:rsidRDefault="00E20B3B" w:rsidP="00900AB0">
            <w:pPr>
              <w:pStyle w:val="In-tableHeading"/>
              <w:jc w:val="center"/>
            </w:pPr>
            <w:r w:rsidRPr="00104720">
              <w:t>Total cost per month of treatment</w:t>
            </w:r>
          </w:p>
        </w:tc>
      </w:tr>
      <w:tr w:rsidR="00BB769E" w14:paraId="612555DB" w14:textId="77777777" w:rsidTr="009218AC">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455D09A" w14:textId="6A3897F6" w:rsidR="00E20B3B" w:rsidRDefault="00A06706" w:rsidP="00900AB0">
            <w:pPr>
              <w:pStyle w:val="In-tableHeading"/>
            </w:pPr>
            <w:r>
              <w:t>R4WIM</w:t>
            </w:r>
          </w:p>
        </w:tc>
        <w:tc>
          <w:tcPr>
            <w:tcW w:w="992" w:type="dxa"/>
            <w:tcBorders>
              <w:top w:val="single" w:sz="4" w:space="0" w:color="auto"/>
              <w:left w:val="nil"/>
              <w:bottom w:val="single" w:sz="4" w:space="0" w:color="auto"/>
              <w:right w:val="single" w:sz="4" w:space="0" w:color="auto"/>
            </w:tcBorders>
            <w:tcMar>
              <w:left w:w="28" w:type="dxa"/>
              <w:right w:w="28" w:type="dxa"/>
            </w:tcMar>
          </w:tcPr>
          <w:p w14:paraId="5B307EE8" w14:textId="77777777" w:rsidR="00E20B3B" w:rsidRDefault="00E20B3B" w:rsidP="00104720">
            <w:pPr>
              <w:pStyle w:val="TableText"/>
            </w:pPr>
          </w:p>
        </w:tc>
        <w:tc>
          <w:tcPr>
            <w:tcW w:w="1134" w:type="dxa"/>
            <w:tcBorders>
              <w:top w:val="single" w:sz="4" w:space="0" w:color="auto"/>
              <w:left w:val="nil"/>
              <w:bottom w:val="single" w:sz="4" w:space="0" w:color="auto"/>
              <w:right w:val="single" w:sz="4" w:space="0" w:color="auto"/>
            </w:tcBorders>
            <w:tcMar>
              <w:left w:w="28" w:type="dxa"/>
              <w:right w:w="28" w:type="dxa"/>
            </w:tcMar>
          </w:tcPr>
          <w:p w14:paraId="6E8177C0" w14:textId="77777777" w:rsidR="00E20B3B" w:rsidRDefault="00E20B3B" w:rsidP="00104720">
            <w:pPr>
              <w:pStyle w:val="TableText"/>
            </w:pPr>
          </w:p>
        </w:tc>
        <w:tc>
          <w:tcPr>
            <w:tcW w:w="992" w:type="dxa"/>
            <w:tcBorders>
              <w:top w:val="single" w:sz="4" w:space="0" w:color="auto"/>
              <w:left w:val="nil"/>
              <w:bottom w:val="single" w:sz="4" w:space="0" w:color="auto"/>
              <w:right w:val="single" w:sz="4" w:space="0" w:color="auto"/>
            </w:tcBorders>
            <w:tcMar>
              <w:left w:w="28" w:type="dxa"/>
              <w:right w:w="28" w:type="dxa"/>
            </w:tcMar>
          </w:tcPr>
          <w:p w14:paraId="77DBE90C" w14:textId="77777777" w:rsidR="00E20B3B" w:rsidRDefault="00E20B3B" w:rsidP="00104720">
            <w:pPr>
              <w:pStyle w:val="TableText"/>
            </w:pPr>
          </w:p>
        </w:tc>
        <w:tc>
          <w:tcPr>
            <w:tcW w:w="993" w:type="dxa"/>
            <w:tcBorders>
              <w:top w:val="single" w:sz="4" w:space="0" w:color="auto"/>
              <w:left w:val="nil"/>
              <w:bottom w:val="single" w:sz="4" w:space="0" w:color="auto"/>
              <w:right w:val="single" w:sz="4" w:space="0" w:color="auto"/>
            </w:tcBorders>
            <w:tcMar>
              <w:left w:w="28" w:type="dxa"/>
              <w:right w:w="28" w:type="dxa"/>
            </w:tcMar>
            <w:vAlign w:val="center"/>
          </w:tcPr>
          <w:p w14:paraId="4A886B91" w14:textId="1255E089" w:rsidR="00E20B3B" w:rsidRDefault="00BC0AF4" w:rsidP="00F14162">
            <w:pPr>
              <w:pStyle w:val="TableText"/>
              <w:jc w:val="center"/>
            </w:pPr>
            <w:r>
              <w:t>Total</w:t>
            </w:r>
          </w:p>
        </w:tc>
        <w:tc>
          <w:tcPr>
            <w:tcW w:w="769" w:type="dxa"/>
            <w:tcBorders>
              <w:top w:val="single" w:sz="4" w:space="0" w:color="auto"/>
              <w:left w:val="nil"/>
              <w:bottom w:val="single" w:sz="4" w:space="0" w:color="auto"/>
              <w:right w:val="single" w:sz="4" w:space="0" w:color="auto"/>
            </w:tcBorders>
            <w:tcMar>
              <w:left w:w="28" w:type="dxa"/>
              <w:right w:w="28" w:type="dxa"/>
            </w:tcMar>
          </w:tcPr>
          <w:p w14:paraId="6E937D67" w14:textId="77777777" w:rsidR="00E20B3B" w:rsidRDefault="00E20B3B" w:rsidP="00104720">
            <w:pPr>
              <w:pStyle w:val="TableText"/>
            </w:pPr>
          </w:p>
        </w:tc>
        <w:tc>
          <w:tcPr>
            <w:tcW w:w="509" w:type="dxa"/>
            <w:tcBorders>
              <w:top w:val="single" w:sz="4" w:space="0" w:color="auto"/>
              <w:left w:val="nil"/>
              <w:bottom w:val="single" w:sz="4" w:space="0" w:color="auto"/>
              <w:right w:val="single" w:sz="4" w:space="0" w:color="auto"/>
            </w:tcBorders>
            <w:tcMar>
              <w:left w:w="28" w:type="dxa"/>
              <w:right w:w="28" w:type="dxa"/>
            </w:tcMar>
          </w:tcPr>
          <w:p w14:paraId="2B3ECF8E" w14:textId="77777777" w:rsidR="00E20B3B" w:rsidRDefault="00E20B3B" w:rsidP="00104720">
            <w:pPr>
              <w:pStyle w:val="TableText"/>
            </w:pPr>
          </w:p>
        </w:tc>
        <w:tc>
          <w:tcPr>
            <w:tcW w:w="848" w:type="dxa"/>
            <w:tcBorders>
              <w:top w:val="single" w:sz="4" w:space="0" w:color="auto"/>
              <w:left w:val="nil"/>
              <w:bottom w:val="single" w:sz="4" w:space="0" w:color="auto"/>
              <w:right w:val="single" w:sz="4" w:space="0" w:color="auto"/>
            </w:tcBorders>
            <w:tcMar>
              <w:left w:w="28" w:type="dxa"/>
              <w:right w:w="28" w:type="dxa"/>
            </w:tcMar>
          </w:tcPr>
          <w:p w14:paraId="23AD4D16" w14:textId="77777777" w:rsidR="00E20B3B" w:rsidRDefault="00E20B3B" w:rsidP="00104720">
            <w:pPr>
              <w:pStyle w:val="TableText"/>
            </w:pPr>
          </w:p>
        </w:tc>
        <w:tc>
          <w:tcPr>
            <w:tcW w:w="714" w:type="dxa"/>
            <w:tcBorders>
              <w:top w:val="single" w:sz="4" w:space="0" w:color="auto"/>
              <w:left w:val="nil"/>
              <w:bottom w:val="single" w:sz="4" w:space="0" w:color="auto"/>
              <w:right w:val="single" w:sz="4" w:space="0" w:color="auto"/>
            </w:tcBorders>
            <w:tcMar>
              <w:left w:w="28" w:type="dxa"/>
              <w:right w:w="28" w:type="dxa"/>
            </w:tcMar>
          </w:tcPr>
          <w:p w14:paraId="4A72F7F1" w14:textId="77777777" w:rsidR="00E20B3B" w:rsidRDefault="00E20B3B" w:rsidP="00104720">
            <w:pPr>
              <w:pStyle w:val="TableText"/>
            </w:pPr>
          </w:p>
        </w:tc>
        <w:tc>
          <w:tcPr>
            <w:tcW w:w="0" w:type="auto"/>
            <w:tcBorders>
              <w:top w:val="single" w:sz="4" w:space="0" w:color="auto"/>
              <w:left w:val="nil"/>
              <w:bottom w:val="single" w:sz="4" w:space="0" w:color="auto"/>
              <w:right w:val="single" w:sz="4" w:space="0" w:color="auto"/>
            </w:tcBorders>
            <w:tcMar>
              <w:left w:w="28" w:type="dxa"/>
              <w:right w:w="28" w:type="dxa"/>
            </w:tcMar>
          </w:tcPr>
          <w:p w14:paraId="379EC62C" w14:textId="77777777" w:rsidR="00E20B3B" w:rsidRDefault="00E20B3B" w:rsidP="00104720">
            <w:pPr>
              <w:pStyle w:val="TableText"/>
            </w:pPr>
          </w:p>
        </w:tc>
      </w:tr>
      <w:tr w:rsidR="00E91AD9" w:rsidRPr="005670A1" w14:paraId="0CD494CE"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05BA486" w14:textId="48234196" w:rsidR="00660827" w:rsidRPr="005670A1" w:rsidRDefault="00660827" w:rsidP="00900AB0">
            <w:pPr>
              <w:pStyle w:val="TableText"/>
            </w:pPr>
            <w:r w:rsidRPr="005670A1">
              <w:t>75</w:t>
            </w:r>
            <w:r w:rsidR="00FC27C5" w:rsidRPr="005670A1">
              <w:t xml:space="preserve"> </w:t>
            </w:r>
            <w:r w:rsidRPr="005670A1">
              <w:t>mg, 28 days</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6C38D16" w14:textId="54773063" w:rsidR="00660827" w:rsidRPr="005670A1" w:rsidRDefault="00DC190A" w:rsidP="000B4AB5">
            <w:pPr>
              <w:pStyle w:val="TableText"/>
              <w:jc w:val="center"/>
              <w:rPr>
                <w:vertAlign w:val="superscript"/>
              </w:rPr>
            </w:pPr>
            <w:r w:rsidRPr="005670A1">
              <w:t>$</w:t>
            </w:r>
            <w:r w:rsidR="00660827" w:rsidRPr="005670A1">
              <w:t>183.21</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70847C2" w14:textId="765FA649" w:rsidR="00660827" w:rsidRPr="005670A1" w:rsidRDefault="00DC190A" w:rsidP="000B4AB5">
            <w:pPr>
              <w:pStyle w:val="TableText"/>
              <w:jc w:val="center"/>
            </w:pPr>
            <w:r w:rsidRPr="005670A1">
              <w:t>$</w:t>
            </w:r>
            <w:r w:rsidR="00660827" w:rsidRPr="005670A1">
              <w:t>199.02</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33B58AE2" w14:textId="7C4E1834" w:rsidR="00660827" w:rsidRPr="005670A1" w:rsidRDefault="002D15C9" w:rsidP="000B4AB5">
            <w:pPr>
              <w:pStyle w:val="TableText"/>
              <w:jc w:val="center"/>
            </w:pPr>
            <w:r w:rsidRPr="005670A1">
              <w:noBreakHyphen/>
            </w:r>
          </w:p>
        </w:tc>
        <w:tc>
          <w:tcPr>
            <w:tcW w:w="99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9DDCC9" w14:textId="2DCF43D0" w:rsidR="00660827" w:rsidRPr="005670A1" w:rsidRDefault="002D15C9" w:rsidP="000B4AB5">
            <w:pPr>
              <w:pStyle w:val="TableText"/>
              <w:jc w:val="center"/>
            </w:pPr>
            <w:r w:rsidRPr="005670A1">
              <w:noBreakHyphen/>
            </w:r>
          </w:p>
        </w:tc>
        <w:tc>
          <w:tcPr>
            <w:tcW w:w="3489" w:type="dxa"/>
            <w:gridSpan w:val="5"/>
            <w:vMerge w:val="restart"/>
            <w:tcBorders>
              <w:top w:val="single" w:sz="4" w:space="0" w:color="auto"/>
              <w:left w:val="single" w:sz="4" w:space="0" w:color="auto"/>
              <w:right w:val="single" w:sz="4" w:space="0" w:color="auto"/>
            </w:tcBorders>
            <w:tcMar>
              <w:left w:w="28" w:type="dxa"/>
              <w:right w:w="28" w:type="dxa"/>
            </w:tcMar>
            <w:vAlign w:val="center"/>
            <w:hideMark/>
          </w:tcPr>
          <w:p w14:paraId="08F53401" w14:textId="5B28ACA9" w:rsidR="00660827" w:rsidRPr="005670A1" w:rsidRDefault="00660827" w:rsidP="000B4AB5">
            <w:pPr>
              <w:pStyle w:val="TableText"/>
              <w:jc w:val="center"/>
            </w:pPr>
          </w:p>
          <w:p w14:paraId="19EA4A67" w14:textId="5A2E3B97" w:rsidR="00660827" w:rsidRPr="005670A1" w:rsidRDefault="00660827" w:rsidP="00CE6DE4">
            <w:pPr>
              <w:pStyle w:val="TableText"/>
              <w:jc w:val="center"/>
            </w:pPr>
            <w:r w:rsidRPr="005670A1">
              <w:t>Not calculated due to insufficient duration of listing</w:t>
            </w:r>
          </w:p>
          <w:p w14:paraId="0D40DFC1" w14:textId="6B0AF227" w:rsidR="00660827" w:rsidRPr="005670A1" w:rsidRDefault="00660827" w:rsidP="000B4AB5">
            <w:pPr>
              <w:pStyle w:val="TableText"/>
              <w:jc w:val="center"/>
            </w:pPr>
          </w:p>
        </w:tc>
      </w:tr>
      <w:tr w:rsidR="00E91AD9" w:rsidRPr="005670A1" w14:paraId="4AF065F4"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25D6453" w14:textId="3AB0EA85" w:rsidR="00660827" w:rsidRPr="005670A1" w:rsidRDefault="00660827" w:rsidP="00900AB0">
            <w:pPr>
              <w:pStyle w:val="TableText"/>
            </w:pPr>
            <w:r w:rsidRPr="005670A1">
              <w:t>100</w:t>
            </w:r>
            <w:r w:rsidR="00FC27C5" w:rsidRPr="005670A1">
              <w:t xml:space="preserve"> </w:t>
            </w:r>
            <w:r w:rsidRPr="005670A1">
              <w:t>mg, 28 days</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3DE948C" w14:textId="7B88306F" w:rsidR="00660827" w:rsidRPr="005670A1" w:rsidRDefault="00DC190A" w:rsidP="000B4AB5">
            <w:pPr>
              <w:pStyle w:val="TableText"/>
              <w:jc w:val="center"/>
            </w:pPr>
            <w:r w:rsidRPr="005670A1">
              <w:t>$</w:t>
            </w:r>
            <w:r w:rsidR="00660827" w:rsidRPr="005670A1">
              <w:t>225.16</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CF5BB3D" w14:textId="4E7B44DE" w:rsidR="00660827" w:rsidRPr="005670A1" w:rsidRDefault="00DC190A" w:rsidP="000B4AB5">
            <w:pPr>
              <w:pStyle w:val="TableText"/>
              <w:jc w:val="center"/>
            </w:pPr>
            <w:r w:rsidRPr="005670A1">
              <w:t>$</w:t>
            </w:r>
            <w:r w:rsidR="00660827" w:rsidRPr="005670A1">
              <w:t>244.59</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2A1D0115" w14:textId="7AFF591D" w:rsidR="00660827" w:rsidRPr="005670A1" w:rsidRDefault="002D15C9" w:rsidP="000B4AB5">
            <w:pPr>
              <w:pStyle w:val="TableText"/>
              <w:jc w:val="center"/>
            </w:pPr>
            <w:r w:rsidRPr="005670A1">
              <w:noBreakHyphen/>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BF4817" w14:textId="77777777" w:rsidR="00660827" w:rsidRPr="005670A1" w:rsidRDefault="00660827" w:rsidP="000B4AB5">
            <w:pPr>
              <w:pStyle w:val="TableText"/>
              <w:jc w:val="center"/>
            </w:pPr>
          </w:p>
        </w:tc>
        <w:tc>
          <w:tcPr>
            <w:tcW w:w="3489" w:type="dxa"/>
            <w:gridSpan w:val="5"/>
            <w:vMerge/>
            <w:tcBorders>
              <w:left w:val="single" w:sz="4" w:space="0" w:color="auto"/>
              <w:bottom w:val="single" w:sz="4" w:space="0" w:color="auto"/>
              <w:right w:val="single" w:sz="4" w:space="0" w:color="auto"/>
            </w:tcBorders>
            <w:tcMar>
              <w:left w:w="28" w:type="dxa"/>
              <w:right w:w="28" w:type="dxa"/>
            </w:tcMar>
            <w:vAlign w:val="center"/>
            <w:hideMark/>
          </w:tcPr>
          <w:p w14:paraId="0C55998D" w14:textId="77777777" w:rsidR="00660827" w:rsidRPr="005670A1" w:rsidRDefault="00660827" w:rsidP="000B4AB5">
            <w:pPr>
              <w:pStyle w:val="TableText"/>
              <w:jc w:val="center"/>
            </w:pPr>
          </w:p>
        </w:tc>
      </w:tr>
      <w:tr w:rsidR="00BB769E" w:rsidRPr="005670A1" w14:paraId="4DBB9183" w14:textId="77777777" w:rsidTr="009218AC">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384102B" w14:textId="4A30218D" w:rsidR="00E20B3B" w:rsidRPr="005670A1" w:rsidRDefault="000D3A09" w:rsidP="00900AB0">
            <w:pPr>
              <w:pStyle w:val="In-tableHeading"/>
            </w:pPr>
            <w:r w:rsidRPr="005670A1">
              <w:t>R2WIM</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14:paraId="7C6D02E1" w14:textId="77777777" w:rsidR="00E20B3B" w:rsidRPr="005670A1" w:rsidRDefault="00E20B3B" w:rsidP="000B4AB5">
            <w:pPr>
              <w:pStyle w:val="TableText"/>
              <w:jc w:val="center"/>
            </w:pP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tcPr>
          <w:p w14:paraId="7D1479F4" w14:textId="77777777" w:rsidR="00E20B3B" w:rsidRPr="005670A1" w:rsidRDefault="00E20B3B" w:rsidP="000B4AB5">
            <w:pPr>
              <w:pStyle w:val="TableText"/>
              <w:jc w:val="center"/>
            </w:pPr>
          </w:p>
        </w:tc>
        <w:tc>
          <w:tcPr>
            <w:tcW w:w="992" w:type="dxa"/>
            <w:tcBorders>
              <w:top w:val="single" w:sz="4" w:space="0" w:color="auto"/>
              <w:left w:val="nil"/>
              <w:bottom w:val="single" w:sz="4" w:space="0" w:color="auto"/>
              <w:right w:val="single" w:sz="4" w:space="0" w:color="auto"/>
            </w:tcBorders>
            <w:tcMar>
              <w:left w:w="28" w:type="dxa"/>
              <w:right w:w="28" w:type="dxa"/>
            </w:tcMar>
            <w:vAlign w:val="center"/>
          </w:tcPr>
          <w:p w14:paraId="15978E63" w14:textId="77777777" w:rsidR="00E20B3B" w:rsidRPr="005670A1" w:rsidRDefault="00E20B3B" w:rsidP="000B4AB5">
            <w:pPr>
              <w:pStyle w:val="TableText"/>
              <w:jc w:val="cente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3E3278" w14:textId="7ED9F965" w:rsidR="00E20B3B" w:rsidRPr="005670A1" w:rsidRDefault="00BC0AF4" w:rsidP="000B4AB5">
            <w:pPr>
              <w:pStyle w:val="TableText"/>
              <w:jc w:val="center"/>
            </w:pPr>
            <w:r w:rsidRPr="005670A1">
              <w:t>Total</w:t>
            </w:r>
          </w:p>
        </w:tc>
        <w:tc>
          <w:tcPr>
            <w:tcW w:w="76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322DF" w14:textId="77777777" w:rsidR="00E20B3B" w:rsidRPr="005670A1" w:rsidRDefault="00E20B3B" w:rsidP="000B4AB5">
            <w:pPr>
              <w:pStyle w:val="TableText"/>
              <w:jc w:val="center"/>
            </w:pPr>
          </w:p>
        </w:tc>
        <w:tc>
          <w:tcPr>
            <w:tcW w:w="5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FDB9D2" w14:textId="77777777" w:rsidR="00E20B3B" w:rsidRPr="005670A1" w:rsidRDefault="00E20B3B" w:rsidP="000B4AB5">
            <w:pPr>
              <w:pStyle w:val="TableText"/>
              <w:jc w:val="center"/>
            </w:pPr>
          </w:p>
        </w:tc>
        <w:tc>
          <w:tcPr>
            <w:tcW w:w="84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CEB450" w14:textId="77777777" w:rsidR="00E20B3B" w:rsidRPr="005670A1" w:rsidRDefault="00E20B3B" w:rsidP="000B4AB5">
            <w:pPr>
              <w:pStyle w:val="TableText"/>
              <w:jc w:val="center"/>
            </w:pPr>
          </w:p>
        </w:tc>
        <w:tc>
          <w:tcPr>
            <w:tcW w:w="7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E820AD" w14:textId="77777777" w:rsidR="00E20B3B" w:rsidRPr="005670A1" w:rsidRDefault="00E20B3B" w:rsidP="000B4AB5">
            <w:pPr>
              <w:pStyle w:val="TableText"/>
              <w:jc w:val="center"/>
            </w:pP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A6EDB" w14:textId="77777777" w:rsidR="00E20B3B" w:rsidRPr="005670A1" w:rsidRDefault="00E20B3B" w:rsidP="000B4AB5">
            <w:pPr>
              <w:pStyle w:val="TableText"/>
              <w:jc w:val="center"/>
            </w:pPr>
          </w:p>
        </w:tc>
      </w:tr>
      <w:tr w:rsidR="00BB769E" w:rsidRPr="005670A1" w14:paraId="65A4CE0B"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CA3325" w14:textId="3021C1EA" w:rsidR="00E20B3B" w:rsidRPr="005670A1" w:rsidRDefault="00E20B3B" w:rsidP="00900AB0">
            <w:pPr>
              <w:pStyle w:val="TableText"/>
            </w:pPr>
            <w:r w:rsidRPr="005670A1">
              <w:t>25</w:t>
            </w:r>
            <w:r w:rsidR="00FC27C5" w:rsidRPr="005670A1">
              <w:t xml:space="preserve"> </w:t>
            </w:r>
            <w:r w:rsidRPr="005670A1">
              <w:t>mg, 14 days</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B18E323" w14:textId="32B716CC" w:rsidR="00E20B3B" w:rsidRPr="005670A1" w:rsidRDefault="00DC190A" w:rsidP="000B4AB5">
            <w:pPr>
              <w:pStyle w:val="TableText"/>
              <w:jc w:val="center"/>
            </w:pPr>
            <w:r w:rsidRPr="005670A1">
              <w:t>$</w:t>
            </w:r>
            <w:r w:rsidR="00E20B3B" w:rsidRPr="005670A1">
              <w:t>78.88</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4CEA79C" w14:textId="6A0DC659" w:rsidR="00E20B3B" w:rsidRPr="005670A1" w:rsidRDefault="00DC190A" w:rsidP="000B4AB5">
            <w:pPr>
              <w:pStyle w:val="TableText"/>
              <w:jc w:val="center"/>
            </w:pPr>
            <w:r w:rsidRPr="005670A1">
              <w:t>$</w:t>
            </w:r>
            <w:r w:rsidR="00E20B3B" w:rsidRPr="005670A1">
              <w:t>171.38</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0700C2BF" w14:textId="26429E46" w:rsidR="00E20B3B" w:rsidRPr="005670A1" w:rsidRDefault="00E20B3B" w:rsidP="000B4AB5">
            <w:pPr>
              <w:pStyle w:val="TableText"/>
              <w:jc w:val="center"/>
            </w:pPr>
            <w:r w:rsidRPr="005670A1">
              <w:t>8,962</w:t>
            </w:r>
          </w:p>
        </w:tc>
        <w:tc>
          <w:tcPr>
            <w:tcW w:w="993"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33BE045" w14:textId="2DE5925F" w:rsidR="00E20B3B" w:rsidRPr="005670A1" w:rsidRDefault="00E20B3B" w:rsidP="000B4AB5">
            <w:pPr>
              <w:pStyle w:val="TableText"/>
              <w:jc w:val="center"/>
            </w:pPr>
            <w:r w:rsidRPr="005670A1">
              <w:t>33,960</w:t>
            </w:r>
          </w:p>
        </w:tc>
        <w:tc>
          <w:tcPr>
            <w:tcW w:w="76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B178A76" w14:textId="05C98285" w:rsidR="00E20B3B" w:rsidRPr="005670A1" w:rsidRDefault="00DC190A" w:rsidP="000B4AB5">
            <w:pPr>
              <w:pStyle w:val="TableText"/>
              <w:jc w:val="center"/>
            </w:pPr>
            <w:r w:rsidRPr="005670A1">
              <w:t>$</w:t>
            </w:r>
            <w:r w:rsidR="00E20B3B" w:rsidRPr="005670A1">
              <w:t>232.21</w:t>
            </w:r>
            <w:r w:rsidRPr="005670A1">
              <w:rPr>
                <w:vertAlign w:val="superscript"/>
              </w:rPr>
              <w:t>1</w:t>
            </w:r>
          </w:p>
        </w:tc>
        <w:tc>
          <w:tcPr>
            <w:tcW w:w="50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127B114" w14:textId="6BF45D3D" w:rsidR="00E20B3B" w:rsidRPr="005670A1" w:rsidRDefault="00E20B3B" w:rsidP="000B4AB5">
            <w:pPr>
              <w:pStyle w:val="TableText"/>
              <w:jc w:val="center"/>
            </w:pPr>
            <w:r w:rsidRPr="005670A1">
              <w:t>26.07</w:t>
            </w:r>
          </w:p>
        </w:tc>
        <w:tc>
          <w:tcPr>
            <w:tcW w:w="848"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AC1086E" w14:textId="1D72DD08" w:rsidR="00E20B3B" w:rsidRPr="005670A1" w:rsidRDefault="00DC190A" w:rsidP="000B4AB5">
            <w:pPr>
              <w:pStyle w:val="TableText"/>
              <w:jc w:val="center"/>
            </w:pPr>
            <w:r w:rsidRPr="005670A1">
              <w:t>$</w:t>
            </w:r>
            <w:r w:rsidR="00E20B3B" w:rsidRPr="005670A1">
              <w:t>1,144.54</w:t>
            </w:r>
            <w:r w:rsidRPr="005670A1">
              <w:rPr>
                <w:vertAlign w:val="superscript"/>
              </w:rPr>
              <w:t>1</w:t>
            </w:r>
          </w:p>
        </w:tc>
        <w:tc>
          <w:tcPr>
            <w:tcW w:w="714"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A6D5EB3" w14:textId="4FD266B2" w:rsidR="00E20B3B" w:rsidRPr="005670A1" w:rsidRDefault="00DC190A" w:rsidP="000B4AB5">
            <w:pPr>
              <w:pStyle w:val="TableText"/>
              <w:jc w:val="center"/>
            </w:pPr>
            <w:r w:rsidRPr="005670A1">
              <w:t>$</w:t>
            </w:r>
            <w:r w:rsidR="00E20B3B" w:rsidRPr="005670A1">
              <w:t>95.38</w:t>
            </w:r>
            <w:r w:rsidRPr="005670A1">
              <w:rPr>
                <w:vertAlign w:val="superscript"/>
              </w:rPr>
              <w:t>1</w:t>
            </w:r>
          </w:p>
        </w:tc>
        <w:tc>
          <w:tcPr>
            <w:tcW w:w="0" w:type="auto"/>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D6A5D6" w14:textId="70339DCD" w:rsidR="00E20B3B" w:rsidRPr="005670A1" w:rsidRDefault="00DC190A" w:rsidP="000B4AB5">
            <w:pPr>
              <w:pStyle w:val="TableText"/>
              <w:jc w:val="center"/>
            </w:pPr>
            <w:r w:rsidRPr="005670A1">
              <w:t>$</w:t>
            </w:r>
            <w:r w:rsidR="00E20B3B" w:rsidRPr="005670A1">
              <w:t>327.59</w:t>
            </w:r>
            <w:r w:rsidRPr="005670A1">
              <w:rPr>
                <w:vertAlign w:val="superscript"/>
              </w:rPr>
              <w:t>1</w:t>
            </w:r>
          </w:p>
        </w:tc>
      </w:tr>
      <w:tr w:rsidR="00BB769E" w:rsidRPr="005670A1" w14:paraId="14F345A3"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816AE3" w14:textId="40F2F814" w:rsidR="00E20B3B" w:rsidRPr="005670A1" w:rsidRDefault="00E20B3B" w:rsidP="00900AB0">
            <w:pPr>
              <w:pStyle w:val="TableText"/>
            </w:pPr>
            <w:r w:rsidRPr="005670A1">
              <w:t>37.5</w:t>
            </w:r>
            <w:r w:rsidR="00FC27C5" w:rsidRPr="005670A1">
              <w:t xml:space="preserve"> </w:t>
            </w:r>
            <w:r w:rsidRPr="005670A1">
              <w:t>mg</w:t>
            </w:r>
            <w:r w:rsidR="001564F3" w:rsidRPr="005670A1">
              <w:t xml:space="preserve">, </w:t>
            </w:r>
            <w:r w:rsidRPr="005670A1">
              <w:t>14 days</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45EE8013" w14:textId="34F26F58" w:rsidR="00E20B3B" w:rsidRPr="005670A1" w:rsidRDefault="00DC190A" w:rsidP="000B4AB5">
            <w:pPr>
              <w:pStyle w:val="TableText"/>
              <w:jc w:val="center"/>
            </w:pPr>
            <w:r w:rsidRPr="005670A1">
              <w:t>$</w:t>
            </w:r>
            <w:r w:rsidR="00E20B3B" w:rsidRPr="005670A1">
              <w:t>102.71</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9B42B3F" w14:textId="2D7F2C09" w:rsidR="00E20B3B" w:rsidRPr="005670A1" w:rsidRDefault="00DC190A" w:rsidP="000B4AB5">
            <w:pPr>
              <w:pStyle w:val="TableText"/>
              <w:jc w:val="center"/>
            </w:pPr>
            <w:r w:rsidRPr="005670A1">
              <w:t>$</w:t>
            </w:r>
            <w:r w:rsidR="00E20B3B" w:rsidRPr="005670A1">
              <w:t>223.15</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3FEC01A1" w14:textId="483E8F9A" w:rsidR="00E20B3B" w:rsidRPr="005670A1" w:rsidRDefault="00E20B3B" w:rsidP="000B4AB5">
            <w:pPr>
              <w:pStyle w:val="TableText"/>
              <w:jc w:val="center"/>
            </w:pPr>
            <w:r w:rsidRPr="005670A1">
              <w:t>9,935</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074CFC"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215509"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C80CEA"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A45443"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414D5B"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416CAF" w14:textId="77777777" w:rsidR="00E20B3B" w:rsidRPr="005670A1" w:rsidRDefault="00E20B3B" w:rsidP="000B4AB5">
            <w:pPr>
              <w:pStyle w:val="TableText"/>
              <w:jc w:val="center"/>
            </w:pPr>
          </w:p>
        </w:tc>
      </w:tr>
      <w:tr w:rsidR="00BB769E" w:rsidRPr="005670A1" w14:paraId="49836AAB"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3C3480E" w14:textId="4423E6C4" w:rsidR="00E20B3B" w:rsidRPr="005670A1" w:rsidRDefault="00E20B3B" w:rsidP="00900AB0">
            <w:pPr>
              <w:pStyle w:val="TableText"/>
            </w:pPr>
            <w:r w:rsidRPr="005670A1">
              <w:t>50</w:t>
            </w:r>
            <w:r w:rsidR="00FC27C5" w:rsidRPr="005670A1">
              <w:t xml:space="preserve"> </w:t>
            </w:r>
            <w:r w:rsidRPr="005670A1">
              <w:t>mg, 14 days</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05B02E5F" w14:textId="53A657A3" w:rsidR="00E20B3B" w:rsidRPr="005670A1" w:rsidRDefault="00DC190A" w:rsidP="000B4AB5">
            <w:pPr>
              <w:pStyle w:val="TableText"/>
              <w:jc w:val="center"/>
            </w:pPr>
            <w:r w:rsidRPr="005670A1">
              <w:t>$</w:t>
            </w:r>
            <w:r w:rsidR="00E20B3B" w:rsidRPr="005670A1">
              <w:t>126.29</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2EFB63F" w14:textId="02C917BC" w:rsidR="00E20B3B" w:rsidRPr="005670A1" w:rsidRDefault="00DC190A" w:rsidP="000B4AB5">
            <w:pPr>
              <w:pStyle w:val="TableText"/>
              <w:jc w:val="center"/>
            </w:pPr>
            <w:r w:rsidRPr="005670A1">
              <w:t>$</w:t>
            </w:r>
            <w:r w:rsidR="00E20B3B" w:rsidRPr="005670A1">
              <w:t>274.38</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512F7084" w14:textId="48BDDE38" w:rsidR="00E20B3B" w:rsidRPr="005670A1" w:rsidRDefault="00E20B3B" w:rsidP="000B4AB5">
            <w:pPr>
              <w:pStyle w:val="TableText"/>
              <w:jc w:val="center"/>
            </w:pPr>
            <w:r w:rsidRPr="005670A1">
              <w:t>15,063</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FC6BCB"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C01D8B"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3A2C52"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C322EE"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1FAF79"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9B7279" w14:textId="77777777" w:rsidR="00E20B3B" w:rsidRPr="005670A1" w:rsidRDefault="00E20B3B" w:rsidP="000B4AB5">
            <w:pPr>
              <w:pStyle w:val="TableText"/>
              <w:jc w:val="center"/>
            </w:pPr>
          </w:p>
        </w:tc>
      </w:tr>
      <w:tr w:rsidR="00BB769E" w:rsidRPr="005670A1" w14:paraId="18D38062" w14:textId="77777777" w:rsidTr="009218AC">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19FEC60" w14:textId="593891EE" w:rsidR="00E20B3B" w:rsidRPr="005670A1" w:rsidRDefault="00F14162" w:rsidP="00900AB0">
            <w:pPr>
              <w:pStyle w:val="In-tableHeading"/>
            </w:pPr>
            <w:r w:rsidRPr="005670A1">
              <w:t>PP1M</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14:paraId="7F3BF8EF" w14:textId="77777777" w:rsidR="00E20B3B" w:rsidRPr="005670A1" w:rsidRDefault="00E20B3B" w:rsidP="000B4AB5">
            <w:pPr>
              <w:pStyle w:val="TableText"/>
              <w:jc w:val="center"/>
            </w:pP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tcPr>
          <w:p w14:paraId="3AC9F5C4" w14:textId="77777777" w:rsidR="00E20B3B" w:rsidRPr="005670A1" w:rsidRDefault="00E20B3B" w:rsidP="000B4AB5">
            <w:pPr>
              <w:pStyle w:val="TableText"/>
              <w:jc w:val="center"/>
            </w:pPr>
          </w:p>
        </w:tc>
        <w:tc>
          <w:tcPr>
            <w:tcW w:w="992" w:type="dxa"/>
            <w:tcBorders>
              <w:top w:val="single" w:sz="4" w:space="0" w:color="auto"/>
              <w:left w:val="nil"/>
              <w:bottom w:val="single" w:sz="4" w:space="0" w:color="auto"/>
              <w:right w:val="single" w:sz="4" w:space="0" w:color="auto"/>
            </w:tcBorders>
            <w:tcMar>
              <w:left w:w="28" w:type="dxa"/>
              <w:right w:w="28" w:type="dxa"/>
            </w:tcMar>
            <w:vAlign w:val="center"/>
          </w:tcPr>
          <w:p w14:paraId="70E62D4D" w14:textId="77777777" w:rsidR="00E20B3B" w:rsidRPr="005670A1" w:rsidRDefault="00E20B3B" w:rsidP="000B4AB5">
            <w:pPr>
              <w:pStyle w:val="TableText"/>
              <w:jc w:val="center"/>
            </w:pPr>
          </w:p>
        </w:tc>
        <w:tc>
          <w:tcPr>
            <w:tcW w:w="99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964DFA7" w14:textId="582710A0" w:rsidR="00E20B3B" w:rsidRPr="005670A1" w:rsidRDefault="00BC0AF4" w:rsidP="000B4AB5">
            <w:pPr>
              <w:pStyle w:val="TableText"/>
              <w:jc w:val="center"/>
            </w:pPr>
            <w:r w:rsidRPr="005670A1">
              <w:t>Total</w:t>
            </w:r>
          </w:p>
        </w:tc>
        <w:tc>
          <w:tcPr>
            <w:tcW w:w="76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DE4ED19" w14:textId="77777777" w:rsidR="00E20B3B" w:rsidRPr="005670A1" w:rsidRDefault="00E20B3B" w:rsidP="000B4AB5">
            <w:pPr>
              <w:pStyle w:val="TableText"/>
              <w:jc w:val="center"/>
            </w:pPr>
          </w:p>
        </w:tc>
        <w:tc>
          <w:tcPr>
            <w:tcW w:w="5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268B359" w14:textId="77777777" w:rsidR="00E20B3B" w:rsidRPr="005670A1" w:rsidRDefault="00E20B3B" w:rsidP="000B4AB5">
            <w:pPr>
              <w:pStyle w:val="TableText"/>
              <w:jc w:val="center"/>
            </w:pPr>
          </w:p>
        </w:tc>
        <w:tc>
          <w:tcPr>
            <w:tcW w:w="84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5B519F3" w14:textId="77777777" w:rsidR="00E20B3B" w:rsidRPr="005670A1" w:rsidRDefault="00E20B3B" w:rsidP="000B4AB5">
            <w:pPr>
              <w:pStyle w:val="TableText"/>
              <w:jc w:val="center"/>
            </w:pPr>
          </w:p>
        </w:tc>
        <w:tc>
          <w:tcPr>
            <w:tcW w:w="71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1FB15718" w14:textId="77777777" w:rsidR="00E20B3B" w:rsidRPr="005670A1" w:rsidRDefault="00E20B3B" w:rsidP="000B4AB5">
            <w:pPr>
              <w:pStyle w:val="TableText"/>
              <w:jc w:val="cente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7167090F" w14:textId="77777777" w:rsidR="00E20B3B" w:rsidRPr="005670A1" w:rsidRDefault="00E20B3B" w:rsidP="000B4AB5">
            <w:pPr>
              <w:pStyle w:val="TableText"/>
              <w:jc w:val="center"/>
            </w:pPr>
          </w:p>
        </w:tc>
      </w:tr>
      <w:tr w:rsidR="00BB769E" w:rsidRPr="005670A1" w14:paraId="29667947"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4F0F3B7" w14:textId="3058BC54" w:rsidR="00E20B3B" w:rsidRPr="005670A1" w:rsidRDefault="00E20B3B" w:rsidP="00900AB0">
            <w:pPr>
              <w:pStyle w:val="TableText"/>
            </w:pPr>
            <w:r w:rsidRPr="005670A1">
              <w:t>25</w:t>
            </w:r>
            <w:r w:rsidR="00FC27C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2AC26B3B" w14:textId="2F7CEBCC" w:rsidR="00E20B3B" w:rsidRPr="005670A1" w:rsidRDefault="00DC190A" w:rsidP="000B4AB5">
            <w:pPr>
              <w:pStyle w:val="TableText"/>
              <w:jc w:val="center"/>
            </w:pPr>
            <w:r w:rsidRPr="005670A1">
              <w:t>$</w:t>
            </w:r>
            <w:r w:rsidR="00E20B3B" w:rsidRPr="005670A1">
              <w:t>76.51</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F986F4D" w14:textId="77A03F31" w:rsidR="00E20B3B" w:rsidRPr="005670A1" w:rsidRDefault="00DC190A" w:rsidP="000B4AB5">
            <w:pPr>
              <w:pStyle w:val="TableText"/>
              <w:jc w:val="center"/>
            </w:pPr>
            <w:r w:rsidRPr="005670A1">
              <w:t>$</w:t>
            </w:r>
            <w:r w:rsidR="00E20B3B" w:rsidRPr="005670A1">
              <w:t>76.51</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15F2D802" w14:textId="34D99A06" w:rsidR="00E20B3B" w:rsidRPr="005670A1" w:rsidRDefault="00E20B3B" w:rsidP="000B4AB5">
            <w:pPr>
              <w:pStyle w:val="TableText"/>
              <w:jc w:val="center"/>
            </w:pPr>
            <w:r w:rsidRPr="005670A1">
              <w:t>3,589</w:t>
            </w:r>
          </w:p>
        </w:tc>
        <w:tc>
          <w:tcPr>
            <w:tcW w:w="993"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5581F2" w14:textId="463B2631" w:rsidR="00E20B3B" w:rsidRPr="005670A1" w:rsidRDefault="00E20B3B" w:rsidP="000B4AB5">
            <w:pPr>
              <w:pStyle w:val="TableText"/>
              <w:jc w:val="center"/>
            </w:pPr>
            <w:r w:rsidRPr="005670A1">
              <w:t>163,306</w:t>
            </w:r>
          </w:p>
        </w:tc>
        <w:tc>
          <w:tcPr>
            <w:tcW w:w="76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B66E3C1" w14:textId="71D1DBB7" w:rsidR="00E20B3B" w:rsidRPr="005670A1" w:rsidRDefault="00DC190A" w:rsidP="000B4AB5">
            <w:pPr>
              <w:pStyle w:val="TableText"/>
              <w:jc w:val="center"/>
              <w:rPr>
                <w:sz w:val="24"/>
              </w:rPr>
            </w:pPr>
            <w:r w:rsidRPr="005670A1">
              <w:t>$</w:t>
            </w:r>
            <w:r w:rsidR="00E20B3B" w:rsidRPr="005670A1">
              <w:t>227.76</w:t>
            </w:r>
            <w:r w:rsidRPr="005670A1">
              <w:rPr>
                <w:vertAlign w:val="superscript"/>
              </w:rPr>
              <w:t>1</w:t>
            </w:r>
          </w:p>
        </w:tc>
        <w:tc>
          <w:tcPr>
            <w:tcW w:w="50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53C177E" w14:textId="17ADC5DE" w:rsidR="00E20B3B" w:rsidRPr="005670A1" w:rsidRDefault="00E20B3B" w:rsidP="000B4AB5">
            <w:pPr>
              <w:pStyle w:val="TableText"/>
              <w:jc w:val="center"/>
            </w:pPr>
            <w:r w:rsidRPr="005670A1">
              <w:t>12.00</w:t>
            </w:r>
          </w:p>
        </w:tc>
        <w:tc>
          <w:tcPr>
            <w:tcW w:w="848"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D5DEEF9" w14:textId="2A5ADA02" w:rsidR="00E20B3B" w:rsidRPr="005670A1" w:rsidRDefault="00DC190A" w:rsidP="000B4AB5">
            <w:pPr>
              <w:pStyle w:val="TableText"/>
              <w:jc w:val="center"/>
            </w:pPr>
            <w:r w:rsidRPr="005670A1">
              <w:t>$</w:t>
            </w:r>
            <w:r w:rsidR="00E20B3B" w:rsidRPr="005670A1">
              <w:t>526.80</w:t>
            </w:r>
            <w:r w:rsidRPr="005670A1">
              <w:rPr>
                <w:vertAlign w:val="superscript"/>
              </w:rPr>
              <w:t>1</w:t>
            </w:r>
          </w:p>
        </w:tc>
        <w:tc>
          <w:tcPr>
            <w:tcW w:w="714"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7A5BB1F" w14:textId="5CFFA268" w:rsidR="00E20B3B" w:rsidRPr="005670A1" w:rsidRDefault="00DC190A" w:rsidP="000B4AB5">
            <w:pPr>
              <w:pStyle w:val="TableText"/>
              <w:jc w:val="center"/>
            </w:pPr>
            <w:r w:rsidRPr="005670A1">
              <w:t>$</w:t>
            </w:r>
            <w:r w:rsidR="00E20B3B" w:rsidRPr="005670A1">
              <w:t>43.90</w:t>
            </w:r>
            <w:r w:rsidRPr="005670A1">
              <w:rPr>
                <w:vertAlign w:val="superscript"/>
              </w:rPr>
              <w:t>1</w:t>
            </w:r>
          </w:p>
        </w:tc>
        <w:tc>
          <w:tcPr>
            <w:tcW w:w="0" w:type="auto"/>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C08670F" w14:textId="4C70D158" w:rsidR="00E20B3B" w:rsidRPr="005670A1" w:rsidRDefault="00DC190A" w:rsidP="000B4AB5">
            <w:pPr>
              <w:pStyle w:val="TableText"/>
              <w:jc w:val="center"/>
              <w:rPr>
                <w:bCs w:val="0"/>
              </w:rPr>
            </w:pPr>
            <w:r w:rsidRPr="005670A1">
              <w:t>$</w:t>
            </w:r>
            <w:r w:rsidR="00E20B3B" w:rsidRPr="005670A1">
              <w:t>271.66</w:t>
            </w:r>
            <w:r w:rsidRPr="005670A1">
              <w:rPr>
                <w:vertAlign w:val="superscript"/>
              </w:rPr>
              <w:t>1</w:t>
            </w:r>
          </w:p>
        </w:tc>
      </w:tr>
      <w:tr w:rsidR="00BB769E" w:rsidRPr="005670A1" w14:paraId="1B78A151"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B474F90" w14:textId="573DB529" w:rsidR="00E20B3B" w:rsidRPr="005670A1" w:rsidRDefault="00E20B3B" w:rsidP="00900AB0">
            <w:pPr>
              <w:pStyle w:val="TableText"/>
            </w:pPr>
            <w:r w:rsidRPr="005670A1">
              <w:t>50</w:t>
            </w:r>
            <w:r w:rsidR="00FC27C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9C43F0C" w14:textId="666EB3F2" w:rsidR="00E20B3B" w:rsidRPr="005670A1" w:rsidRDefault="00DC190A" w:rsidP="000B4AB5">
            <w:pPr>
              <w:pStyle w:val="TableText"/>
              <w:jc w:val="center"/>
            </w:pPr>
            <w:r w:rsidRPr="005670A1">
              <w:t>$</w:t>
            </w:r>
            <w:r w:rsidR="00E20B3B" w:rsidRPr="005670A1">
              <w:t>153.01</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8B3933D" w14:textId="59A527F9" w:rsidR="00E20B3B" w:rsidRPr="005670A1" w:rsidRDefault="00DC190A" w:rsidP="000B4AB5">
            <w:pPr>
              <w:pStyle w:val="TableText"/>
              <w:jc w:val="center"/>
            </w:pPr>
            <w:r w:rsidRPr="005670A1">
              <w:t>$</w:t>
            </w:r>
            <w:r w:rsidR="00E20B3B" w:rsidRPr="005670A1">
              <w:t>153.01</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7C2469DE" w14:textId="52C04310" w:rsidR="00E20B3B" w:rsidRPr="005670A1" w:rsidRDefault="00E20B3B" w:rsidP="000B4AB5">
            <w:pPr>
              <w:pStyle w:val="TableText"/>
              <w:jc w:val="center"/>
            </w:pPr>
            <w:r w:rsidRPr="005670A1">
              <w:t>11,929</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FE5A45"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D9BCD8"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2E71A7"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CADC92"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7CC321"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5686A8" w14:textId="77777777" w:rsidR="00E20B3B" w:rsidRPr="005670A1" w:rsidRDefault="00E20B3B" w:rsidP="000B4AB5">
            <w:pPr>
              <w:pStyle w:val="TableText"/>
              <w:jc w:val="center"/>
            </w:pPr>
          </w:p>
        </w:tc>
      </w:tr>
      <w:tr w:rsidR="00BB769E" w:rsidRPr="005670A1" w14:paraId="51346CC6"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DD1626F" w14:textId="755BCD25" w:rsidR="00E20B3B" w:rsidRPr="005670A1" w:rsidRDefault="00E20B3B" w:rsidP="00900AB0">
            <w:pPr>
              <w:pStyle w:val="TableText"/>
            </w:pPr>
            <w:r w:rsidRPr="005670A1">
              <w:t>75</w:t>
            </w:r>
            <w:r w:rsidR="00FC27C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4BA3D80" w14:textId="3FFA25A7" w:rsidR="00E20B3B" w:rsidRPr="005670A1" w:rsidRDefault="00DC190A" w:rsidP="000B4AB5">
            <w:pPr>
              <w:pStyle w:val="TableText"/>
              <w:jc w:val="center"/>
            </w:pPr>
            <w:r w:rsidRPr="005670A1">
              <w:t>$</w:t>
            </w:r>
            <w:r w:rsidR="00E20B3B" w:rsidRPr="005670A1">
              <w:t>199.05</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7D63708" w14:textId="2FFB5EE3" w:rsidR="00E20B3B" w:rsidRPr="005670A1" w:rsidRDefault="00DC190A" w:rsidP="000B4AB5">
            <w:pPr>
              <w:pStyle w:val="TableText"/>
              <w:jc w:val="center"/>
            </w:pPr>
            <w:r w:rsidRPr="005670A1">
              <w:t>$</w:t>
            </w:r>
            <w:r w:rsidR="00E20B3B" w:rsidRPr="005670A1">
              <w:t>199.05</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500A1E73" w14:textId="4DDDD850" w:rsidR="00E20B3B" w:rsidRPr="005670A1" w:rsidRDefault="00E20B3B" w:rsidP="000B4AB5">
            <w:pPr>
              <w:pStyle w:val="TableText"/>
              <w:jc w:val="center"/>
            </w:pPr>
            <w:r w:rsidRPr="005670A1">
              <w:t>23,198</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3EF4E0"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44F9B6"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2C87C4"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616371"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30957B"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E368B4" w14:textId="77777777" w:rsidR="00E20B3B" w:rsidRPr="005670A1" w:rsidRDefault="00E20B3B" w:rsidP="000B4AB5">
            <w:pPr>
              <w:pStyle w:val="TableText"/>
              <w:jc w:val="center"/>
            </w:pPr>
          </w:p>
        </w:tc>
      </w:tr>
      <w:tr w:rsidR="00BB769E" w:rsidRPr="005670A1" w14:paraId="6251033F"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33DC849" w14:textId="5DD9E9D1" w:rsidR="00E20B3B" w:rsidRPr="005670A1" w:rsidRDefault="00E20B3B" w:rsidP="00900AB0">
            <w:pPr>
              <w:pStyle w:val="TableText"/>
            </w:pPr>
            <w:r w:rsidRPr="005670A1">
              <w:t>100</w:t>
            </w:r>
            <w:r w:rsidR="00FC27C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543988FC" w14:textId="7A83503B" w:rsidR="00E20B3B" w:rsidRPr="005670A1" w:rsidRDefault="00DC190A" w:rsidP="000B4AB5">
            <w:pPr>
              <w:pStyle w:val="TableText"/>
              <w:jc w:val="center"/>
            </w:pPr>
            <w:r w:rsidRPr="005670A1">
              <w:t>$</w:t>
            </w:r>
            <w:r w:rsidR="00E20B3B" w:rsidRPr="005670A1">
              <w:t>244.62</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3E491E0A" w14:textId="597405BA" w:rsidR="00E20B3B" w:rsidRPr="005670A1" w:rsidRDefault="00DC190A" w:rsidP="000B4AB5">
            <w:pPr>
              <w:pStyle w:val="TableText"/>
              <w:jc w:val="center"/>
            </w:pPr>
            <w:r w:rsidRPr="005670A1">
              <w:t>$</w:t>
            </w:r>
            <w:r w:rsidR="00E20B3B" w:rsidRPr="005670A1">
              <w:t>244.62</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16122E17" w14:textId="3603E10F" w:rsidR="00E20B3B" w:rsidRPr="005670A1" w:rsidRDefault="00E20B3B" w:rsidP="000B4AB5">
            <w:pPr>
              <w:pStyle w:val="TableText"/>
              <w:jc w:val="center"/>
            </w:pPr>
            <w:r w:rsidRPr="005670A1">
              <w:t>57,347</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7EF4A2"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7BC13E"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B151ED"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A0A1DF"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6EF1BA"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3C673B" w14:textId="77777777" w:rsidR="00E20B3B" w:rsidRPr="005670A1" w:rsidRDefault="00E20B3B" w:rsidP="000B4AB5">
            <w:pPr>
              <w:pStyle w:val="TableText"/>
              <w:jc w:val="center"/>
            </w:pPr>
          </w:p>
        </w:tc>
      </w:tr>
      <w:tr w:rsidR="00BB769E" w:rsidRPr="005670A1" w14:paraId="562816BB"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F6664C" w14:textId="0BEBEDFE" w:rsidR="00E20B3B" w:rsidRPr="005670A1" w:rsidRDefault="00E20B3B" w:rsidP="00900AB0">
            <w:pPr>
              <w:pStyle w:val="TableText"/>
            </w:pPr>
            <w:r w:rsidRPr="005670A1">
              <w:t>150</w:t>
            </w:r>
            <w:r w:rsidR="00FA7205" w:rsidRPr="005670A1">
              <w:t xml:space="preserve"> mg</w:t>
            </w:r>
            <w:r w:rsidRPr="005670A1">
              <w:t>,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FBF5D5A" w14:textId="1AA9DC19" w:rsidR="00E20B3B" w:rsidRPr="005670A1" w:rsidRDefault="00DC190A" w:rsidP="000B4AB5">
            <w:pPr>
              <w:pStyle w:val="TableText"/>
              <w:jc w:val="center"/>
            </w:pPr>
            <w:r w:rsidRPr="005670A1">
              <w:t>$</w:t>
            </w:r>
            <w:r w:rsidR="00E20B3B" w:rsidRPr="005670A1">
              <w:t>244.62</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6B6D4D8A" w14:textId="530C938D" w:rsidR="00E20B3B" w:rsidRPr="005670A1" w:rsidRDefault="00DC190A" w:rsidP="000B4AB5">
            <w:pPr>
              <w:pStyle w:val="TableText"/>
              <w:jc w:val="center"/>
            </w:pPr>
            <w:r w:rsidRPr="005670A1">
              <w:t>$</w:t>
            </w:r>
            <w:r w:rsidR="00E20B3B" w:rsidRPr="005670A1">
              <w:t>244.62</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5B448D1C" w14:textId="77777777" w:rsidR="00E20B3B" w:rsidRPr="005670A1" w:rsidRDefault="00E20B3B" w:rsidP="000B4AB5">
            <w:pPr>
              <w:pStyle w:val="TableText"/>
              <w:jc w:val="center"/>
            </w:pPr>
            <w:r w:rsidRPr="005670A1">
              <w:t>67,243</w:t>
            </w: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E64D40" w14:textId="77777777" w:rsidR="00E20B3B" w:rsidRPr="005670A1" w:rsidRDefault="00E20B3B" w:rsidP="000B4AB5">
            <w:pPr>
              <w:pStyle w:val="TableText"/>
              <w:jc w:val="center"/>
            </w:pPr>
          </w:p>
        </w:tc>
        <w:tc>
          <w:tcPr>
            <w:tcW w:w="76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2E8788" w14:textId="77777777" w:rsidR="00E20B3B" w:rsidRPr="005670A1" w:rsidRDefault="00E20B3B" w:rsidP="000B4AB5">
            <w:pPr>
              <w:pStyle w:val="TableText"/>
              <w:jc w:val="center"/>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127334" w14:textId="77777777" w:rsidR="00E20B3B" w:rsidRPr="005670A1" w:rsidRDefault="00E20B3B" w:rsidP="000B4AB5">
            <w:pPr>
              <w:pStyle w:val="TableText"/>
              <w:jc w:val="center"/>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DA6309" w14:textId="77777777" w:rsidR="00E20B3B" w:rsidRPr="005670A1" w:rsidRDefault="00E20B3B" w:rsidP="000B4AB5">
            <w:pPr>
              <w:pStyle w:val="TableText"/>
              <w:jc w:val="center"/>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16459B" w14:textId="77777777" w:rsidR="00E20B3B" w:rsidRPr="005670A1" w:rsidRDefault="00E20B3B" w:rsidP="000B4AB5">
            <w:pPr>
              <w:pStyle w:val="TableText"/>
              <w:jc w:val="cente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793662" w14:textId="77777777" w:rsidR="00E20B3B" w:rsidRPr="005670A1" w:rsidRDefault="00E20B3B" w:rsidP="000B4AB5">
            <w:pPr>
              <w:pStyle w:val="TableText"/>
              <w:jc w:val="center"/>
            </w:pPr>
          </w:p>
        </w:tc>
      </w:tr>
      <w:tr w:rsidR="00BB769E" w:rsidRPr="005670A1" w14:paraId="794F43EE" w14:textId="77777777" w:rsidTr="009218AC">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AFCE890" w14:textId="24FA3943" w:rsidR="00E20B3B" w:rsidRPr="005670A1" w:rsidRDefault="007D37F7" w:rsidP="00900AB0">
            <w:pPr>
              <w:pStyle w:val="In-tableHeading"/>
            </w:pPr>
            <w:r w:rsidRPr="005670A1">
              <w:t>A1M</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tcPr>
          <w:p w14:paraId="3372B3FB" w14:textId="77777777" w:rsidR="00E20B3B" w:rsidRPr="005670A1" w:rsidRDefault="00E20B3B" w:rsidP="000B4AB5">
            <w:pPr>
              <w:pStyle w:val="TableText"/>
              <w:jc w:val="center"/>
            </w:pP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tcPr>
          <w:p w14:paraId="526F6B97" w14:textId="77777777" w:rsidR="00E20B3B" w:rsidRPr="005670A1" w:rsidRDefault="00E20B3B" w:rsidP="000B4AB5">
            <w:pPr>
              <w:pStyle w:val="TableText"/>
              <w:jc w:val="center"/>
            </w:pPr>
          </w:p>
        </w:tc>
        <w:tc>
          <w:tcPr>
            <w:tcW w:w="992" w:type="dxa"/>
            <w:tcBorders>
              <w:top w:val="single" w:sz="4" w:space="0" w:color="auto"/>
              <w:left w:val="nil"/>
              <w:bottom w:val="single" w:sz="4" w:space="0" w:color="auto"/>
              <w:right w:val="single" w:sz="4" w:space="0" w:color="auto"/>
            </w:tcBorders>
            <w:tcMar>
              <w:left w:w="28" w:type="dxa"/>
              <w:right w:w="28" w:type="dxa"/>
            </w:tcMar>
            <w:vAlign w:val="center"/>
          </w:tcPr>
          <w:p w14:paraId="177F5DAB" w14:textId="77777777" w:rsidR="00E20B3B" w:rsidRPr="005670A1" w:rsidRDefault="00E20B3B" w:rsidP="000B4AB5">
            <w:pPr>
              <w:pStyle w:val="TableText"/>
              <w:jc w:val="center"/>
            </w:pPr>
          </w:p>
        </w:tc>
        <w:tc>
          <w:tcPr>
            <w:tcW w:w="99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C392C7C" w14:textId="5CAA49A1" w:rsidR="00E20B3B" w:rsidRPr="005670A1" w:rsidRDefault="00BC0AF4" w:rsidP="000B4AB5">
            <w:pPr>
              <w:pStyle w:val="TableText"/>
              <w:jc w:val="center"/>
            </w:pPr>
            <w:r w:rsidRPr="005670A1">
              <w:t>Total</w:t>
            </w:r>
          </w:p>
        </w:tc>
        <w:tc>
          <w:tcPr>
            <w:tcW w:w="76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086C4FD7" w14:textId="77777777" w:rsidR="00E20B3B" w:rsidRPr="005670A1" w:rsidRDefault="00E20B3B" w:rsidP="000B4AB5">
            <w:pPr>
              <w:pStyle w:val="TableText"/>
              <w:jc w:val="center"/>
            </w:pPr>
          </w:p>
        </w:tc>
        <w:tc>
          <w:tcPr>
            <w:tcW w:w="5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3E3FA6D3" w14:textId="77777777" w:rsidR="00E20B3B" w:rsidRPr="005670A1" w:rsidRDefault="00E20B3B" w:rsidP="000B4AB5">
            <w:pPr>
              <w:pStyle w:val="TableText"/>
              <w:jc w:val="center"/>
            </w:pPr>
          </w:p>
        </w:tc>
        <w:tc>
          <w:tcPr>
            <w:tcW w:w="84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2AEFBD94" w14:textId="77777777" w:rsidR="00E20B3B" w:rsidRPr="005670A1" w:rsidRDefault="00E20B3B" w:rsidP="000B4AB5">
            <w:pPr>
              <w:pStyle w:val="TableText"/>
              <w:jc w:val="center"/>
            </w:pPr>
          </w:p>
        </w:tc>
        <w:tc>
          <w:tcPr>
            <w:tcW w:w="71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4A4890D6" w14:textId="77777777" w:rsidR="00E20B3B" w:rsidRPr="005670A1" w:rsidRDefault="00E20B3B" w:rsidP="000B4AB5">
            <w:pPr>
              <w:pStyle w:val="TableText"/>
              <w:jc w:val="center"/>
            </w:pPr>
          </w:p>
        </w:tc>
        <w:tc>
          <w:tcPr>
            <w:tcW w:w="0" w:type="auto"/>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14:paraId="5CE932D0" w14:textId="77777777" w:rsidR="00E20B3B" w:rsidRPr="005670A1" w:rsidRDefault="00E20B3B" w:rsidP="000B4AB5">
            <w:pPr>
              <w:pStyle w:val="TableText"/>
              <w:jc w:val="center"/>
            </w:pPr>
          </w:p>
        </w:tc>
      </w:tr>
      <w:tr w:rsidR="00BB769E" w:rsidRPr="005670A1" w14:paraId="38BFBE0C"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0EDF0A7" w14:textId="7515CE6F" w:rsidR="00E20B3B" w:rsidRPr="005670A1" w:rsidRDefault="00E20B3B" w:rsidP="00900AB0">
            <w:pPr>
              <w:pStyle w:val="TableText"/>
            </w:pPr>
            <w:r w:rsidRPr="005670A1">
              <w:t>300</w:t>
            </w:r>
            <w:r w:rsidR="00FA720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33625C9" w14:textId="016D7DE2" w:rsidR="00E20B3B" w:rsidRPr="005670A1" w:rsidRDefault="00DC190A" w:rsidP="000B4AB5">
            <w:pPr>
              <w:pStyle w:val="TableText"/>
              <w:jc w:val="center"/>
            </w:pPr>
            <w:r w:rsidRPr="005670A1">
              <w:t>$</w:t>
            </w:r>
            <w:r w:rsidR="00E20B3B" w:rsidRPr="005670A1">
              <w:t>252.36</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F54783E" w14:textId="2485600A" w:rsidR="00E20B3B" w:rsidRPr="005670A1" w:rsidRDefault="00DC190A" w:rsidP="000B4AB5">
            <w:pPr>
              <w:pStyle w:val="TableText"/>
              <w:jc w:val="center"/>
            </w:pPr>
            <w:r w:rsidRPr="005670A1">
              <w:t>$</w:t>
            </w:r>
            <w:r w:rsidR="00E20B3B" w:rsidRPr="005670A1">
              <w:t>252.36</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6695D5D6" w14:textId="77777777" w:rsidR="00E20B3B" w:rsidRPr="005670A1" w:rsidRDefault="00E20B3B" w:rsidP="000B4AB5">
            <w:pPr>
              <w:pStyle w:val="TableText"/>
              <w:jc w:val="center"/>
            </w:pPr>
            <w:r w:rsidRPr="005670A1">
              <w:t>46,730</w:t>
            </w:r>
          </w:p>
        </w:tc>
        <w:tc>
          <w:tcPr>
            <w:tcW w:w="993"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D396190" w14:textId="77777777" w:rsidR="00E20B3B" w:rsidRPr="005670A1" w:rsidRDefault="00E20B3B" w:rsidP="000B4AB5">
            <w:pPr>
              <w:pStyle w:val="TableText"/>
              <w:jc w:val="center"/>
            </w:pPr>
            <w:r w:rsidRPr="005670A1">
              <w:t>150,913</w:t>
            </w:r>
          </w:p>
        </w:tc>
        <w:tc>
          <w:tcPr>
            <w:tcW w:w="76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D609D97" w14:textId="31FF3D35" w:rsidR="00E20B3B" w:rsidRPr="005670A1" w:rsidRDefault="00DC190A" w:rsidP="000B4AB5">
            <w:pPr>
              <w:pStyle w:val="TableText"/>
              <w:jc w:val="center"/>
            </w:pPr>
            <w:r w:rsidRPr="005670A1">
              <w:t>$</w:t>
            </w:r>
            <w:r w:rsidR="00E20B3B" w:rsidRPr="005670A1">
              <w:t>295.92</w:t>
            </w:r>
            <w:r w:rsidRPr="005670A1">
              <w:rPr>
                <w:vertAlign w:val="superscript"/>
              </w:rPr>
              <w:t>1</w:t>
            </w:r>
          </w:p>
        </w:tc>
        <w:tc>
          <w:tcPr>
            <w:tcW w:w="509"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E8A8040" w14:textId="2DD69B5F" w:rsidR="00E20B3B" w:rsidRPr="005670A1" w:rsidRDefault="00E20B3B" w:rsidP="000B4AB5">
            <w:pPr>
              <w:pStyle w:val="TableText"/>
              <w:jc w:val="center"/>
            </w:pPr>
            <w:r w:rsidRPr="005670A1">
              <w:t>12.00</w:t>
            </w:r>
          </w:p>
        </w:tc>
        <w:tc>
          <w:tcPr>
            <w:tcW w:w="848"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266DB48" w14:textId="3C07D034" w:rsidR="00E20B3B" w:rsidRPr="005670A1" w:rsidRDefault="00DC190A" w:rsidP="000B4AB5">
            <w:pPr>
              <w:pStyle w:val="TableText"/>
              <w:jc w:val="center"/>
            </w:pPr>
            <w:r w:rsidRPr="005670A1">
              <w:t>$</w:t>
            </w:r>
            <w:r w:rsidR="00E20B3B" w:rsidRPr="005670A1">
              <w:t>526.80</w:t>
            </w:r>
            <w:r w:rsidRPr="005670A1">
              <w:rPr>
                <w:vertAlign w:val="superscript"/>
              </w:rPr>
              <w:t>1</w:t>
            </w:r>
          </w:p>
        </w:tc>
        <w:tc>
          <w:tcPr>
            <w:tcW w:w="714" w:type="dxa"/>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EF756AA" w14:textId="15C75D3C" w:rsidR="00E20B3B" w:rsidRPr="005670A1" w:rsidRDefault="00DC190A" w:rsidP="000B4AB5">
            <w:pPr>
              <w:pStyle w:val="TableText"/>
              <w:jc w:val="center"/>
            </w:pPr>
            <w:r w:rsidRPr="005670A1">
              <w:t>$</w:t>
            </w:r>
            <w:r w:rsidR="00E20B3B" w:rsidRPr="005670A1">
              <w:t>43.90</w:t>
            </w:r>
            <w:r w:rsidRPr="005670A1">
              <w:rPr>
                <w:vertAlign w:val="superscript"/>
              </w:rPr>
              <w:t>1</w:t>
            </w:r>
          </w:p>
        </w:tc>
        <w:tc>
          <w:tcPr>
            <w:tcW w:w="0" w:type="auto"/>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1C474C1" w14:textId="55F6E688" w:rsidR="00E20B3B" w:rsidRPr="005670A1" w:rsidRDefault="00DC190A" w:rsidP="000B4AB5">
            <w:pPr>
              <w:pStyle w:val="TableText"/>
              <w:jc w:val="center"/>
            </w:pPr>
            <w:r w:rsidRPr="005670A1">
              <w:t>$</w:t>
            </w:r>
            <w:r w:rsidR="00E20B3B" w:rsidRPr="005670A1">
              <w:t>339.82</w:t>
            </w:r>
            <w:r w:rsidRPr="005670A1">
              <w:rPr>
                <w:vertAlign w:val="superscript"/>
              </w:rPr>
              <w:t>1</w:t>
            </w:r>
          </w:p>
        </w:tc>
      </w:tr>
      <w:tr w:rsidR="00BB769E" w:rsidRPr="005670A1" w14:paraId="31B54597" w14:textId="77777777" w:rsidTr="00900AB0">
        <w:trPr>
          <w:trHeight w:val="300"/>
        </w:trPr>
        <w:tc>
          <w:tcPr>
            <w:tcW w:w="141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EEA9319" w14:textId="609D7C1F" w:rsidR="00E20B3B" w:rsidRPr="005670A1" w:rsidRDefault="00E20B3B" w:rsidP="00900AB0">
            <w:pPr>
              <w:pStyle w:val="TableText"/>
            </w:pPr>
            <w:r w:rsidRPr="005670A1">
              <w:t>400</w:t>
            </w:r>
            <w:r w:rsidR="00FA7205" w:rsidRPr="005670A1">
              <w:t xml:space="preserve"> </w:t>
            </w:r>
            <w:r w:rsidRPr="005670A1">
              <w:t>mg, 1 month</w:t>
            </w:r>
          </w:p>
        </w:tc>
        <w:tc>
          <w:tcPr>
            <w:tcW w:w="992"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7819FD85" w14:textId="6C502173" w:rsidR="00E20B3B" w:rsidRPr="005670A1" w:rsidRDefault="00E20B3B" w:rsidP="000B4AB5">
            <w:pPr>
              <w:pStyle w:val="TableText"/>
              <w:jc w:val="center"/>
            </w:pPr>
            <w:r w:rsidRPr="005670A1">
              <w:t>$315.46</w:t>
            </w:r>
          </w:p>
        </w:tc>
        <w:tc>
          <w:tcPr>
            <w:tcW w:w="1134" w:type="dxa"/>
            <w:tcBorders>
              <w:top w:val="single" w:sz="4" w:space="0" w:color="auto"/>
              <w:left w:val="nil"/>
              <w:bottom w:val="single" w:sz="4" w:space="0" w:color="auto"/>
              <w:right w:val="single" w:sz="4" w:space="0" w:color="auto"/>
            </w:tcBorders>
            <w:noWrap/>
            <w:tcMar>
              <w:left w:w="28" w:type="dxa"/>
              <w:right w:w="28" w:type="dxa"/>
            </w:tcMar>
            <w:vAlign w:val="center"/>
            <w:hideMark/>
          </w:tcPr>
          <w:p w14:paraId="181FD68C" w14:textId="2BC234FA" w:rsidR="00E20B3B" w:rsidRPr="005670A1" w:rsidRDefault="00E20B3B" w:rsidP="000B4AB5">
            <w:pPr>
              <w:pStyle w:val="TableText"/>
              <w:jc w:val="center"/>
            </w:pPr>
            <w:r w:rsidRPr="005670A1">
              <w:t>$315.46</w:t>
            </w:r>
          </w:p>
        </w:tc>
        <w:tc>
          <w:tcPr>
            <w:tcW w:w="992" w:type="dxa"/>
            <w:tcBorders>
              <w:top w:val="single" w:sz="4" w:space="0" w:color="auto"/>
              <w:left w:val="nil"/>
              <w:bottom w:val="single" w:sz="4" w:space="0" w:color="auto"/>
              <w:right w:val="single" w:sz="4" w:space="0" w:color="auto"/>
            </w:tcBorders>
            <w:tcMar>
              <w:left w:w="28" w:type="dxa"/>
              <w:right w:w="28" w:type="dxa"/>
            </w:tcMar>
            <w:vAlign w:val="center"/>
            <w:hideMark/>
          </w:tcPr>
          <w:p w14:paraId="18767CAC" w14:textId="77777777" w:rsidR="00E20B3B" w:rsidRPr="005670A1" w:rsidRDefault="00E20B3B" w:rsidP="000B4AB5">
            <w:pPr>
              <w:pStyle w:val="TableText"/>
              <w:jc w:val="center"/>
            </w:pPr>
            <w:r w:rsidRPr="005670A1">
              <w:t>104,183</w:t>
            </w:r>
          </w:p>
        </w:tc>
        <w:tc>
          <w:tcPr>
            <w:tcW w:w="993"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49994B9" w14:textId="77777777" w:rsidR="00E20B3B" w:rsidRPr="005670A1" w:rsidRDefault="00E20B3B" w:rsidP="009826C7">
            <w:pPr>
              <w:pStyle w:val="TableText"/>
            </w:pPr>
          </w:p>
        </w:tc>
        <w:tc>
          <w:tcPr>
            <w:tcW w:w="76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2EB468F" w14:textId="77777777" w:rsidR="00E20B3B" w:rsidRPr="005670A1" w:rsidRDefault="00E20B3B" w:rsidP="009826C7">
            <w:pPr>
              <w:pStyle w:val="TableText"/>
            </w:pPr>
          </w:p>
        </w:tc>
        <w:tc>
          <w:tcPr>
            <w:tcW w:w="5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FED57B" w14:textId="77777777" w:rsidR="00E20B3B" w:rsidRPr="005670A1" w:rsidRDefault="00E20B3B" w:rsidP="009826C7">
            <w:pPr>
              <w:pStyle w:val="TableText"/>
            </w:pPr>
          </w:p>
        </w:tc>
        <w:tc>
          <w:tcPr>
            <w:tcW w:w="8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50C15A" w14:textId="77777777" w:rsidR="00E20B3B" w:rsidRPr="005670A1" w:rsidRDefault="00E20B3B" w:rsidP="009826C7">
            <w:pPr>
              <w:pStyle w:val="TableText"/>
            </w:pPr>
          </w:p>
        </w:tc>
        <w:tc>
          <w:tcPr>
            <w:tcW w:w="7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A16624E" w14:textId="77777777" w:rsidR="00E20B3B" w:rsidRPr="005670A1" w:rsidRDefault="00E20B3B" w:rsidP="009826C7">
            <w:pPr>
              <w:pStyle w:val="TableText"/>
            </w:pPr>
          </w:p>
        </w:tc>
        <w:tc>
          <w:tcPr>
            <w:tcW w:w="0" w:type="auto"/>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7C5FE2F" w14:textId="77777777" w:rsidR="00E20B3B" w:rsidRPr="005670A1" w:rsidRDefault="00E20B3B" w:rsidP="009826C7">
            <w:pPr>
              <w:pStyle w:val="TableText"/>
            </w:pPr>
          </w:p>
        </w:tc>
      </w:tr>
    </w:tbl>
    <w:p w14:paraId="123B76A5" w14:textId="45A061C0" w:rsidR="00E20B3B" w:rsidRDefault="00B6113B" w:rsidP="00B6113B">
      <w:pPr>
        <w:pStyle w:val="TableFigureFooter"/>
      </w:pPr>
      <w:r w:rsidRPr="005670A1">
        <w:t xml:space="preserve">Source: Table 3.3, p 181 of the </w:t>
      </w:r>
      <w:r w:rsidR="00660827" w:rsidRPr="005670A1">
        <w:t>submission</w:t>
      </w:r>
      <w:r w:rsidRPr="005670A1">
        <w:t>.</w:t>
      </w:r>
    </w:p>
    <w:p w14:paraId="19665036" w14:textId="77777777" w:rsidR="000D50B6" w:rsidRDefault="00290C34" w:rsidP="000D50B6">
      <w:pPr>
        <w:pStyle w:val="TableFigureFooter"/>
      </w:pPr>
      <w:r>
        <w:t>AEMP = approved ex</w:t>
      </w:r>
      <w:r w:rsidR="002D15C9">
        <w:noBreakHyphen/>
      </w:r>
      <w:r>
        <w:t xml:space="preserve">manufacturer price; </w:t>
      </w:r>
      <w:r w:rsidR="00B75DB5">
        <w:t xml:space="preserve">HCP = </w:t>
      </w:r>
      <w:r w:rsidR="00ED42A3">
        <w:t xml:space="preserve">Healthcare </w:t>
      </w:r>
      <w:r w:rsidR="00484D3C">
        <w:t>provider</w:t>
      </w:r>
      <w:r w:rsidR="00ED42A3">
        <w:t xml:space="preserve"> consult</w:t>
      </w:r>
      <w:r w:rsidR="009A5F38">
        <w:t xml:space="preserve"> MBS item 23</w:t>
      </w:r>
      <w:r w:rsidR="00262C44">
        <w:t xml:space="preserve"> ($43.90)</w:t>
      </w:r>
      <w:r w:rsidR="00F14162">
        <w:t xml:space="preserve">; </w:t>
      </w:r>
      <w:r w:rsidR="000D3A09">
        <w:t>R2WIM = risperidone 2</w:t>
      </w:r>
      <w:r w:rsidR="002D15C9">
        <w:noBreakHyphen/>
      </w:r>
      <w:r w:rsidR="000D3A09">
        <w:t>weekly intramuscular injection</w:t>
      </w:r>
      <w:r w:rsidR="00F14162">
        <w:t>; PP1M = paliperidone once</w:t>
      </w:r>
      <w:r w:rsidR="002D15C9">
        <w:noBreakHyphen/>
      </w:r>
      <w:r w:rsidR="00F14162">
        <w:t>monthly</w:t>
      </w:r>
      <w:r w:rsidR="00FE2B76">
        <w:t xml:space="preserve"> intramuscular</w:t>
      </w:r>
      <w:r w:rsidR="006B6E5E">
        <w:t xml:space="preserve"> injection</w:t>
      </w:r>
      <w:r w:rsidR="00F14162">
        <w:t xml:space="preserve">, </w:t>
      </w:r>
      <w:r w:rsidR="007D37F7">
        <w:t>A1M</w:t>
      </w:r>
      <w:r w:rsidR="00F14162">
        <w:t xml:space="preserve"> = aripiprazole </w:t>
      </w:r>
      <w:r w:rsidR="00FE2B76">
        <w:t>once</w:t>
      </w:r>
      <w:r w:rsidR="002D15C9">
        <w:noBreakHyphen/>
      </w:r>
      <w:r w:rsidR="00FE2B76">
        <w:t>monthly intramuscular injection.</w:t>
      </w:r>
    </w:p>
    <w:p w14:paraId="0C519F4D" w14:textId="67CB9F3A" w:rsidR="00B04157" w:rsidRDefault="00B90228" w:rsidP="00B6113B">
      <w:pPr>
        <w:pStyle w:val="3-BodyText"/>
      </w:pPr>
      <w:r>
        <w:t xml:space="preserve">The submission </w:t>
      </w:r>
      <w:r w:rsidR="00F42747" w:rsidRPr="008C7415">
        <w:t>identified</w:t>
      </w:r>
      <w:r w:rsidRPr="008C7415">
        <w:t xml:space="preserve"> </w:t>
      </w:r>
      <w:r w:rsidR="00CE6DE4" w:rsidRPr="008C7415">
        <w:t>PP1M</w:t>
      </w:r>
      <w:r w:rsidR="00B6113B" w:rsidRPr="008C7415">
        <w:t xml:space="preserve"> as the least costly comparator, </w:t>
      </w:r>
      <w:r w:rsidR="009E5DA2" w:rsidRPr="008C7415">
        <w:t xml:space="preserve">from which </w:t>
      </w:r>
      <w:r w:rsidR="006E1FEC" w:rsidRPr="008C7415">
        <w:t xml:space="preserve">the </w:t>
      </w:r>
      <w:r w:rsidR="0024338D" w:rsidRPr="008C7415">
        <w:t>MR</w:t>
      </w:r>
      <w:r w:rsidR="000017B6" w:rsidRPr="008C7415">
        <w:t xml:space="preserve">SC </w:t>
      </w:r>
      <w:r w:rsidR="000017B6" w:rsidRPr="002E3BDB">
        <w:t xml:space="preserve">risperidone </w:t>
      </w:r>
      <w:r w:rsidR="006E1FEC" w:rsidRPr="002E3BDB">
        <w:t>AEMP of</w:t>
      </w:r>
      <w:r w:rsidR="00660827" w:rsidRPr="002E3BDB">
        <w:t xml:space="preserve"> </w:t>
      </w:r>
      <w:r w:rsidR="00B6113B" w:rsidRPr="002E3BDB">
        <w:t>$</w:t>
      </w:r>
      <w:r w:rsidR="009218AC" w:rsidRPr="009218AC">
        <w:rPr>
          <w:sz w:val="2"/>
          <w:highlight w:val="black"/>
        </w:rPr>
        <w:t>redacted content</w:t>
      </w:r>
      <w:r w:rsidR="009218AC" w:rsidRPr="009218AC">
        <w:t xml:space="preserve"> </w:t>
      </w:r>
      <w:r w:rsidR="006E1FEC" w:rsidRPr="002E3BDB">
        <w:t>was</w:t>
      </w:r>
      <w:r w:rsidR="006E1FEC" w:rsidRPr="008C7415">
        <w:t xml:space="preserve"> derived</w:t>
      </w:r>
      <w:r w:rsidR="006E1FEC">
        <w:t>, as</w:t>
      </w:r>
      <w:r w:rsidR="00B6113B">
        <w:t xml:space="preserve"> shown in </w:t>
      </w:r>
      <w:r w:rsidR="00641E01">
        <w:fldChar w:fldCharType="begin"/>
      </w:r>
      <w:r w:rsidR="00641E01">
        <w:instrText xml:space="preserve"> REF _Ref215049809 \h </w:instrText>
      </w:r>
      <w:r w:rsidR="00641E01">
        <w:fldChar w:fldCharType="separate"/>
      </w:r>
      <w:r w:rsidR="002D15C9">
        <w:t xml:space="preserve">Table </w:t>
      </w:r>
      <w:r w:rsidR="002D15C9">
        <w:rPr>
          <w:noProof/>
        </w:rPr>
        <w:t>12</w:t>
      </w:r>
      <w:r w:rsidR="00641E01">
        <w:fldChar w:fldCharType="end"/>
      </w:r>
      <w:r w:rsidR="00B6113B">
        <w:t>.</w:t>
      </w:r>
    </w:p>
    <w:p w14:paraId="4BC2A44D" w14:textId="6253AD46" w:rsidR="00D37D98" w:rsidRPr="00B6113B" w:rsidRDefault="00641E01" w:rsidP="006F1D20">
      <w:pPr>
        <w:pStyle w:val="TableFigureHeading"/>
      </w:pPr>
      <w:bookmarkStart w:id="46" w:name="_Ref215049809"/>
      <w:r>
        <w:t xml:space="preserve">Table </w:t>
      </w:r>
      <w:fldSimple w:instr=" SEQ Table \* ARABIC ">
        <w:r w:rsidR="002D15C9">
          <w:rPr>
            <w:noProof/>
          </w:rPr>
          <w:t>12</w:t>
        </w:r>
      </w:fldSimple>
      <w:bookmarkEnd w:id="46"/>
      <w:r>
        <w:t xml:space="preserve">: </w:t>
      </w:r>
      <w:r w:rsidR="00D37D98">
        <w:t xml:space="preserve">Results of CMA, </w:t>
      </w:r>
      <w:r w:rsidR="007067CF">
        <w:t>RMS risperid</w:t>
      </w:r>
      <w:r w:rsidR="00176B70">
        <w:t>one</w:t>
      </w:r>
      <w:r w:rsidR="00AB1364">
        <w:t xml:space="preserve"> </w:t>
      </w:r>
      <w:r w:rsidR="00D37D98">
        <w:t xml:space="preserve">vs </w:t>
      </w:r>
      <w:r w:rsidR="00176B70">
        <w:t>PP1M</w:t>
      </w:r>
    </w:p>
    <w:tbl>
      <w:tblPr>
        <w:tblStyle w:val="TableGrid"/>
        <w:tblW w:w="5000" w:type="pct"/>
        <w:tblLook w:val="04A0" w:firstRow="1" w:lastRow="0" w:firstColumn="1" w:lastColumn="0" w:noHBand="0" w:noVBand="1"/>
        <w:tblCaption w:val="Table 12: Results of CMA, RMS risperidone vs PP1M"/>
      </w:tblPr>
      <w:tblGrid>
        <w:gridCol w:w="2017"/>
        <w:gridCol w:w="1858"/>
        <w:gridCol w:w="1656"/>
        <w:gridCol w:w="1585"/>
        <w:gridCol w:w="1901"/>
      </w:tblGrid>
      <w:tr w:rsidR="0001318F" w14:paraId="3326F798" w14:textId="4D3FE480" w:rsidTr="006F601D">
        <w:tc>
          <w:tcPr>
            <w:tcW w:w="1119" w:type="pct"/>
          </w:tcPr>
          <w:p w14:paraId="28A8F1D7" w14:textId="77777777" w:rsidR="00D37D98" w:rsidRDefault="00D37D98" w:rsidP="00900AB0">
            <w:pPr>
              <w:pStyle w:val="In-tableHeading"/>
            </w:pPr>
          </w:p>
        </w:tc>
        <w:tc>
          <w:tcPr>
            <w:tcW w:w="1030" w:type="pct"/>
            <w:vAlign w:val="center"/>
          </w:tcPr>
          <w:p w14:paraId="74529F77" w14:textId="794A6693" w:rsidR="00D37D98" w:rsidRDefault="00803A37" w:rsidP="006F601D">
            <w:pPr>
              <w:pStyle w:val="In-tableHeading"/>
              <w:jc w:val="center"/>
            </w:pPr>
            <w:r>
              <w:t>PP1M</w:t>
            </w:r>
          </w:p>
        </w:tc>
        <w:tc>
          <w:tcPr>
            <w:tcW w:w="918" w:type="pct"/>
            <w:vAlign w:val="center"/>
          </w:tcPr>
          <w:p w14:paraId="20BC9AAF" w14:textId="73681B35" w:rsidR="00D37D98" w:rsidRDefault="00803A37" w:rsidP="006F601D">
            <w:pPr>
              <w:pStyle w:val="In-tableHeading"/>
              <w:jc w:val="center"/>
            </w:pPr>
            <w:r>
              <w:t>MRSC risperidone</w:t>
            </w:r>
          </w:p>
        </w:tc>
        <w:tc>
          <w:tcPr>
            <w:tcW w:w="879" w:type="pct"/>
            <w:vAlign w:val="center"/>
          </w:tcPr>
          <w:p w14:paraId="4381FDDE" w14:textId="311A1EE1" w:rsidR="00D37D98" w:rsidRDefault="000D3A09" w:rsidP="006F601D">
            <w:pPr>
              <w:pStyle w:val="In-tableHeading"/>
              <w:jc w:val="center"/>
            </w:pPr>
            <w:r>
              <w:t>R2WIM</w:t>
            </w:r>
          </w:p>
        </w:tc>
        <w:tc>
          <w:tcPr>
            <w:tcW w:w="1055" w:type="pct"/>
            <w:vAlign w:val="center"/>
          </w:tcPr>
          <w:p w14:paraId="272DDCCA" w14:textId="21A623F5" w:rsidR="00D37D98" w:rsidRDefault="007D37F7" w:rsidP="006F601D">
            <w:pPr>
              <w:pStyle w:val="In-tableHeading"/>
              <w:jc w:val="center"/>
            </w:pPr>
            <w:r>
              <w:t>A1M</w:t>
            </w:r>
          </w:p>
        </w:tc>
      </w:tr>
      <w:tr w:rsidR="0001318F" w14:paraId="379D516B" w14:textId="257C0681" w:rsidTr="000017B6">
        <w:tc>
          <w:tcPr>
            <w:tcW w:w="1119" w:type="pct"/>
          </w:tcPr>
          <w:p w14:paraId="78F54653" w14:textId="433D046A" w:rsidR="00D37D98" w:rsidRDefault="00D37D98" w:rsidP="00900AB0">
            <w:pPr>
              <w:pStyle w:val="In-tableHeading"/>
            </w:pPr>
            <w:r>
              <w:t xml:space="preserve">Drug cost per annum </w:t>
            </w:r>
          </w:p>
        </w:tc>
        <w:tc>
          <w:tcPr>
            <w:tcW w:w="1030" w:type="pct"/>
            <w:vAlign w:val="center"/>
          </w:tcPr>
          <w:p w14:paraId="7497E29F" w14:textId="26CB9050" w:rsidR="00D37D98" w:rsidRDefault="00D37D98" w:rsidP="000017B6">
            <w:pPr>
              <w:pStyle w:val="TableText"/>
              <w:jc w:val="center"/>
            </w:pPr>
            <w:r>
              <w:t>$2733.12</w:t>
            </w:r>
          </w:p>
        </w:tc>
        <w:tc>
          <w:tcPr>
            <w:tcW w:w="918" w:type="pct"/>
            <w:vAlign w:val="center"/>
          </w:tcPr>
          <w:p w14:paraId="01DDF35D" w14:textId="1E8732D8" w:rsidR="00D37D98" w:rsidRPr="002F72A6" w:rsidRDefault="00D37D98" w:rsidP="000017B6">
            <w:pPr>
              <w:pStyle w:val="TableText"/>
              <w:jc w:val="center"/>
              <w:rPr>
                <w:highlight w:val="red"/>
                <w:vertAlign w:val="superscript"/>
              </w:rPr>
            </w:pPr>
            <w:r w:rsidRPr="00452CA3">
              <w:t>$</w:t>
            </w:r>
            <w:r w:rsidR="009218AC" w:rsidRPr="009218AC">
              <w:rPr>
                <w:sz w:val="2"/>
                <w:highlight w:val="black"/>
              </w:rPr>
              <w:t>redacted content</w:t>
            </w:r>
          </w:p>
        </w:tc>
        <w:tc>
          <w:tcPr>
            <w:tcW w:w="879" w:type="pct"/>
            <w:vAlign w:val="center"/>
          </w:tcPr>
          <w:p w14:paraId="11943C69" w14:textId="366F3055" w:rsidR="00D37D98" w:rsidRPr="008C7415" w:rsidRDefault="00D37D98" w:rsidP="000017B6">
            <w:pPr>
              <w:pStyle w:val="TableText"/>
              <w:jc w:val="center"/>
            </w:pPr>
            <w:r w:rsidRPr="008C7415">
              <w:t>$2786.52</w:t>
            </w:r>
          </w:p>
        </w:tc>
        <w:tc>
          <w:tcPr>
            <w:tcW w:w="1055" w:type="pct"/>
            <w:vAlign w:val="center"/>
          </w:tcPr>
          <w:p w14:paraId="22124387" w14:textId="4623C9DE" w:rsidR="00D37D98" w:rsidRDefault="00D37D98" w:rsidP="000017B6">
            <w:pPr>
              <w:pStyle w:val="TableText"/>
              <w:jc w:val="center"/>
            </w:pPr>
            <w:r>
              <w:t>$3551.05</w:t>
            </w:r>
          </w:p>
        </w:tc>
      </w:tr>
      <w:tr w:rsidR="0001318F" w14:paraId="3B01E8D5" w14:textId="31B56284" w:rsidTr="000017B6">
        <w:tc>
          <w:tcPr>
            <w:tcW w:w="1119" w:type="pct"/>
          </w:tcPr>
          <w:p w14:paraId="29494BBE" w14:textId="2DA2DEB2" w:rsidR="00D37D98" w:rsidRDefault="00D37D98" w:rsidP="00900AB0">
            <w:pPr>
              <w:pStyle w:val="In-tableHeading"/>
            </w:pPr>
            <w:r>
              <w:t>Number of HCP injections</w:t>
            </w:r>
          </w:p>
        </w:tc>
        <w:tc>
          <w:tcPr>
            <w:tcW w:w="1030" w:type="pct"/>
            <w:vAlign w:val="center"/>
          </w:tcPr>
          <w:p w14:paraId="7BEB71A4" w14:textId="3389C839" w:rsidR="00D37D98" w:rsidRDefault="00D37D98" w:rsidP="000017B6">
            <w:pPr>
              <w:pStyle w:val="TableText"/>
              <w:jc w:val="center"/>
            </w:pPr>
            <w:r>
              <w:t>12.00</w:t>
            </w:r>
          </w:p>
        </w:tc>
        <w:tc>
          <w:tcPr>
            <w:tcW w:w="918" w:type="pct"/>
            <w:vAlign w:val="center"/>
          </w:tcPr>
          <w:p w14:paraId="12739492" w14:textId="36FA0CDD" w:rsidR="00D37D98" w:rsidRPr="0081712A" w:rsidRDefault="00D37D98" w:rsidP="000017B6">
            <w:pPr>
              <w:pStyle w:val="TableText"/>
              <w:jc w:val="center"/>
            </w:pPr>
            <w:r w:rsidRPr="0081712A">
              <w:t>12.00</w:t>
            </w:r>
          </w:p>
        </w:tc>
        <w:tc>
          <w:tcPr>
            <w:tcW w:w="879" w:type="pct"/>
            <w:vAlign w:val="center"/>
          </w:tcPr>
          <w:p w14:paraId="2EA2146F" w14:textId="1274846A" w:rsidR="00D37D98" w:rsidRPr="008C7415" w:rsidRDefault="00D37D98" w:rsidP="000017B6">
            <w:pPr>
              <w:pStyle w:val="TableText"/>
              <w:jc w:val="center"/>
            </w:pPr>
            <w:r w:rsidRPr="008C7415">
              <w:t>26.07</w:t>
            </w:r>
          </w:p>
        </w:tc>
        <w:tc>
          <w:tcPr>
            <w:tcW w:w="1055" w:type="pct"/>
            <w:vAlign w:val="center"/>
          </w:tcPr>
          <w:p w14:paraId="16913EF1" w14:textId="38B5BFDD" w:rsidR="00D37D98" w:rsidRDefault="00D37D98" w:rsidP="000017B6">
            <w:pPr>
              <w:pStyle w:val="TableText"/>
              <w:jc w:val="center"/>
            </w:pPr>
            <w:r>
              <w:t>12.00</w:t>
            </w:r>
          </w:p>
        </w:tc>
      </w:tr>
      <w:tr w:rsidR="0001318F" w14:paraId="625C31BE" w14:textId="5D2866FC" w:rsidTr="000017B6">
        <w:tc>
          <w:tcPr>
            <w:tcW w:w="1119" w:type="pct"/>
          </w:tcPr>
          <w:p w14:paraId="534E1469" w14:textId="0F8B127C" w:rsidR="00D37D98" w:rsidRDefault="00D37D98" w:rsidP="00900AB0">
            <w:pPr>
              <w:pStyle w:val="In-tableHeading"/>
            </w:pPr>
            <w:r>
              <w:t xml:space="preserve">Cost per injection </w:t>
            </w:r>
          </w:p>
        </w:tc>
        <w:tc>
          <w:tcPr>
            <w:tcW w:w="1030" w:type="pct"/>
            <w:vAlign w:val="center"/>
          </w:tcPr>
          <w:p w14:paraId="7571E299" w14:textId="32A44DDA" w:rsidR="00D37D98" w:rsidRDefault="00D37D98" w:rsidP="000017B6">
            <w:pPr>
              <w:pStyle w:val="TableText"/>
              <w:jc w:val="center"/>
            </w:pPr>
            <w:r>
              <w:t>$43.90</w:t>
            </w:r>
          </w:p>
        </w:tc>
        <w:tc>
          <w:tcPr>
            <w:tcW w:w="918" w:type="pct"/>
            <w:vAlign w:val="center"/>
          </w:tcPr>
          <w:p w14:paraId="2D0EFB59" w14:textId="1D7474BF" w:rsidR="00D37D98" w:rsidRPr="0081712A" w:rsidRDefault="00D37D98" w:rsidP="000017B6">
            <w:pPr>
              <w:pStyle w:val="TableText"/>
              <w:jc w:val="center"/>
              <w:rPr>
                <w:vertAlign w:val="superscript"/>
              </w:rPr>
            </w:pPr>
            <w:r w:rsidRPr="0081712A">
              <w:t>$43.90</w:t>
            </w:r>
          </w:p>
        </w:tc>
        <w:tc>
          <w:tcPr>
            <w:tcW w:w="879" w:type="pct"/>
            <w:vAlign w:val="center"/>
          </w:tcPr>
          <w:p w14:paraId="07259DB6" w14:textId="7E7D4643" w:rsidR="00D37D98" w:rsidRPr="008C7415" w:rsidRDefault="00D37D98" w:rsidP="000017B6">
            <w:pPr>
              <w:pStyle w:val="TableText"/>
              <w:jc w:val="center"/>
            </w:pPr>
            <w:r w:rsidRPr="008C7415">
              <w:t>$43.90</w:t>
            </w:r>
          </w:p>
        </w:tc>
        <w:tc>
          <w:tcPr>
            <w:tcW w:w="1055" w:type="pct"/>
            <w:vAlign w:val="center"/>
          </w:tcPr>
          <w:p w14:paraId="7203BDAA" w14:textId="57384382" w:rsidR="00D37D98" w:rsidRDefault="00D37D98" w:rsidP="000017B6">
            <w:pPr>
              <w:pStyle w:val="TableText"/>
              <w:jc w:val="center"/>
            </w:pPr>
            <w:r>
              <w:t>$43.90</w:t>
            </w:r>
          </w:p>
        </w:tc>
      </w:tr>
      <w:tr w:rsidR="0001318F" w14:paraId="2253BCF2" w14:textId="14902716" w:rsidTr="000017B6">
        <w:tc>
          <w:tcPr>
            <w:tcW w:w="1119" w:type="pct"/>
          </w:tcPr>
          <w:p w14:paraId="05ED3AFE" w14:textId="1B2E0679" w:rsidR="00D37D98" w:rsidRDefault="00D37D98" w:rsidP="00900AB0">
            <w:pPr>
              <w:pStyle w:val="In-tableHeading"/>
            </w:pPr>
            <w:r>
              <w:t>Total cost of HCP injections</w:t>
            </w:r>
          </w:p>
        </w:tc>
        <w:tc>
          <w:tcPr>
            <w:tcW w:w="1030" w:type="pct"/>
            <w:vAlign w:val="center"/>
          </w:tcPr>
          <w:p w14:paraId="78FCC423" w14:textId="3D48F7A6" w:rsidR="00D37D98" w:rsidRDefault="00D37D98" w:rsidP="000017B6">
            <w:pPr>
              <w:pStyle w:val="TableText"/>
              <w:jc w:val="center"/>
            </w:pPr>
            <w:r>
              <w:t>$526.80</w:t>
            </w:r>
          </w:p>
        </w:tc>
        <w:tc>
          <w:tcPr>
            <w:tcW w:w="918" w:type="pct"/>
            <w:vAlign w:val="center"/>
          </w:tcPr>
          <w:p w14:paraId="13FD76D1" w14:textId="17AF78F7" w:rsidR="00D37D98" w:rsidRPr="0081712A" w:rsidRDefault="00D37D98" w:rsidP="000017B6">
            <w:pPr>
              <w:pStyle w:val="TableText"/>
              <w:jc w:val="center"/>
              <w:rPr>
                <w:vertAlign w:val="superscript"/>
              </w:rPr>
            </w:pPr>
            <w:r w:rsidRPr="0081712A">
              <w:t>$526.80</w:t>
            </w:r>
          </w:p>
        </w:tc>
        <w:tc>
          <w:tcPr>
            <w:tcW w:w="879" w:type="pct"/>
            <w:vAlign w:val="center"/>
          </w:tcPr>
          <w:p w14:paraId="69F3EB34" w14:textId="45579692" w:rsidR="00D37D98" w:rsidRPr="008C7415" w:rsidRDefault="00D37D98" w:rsidP="000017B6">
            <w:pPr>
              <w:pStyle w:val="TableText"/>
              <w:jc w:val="center"/>
            </w:pPr>
            <w:r w:rsidRPr="008C7415">
              <w:t>$1144.54</w:t>
            </w:r>
          </w:p>
        </w:tc>
        <w:tc>
          <w:tcPr>
            <w:tcW w:w="1055" w:type="pct"/>
            <w:vAlign w:val="center"/>
          </w:tcPr>
          <w:p w14:paraId="793821EC" w14:textId="111976AB" w:rsidR="00D37D98" w:rsidRDefault="00D37D98" w:rsidP="000017B6">
            <w:pPr>
              <w:pStyle w:val="TableText"/>
              <w:jc w:val="center"/>
            </w:pPr>
            <w:r>
              <w:t>$526.80</w:t>
            </w:r>
          </w:p>
        </w:tc>
      </w:tr>
      <w:tr w:rsidR="0001318F" w14:paraId="61AC0A7A" w14:textId="797A5E01" w:rsidTr="000017B6">
        <w:tc>
          <w:tcPr>
            <w:tcW w:w="1119" w:type="pct"/>
          </w:tcPr>
          <w:p w14:paraId="01845B12" w14:textId="1C27F05E" w:rsidR="00D37D98" w:rsidRDefault="00D37D98" w:rsidP="00900AB0">
            <w:pPr>
              <w:pStyle w:val="In-tableHeading"/>
            </w:pPr>
            <w:r>
              <w:t>Total cost per annum</w:t>
            </w:r>
          </w:p>
        </w:tc>
        <w:tc>
          <w:tcPr>
            <w:tcW w:w="1030" w:type="pct"/>
            <w:vAlign w:val="center"/>
          </w:tcPr>
          <w:p w14:paraId="4DA67C22" w14:textId="125CF498" w:rsidR="00D37D98" w:rsidRDefault="00D37D98" w:rsidP="000017B6">
            <w:pPr>
              <w:pStyle w:val="TableText"/>
              <w:jc w:val="center"/>
            </w:pPr>
            <w:r>
              <w:t>$3259.92</w:t>
            </w:r>
          </w:p>
        </w:tc>
        <w:tc>
          <w:tcPr>
            <w:tcW w:w="918" w:type="pct"/>
            <w:vAlign w:val="center"/>
          </w:tcPr>
          <w:p w14:paraId="06F4FFD8" w14:textId="4598D15F" w:rsidR="00D37D98" w:rsidRPr="002F72A6" w:rsidRDefault="00D37D98" w:rsidP="000017B6">
            <w:pPr>
              <w:pStyle w:val="TableText"/>
              <w:jc w:val="center"/>
              <w:rPr>
                <w:highlight w:val="red"/>
                <w:vertAlign w:val="superscript"/>
              </w:rPr>
            </w:pPr>
            <w:r w:rsidRPr="00C16271">
              <w:t>$</w:t>
            </w:r>
            <w:r w:rsidR="009218AC" w:rsidRPr="009218AC">
              <w:rPr>
                <w:sz w:val="2"/>
                <w:highlight w:val="black"/>
              </w:rPr>
              <w:t>redacted content</w:t>
            </w:r>
          </w:p>
        </w:tc>
        <w:tc>
          <w:tcPr>
            <w:tcW w:w="879" w:type="pct"/>
            <w:vAlign w:val="center"/>
          </w:tcPr>
          <w:p w14:paraId="1D112274" w14:textId="202F3612" w:rsidR="00D37D98" w:rsidRPr="008C7415" w:rsidRDefault="00D37D98" w:rsidP="000017B6">
            <w:pPr>
              <w:pStyle w:val="TableText"/>
              <w:jc w:val="center"/>
            </w:pPr>
            <w:r w:rsidRPr="008C7415">
              <w:t>$3931.06</w:t>
            </w:r>
          </w:p>
        </w:tc>
        <w:tc>
          <w:tcPr>
            <w:tcW w:w="1055" w:type="pct"/>
            <w:vAlign w:val="center"/>
          </w:tcPr>
          <w:p w14:paraId="6675558E" w14:textId="07F8F107" w:rsidR="00D37D98" w:rsidRDefault="00D37D98" w:rsidP="000017B6">
            <w:pPr>
              <w:pStyle w:val="TableText"/>
              <w:jc w:val="center"/>
            </w:pPr>
            <w:r>
              <w:t>$4077.85</w:t>
            </w:r>
          </w:p>
        </w:tc>
      </w:tr>
      <w:tr w:rsidR="0001318F" w14:paraId="682D8267" w14:textId="3E6018E7" w:rsidTr="000017B6">
        <w:tc>
          <w:tcPr>
            <w:tcW w:w="1119" w:type="pct"/>
          </w:tcPr>
          <w:p w14:paraId="16C172B2" w14:textId="24263B2E" w:rsidR="00D37D98" w:rsidRDefault="00D37D98" w:rsidP="00900AB0">
            <w:pPr>
              <w:pStyle w:val="In-tableHeading"/>
            </w:pPr>
            <w:r>
              <w:t>Weighted average drug cost per calendar month</w:t>
            </w:r>
          </w:p>
        </w:tc>
        <w:tc>
          <w:tcPr>
            <w:tcW w:w="1030" w:type="pct"/>
            <w:vAlign w:val="center"/>
          </w:tcPr>
          <w:p w14:paraId="1659CD4A" w14:textId="7623B3C9" w:rsidR="00D37D98" w:rsidRDefault="00D37D98" w:rsidP="000017B6">
            <w:pPr>
              <w:pStyle w:val="TableText"/>
              <w:jc w:val="center"/>
            </w:pPr>
            <w:r>
              <w:t>$227.76</w:t>
            </w:r>
          </w:p>
        </w:tc>
        <w:tc>
          <w:tcPr>
            <w:tcW w:w="918" w:type="pct"/>
            <w:vAlign w:val="center"/>
          </w:tcPr>
          <w:p w14:paraId="0E255352" w14:textId="6213879F" w:rsidR="00D37D98" w:rsidRPr="002F72A6" w:rsidRDefault="00D37D98" w:rsidP="000017B6">
            <w:pPr>
              <w:pStyle w:val="TableText"/>
              <w:jc w:val="center"/>
              <w:rPr>
                <w:highlight w:val="red"/>
                <w:vertAlign w:val="superscript"/>
              </w:rPr>
            </w:pPr>
            <w:r w:rsidRPr="00C16271">
              <w:t>$</w:t>
            </w:r>
            <w:r w:rsidR="009218AC" w:rsidRPr="009218AC">
              <w:rPr>
                <w:sz w:val="2"/>
                <w:highlight w:val="black"/>
              </w:rPr>
              <w:t>redacted content</w:t>
            </w:r>
          </w:p>
        </w:tc>
        <w:tc>
          <w:tcPr>
            <w:tcW w:w="879" w:type="pct"/>
            <w:vAlign w:val="center"/>
          </w:tcPr>
          <w:p w14:paraId="421CD950" w14:textId="3DF6F484" w:rsidR="00D37D98" w:rsidRPr="008C7415" w:rsidRDefault="00D37D98" w:rsidP="000017B6">
            <w:pPr>
              <w:pStyle w:val="TableText"/>
              <w:jc w:val="center"/>
            </w:pPr>
            <w:r w:rsidRPr="008C7415">
              <w:t>$232.21</w:t>
            </w:r>
          </w:p>
        </w:tc>
        <w:tc>
          <w:tcPr>
            <w:tcW w:w="1055" w:type="pct"/>
            <w:vAlign w:val="center"/>
          </w:tcPr>
          <w:p w14:paraId="07A83A7A" w14:textId="76EC1633" w:rsidR="00D37D98" w:rsidRDefault="00D37D98" w:rsidP="000017B6">
            <w:pPr>
              <w:pStyle w:val="TableText"/>
              <w:jc w:val="center"/>
            </w:pPr>
            <w:r>
              <w:t>$295.92</w:t>
            </w:r>
          </w:p>
        </w:tc>
      </w:tr>
    </w:tbl>
    <w:p w14:paraId="218A2122" w14:textId="5F410B99" w:rsidR="002954DD" w:rsidRDefault="00D37D98" w:rsidP="00D37D98">
      <w:pPr>
        <w:pStyle w:val="TableFigureFooter"/>
      </w:pPr>
      <w:r>
        <w:t>Source: Table 3.4, p 183 of the submission.</w:t>
      </w:r>
    </w:p>
    <w:p w14:paraId="1EC0F3E7" w14:textId="77777777" w:rsidR="00063741" w:rsidRDefault="00803A37" w:rsidP="00063741">
      <w:pPr>
        <w:pStyle w:val="TableFigureFooter"/>
      </w:pPr>
      <w:r>
        <w:t>AEMP = approved ex</w:t>
      </w:r>
      <w:r w:rsidR="002D15C9">
        <w:noBreakHyphen/>
      </w:r>
      <w:r>
        <w:t xml:space="preserve">manufacturer price; HCP = Healthcare provider MBS item 23 ($43.90); </w:t>
      </w:r>
      <w:r w:rsidR="000D3A09">
        <w:t>R2WIM = risperidone 2 weekly intramuscular injection</w:t>
      </w:r>
      <w:r>
        <w:t xml:space="preserve">; PP1M = paliperidone </w:t>
      </w:r>
      <w:r w:rsidR="004F2EA6">
        <w:t>once</w:t>
      </w:r>
      <w:r w:rsidR="002D15C9">
        <w:noBreakHyphen/>
      </w:r>
      <w:r w:rsidR="004F2EA6">
        <w:t>monthly intramuscular injection</w:t>
      </w:r>
      <w:r>
        <w:t xml:space="preserve">, </w:t>
      </w:r>
      <w:r w:rsidR="007D37F7">
        <w:t>A1M</w:t>
      </w:r>
      <w:r>
        <w:t xml:space="preserve"> = aripiprazole </w:t>
      </w:r>
      <w:r w:rsidR="004F2EA6">
        <w:t>once</w:t>
      </w:r>
      <w:r w:rsidR="002D15C9">
        <w:noBreakHyphen/>
      </w:r>
      <w:r w:rsidR="004F2EA6">
        <w:t>monthly intramuscular injection.</w:t>
      </w:r>
      <w:r w:rsidR="00063741" w:rsidRPr="00063741">
        <w:t xml:space="preserve"> </w:t>
      </w:r>
    </w:p>
    <w:p w14:paraId="4BEA856B" w14:textId="395EEE22" w:rsidR="00AB6898" w:rsidRPr="00551371" w:rsidRDefault="00AB6898" w:rsidP="00AB6898">
      <w:pPr>
        <w:pStyle w:val="3-BodyText"/>
        <w:rPr>
          <w:iCs/>
        </w:rPr>
      </w:pPr>
      <w:r w:rsidRPr="00DC2E33">
        <w:t xml:space="preserve">The submission </w:t>
      </w:r>
      <w:r>
        <w:t>used</w:t>
      </w:r>
      <w:r w:rsidRPr="00DC2E33">
        <w:t xml:space="preserve"> a weighted average estimate of </w:t>
      </w:r>
      <w:r>
        <w:t xml:space="preserve">the different </w:t>
      </w:r>
      <w:r w:rsidRPr="00DC2E33">
        <w:t>dose</w:t>
      </w:r>
      <w:r>
        <w:t>s</w:t>
      </w:r>
      <w:r w:rsidRPr="00DC2E33">
        <w:t xml:space="preserve"> to derive the effective price</w:t>
      </w:r>
      <w:r>
        <w:t xml:space="preserve"> for the cost</w:t>
      </w:r>
      <w:r w:rsidR="002D15C9">
        <w:noBreakHyphen/>
      </w:r>
      <w:r>
        <w:t>minimisation</w:t>
      </w:r>
      <w:r w:rsidRPr="00DC2E33">
        <w:t xml:space="preserve">. The evaluation considered the weighted </w:t>
      </w:r>
      <w:r w:rsidRPr="00DC2E33">
        <w:lastRenderedPageBreak/>
        <w:t>approach was not appropriate because it resulted in a higher price relative to the lowest</w:t>
      </w:r>
      <w:r w:rsidR="002D15C9">
        <w:noBreakHyphen/>
      </w:r>
      <w:r w:rsidRPr="00DC2E33">
        <w:t xml:space="preserve">cost alternative. </w:t>
      </w:r>
      <w:r>
        <w:t xml:space="preserve">The PSCR stated that the pricing approach used for MRSC risperidone is consistent with the methodology applied in the R4WIM submission </w:t>
      </w:r>
      <w:r w:rsidRPr="00A50FF7">
        <w:t>(</w:t>
      </w:r>
      <w:r>
        <w:t>risperidone</w:t>
      </w:r>
      <w:r w:rsidRPr="00A50FF7">
        <w:t xml:space="preserve"> PSD</w:t>
      </w:r>
      <w:r>
        <w:t>,</w:t>
      </w:r>
      <w:r w:rsidRPr="00A50FF7">
        <w:t xml:space="preserve"> March 2024)</w:t>
      </w:r>
      <w:r>
        <w:t>, and that paliperidone was identified as the lowest</w:t>
      </w:r>
      <w:r w:rsidR="002D15C9">
        <w:noBreakHyphen/>
      </w:r>
      <w:r>
        <w:t xml:space="preserve">cost LAI comparator, forming the basis for calculating R4WIM’s weighted AEMP. The ESC noted that this methodology was not accepted by the PBAC </w:t>
      </w:r>
      <w:r>
        <w:rPr>
          <w:iCs/>
        </w:rPr>
        <w:t>as t</w:t>
      </w:r>
      <w:r w:rsidRPr="00053133">
        <w:rPr>
          <w:iCs/>
        </w:rPr>
        <w:t xml:space="preserve">he PBAC considered that there was no basis for a weighted comparator, and that </w:t>
      </w:r>
      <w:r>
        <w:rPr>
          <w:iCs/>
        </w:rPr>
        <w:t>R4WIM</w:t>
      </w:r>
      <w:r w:rsidRPr="00053133">
        <w:rPr>
          <w:iCs/>
        </w:rPr>
        <w:t xml:space="preserve"> should be listed on a cost</w:t>
      </w:r>
      <w:r w:rsidR="002D15C9">
        <w:rPr>
          <w:iCs/>
        </w:rPr>
        <w:noBreakHyphen/>
      </w:r>
      <w:r w:rsidRPr="00053133">
        <w:rPr>
          <w:iCs/>
        </w:rPr>
        <w:t>minimisation basis the lowest cost alternative therapy</w:t>
      </w:r>
      <w:r>
        <w:rPr>
          <w:iCs/>
        </w:rPr>
        <w:t xml:space="preserve"> on a cost per patient basis</w:t>
      </w:r>
      <w:r w:rsidRPr="00053133">
        <w:rPr>
          <w:iCs/>
        </w:rPr>
        <w:t xml:space="preserve"> </w:t>
      </w:r>
      <w:r w:rsidRPr="00551371">
        <w:rPr>
          <w:iCs/>
        </w:rPr>
        <w:t>(</w:t>
      </w:r>
      <w:r>
        <w:rPr>
          <w:iCs/>
        </w:rPr>
        <w:t>Paragraph</w:t>
      </w:r>
      <w:r w:rsidRPr="00551371">
        <w:rPr>
          <w:iCs/>
        </w:rPr>
        <w:t xml:space="preserve"> </w:t>
      </w:r>
      <w:r>
        <w:rPr>
          <w:iCs/>
        </w:rPr>
        <w:t>6.63</w:t>
      </w:r>
      <w:r w:rsidRPr="00551371">
        <w:rPr>
          <w:iCs/>
        </w:rPr>
        <w:t xml:space="preserve"> PBAC PSD March 2024)</w:t>
      </w:r>
      <w:r>
        <w:rPr>
          <w:iCs/>
        </w:rPr>
        <w:t xml:space="preserve">. </w:t>
      </w:r>
      <w:r w:rsidR="00531D98">
        <w:rPr>
          <w:iCs/>
        </w:rPr>
        <w:t>The ESC noted that</w:t>
      </w:r>
      <w:r w:rsidRPr="00053133">
        <w:rPr>
          <w:iCs/>
        </w:rPr>
        <w:t xml:space="preserve"> the cost</w:t>
      </w:r>
      <w:r w:rsidR="002D15C9">
        <w:rPr>
          <w:iCs/>
        </w:rPr>
        <w:noBreakHyphen/>
      </w:r>
      <w:r w:rsidRPr="00053133">
        <w:rPr>
          <w:iCs/>
        </w:rPr>
        <w:t xml:space="preserve">minimisation approach must establish that the cost per patient for treatment with </w:t>
      </w:r>
      <w:r>
        <w:rPr>
          <w:iCs/>
        </w:rPr>
        <w:t>MRSC risperidone</w:t>
      </w:r>
      <w:r w:rsidRPr="00053133">
        <w:rPr>
          <w:iCs/>
        </w:rPr>
        <w:t xml:space="preserve"> would be no more than the cost per patient of the </w:t>
      </w:r>
      <w:r w:rsidR="00B86632">
        <w:rPr>
          <w:iCs/>
        </w:rPr>
        <w:t>non</w:t>
      </w:r>
      <w:r w:rsidR="002D15C9">
        <w:rPr>
          <w:iCs/>
        </w:rPr>
        <w:noBreakHyphen/>
      </w:r>
      <w:r w:rsidR="00B86632">
        <w:rPr>
          <w:iCs/>
        </w:rPr>
        <w:t xml:space="preserve">inferior </w:t>
      </w:r>
      <w:r w:rsidRPr="00053133">
        <w:rPr>
          <w:iCs/>
        </w:rPr>
        <w:t xml:space="preserve">comparators. </w:t>
      </w:r>
      <w:r w:rsidR="004A6DFE">
        <w:rPr>
          <w:iCs/>
        </w:rPr>
        <w:t xml:space="preserve">The Secretariat </w:t>
      </w:r>
      <w:r w:rsidR="00B431DA">
        <w:rPr>
          <w:iCs/>
        </w:rPr>
        <w:t xml:space="preserve">advised </w:t>
      </w:r>
      <w:r w:rsidR="004A6DFE">
        <w:rPr>
          <w:iCs/>
        </w:rPr>
        <w:t>that w</w:t>
      </w:r>
      <w:r w:rsidRPr="00053133">
        <w:rPr>
          <w:iCs/>
        </w:rPr>
        <w:t>here the cost per patient calculations are uncertain, the guiding principle is that the Australian Government should not bear the financial risk of this uncertainty because the Australian population already has access to therapy that is at least as effective and safe.</w:t>
      </w:r>
      <w:r w:rsidRPr="00551371">
        <w:rPr>
          <w:iCs/>
        </w:rPr>
        <w:t xml:space="preserve"> </w:t>
      </w:r>
      <w:r>
        <w:rPr>
          <w:iCs/>
        </w:rPr>
        <w:t xml:space="preserve">The ESC therefore </w:t>
      </w:r>
      <w:r w:rsidRPr="00551371">
        <w:rPr>
          <w:iCs/>
        </w:rPr>
        <w:t xml:space="preserve">advised that </w:t>
      </w:r>
      <w:r>
        <w:rPr>
          <w:iCs/>
        </w:rPr>
        <w:t>MRSC risperidone</w:t>
      </w:r>
      <w:r w:rsidRPr="00551371">
        <w:rPr>
          <w:iCs/>
        </w:rPr>
        <w:t xml:space="preserve"> should be cost</w:t>
      </w:r>
      <w:r w:rsidR="002D15C9">
        <w:rPr>
          <w:iCs/>
        </w:rPr>
        <w:noBreakHyphen/>
      </w:r>
      <w:r w:rsidRPr="00551371">
        <w:rPr>
          <w:iCs/>
        </w:rPr>
        <w:t>minimised to the lowest</w:t>
      </w:r>
      <w:r w:rsidR="002D15C9">
        <w:rPr>
          <w:iCs/>
        </w:rPr>
        <w:noBreakHyphen/>
      </w:r>
      <w:r w:rsidRPr="00551371">
        <w:rPr>
          <w:iCs/>
        </w:rPr>
        <w:t xml:space="preserve">cost alternative </w:t>
      </w:r>
      <w:r>
        <w:rPr>
          <w:iCs/>
        </w:rPr>
        <w:t>on a</w:t>
      </w:r>
      <w:r w:rsidRPr="00551371">
        <w:rPr>
          <w:iCs/>
        </w:rPr>
        <w:t xml:space="preserve"> cost/patient/year</w:t>
      </w:r>
      <w:r>
        <w:rPr>
          <w:iCs/>
        </w:rPr>
        <w:t xml:space="preserve"> basis</w:t>
      </w:r>
      <w:r w:rsidRPr="00551371">
        <w:rPr>
          <w:iCs/>
        </w:rPr>
        <w:t>.</w:t>
      </w:r>
    </w:p>
    <w:p w14:paraId="472842D7" w14:textId="717C3F26" w:rsidR="00C25D9C" w:rsidRPr="0098262F" w:rsidRDefault="00C25D9C" w:rsidP="00BB732D">
      <w:pPr>
        <w:pStyle w:val="4-SubsectionHeading"/>
      </w:pPr>
      <w:bookmarkStart w:id="47" w:name="_Toc22897646"/>
      <w:bookmarkStart w:id="48" w:name="_Toc219904439"/>
      <w:r w:rsidRPr="0098262F">
        <w:t>Drug cost/patient/year</w:t>
      </w:r>
      <w:bookmarkEnd w:id="47"/>
      <w:bookmarkEnd w:id="48"/>
    </w:p>
    <w:p w14:paraId="3DBFE151" w14:textId="7BA243CE" w:rsidR="00494207" w:rsidRPr="00134FAA" w:rsidRDefault="00AB1364" w:rsidP="00850E3E">
      <w:pPr>
        <w:pStyle w:val="3-BodyText"/>
        <w:rPr>
          <w:color w:val="0066FF"/>
        </w:rPr>
      </w:pPr>
      <w:bookmarkStart w:id="49" w:name="_Ref104805102"/>
      <w:r w:rsidRPr="00134FAA">
        <w:t xml:space="preserve">The </w:t>
      </w:r>
      <w:r w:rsidR="00466857" w:rsidRPr="00134FAA">
        <w:t>submission</w:t>
      </w:r>
      <w:r w:rsidRPr="00134FAA">
        <w:t xml:space="preserve"> </w:t>
      </w:r>
      <w:r w:rsidR="00466857" w:rsidRPr="00134FAA">
        <w:t>calculated</w:t>
      </w:r>
      <w:r w:rsidRPr="00134FAA">
        <w:t xml:space="preserve"> the effective DPMQ to </w:t>
      </w:r>
      <w:r w:rsidRPr="00F839E4">
        <w:t xml:space="preserve">be </w:t>
      </w:r>
      <w:r w:rsidR="00466857" w:rsidRPr="00F839E4">
        <w:t>$</w:t>
      </w:r>
      <w:r w:rsidR="009218AC" w:rsidRPr="009218AC">
        <w:rPr>
          <w:sz w:val="2"/>
          <w:highlight w:val="black"/>
        </w:rPr>
        <w:t>redacted content</w:t>
      </w:r>
      <w:r w:rsidR="00466857" w:rsidRPr="00134FAA">
        <w:t xml:space="preserve">. Based on this price the cost per patient for 12 months of treatment would be </w:t>
      </w:r>
      <w:r w:rsidR="00466857" w:rsidRPr="00692DE1">
        <w:t>$</w:t>
      </w:r>
      <w:r w:rsidR="009218AC" w:rsidRPr="009218AC">
        <w:rPr>
          <w:sz w:val="2"/>
          <w:highlight w:val="black"/>
        </w:rPr>
        <w:t>redacted content</w:t>
      </w:r>
      <w:r w:rsidR="00466857" w:rsidRPr="00692DE1">
        <w:t>.</w:t>
      </w:r>
      <w:bookmarkStart w:id="50" w:name="_Hlk107307804"/>
      <w:bookmarkEnd w:id="49"/>
      <w:r w:rsidR="00D723B0" w:rsidRPr="00692DE1">
        <w:t xml:space="preserve"> The </w:t>
      </w:r>
      <w:r w:rsidR="00D06925" w:rsidRPr="00692DE1">
        <w:t>effective</w:t>
      </w:r>
      <w:r w:rsidR="00D06925" w:rsidRPr="00134FAA">
        <w:t xml:space="preserve"> DPMQ </w:t>
      </w:r>
      <w:r w:rsidR="002D24F9" w:rsidRPr="00134FAA">
        <w:t xml:space="preserve">was </w:t>
      </w:r>
      <w:r w:rsidR="00F02B7E" w:rsidRPr="00134FAA">
        <w:t xml:space="preserve">derived from </w:t>
      </w:r>
      <w:r w:rsidR="000C6C3E" w:rsidRPr="00134FAA">
        <w:t>its proposed</w:t>
      </w:r>
      <w:r w:rsidR="00F02B7E" w:rsidRPr="00134FAA">
        <w:t xml:space="preserve"> </w:t>
      </w:r>
      <w:r w:rsidR="004C77B2" w:rsidRPr="00134FAA">
        <w:t xml:space="preserve">AEMP </w:t>
      </w:r>
      <w:r w:rsidR="004C6DDB" w:rsidRPr="00134FAA">
        <w:t>and using</w:t>
      </w:r>
      <w:r w:rsidR="004C77B2" w:rsidRPr="00134FAA">
        <w:t xml:space="preserve"> </w:t>
      </w:r>
      <w:r w:rsidR="002D24F9" w:rsidRPr="00134FAA">
        <w:t xml:space="preserve">the </w:t>
      </w:r>
      <w:r w:rsidR="00B17B56" w:rsidRPr="00134FAA">
        <w:t>latest</w:t>
      </w:r>
      <w:r w:rsidR="004C77B2" w:rsidRPr="00134FAA">
        <w:t xml:space="preserve"> wholesaler and pharmacy mark</w:t>
      </w:r>
      <w:r w:rsidR="002D15C9" w:rsidRPr="00134FAA">
        <w:noBreakHyphen/>
      </w:r>
      <w:r w:rsidR="004C77B2" w:rsidRPr="00134FAA">
        <w:t>ups and fees.</w:t>
      </w:r>
    </w:p>
    <w:p w14:paraId="268768EF" w14:textId="0B97BD84" w:rsidR="00B60939" w:rsidRPr="0098262F" w:rsidRDefault="00B60939" w:rsidP="002B05A1">
      <w:pPr>
        <w:pStyle w:val="4-SubsectionHeading"/>
      </w:pPr>
      <w:bookmarkStart w:id="51" w:name="_Toc22897647"/>
      <w:bookmarkStart w:id="52" w:name="_Toc219904440"/>
      <w:bookmarkEnd w:id="50"/>
      <w:r w:rsidRPr="0098262F">
        <w:t>Estimated PBS usage &amp; financial implications</w:t>
      </w:r>
      <w:bookmarkEnd w:id="51"/>
      <w:bookmarkEnd w:id="52"/>
    </w:p>
    <w:p w14:paraId="36EBECE0" w14:textId="0C3A8C27" w:rsidR="002B0D98" w:rsidRPr="002B0D98" w:rsidRDefault="00C25D9C" w:rsidP="00BA1BF9">
      <w:pPr>
        <w:pStyle w:val="3-BodyText"/>
        <w:rPr>
          <w:color w:val="0066FF"/>
        </w:rPr>
      </w:pPr>
      <w:r w:rsidRPr="0098262F">
        <w:t xml:space="preserve">This submission </w:t>
      </w:r>
      <w:r w:rsidR="002B0D98">
        <w:t>was not</w:t>
      </w:r>
      <w:r w:rsidR="00D23D11" w:rsidRPr="0098262F">
        <w:t xml:space="preserve"> </w:t>
      </w:r>
      <w:r w:rsidRPr="0098262F">
        <w:t xml:space="preserve">considered by </w:t>
      </w:r>
      <w:r w:rsidR="00707B08">
        <w:t xml:space="preserve">the </w:t>
      </w:r>
      <w:r w:rsidRPr="0098262F">
        <w:t>DUSC</w:t>
      </w:r>
      <w:r w:rsidR="00707B08" w:rsidRPr="00707B08">
        <w:t>.</w:t>
      </w:r>
    </w:p>
    <w:p w14:paraId="04B31D2D" w14:textId="0A022F1C" w:rsidR="0072416F" w:rsidRPr="00BA1BF9" w:rsidRDefault="00BA1BF9" w:rsidP="00BA1BF9">
      <w:pPr>
        <w:pStyle w:val="3-BodyText"/>
        <w:rPr>
          <w:color w:val="0066FF"/>
        </w:rPr>
      </w:pPr>
      <w:r w:rsidRPr="00BA1BF9">
        <w:t xml:space="preserve">The submission </w:t>
      </w:r>
      <w:r w:rsidR="00CB20E4">
        <w:t>used</w:t>
      </w:r>
      <w:r w:rsidRPr="00BA1BF9">
        <w:t xml:space="preserve"> a market </w:t>
      </w:r>
      <w:r w:rsidR="00CB20E4">
        <w:t xml:space="preserve">share approach </w:t>
      </w:r>
      <w:r w:rsidRPr="00BA1BF9">
        <w:t>to estimate the likely use and financial impact of listing</w:t>
      </w:r>
      <w:r w:rsidR="00302390">
        <w:t xml:space="preserve"> MRSC</w:t>
      </w:r>
      <w:r w:rsidRPr="00BA1BF9">
        <w:t xml:space="preserve"> risperidone.</w:t>
      </w:r>
    </w:p>
    <w:p w14:paraId="3393BCE7" w14:textId="0FBEC142" w:rsidR="00E42F73" w:rsidRPr="0098262F" w:rsidRDefault="00E16AD8" w:rsidP="00E16AD8">
      <w:pPr>
        <w:pStyle w:val="Caption"/>
        <w:rPr>
          <w:rStyle w:val="CommentReference"/>
          <w:b/>
          <w:szCs w:val="24"/>
        </w:rPr>
      </w:pPr>
      <w:bookmarkStart w:id="53" w:name="_Ref104805262"/>
      <w:r w:rsidRPr="0098262F">
        <w:lastRenderedPageBreak/>
        <w:t xml:space="preserve">Table </w:t>
      </w:r>
      <w:fldSimple w:instr=" SEQ Table \* ARABIC ">
        <w:r w:rsidR="002D15C9">
          <w:rPr>
            <w:noProof/>
          </w:rPr>
          <w:t>13</w:t>
        </w:r>
      </w:fldSimple>
      <w:bookmarkEnd w:id="53"/>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inputs for financial estimates"/>
      </w:tblPr>
      <w:tblGrid>
        <w:gridCol w:w="1713"/>
        <w:gridCol w:w="4094"/>
        <w:gridCol w:w="3210"/>
      </w:tblGrid>
      <w:tr w:rsidR="00E42F73" w:rsidRPr="0098262F" w14:paraId="7AFD013A" w14:textId="77777777" w:rsidTr="009C3A3A">
        <w:trPr>
          <w:tblHeader/>
        </w:trPr>
        <w:tc>
          <w:tcPr>
            <w:tcW w:w="950" w:type="pct"/>
            <w:vAlign w:val="center"/>
          </w:tcPr>
          <w:p w14:paraId="45C2C4CE" w14:textId="370E9AAB" w:rsidR="00E42F73" w:rsidRPr="0098262F" w:rsidRDefault="004658B5" w:rsidP="00900AB0">
            <w:pPr>
              <w:pStyle w:val="In-tableHeading"/>
            </w:pPr>
            <w:r w:rsidRPr="0098262F">
              <w:t>Parameter</w:t>
            </w:r>
          </w:p>
        </w:tc>
        <w:tc>
          <w:tcPr>
            <w:tcW w:w="2270" w:type="pct"/>
            <w:vAlign w:val="center"/>
          </w:tcPr>
          <w:p w14:paraId="5C04F956" w14:textId="559E8DB1" w:rsidR="00E42F73" w:rsidRPr="0098262F" w:rsidRDefault="004658B5" w:rsidP="00900AB0">
            <w:pPr>
              <w:pStyle w:val="In-tableHeading"/>
            </w:pPr>
            <w:r w:rsidRPr="0098262F">
              <w:t>Value applied and source</w:t>
            </w:r>
          </w:p>
        </w:tc>
        <w:tc>
          <w:tcPr>
            <w:tcW w:w="1780" w:type="pct"/>
            <w:vAlign w:val="center"/>
          </w:tcPr>
          <w:p w14:paraId="45DE44AA" w14:textId="4713F72E" w:rsidR="00E42F73" w:rsidRPr="0098262F" w:rsidRDefault="004658B5" w:rsidP="00900AB0">
            <w:pPr>
              <w:pStyle w:val="In-tableHeading"/>
            </w:pPr>
            <w:r w:rsidRPr="0098262F">
              <w:t>Comment</w:t>
            </w:r>
          </w:p>
        </w:tc>
      </w:tr>
      <w:tr w:rsidR="00E42F73" w:rsidRPr="0098262F" w14:paraId="4BEF206D" w14:textId="77777777" w:rsidTr="009C3A3A">
        <w:tc>
          <w:tcPr>
            <w:tcW w:w="950" w:type="pct"/>
            <w:vAlign w:val="center"/>
          </w:tcPr>
          <w:p w14:paraId="5724F53F" w14:textId="7845293E" w:rsidR="00E42F73" w:rsidRPr="009826C7" w:rsidRDefault="00CB2658" w:rsidP="009826C7">
            <w:pPr>
              <w:pStyle w:val="TableText"/>
            </w:pPr>
            <w:r w:rsidRPr="009826C7">
              <w:t>PBS market antipsychotics for schizophrenia</w:t>
            </w:r>
          </w:p>
        </w:tc>
        <w:tc>
          <w:tcPr>
            <w:tcW w:w="2270" w:type="pct"/>
            <w:vAlign w:val="center"/>
          </w:tcPr>
          <w:p w14:paraId="5C5DEFD5" w14:textId="38D02B23" w:rsidR="007264B6" w:rsidRPr="009826C7" w:rsidRDefault="00CB2658" w:rsidP="009826C7">
            <w:pPr>
              <w:pStyle w:val="TableText"/>
            </w:pPr>
            <w:r w:rsidRPr="009826C7">
              <w:t>PBS Statistics fo</w:t>
            </w:r>
            <w:r w:rsidR="007264B6" w:rsidRPr="009826C7">
              <w:t>r:</w:t>
            </w:r>
          </w:p>
          <w:p w14:paraId="0B219884" w14:textId="6ABC8C96" w:rsidR="007264B6" w:rsidRPr="009826C7" w:rsidRDefault="000D3A09" w:rsidP="009826C7">
            <w:pPr>
              <w:pStyle w:val="TableText"/>
            </w:pPr>
            <w:r>
              <w:t>R2WIM</w:t>
            </w:r>
            <w:r w:rsidR="002864CE">
              <w:t>:</w:t>
            </w:r>
            <w:r w:rsidR="007264B6" w:rsidRPr="009826C7">
              <w:t xml:space="preserve"> 25</w:t>
            </w:r>
            <w:r w:rsidR="00F5712F">
              <w:t xml:space="preserve"> </w:t>
            </w:r>
            <w:r w:rsidR="007264B6" w:rsidRPr="009826C7">
              <w:t>mg, 37.5</w:t>
            </w:r>
            <w:r w:rsidR="00F5712F">
              <w:t xml:space="preserve"> </w:t>
            </w:r>
            <w:r w:rsidR="007264B6" w:rsidRPr="009826C7">
              <w:t>mg</w:t>
            </w:r>
            <w:r w:rsidR="002864CE">
              <w:t>,</w:t>
            </w:r>
            <w:r w:rsidR="002864CE" w:rsidRPr="009826C7">
              <w:t xml:space="preserve"> </w:t>
            </w:r>
            <w:r w:rsidR="007264B6" w:rsidRPr="009826C7">
              <w:t>50</w:t>
            </w:r>
            <w:r w:rsidR="00F5712F">
              <w:t xml:space="preserve"> </w:t>
            </w:r>
            <w:r w:rsidR="007264B6" w:rsidRPr="009826C7">
              <w:t>mg</w:t>
            </w:r>
          </w:p>
          <w:p w14:paraId="5F194D62" w14:textId="52234D13" w:rsidR="00E42F73" w:rsidRPr="009826C7" w:rsidRDefault="00A06706" w:rsidP="009826C7">
            <w:pPr>
              <w:pStyle w:val="TableText"/>
            </w:pPr>
            <w:r>
              <w:t>R4WIM</w:t>
            </w:r>
            <w:r w:rsidR="002864CE">
              <w:t>:</w:t>
            </w:r>
            <w:r w:rsidR="007264B6" w:rsidRPr="009826C7">
              <w:t xml:space="preserve"> 75</w:t>
            </w:r>
            <w:r w:rsidR="00F5712F">
              <w:t xml:space="preserve"> </w:t>
            </w:r>
            <w:r w:rsidR="007264B6" w:rsidRPr="009826C7">
              <w:t>mg, 100</w:t>
            </w:r>
            <w:r w:rsidR="00F5712F">
              <w:t xml:space="preserve"> </w:t>
            </w:r>
            <w:r w:rsidR="007264B6" w:rsidRPr="009826C7">
              <w:t>mg</w:t>
            </w:r>
          </w:p>
          <w:p w14:paraId="7108AFB8" w14:textId="181A556D" w:rsidR="007264B6" w:rsidRPr="009826C7" w:rsidRDefault="00716493" w:rsidP="009826C7">
            <w:pPr>
              <w:pStyle w:val="TableText"/>
            </w:pPr>
            <w:r>
              <w:t>PP1M</w:t>
            </w:r>
            <w:r w:rsidR="002864CE">
              <w:t>:</w:t>
            </w:r>
            <w:r w:rsidR="002864CE" w:rsidRPr="009826C7">
              <w:t xml:space="preserve"> </w:t>
            </w:r>
            <w:r w:rsidR="007264B6" w:rsidRPr="009826C7">
              <w:t>25</w:t>
            </w:r>
            <w:r w:rsidR="00F5712F">
              <w:t xml:space="preserve"> </w:t>
            </w:r>
            <w:r w:rsidR="007264B6" w:rsidRPr="009826C7">
              <w:t>mg, 50</w:t>
            </w:r>
            <w:r w:rsidR="00F5712F">
              <w:t xml:space="preserve"> </w:t>
            </w:r>
            <w:r w:rsidR="007264B6" w:rsidRPr="009826C7">
              <w:t>mg, 75</w:t>
            </w:r>
            <w:r w:rsidR="00F5712F">
              <w:t xml:space="preserve"> </w:t>
            </w:r>
            <w:r w:rsidR="007264B6" w:rsidRPr="009826C7">
              <w:t>mg, 100</w:t>
            </w:r>
            <w:r w:rsidR="00F5712F">
              <w:t xml:space="preserve"> </w:t>
            </w:r>
            <w:r w:rsidR="007264B6" w:rsidRPr="009826C7">
              <w:t>mg</w:t>
            </w:r>
          </w:p>
          <w:p w14:paraId="2974F923" w14:textId="30B6074B" w:rsidR="007264B6" w:rsidRPr="009826C7" w:rsidRDefault="007D37F7" w:rsidP="009826C7">
            <w:pPr>
              <w:pStyle w:val="TableText"/>
            </w:pPr>
            <w:r>
              <w:t>A1M</w:t>
            </w:r>
            <w:r w:rsidR="002864CE">
              <w:t>:</w:t>
            </w:r>
            <w:r w:rsidR="007264B6" w:rsidRPr="009826C7">
              <w:t xml:space="preserve"> 300</w:t>
            </w:r>
            <w:r w:rsidR="00F5712F">
              <w:t xml:space="preserve"> </w:t>
            </w:r>
            <w:r w:rsidR="007264B6" w:rsidRPr="009826C7">
              <w:t>mg, 400</w:t>
            </w:r>
            <w:r w:rsidR="00F5712F">
              <w:t xml:space="preserve"> </w:t>
            </w:r>
            <w:r w:rsidR="007264B6" w:rsidRPr="009826C7">
              <w:t>mg</w:t>
            </w:r>
          </w:p>
        </w:tc>
        <w:tc>
          <w:tcPr>
            <w:tcW w:w="1780" w:type="pct"/>
            <w:vAlign w:val="center"/>
          </w:tcPr>
          <w:p w14:paraId="078672CF" w14:textId="2C7A3717" w:rsidR="009826C7" w:rsidRPr="00A94E64" w:rsidRDefault="007264B6" w:rsidP="009826C7">
            <w:pPr>
              <w:pStyle w:val="TableText"/>
              <w:rPr>
                <w:highlight w:val="yellow"/>
              </w:rPr>
            </w:pPr>
            <w:r w:rsidRPr="00A94E64">
              <w:t>Consistent with CMA</w:t>
            </w:r>
          </w:p>
        </w:tc>
      </w:tr>
      <w:tr w:rsidR="0063598E" w:rsidRPr="0098262F" w14:paraId="53E07272" w14:textId="77777777" w:rsidTr="009C3A3A">
        <w:tc>
          <w:tcPr>
            <w:tcW w:w="950" w:type="pct"/>
            <w:vAlign w:val="center"/>
          </w:tcPr>
          <w:p w14:paraId="4DCFAD1D" w14:textId="7F8C1025" w:rsidR="0063598E" w:rsidRPr="009826C7" w:rsidRDefault="0063598E" w:rsidP="009826C7">
            <w:pPr>
              <w:pStyle w:val="TableText"/>
            </w:pPr>
            <w:r>
              <w:t>Market growth</w:t>
            </w:r>
          </w:p>
        </w:tc>
        <w:tc>
          <w:tcPr>
            <w:tcW w:w="2270" w:type="pct"/>
            <w:vAlign w:val="center"/>
          </w:tcPr>
          <w:p w14:paraId="333121DB" w14:textId="5514FBD3" w:rsidR="0063598E" w:rsidRPr="009826C7" w:rsidRDefault="0063598E" w:rsidP="009826C7">
            <w:pPr>
              <w:pStyle w:val="TableText"/>
            </w:pPr>
            <w:r>
              <w:t>PBS Service data over 5 years: 3.7%</w:t>
            </w:r>
          </w:p>
        </w:tc>
        <w:tc>
          <w:tcPr>
            <w:tcW w:w="1780" w:type="pct"/>
            <w:vAlign w:val="center"/>
          </w:tcPr>
          <w:p w14:paraId="7EEC8CBF" w14:textId="69377C28" w:rsidR="0063598E" w:rsidRPr="00A94E64" w:rsidRDefault="00E029F7" w:rsidP="009826C7">
            <w:pPr>
              <w:pStyle w:val="TableText"/>
            </w:pPr>
            <w:r w:rsidRPr="00A94E64">
              <w:t>R</w:t>
            </w:r>
            <w:r w:rsidR="0063598E" w:rsidRPr="00A94E64">
              <w:t>easonable</w:t>
            </w:r>
          </w:p>
        </w:tc>
      </w:tr>
      <w:tr w:rsidR="00A05C32" w:rsidRPr="00C7236D" w14:paraId="273D05F4" w14:textId="77777777" w:rsidTr="009C3A3A">
        <w:tc>
          <w:tcPr>
            <w:tcW w:w="950" w:type="pct"/>
            <w:vAlign w:val="center"/>
          </w:tcPr>
          <w:p w14:paraId="0152C8AA" w14:textId="6AFB4C25" w:rsidR="00A05C32" w:rsidRPr="00C7236D" w:rsidRDefault="007264B6" w:rsidP="009826C7">
            <w:pPr>
              <w:pStyle w:val="TableText"/>
            </w:pPr>
            <w:r w:rsidRPr="00C7236D">
              <w:t>Uptake rate</w:t>
            </w:r>
          </w:p>
        </w:tc>
        <w:tc>
          <w:tcPr>
            <w:tcW w:w="2270" w:type="pct"/>
            <w:vAlign w:val="center"/>
          </w:tcPr>
          <w:p w14:paraId="62596319" w14:textId="24F6D313" w:rsidR="00A05C32" w:rsidRPr="00C7236D" w:rsidRDefault="007264B6" w:rsidP="009826C7">
            <w:pPr>
              <w:pStyle w:val="TableText"/>
            </w:pPr>
            <w:r w:rsidRPr="00C7236D">
              <w:t xml:space="preserve">Up to </w:t>
            </w:r>
            <w:r w:rsidR="009218AC" w:rsidRPr="009218AC">
              <w:rPr>
                <w:sz w:val="2"/>
                <w:highlight w:val="black"/>
              </w:rPr>
              <w:t>redacted content</w:t>
            </w:r>
            <w:r w:rsidRPr="00C7236D">
              <w:t>% of total market for long</w:t>
            </w:r>
            <w:r w:rsidR="002D15C9">
              <w:noBreakHyphen/>
            </w:r>
            <w:r w:rsidRPr="00C7236D">
              <w:t>acting antipsychotics for schizophrenia</w:t>
            </w:r>
            <w:r w:rsidR="00D17E20" w:rsidRPr="00C7236D">
              <w:t>. Assumes different rates for different products.</w:t>
            </w:r>
          </w:p>
          <w:tbl>
            <w:tblPr>
              <w:tblStyle w:val="TableGrid"/>
              <w:tblW w:w="0" w:type="auto"/>
              <w:tblLook w:val="04A0" w:firstRow="1" w:lastRow="0" w:firstColumn="1" w:lastColumn="0" w:noHBand="0" w:noVBand="1"/>
            </w:tblPr>
            <w:tblGrid>
              <w:gridCol w:w="658"/>
              <w:gridCol w:w="851"/>
              <w:gridCol w:w="850"/>
              <w:gridCol w:w="863"/>
              <w:gridCol w:w="806"/>
            </w:tblGrid>
            <w:tr w:rsidR="007E6A33" w:rsidRPr="00C7236D" w14:paraId="599F4C52" w14:textId="364066B9" w:rsidTr="00D17E20">
              <w:tc>
                <w:tcPr>
                  <w:tcW w:w="658" w:type="dxa"/>
                </w:tcPr>
                <w:p w14:paraId="5EE25DAB" w14:textId="002D377E" w:rsidR="00D17E20" w:rsidRPr="00C7236D" w:rsidRDefault="00EA29E7" w:rsidP="009826C7">
                  <w:pPr>
                    <w:pStyle w:val="TableText"/>
                    <w:rPr>
                      <w:bCs w:val="0"/>
                    </w:rPr>
                  </w:pPr>
                  <w:r w:rsidRPr="00C7236D">
                    <w:t>Year</w:t>
                  </w:r>
                </w:p>
              </w:tc>
              <w:tc>
                <w:tcPr>
                  <w:tcW w:w="851" w:type="dxa"/>
                </w:tcPr>
                <w:p w14:paraId="2D30613C" w14:textId="6AD5DD5C" w:rsidR="00D17E20" w:rsidRPr="00C7236D" w:rsidRDefault="000D3A09" w:rsidP="009826C7">
                  <w:pPr>
                    <w:pStyle w:val="TableText"/>
                    <w:rPr>
                      <w:bCs w:val="0"/>
                    </w:rPr>
                  </w:pPr>
                  <w:r w:rsidRPr="00C7236D">
                    <w:t>R2WIM</w:t>
                  </w:r>
                </w:p>
              </w:tc>
              <w:tc>
                <w:tcPr>
                  <w:tcW w:w="850" w:type="dxa"/>
                </w:tcPr>
                <w:p w14:paraId="340EF4CB" w14:textId="6A79207B" w:rsidR="00D17E20" w:rsidRPr="00C7236D" w:rsidRDefault="00A06706" w:rsidP="009826C7">
                  <w:pPr>
                    <w:pStyle w:val="TableText"/>
                    <w:rPr>
                      <w:bCs w:val="0"/>
                    </w:rPr>
                  </w:pPr>
                  <w:r w:rsidRPr="00C7236D">
                    <w:t>R4WIM</w:t>
                  </w:r>
                </w:p>
              </w:tc>
              <w:tc>
                <w:tcPr>
                  <w:tcW w:w="863" w:type="dxa"/>
                </w:tcPr>
                <w:p w14:paraId="3CD1D9DA" w14:textId="025E43F3" w:rsidR="00D17E20" w:rsidRPr="00C7236D" w:rsidRDefault="002F1302" w:rsidP="009826C7">
                  <w:pPr>
                    <w:pStyle w:val="TableText"/>
                    <w:rPr>
                      <w:bCs w:val="0"/>
                    </w:rPr>
                  </w:pPr>
                  <w:r w:rsidRPr="00C7236D">
                    <w:t>PP1M</w:t>
                  </w:r>
                </w:p>
              </w:tc>
              <w:tc>
                <w:tcPr>
                  <w:tcW w:w="806" w:type="dxa"/>
                </w:tcPr>
                <w:p w14:paraId="5FB1AA69" w14:textId="619E942C" w:rsidR="00D17E20" w:rsidRPr="00C7236D" w:rsidRDefault="007D37F7" w:rsidP="009826C7">
                  <w:pPr>
                    <w:pStyle w:val="TableText"/>
                    <w:rPr>
                      <w:bCs w:val="0"/>
                    </w:rPr>
                  </w:pPr>
                  <w:r>
                    <w:t>A1M</w:t>
                  </w:r>
                </w:p>
              </w:tc>
            </w:tr>
            <w:tr w:rsidR="007E6A33" w:rsidRPr="00C7236D" w14:paraId="16051776" w14:textId="3DE36ADE" w:rsidTr="00D17E20">
              <w:tc>
                <w:tcPr>
                  <w:tcW w:w="658" w:type="dxa"/>
                </w:tcPr>
                <w:p w14:paraId="4F3FD49B" w14:textId="2403CAE3" w:rsidR="00D17E20" w:rsidRPr="00C7236D" w:rsidRDefault="00D17E20" w:rsidP="009826C7">
                  <w:pPr>
                    <w:pStyle w:val="TableText"/>
                  </w:pPr>
                  <w:r w:rsidRPr="00C7236D">
                    <w:t>2026</w:t>
                  </w:r>
                </w:p>
              </w:tc>
              <w:tc>
                <w:tcPr>
                  <w:tcW w:w="851" w:type="dxa"/>
                </w:tcPr>
                <w:p w14:paraId="5ECC30F3" w14:textId="6F2C7317"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5A7EB0AB" w14:textId="496A6DF9"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494C7A85" w14:textId="7631C7D3"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58878FA1" w14:textId="1F16B0E6" w:rsidR="00D17E20" w:rsidRPr="00C7236D" w:rsidRDefault="009218AC" w:rsidP="009826C7">
                  <w:pPr>
                    <w:pStyle w:val="TableText"/>
                  </w:pPr>
                  <w:r w:rsidRPr="009218AC">
                    <w:rPr>
                      <w:sz w:val="2"/>
                      <w:highlight w:val="black"/>
                    </w:rPr>
                    <w:t>redacted content</w:t>
                  </w:r>
                  <w:r w:rsidR="00D17E20" w:rsidRPr="00C7236D">
                    <w:t>%</w:t>
                  </w:r>
                </w:p>
              </w:tc>
            </w:tr>
            <w:tr w:rsidR="007E6A33" w:rsidRPr="00C7236D" w14:paraId="40192368" w14:textId="639DEA2E" w:rsidTr="00D17E20">
              <w:tc>
                <w:tcPr>
                  <w:tcW w:w="658" w:type="dxa"/>
                </w:tcPr>
                <w:p w14:paraId="5C61C6DB" w14:textId="107AD723" w:rsidR="00D17E20" w:rsidRPr="00C7236D" w:rsidRDefault="00D17E20" w:rsidP="009826C7">
                  <w:pPr>
                    <w:pStyle w:val="TableText"/>
                  </w:pPr>
                  <w:r w:rsidRPr="00C7236D">
                    <w:t>2027</w:t>
                  </w:r>
                </w:p>
              </w:tc>
              <w:tc>
                <w:tcPr>
                  <w:tcW w:w="851" w:type="dxa"/>
                </w:tcPr>
                <w:p w14:paraId="2E16BA38" w14:textId="7566C729"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38F2B715" w14:textId="4E43164C"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52667812" w14:textId="6FE77352"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3C2DC69F" w14:textId="3BD3494D" w:rsidR="00D17E20" w:rsidRPr="00C7236D" w:rsidRDefault="009218AC" w:rsidP="009826C7">
                  <w:pPr>
                    <w:pStyle w:val="TableText"/>
                  </w:pPr>
                  <w:r w:rsidRPr="009218AC">
                    <w:rPr>
                      <w:sz w:val="2"/>
                      <w:highlight w:val="black"/>
                    </w:rPr>
                    <w:t>redacted content</w:t>
                  </w:r>
                  <w:r w:rsidR="00D17E20" w:rsidRPr="00C7236D">
                    <w:t>%</w:t>
                  </w:r>
                </w:p>
              </w:tc>
            </w:tr>
            <w:tr w:rsidR="007E6A33" w:rsidRPr="00C7236D" w14:paraId="59167905" w14:textId="4329886B" w:rsidTr="00D17E20">
              <w:tc>
                <w:tcPr>
                  <w:tcW w:w="658" w:type="dxa"/>
                </w:tcPr>
                <w:p w14:paraId="1F701098" w14:textId="4767C17C" w:rsidR="00D17E20" w:rsidRPr="00C7236D" w:rsidRDefault="00D17E20" w:rsidP="009826C7">
                  <w:pPr>
                    <w:pStyle w:val="TableText"/>
                  </w:pPr>
                  <w:r w:rsidRPr="00C7236D">
                    <w:t>2028</w:t>
                  </w:r>
                </w:p>
              </w:tc>
              <w:tc>
                <w:tcPr>
                  <w:tcW w:w="851" w:type="dxa"/>
                </w:tcPr>
                <w:p w14:paraId="29395975" w14:textId="7BAC05F3"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1829A6DD" w14:textId="2784045D"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10F31918" w14:textId="667F1E3C"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2B6355BA" w14:textId="69B890EC" w:rsidR="00D17E20" w:rsidRPr="00C7236D" w:rsidRDefault="009218AC" w:rsidP="009826C7">
                  <w:pPr>
                    <w:pStyle w:val="TableText"/>
                  </w:pPr>
                  <w:r w:rsidRPr="009218AC">
                    <w:rPr>
                      <w:sz w:val="2"/>
                      <w:highlight w:val="black"/>
                    </w:rPr>
                    <w:t>redacted content</w:t>
                  </w:r>
                  <w:r w:rsidR="00D17E20" w:rsidRPr="00C7236D">
                    <w:t>%</w:t>
                  </w:r>
                </w:p>
              </w:tc>
            </w:tr>
            <w:tr w:rsidR="007E6A33" w:rsidRPr="00C7236D" w14:paraId="7777C48A" w14:textId="1CDC86C8" w:rsidTr="00D17E20">
              <w:tc>
                <w:tcPr>
                  <w:tcW w:w="658" w:type="dxa"/>
                </w:tcPr>
                <w:p w14:paraId="4E2DA3B6" w14:textId="484261E9" w:rsidR="00D17E20" w:rsidRPr="00C7236D" w:rsidRDefault="00D17E20" w:rsidP="009826C7">
                  <w:pPr>
                    <w:pStyle w:val="TableText"/>
                  </w:pPr>
                  <w:r w:rsidRPr="00C7236D">
                    <w:t>2029</w:t>
                  </w:r>
                </w:p>
              </w:tc>
              <w:tc>
                <w:tcPr>
                  <w:tcW w:w="851" w:type="dxa"/>
                </w:tcPr>
                <w:p w14:paraId="47EE505D" w14:textId="59F56DF5"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1C8DD20F" w14:textId="01494C26"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07C04DDD" w14:textId="7F0E1D18"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532B61B3" w14:textId="3653B758" w:rsidR="00D17E20" w:rsidRPr="00C7236D" w:rsidRDefault="009218AC" w:rsidP="009826C7">
                  <w:pPr>
                    <w:pStyle w:val="TableText"/>
                  </w:pPr>
                  <w:r w:rsidRPr="009218AC">
                    <w:rPr>
                      <w:sz w:val="2"/>
                      <w:highlight w:val="black"/>
                    </w:rPr>
                    <w:t>redacted content</w:t>
                  </w:r>
                  <w:r w:rsidR="00D17E20" w:rsidRPr="00C7236D">
                    <w:t>%</w:t>
                  </w:r>
                </w:p>
              </w:tc>
            </w:tr>
            <w:tr w:rsidR="007E6A33" w:rsidRPr="00C7236D" w14:paraId="4DD87E93" w14:textId="424FEEF6" w:rsidTr="00D17E20">
              <w:tc>
                <w:tcPr>
                  <w:tcW w:w="658" w:type="dxa"/>
                </w:tcPr>
                <w:p w14:paraId="48BBD73F" w14:textId="79F95EED" w:rsidR="00D17E20" w:rsidRPr="00C7236D" w:rsidRDefault="00D17E20" w:rsidP="009826C7">
                  <w:pPr>
                    <w:pStyle w:val="TableText"/>
                  </w:pPr>
                  <w:r w:rsidRPr="00C7236D">
                    <w:t>2030</w:t>
                  </w:r>
                </w:p>
              </w:tc>
              <w:tc>
                <w:tcPr>
                  <w:tcW w:w="851" w:type="dxa"/>
                </w:tcPr>
                <w:p w14:paraId="693D6221" w14:textId="50E95E11"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72EA6872" w14:textId="2E728FB8"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25B5E32A" w14:textId="32C5CC61"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0F8F3288" w14:textId="1DBAB2A6" w:rsidR="00D17E20" w:rsidRPr="00C7236D" w:rsidRDefault="009218AC" w:rsidP="009826C7">
                  <w:pPr>
                    <w:pStyle w:val="TableText"/>
                  </w:pPr>
                  <w:r w:rsidRPr="009218AC">
                    <w:rPr>
                      <w:sz w:val="2"/>
                      <w:highlight w:val="black"/>
                    </w:rPr>
                    <w:t>redacted content</w:t>
                  </w:r>
                  <w:r w:rsidR="00D17E20" w:rsidRPr="00C7236D">
                    <w:t>%</w:t>
                  </w:r>
                </w:p>
              </w:tc>
            </w:tr>
            <w:tr w:rsidR="007E6A33" w:rsidRPr="00C7236D" w14:paraId="0621DB04" w14:textId="039232BF" w:rsidTr="00D17E20">
              <w:tc>
                <w:tcPr>
                  <w:tcW w:w="658" w:type="dxa"/>
                </w:tcPr>
                <w:p w14:paraId="057CAFB6" w14:textId="26A23092" w:rsidR="00D17E20" w:rsidRPr="00C7236D" w:rsidRDefault="00D17E20" w:rsidP="009826C7">
                  <w:pPr>
                    <w:pStyle w:val="TableText"/>
                  </w:pPr>
                  <w:r w:rsidRPr="00C7236D">
                    <w:t>2031</w:t>
                  </w:r>
                </w:p>
              </w:tc>
              <w:tc>
                <w:tcPr>
                  <w:tcW w:w="851" w:type="dxa"/>
                </w:tcPr>
                <w:p w14:paraId="1B6D9896" w14:textId="06247906" w:rsidR="00D17E20" w:rsidRPr="00C7236D" w:rsidRDefault="009218AC" w:rsidP="009826C7">
                  <w:pPr>
                    <w:pStyle w:val="TableText"/>
                  </w:pPr>
                  <w:r w:rsidRPr="009218AC">
                    <w:rPr>
                      <w:sz w:val="2"/>
                      <w:highlight w:val="black"/>
                    </w:rPr>
                    <w:t>redacted content</w:t>
                  </w:r>
                  <w:r w:rsidR="00D17E20" w:rsidRPr="00C7236D">
                    <w:t>%</w:t>
                  </w:r>
                </w:p>
              </w:tc>
              <w:tc>
                <w:tcPr>
                  <w:tcW w:w="850" w:type="dxa"/>
                </w:tcPr>
                <w:p w14:paraId="56836033" w14:textId="7920E795" w:rsidR="00D17E20" w:rsidRPr="00C7236D" w:rsidRDefault="009218AC" w:rsidP="009826C7">
                  <w:pPr>
                    <w:pStyle w:val="TableText"/>
                  </w:pPr>
                  <w:r w:rsidRPr="009218AC">
                    <w:rPr>
                      <w:sz w:val="2"/>
                      <w:highlight w:val="black"/>
                    </w:rPr>
                    <w:t>redacted content</w:t>
                  </w:r>
                  <w:r w:rsidR="00D17E20" w:rsidRPr="00C7236D">
                    <w:t>%</w:t>
                  </w:r>
                </w:p>
              </w:tc>
              <w:tc>
                <w:tcPr>
                  <w:tcW w:w="863" w:type="dxa"/>
                </w:tcPr>
                <w:p w14:paraId="090E56BA" w14:textId="71E4875A" w:rsidR="00D17E20" w:rsidRPr="00C7236D" w:rsidRDefault="009218AC" w:rsidP="009826C7">
                  <w:pPr>
                    <w:pStyle w:val="TableText"/>
                  </w:pPr>
                  <w:r w:rsidRPr="009218AC">
                    <w:rPr>
                      <w:sz w:val="2"/>
                      <w:highlight w:val="black"/>
                    </w:rPr>
                    <w:t>redacted content</w:t>
                  </w:r>
                  <w:r w:rsidR="00D17E20" w:rsidRPr="00C7236D">
                    <w:t>%</w:t>
                  </w:r>
                </w:p>
              </w:tc>
              <w:tc>
                <w:tcPr>
                  <w:tcW w:w="806" w:type="dxa"/>
                </w:tcPr>
                <w:p w14:paraId="1AB18ABA" w14:textId="3AD18808" w:rsidR="00D17E20" w:rsidRPr="00C7236D" w:rsidRDefault="009218AC" w:rsidP="009826C7">
                  <w:pPr>
                    <w:pStyle w:val="TableText"/>
                  </w:pPr>
                  <w:r w:rsidRPr="009218AC">
                    <w:rPr>
                      <w:sz w:val="2"/>
                      <w:highlight w:val="black"/>
                    </w:rPr>
                    <w:t>redacted content</w:t>
                  </w:r>
                  <w:r w:rsidR="00D17E20" w:rsidRPr="00C7236D">
                    <w:t>%</w:t>
                  </w:r>
                </w:p>
              </w:tc>
            </w:tr>
          </w:tbl>
          <w:p w14:paraId="5FE8DC6D" w14:textId="42C7C281" w:rsidR="00D17E20" w:rsidRPr="00C7236D" w:rsidRDefault="00D17E20" w:rsidP="009826C7">
            <w:pPr>
              <w:pStyle w:val="TableText"/>
            </w:pPr>
          </w:p>
        </w:tc>
        <w:tc>
          <w:tcPr>
            <w:tcW w:w="1780" w:type="pct"/>
            <w:vAlign w:val="center"/>
          </w:tcPr>
          <w:p w14:paraId="035D240F" w14:textId="400B6592" w:rsidR="00A05C32" w:rsidRPr="00A94E64" w:rsidRDefault="00D17E20" w:rsidP="009826C7">
            <w:pPr>
              <w:pStyle w:val="TableText"/>
            </w:pPr>
            <w:r w:rsidRPr="00A94E64">
              <w:t>Sponsor assumption; unable to be independently verified</w:t>
            </w:r>
          </w:p>
        </w:tc>
      </w:tr>
      <w:tr w:rsidR="009826C7" w:rsidRPr="0098262F" w14:paraId="049F878F" w14:textId="77777777" w:rsidTr="009C3A3A">
        <w:tc>
          <w:tcPr>
            <w:tcW w:w="950" w:type="pct"/>
            <w:vAlign w:val="center"/>
          </w:tcPr>
          <w:p w14:paraId="24C7D734" w14:textId="759FB554" w:rsidR="009826C7" w:rsidRPr="009826C7" w:rsidRDefault="009826C7" w:rsidP="009826C7">
            <w:pPr>
              <w:pStyle w:val="TableText"/>
            </w:pPr>
            <w:r w:rsidRPr="009826C7">
              <w:t>Drug prices</w:t>
            </w:r>
          </w:p>
        </w:tc>
        <w:tc>
          <w:tcPr>
            <w:tcW w:w="2270" w:type="pct"/>
            <w:vAlign w:val="center"/>
          </w:tcPr>
          <w:p w14:paraId="21979D91" w14:textId="1A9EC4E8" w:rsidR="009826C7" w:rsidRPr="009826C7" w:rsidRDefault="009826C7" w:rsidP="009826C7">
            <w:pPr>
              <w:pStyle w:val="TableText"/>
            </w:pPr>
            <w:r>
              <w:t xml:space="preserve">PBS Listing of AEMP and DPMQ for current products; calculated effective price for </w:t>
            </w:r>
            <w:r w:rsidR="00735B49">
              <w:t>MR</w:t>
            </w:r>
            <w:r w:rsidR="0036274D">
              <w:t>SC risperidone</w:t>
            </w:r>
          </w:p>
        </w:tc>
        <w:tc>
          <w:tcPr>
            <w:tcW w:w="1780" w:type="pct"/>
            <w:vAlign w:val="center"/>
          </w:tcPr>
          <w:p w14:paraId="50847594" w14:textId="050A2DE3" w:rsidR="009826C7" w:rsidRPr="00A94E64" w:rsidRDefault="00246D5E" w:rsidP="009826C7">
            <w:pPr>
              <w:pStyle w:val="TableText"/>
            </w:pPr>
            <w:r w:rsidRPr="00A94E64">
              <w:t>A</w:t>
            </w:r>
            <w:r w:rsidR="00153657" w:rsidRPr="00A94E64">
              <w:t>ppropriate</w:t>
            </w:r>
          </w:p>
        </w:tc>
      </w:tr>
      <w:tr w:rsidR="007264B6" w:rsidRPr="0098262F" w14:paraId="1AAF303C" w14:textId="77777777" w:rsidTr="009C3A3A">
        <w:tc>
          <w:tcPr>
            <w:tcW w:w="950" w:type="pct"/>
            <w:vAlign w:val="center"/>
          </w:tcPr>
          <w:p w14:paraId="38ACC216" w14:textId="415ED400" w:rsidR="007264B6" w:rsidRPr="009826C7" w:rsidRDefault="007264B6" w:rsidP="009826C7">
            <w:pPr>
              <w:pStyle w:val="TableText"/>
            </w:pPr>
            <w:r w:rsidRPr="009826C7">
              <w:t>copayments</w:t>
            </w:r>
          </w:p>
        </w:tc>
        <w:tc>
          <w:tcPr>
            <w:tcW w:w="2270" w:type="pct"/>
            <w:vAlign w:val="center"/>
          </w:tcPr>
          <w:p w14:paraId="144062AC" w14:textId="77777777" w:rsidR="007264B6" w:rsidRDefault="009826C7" w:rsidP="009826C7">
            <w:pPr>
              <w:pStyle w:val="TableText"/>
            </w:pPr>
            <w:r w:rsidRPr="009826C7">
              <w:t>Based on current distribution for products listed above: PBS $31.60 and $7.70 RPBS $7.70 and 0.</w:t>
            </w:r>
          </w:p>
          <w:p w14:paraId="569E920B" w14:textId="243B8F34" w:rsidR="00153657" w:rsidRPr="009826C7" w:rsidRDefault="00153657" w:rsidP="009826C7">
            <w:pPr>
              <w:pStyle w:val="TableText"/>
            </w:pPr>
            <w:r>
              <w:t xml:space="preserve">Average </w:t>
            </w:r>
            <w:r w:rsidR="0041585D">
              <w:t>copayment</w:t>
            </w:r>
            <w:r>
              <w:t xml:space="preserve"> </w:t>
            </w:r>
            <w:r w:rsidR="00BF2A4F">
              <w:t>$</w:t>
            </w:r>
            <w:r>
              <w:t xml:space="preserve">11.24 and </w:t>
            </w:r>
            <w:r w:rsidR="00BF2A4F">
              <w:t>$</w:t>
            </w:r>
            <w:r>
              <w:t>6.80</w:t>
            </w:r>
          </w:p>
        </w:tc>
        <w:tc>
          <w:tcPr>
            <w:tcW w:w="1780" w:type="pct"/>
            <w:vAlign w:val="center"/>
          </w:tcPr>
          <w:p w14:paraId="1C5597D9" w14:textId="6237ECF0" w:rsidR="007264B6" w:rsidRPr="00A94E64" w:rsidRDefault="009826C7" w:rsidP="009826C7">
            <w:pPr>
              <w:pStyle w:val="TableText"/>
            </w:pPr>
            <w:r w:rsidRPr="00A94E64">
              <w:t>Appropriate</w:t>
            </w:r>
          </w:p>
        </w:tc>
      </w:tr>
      <w:tr w:rsidR="00E42F73" w:rsidRPr="0098262F" w14:paraId="72C9FBDD" w14:textId="77777777" w:rsidTr="009C3A3A">
        <w:tc>
          <w:tcPr>
            <w:tcW w:w="950" w:type="pct"/>
            <w:vAlign w:val="center"/>
          </w:tcPr>
          <w:p w14:paraId="2FBBDC67" w14:textId="390040E2" w:rsidR="00E42F73" w:rsidRPr="009826C7" w:rsidRDefault="007264B6" w:rsidP="009826C7">
            <w:pPr>
              <w:pStyle w:val="TableText"/>
            </w:pPr>
            <w:r w:rsidRPr="009826C7">
              <w:t>Market expansion rate</w:t>
            </w:r>
          </w:p>
        </w:tc>
        <w:tc>
          <w:tcPr>
            <w:tcW w:w="2270" w:type="pct"/>
            <w:vAlign w:val="center"/>
          </w:tcPr>
          <w:p w14:paraId="550316FC" w14:textId="0EBD79D1" w:rsidR="00E42F73" w:rsidRPr="009826C7" w:rsidRDefault="007264B6" w:rsidP="009826C7">
            <w:pPr>
              <w:pStyle w:val="TableText"/>
            </w:pPr>
            <w:r w:rsidRPr="009826C7">
              <w:t>Assume to be zero given established market</w:t>
            </w:r>
          </w:p>
        </w:tc>
        <w:tc>
          <w:tcPr>
            <w:tcW w:w="1780" w:type="pct"/>
            <w:vAlign w:val="center"/>
          </w:tcPr>
          <w:p w14:paraId="7295AAE5" w14:textId="41931A12" w:rsidR="00E42F73" w:rsidRPr="00A94E64" w:rsidRDefault="00246D5E" w:rsidP="009826C7">
            <w:pPr>
              <w:pStyle w:val="TableText"/>
            </w:pPr>
            <w:r w:rsidRPr="00A94E64">
              <w:t>R</w:t>
            </w:r>
            <w:r w:rsidR="007264B6" w:rsidRPr="00A94E64">
              <w:t>easonable</w:t>
            </w:r>
          </w:p>
        </w:tc>
      </w:tr>
      <w:tr w:rsidR="002A41E2" w:rsidRPr="0098262F" w14:paraId="224CDB38" w14:textId="77777777" w:rsidTr="009C3A3A">
        <w:tc>
          <w:tcPr>
            <w:tcW w:w="950" w:type="pct"/>
            <w:vAlign w:val="center"/>
          </w:tcPr>
          <w:p w14:paraId="1D67E938" w14:textId="2234F4E1" w:rsidR="002A41E2" w:rsidRPr="009826C7" w:rsidRDefault="002A41E2" w:rsidP="009826C7">
            <w:pPr>
              <w:pStyle w:val="TableText"/>
            </w:pPr>
            <w:r w:rsidRPr="009826C7">
              <w:t>Script equivalence</w:t>
            </w:r>
          </w:p>
        </w:tc>
        <w:tc>
          <w:tcPr>
            <w:tcW w:w="2270" w:type="pct"/>
            <w:vAlign w:val="center"/>
          </w:tcPr>
          <w:p w14:paraId="366AC6C9" w14:textId="1BA73933" w:rsidR="002A41E2" w:rsidRDefault="009826C7" w:rsidP="009826C7">
            <w:pPr>
              <w:pStyle w:val="TableText"/>
            </w:pPr>
            <w:r>
              <w:t xml:space="preserve">For </w:t>
            </w:r>
            <w:r w:rsidR="000D3A09">
              <w:t>R2WIM</w:t>
            </w:r>
            <w:r w:rsidR="0036274D">
              <w:t xml:space="preserve"> </w:t>
            </w:r>
            <w:r>
              <w:t xml:space="preserve">and </w:t>
            </w:r>
            <w:r w:rsidR="00A06706">
              <w:t>R4WIM</w:t>
            </w:r>
            <w:r>
              <w:t xml:space="preserve"> 0.92; for </w:t>
            </w:r>
            <w:r w:rsidR="0036274D">
              <w:t xml:space="preserve">PP1M </w:t>
            </w:r>
            <w:r>
              <w:t xml:space="preserve">and </w:t>
            </w:r>
            <w:r w:rsidR="007D37F7">
              <w:t>A1M</w:t>
            </w:r>
            <w:r>
              <w:t xml:space="preserve">: 1.0 </w:t>
            </w:r>
          </w:p>
        </w:tc>
        <w:tc>
          <w:tcPr>
            <w:tcW w:w="1780" w:type="pct"/>
            <w:vAlign w:val="center"/>
          </w:tcPr>
          <w:p w14:paraId="3958E4C3" w14:textId="393DE344" w:rsidR="002A41E2" w:rsidRPr="00A94E64" w:rsidRDefault="00246D5E" w:rsidP="009826C7">
            <w:pPr>
              <w:pStyle w:val="TableText"/>
            </w:pPr>
            <w:r w:rsidRPr="00A94E64">
              <w:t>R</w:t>
            </w:r>
            <w:r w:rsidR="00153657" w:rsidRPr="00A94E64">
              <w:t>easonable</w:t>
            </w:r>
          </w:p>
        </w:tc>
      </w:tr>
      <w:tr w:rsidR="00A05C32" w:rsidRPr="0098262F" w14:paraId="512A8938" w14:textId="77777777" w:rsidTr="009C3A3A">
        <w:tc>
          <w:tcPr>
            <w:tcW w:w="950" w:type="pct"/>
            <w:vAlign w:val="center"/>
          </w:tcPr>
          <w:p w14:paraId="006B470A" w14:textId="280C713D" w:rsidR="007264B6" w:rsidRPr="007264B6" w:rsidRDefault="007264B6" w:rsidP="009826C7">
            <w:pPr>
              <w:pStyle w:val="TableText"/>
            </w:pPr>
            <w:r w:rsidRPr="007264B6">
              <w:t>Grandfathered patients</w:t>
            </w:r>
          </w:p>
          <w:p w14:paraId="1F4C70A3" w14:textId="40ED25A4" w:rsidR="00A05C32" w:rsidRPr="0098262F" w:rsidRDefault="00A05C32" w:rsidP="009826C7">
            <w:pPr>
              <w:pStyle w:val="TableText"/>
            </w:pPr>
          </w:p>
        </w:tc>
        <w:tc>
          <w:tcPr>
            <w:tcW w:w="2270" w:type="pct"/>
            <w:vAlign w:val="center"/>
          </w:tcPr>
          <w:p w14:paraId="5289CDB1" w14:textId="49B1B3D9" w:rsidR="00A05C32" w:rsidRPr="0098262F" w:rsidRDefault="00F5712F" w:rsidP="009826C7">
            <w:pPr>
              <w:pStyle w:val="TableText"/>
            </w:pPr>
            <w:r>
              <w:t>N</w:t>
            </w:r>
            <w:r w:rsidR="007264B6">
              <w:t>one</w:t>
            </w:r>
          </w:p>
        </w:tc>
        <w:tc>
          <w:tcPr>
            <w:tcW w:w="1780" w:type="pct"/>
            <w:vAlign w:val="center"/>
          </w:tcPr>
          <w:p w14:paraId="0BA4ED26" w14:textId="5BF9D0E0" w:rsidR="00A05C32" w:rsidRPr="00A94E64" w:rsidRDefault="00246D5E" w:rsidP="009826C7">
            <w:pPr>
              <w:pStyle w:val="TableText"/>
            </w:pPr>
            <w:r w:rsidRPr="00A94E64">
              <w:t>A</w:t>
            </w:r>
            <w:r w:rsidR="0063598E" w:rsidRPr="00A94E64">
              <w:t>ppropriate</w:t>
            </w:r>
          </w:p>
        </w:tc>
      </w:tr>
      <w:tr w:rsidR="004658B5" w:rsidRPr="0098262F" w14:paraId="7B7FA999" w14:textId="77777777" w:rsidTr="009C3A3A">
        <w:tc>
          <w:tcPr>
            <w:tcW w:w="950" w:type="pct"/>
            <w:vAlign w:val="center"/>
          </w:tcPr>
          <w:p w14:paraId="2C67FF14" w14:textId="39CBD581" w:rsidR="004658B5" w:rsidRPr="0098262F" w:rsidRDefault="004658B5" w:rsidP="009826C7">
            <w:pPr>
              <w:pStyle w:val="TableText"/>
            </w:pPr>
            <w:r w:rsidRPr="0098262F">
              <w:t>MBS item</w:t>
            </w:r>
          </w:p>
        </w:tc>
        <w:tc>
          <w:tcPr>
            <w:tcW w:w="2270" w:type="pct"/>
            <w:vAlign w:val="center"/>
          </w:tcPr>
          <w:p w14:paraId="0F7BD8FA" w14:textId="77777777" w:rsidR="004658B5" w:rsidRDefault="00153657" w:rsidP="009826C7">
            <w:pPr>
              <w:pStyle w:val="TableText"/>
            </w:pPr>
            <w:r>
              <w:t>MBS Item 23, HCP visits for fortnightly injections and ‘other monthly administered medications for a port</w:t>
            </w:r>
            <w:r w:rsidR="00BF2A4F">
              <w:t xml:space="preserve">ion </w:t>
            </w:r>
            <w:r>
              <w:t>of patients.’</w:t>
            </w:r>
            <w:r w:rsidR="00BF2A4F">
              <w:t xml:space="preserve"> Based on patients switching from fortnightly injections to monthly and switching from 13.04 injections/yr to 12. </w:t>
            </w:r>
          </w:p>
          <w:p w14:paraId="2CB17643" w14:textId="71068630" w:rsidR="00BF2A4F" w:rsidRPr="0098262F" w:rsidRDefault="00BF2A4F" w:rsidP="009826C7">
            <w:pPr>
              <w:pStyle w:val="TableText"/>
            </w:pPr>
            <w:r>
              <w:t>Full fee $43.90, 80% used in analysis.</w:t>
            </w:r>
          </w:p>
        </w:tc>
        <w:tc>
          <w:tcPr>
            <w:tcW w:w="1780" w:type="pct"/>
            <w:vAlign w:val="center"/>
          </w:tcPr>
          <w:p w14:paraId="2F12B392" w14:textId="414D74E2" w:rsidR="004658B5" w:rsidRPr="00A94E64" w:rsidRDefault="00153657" w:rsidP="00153657">
            <w:pPr>
              <w:pStyle w:val="TableText"/>
            </w:pPr>
            <w:r w:rsidRPr="00A94E64">
              <w:t>Should not be included</w:t>
            </w:r>
          </w:p>
        </w:tc>
      </w:tr>
    </w:tbl>
    <w:p w14:paraId="454794EA" w14:textId="0A3F7B5C" w:rsidR="007925DF" w:rsidRPr="0098262F" w:rsidRDefault="00E42F73" w:rsidP="007925DF">
      <w:pPr>
        <w:pStyle w:val="FooterTableFigure"/>
      </w:pPr>
      <w:r w:rsidRPr="0098262F">
        <w:t>Source: Table</w:t>
      </w:r>
      <w:r w:rsidR="00153657">
        <w:t xml:space="preserve">s 4.1, 4.2, 4.3, 4.5 </w:t>
      </w:r>
      <w:r w:rsidR="0041585D">
        <w:t>pp189</w:t>
      </w:r>
      <w:r w:rsidR="002D15C9">
        <w:noBreakHyphen/>
      </w:r>
      <w:r w:rsidR="0041585D">
        <w:t xml:space="preserve">198, </w:t>
      </w:r>
      <w:r w:rsidRPr="0098262F">
        <w:t>of the submissio</w:t>
      </w:r>
      <w:r w:rsidR="0041585D">
        <w:t>n.</w:t>
      </w:r>
    </w:p>
    <w:p w14:paraId="26FB6670" w14:textId="674E5843" w:rsidR="00B505C8" w:rsidRPr="00F5712F" w:rsidRDefault="0041585D" w:rsidP="00F5712F">
      <w:pPr>
        <w:pStyle w:val="3-BodyText"/>
        <w:rPr>
          <w:color w:val="0066FF"/>
        </w:rPr>
      </w:pPr>
      <w:r>
        <w:t xml:space="preserve">The estimated use and financial impact of listing </w:t>
      </w:r>
      <w:r w:rsidR="00B7136F">
        <w:t>MR</w:t>
      </w:r>
      <w:r w:rsidR="0036274D">
        <w:t>SC risperidone</w:t>
      </w:r>
      <w:r>
        <w:t xml:space="preserve"> is shown in</w:t>
      </w:r>
      <w:r w:rsidR="00641E01">
        <w:t xml:space="preserve"> </w:t>
      </w:r>
      <w:r w:rsidR="00641E01">
        <w:fldChar w:fldCharType="begin"/>
      </w:r>
      <w:r w:rsidR="00641E01">
        <w:instrText xml:space="preserve"> REF _Ref104805295 \h </w:instrText>
      </w:r>
      <w:r w:rsidR="00641E01">
        <w:fldChar w:fldCharType="separate"/>
      </w:r>
      <w:r w:rsidR="002D15C9" w:rsidRPr="0098262F">
        <w:t xml:space="preserve">Table </w:t>
      </w:r>
      <w:r w:rsidR="002D15C9">
        <w:rPr>
          <w:noProof/>
        </w:rPr>
        <w:t>14</w:t>
      </w:r>
      <w:r w:rsidR="00641E01">
        <w:fldChar w:fldCharType="end"/>
      </w:r>
      <w:r w:rsidR="0063598E">
        <w:t>.</w:t>
      </w:r>
    </w:p>
    <w:p w14:paraId="38EC053C" w14:textId="615407EE" w:rsidR="00C25D9C" w:rsidRPr="0098262F" w:rsidRDefault="00E16AD8" w:rsidP="00E16AD8">
      <w:pPr>
        <w:pStyle w:val="Caption"/>
      </w:pPr>
      <w:bookmarkStart w:id="54" w:name="_Ref104805295"/>
      <w:r w:rsidRPr="0098262F">
        <w:lastRenderedPageBreak/>
        <w:t xml:space="preserve">Table </w:t>
      </w:r>
      <w:fldSimple w:instr=" SEQ Table \* ARABIC ">
        <w:r w:rsidR="002D15C9">
          <w:rPr>
            <w:noProof/>
          </w:rPr>
          <w:t>14</w:t>
        </w:r>
      </w:fldSimple>
      <w:bookmarkEnd w:id="54"/>
      <w:r w:rsidRPr="0098262F">
        <w:t>:</w:t>
      </w:r>
      <w:r w:rsidR="002A2F50" w:rsidRPr="0098262F">
        <w:rPr>
          <w:rStyle w:val="CommentReference"/>
          <w:b/>
          <w:szCs w:val="24"/>
        </w:rPr>
        <w:t xml:space="preserve"> Estimated use and financial implications</w:t>
      </w:r>
      <w:r w:rsidR="00BF2A4F">
        <w:rPr>
          <w:rStyle w:val="CommentReference"/>
          <w:b/>
          <w:szCs w:val="24"/>
        </w:rPr>
        <w:t>,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effective price"/>
      </w:tblPr>
      <w:tblGrid>
        <w:gridCol w:w="2405"/>
        <w:gridCol w:w="1102"/>
        <w:gridCol w:w="1102"/>
        <w:gridCol w:w="1102"/>
        <w:gridCol w:w="1102"/>
        <w:gridCol w:w="1102"/>
        <w:gridCol w:w="1102"/>
      </w:tblGrid>
      <w:tr w:rsidR="00385A9D" w:rsidRPr="0098262F" w14:paraId="43A2A3A1" w14:textId="77777777" w:rsidTr="008A3158">
        <w:trPr>
          <w:tblHeader/>
        </w:trPr>
        <w:tc>
          <w:tcPr>
            <w:tcW w:w="1334" w:type="pct"/>
            <w:vAlign w:val="center"/>
          </w:tcPr>
          <w:p w14:paraId="0A4E41E1" w14:textId="77777777" w:rsidR="00385A9D" w:rsidRPr="0098262F" w:rsidRDefault="00385A9D" w:rsidP="00900AB0">
            <w:pPr>
              <w:pStyle w:val="In-tableHeading"/>
            </w:pPr>
          </w:p>
        </w:tc>
        <w:tc>
          <w:tcPr>
            <w:tcW w:w="611" w:type="pct"/>
            <w:vAlign w:val="center"/>
          </w:tcPr>
          <w:p w14:paraId="77420B6F" w14:textId="77777777" w:rsidR="00385A9D" w:rsidRPr="0098262F" w:rsidRDefault="00385A9D" w:rsidP="00900AB0">
            <w:pPr>
              <w:pStyle w:val="In-tableHeading"/>
            </w:pPr>
            <w:r w:rsidRPr="0098262F">
              <w:t>Year 1</w:t>
            </w:r>
          </w:p>
        </w:tc>
        <w:tc>
          <w:tcPr>
            <w:tcW w:w="611" w:type="pct"/>
            <w:vAlign w:val="center"/>
          </w:tcPr>
          <w:p w14:paraId="3BBD9218" w14:textId="77777777" w:rsidR="00385A9D" w:rsidRPr="0098262F" w:rsidRDefault="00385A9D" w:rsidP="00900AB0">
            <w:pPr>
              <w:pStyle w:val="In-tableHeading"/>
            </w:pPr>
            <w:r w:rsidRPr="0098262F">
              <w:t>Year 2</w:t>
            </w:r>
          </w:p>
        </w:tc>
        <w:tc>
          <w:tcPr>
            <w:tcW w:w="611" w:type="pct"/>
            <w:vAlign w:val="center"/>
          </w:tcPr>
          <w:p w14:paraId="729A646E" w14:textId="77777777" w:rsidR="00385A9D" w:rsidRPr="0098262F" w:rsidRDefault="00385A9D" w:rsidP="00900AB0">
            <w:pPr>
              <w:pStyle w:val="In-tableHeading"/>
            </w:pPr>
            <w:r w:rsidRPr="0098262F">
              <w:t>Year 3</w:t>
            </w:r>
          </w:p>
        </w:tc>
        <w:tc>
          <w:tcPr>
            <w:tcW w:w="611" w:type="pct"/>
            <w:vAlign w:val="center"/>
          </w:tcPr>
          <w:p w14:paraId="280BB544" w14:textId="77777777" w:rsidR="00385A9D" w:rsidRPr="0098262F" w:rsidRDefault="00385A9D" w:rsidP="00900AB0">
            <w:pPr>
              <w:pStyle w:val="In-tableHeading"/>
            </w:pPr>
            <w:r w:rsidRPr="0098262F">
              <w:t>Year 4</w:t>
            </w:r>
          </w:p>
        </w:tc>
        <w:tc>
          <w:tcPr>
            <w:tcW w:w="611" w:type="pct"/>
            <w:vAlign w:val="center"/>
          </w:tcPr>
          <w:p w14:paraId="6435BB5B" w14:textId="77777777" w:rsidR="00385A9D" w:rsidRPr="0098262F" w:rsidRDefault="00385A9D" w:rsidP="00900AB0">
            <w:pPr>
              <w:pStyle w:val="In-tableHeading"/>
            </w:pPr>
            <w:r w:rsidRPr="0098262F">
              <w:t>Year 5</w:t>
            </w:r>
          </w:p>
        </w:tc>
        <w:tc>
          <w:tcPr>
            <w:tcW w:w="611" w:type="pct"/>
          </w:tcPr>
          <w:p w14:paraId="7C618119" w14:textId="77777777" w:rsidR="00385A9D" w:rsidRPr="0098262F" w:rsidRDefault="00385A9D" w:rsidP="00900AB0">
            <w:pPr>
              <w:pStyle w:val="In-tableHeading"/>
            </w:pPr>
            <w:r w:rsidRPr="0098262F">
              <w:t>Year 6</w:t>
            </w:r>
          </w:p>
        </w:tc>
      </w:tr>
      <w:tr w:rsidR="00385A9D" w:rsidRPr="0098262F" w14:paraId="3C519059" w14:textId="77777777" w:rsidTr="009C3A3A">
        <w:tc>
          <w:tcPr>
            <w:tcW w:w="5000" w:type="pct"/>
            <w:gridSpan w:val="7"/>
            <w:vAlign w:val="center"/>
          </w:tcPr>
          <w:p w14:paraId="516C2197" w14:textId="60D1B4CC" w:rsidR="00385A9D" w:rsidRPr="0098262F" w:rsidRDefault="00385A9D" w:rsidP="00900AB0">
            <w:pPr>
              <w:pStyle w:val="In-tableHeading"/>
            </w:pPr>
            <w:r w:rsidRPr="0098262F">
              <w:t>Estimated extent of use</w:t>
            </w:r>
            <w:r w:rsidR="0041585D">
              <w:t xml:space="preserve"> by preparation, scripts dispensed</w:t>
            </w:r>
          </w:p>
        </w:tc>
      </w:tr>
      <w:tr w:rsidR="00385A9D" w:rsidRPr="0098262F" w14:paraId="1CEE4D09" w14:textId="77777777" w:rsidTr="008A3158">
        <w:tc>
          <w:tcPr>
            <w:tcW w:w="1334" w:type="pct"/>
            <w:vAlign w:val="center"/>
          </w:tcPr>
          <w:p w14:paraId="229A1EDF" w14:textId="463F7346" w:rsidR="00385A9D" w:rsidRPr="0041585D" w:rsidRDefault="0041585D" w:rsidP="0041585D">
            <w:pPr>
              <w:pStyle w:val="TableText"/>
            </w:pPr>
            <w:r>
              <w:t>50</w:t>
            </w:r>
            <w:r w:rsidR="00F5712F">
              <w:t xml:space="preserve"> </w:t>
            </w:r>
            <w:r>
              <w:t>mg</w:t>
            </w:r>
          </w:p>
        </w:tc>
        <w:tc>
          <w:tcPr>
            <w:tcW w:w="611" w:type="pct"/>
            <w:vAlign w:val="center"/>
          </w:tcPr>
          <w:p w14:paraId="0D9F25C2" w14:textId="5DC3ABE0" w:rsidR="00385A9D" w:rsidRPr="00581383" w:rsidRDefault="009218AC" w:rsidP="009826C7">
            <w:pPr>
              <w:pStyle w:val="TableText"/>
              <w:rPr>
                <w:vertAlign w:val="superscript"/>
              </w:rPr>
            </w:pPr>
            <w:r w:rsidRPr="009218AC">
              <w:rPr>
                <w:sz w:val="2"/>
                <w:highlight w:val="black"/>
              </w:rPr>
              <w:t>redacted content</w:t>
            </w:r>
            <w:r w:rsidR="00581383">
              <w:rPr>
                <w:vertAlign w:val="superscript"/>
              </w:rPr>
              <w:t>1</w:t>
            </w:r>
          </w:p>
        </w:tc>
        <w:tc>
          <w:tcPr>
            <w:tcW w:w="611" w:type="pct"/>
            <w:vAlign w:val="center"/>
          </w:tcPr>
          <w:p w14:paraId="2D7847AA" w14:textId="09C7F9BB" w:rsidR="00385A9D" w:rsidRPr="0098262F" w:rsidRDefault="009218AC" w:rsidP="009826C7">
            <w:pPr>
              <w:pStyle w:val="TableText"/>
            </w:pPr>
            <w:r w:rsidRPr="009218AC">
              <w:rPr>
                <w:sz w:val="2"/>
                <w:highlight w:val="black"/>
              </w:rPr>
              <w:t>redacted content</w:t>
            </w:r>
            <w:r w:rsidR="00581383">
              <w:rPr>
                <w:vertAlign w:val="superscript"/>
              </w:rPr>
              <w:t>1</w:t>
            </w:r>
          </w:p>
        </w:tc>
        <w:tc>
          <w:tcPr>
            <w:tcW w:w="611" w:type="pct"/>
            <w:vAlign w:val="center"/>
          </w:tcPr>
          <w:p w14:paraId="7A620378" w14:textId="1CDEDC30" w:rsidR="00385A9D" w:rsidRPr="000E72F6" w:rsidRDefault="009218AC" w:rsidP="009826C7">
            <w:pPr>
              <w:pStyle w:val="TableText"/>
              <w:rPr>
                <w:vertAlign w:val="superscript"/>
              </w:rPr>
            </w:pPr>
            <w:r w:rsidRPr="009218AC">
              <w:rPr>
                <w:sz w:val="2"/>
                <w:highlight w:val="black"/>
              </w:rPr>
              <w:t>redacted content</w:t>
            </w:r>
            <w:r w:rsidR="000E72F6">
              <w:rPr>
                <w:vertAlign w:val="superscript"/>
              </w:rPr>
              <w:t>2</w:t>
            </w:r>
          </w:p>
        </w:tc>
        <w:tc>
          <w:tcPr>
            <w:tcW w:w="611" w:type="pct"/>
            <w:vAlign w:val="center"/>
          </w:tcPr>
          <w:p w14:paraId="1D2C1413" w14:textId="4065A79D" w:rsidR="00385A9D" w:rsidRPr="0098262F" w:rsidRDefault="009218AC" w:rsidP="009826C7">
            <w:pPr>
              <w:pStyle w:val="TableText"/>
            </w:pPr>
            <w:r w:rsidRPr="009218AC">
              <w:rPr>
                <w:sz w:val="2"/>
                <w:highlight w:val="black"/>
              </w:rPr>
              <w:t>redacted content</w:t>
            </w:r>
            <w:r w:rsidR="000E72F6">
              <w:rPr>
                <w:vertAlign w:val="superscript"/>
              </w:rPr>
              <w:t>2</w:t>
            </w:r>
          </w:p>
        </w:tc>
        <w:tc>
          <w:tcPr>
            <w:tcW w:w="611" w:type="pct"/>
            <w:vAlign w:val="center"/>
          </w:tcPr>
          <w:p w14:paraId="3F0ACB95" w14:textId="13FF73B2" w:rsidR="00385A9D" w:rsidRPr="0098262F" w:rsidRDefault="009218AC" w:rsidP="009826C7">
            <w:pPr>
              <w:pStyle w:val="TableText"/>
            </w:pPr>
            <w:r w:rsidRPr="009218AC">
              <w:rPr>
                <w:sz w:val="2"/>
                <w:highlight w:val="black"/>
              </w:rPr>
              <w:t>redacted content</w:t>
            </w:r>
            <w:r w:rsidR="000E72F6">
              <w:rPr>
                <w:vertAlign w:val="superscript"/>
              </w:rPr>
              <w:t>2</w:t>
            </w:r>
          </w:p>
        </w:tc>
        <w:tc>
          <w:tcPr>
            <w:tcW w:w="611" w:type="pct"/>
          </w:tcPr>
          <w:p w14:paraId="1C30F331" w14:textId="69773D7B" w:rsidR="00385A9D" w:rsidRPr="0098262F" w:rsidRDefault="009218AC" w:rsidP="009826C7">
            <w:pPr>
              <w:pStyle w:val="TableText"/>
            </w:pPr>
            <w:r w:rsidRPr="009218AC">
              <w:rPr>
                <w:sz w:val="2"/>
                <w:highlight w:val="black"/>
              </w:rPr>
              <w:t>redacted content</w:t>
            </w:r>
            <w:r w:rsidR="000E72F6">
              <w:rPr>
                <w:vertAlign w:val="superscript"/>
              </w:rPr>
              <w:t>2</w:t>
            </w:r>
          </w:p>
        </w:tc>
      </w:tr>
      <w:tr w:rsidR="0041585D" w:rsidRPr="0098262F" w14:paraId="358ACACB" w14:textId="77777777" w:rsidTr="008A3158">
        <w:tc>
          <w:tcPr>
            <w:tcW w:w="1334" w:type="pct"/>
            <w:vAlign w:val="center"/>
          </w:tcPr>
          <w:p w14:paraId="528BE5F9" w14:textId="329ACEFE" w:rsidR="0041585D" w:rsidRPr="0098262F" w:rsidRDefault="0041585D" w:rsidP="009826C7">
            <w:pPr>
              <w:pStyle w:val="TableText"/>
            </w:pPr>
            <w:r>
              <w:t>75</w:t>
            </w:r>
            <w:r w:rsidR="00F5712F">
              <w:t xml:space="preserve"> </w:t>
            </w:r>
            <w:r>
              <w:t>mg</w:t>
            </w:r>
          </w:p>
        </w:tc>
        <w:tc>
          <w:tcPr>
            <w:tcW w:w="611" w:type="pct"/>
            <w:vAlign w:val="center"/>
          </w:tcPr>
          <w:p w14:paraId="5C026243" w14:textId="766275FE" w:rsidR="0041585D" w:rsidRPr="00581383" w:rsidRDefault="009218AC" w:rsidP="009826C7">
            <w:pPr>
              <w:pStyle w:val="TableText"/>
              <w:rPr>
                <w:vertAlign w:val="superscript"/>
              </w:rPr>
            </w:pPr>
            <w:r w:rsidRPr="009218AC">
              <w:rPr>
                <w:sz w:val="2"/>
                <w:highlight w:val="black"/>
              </w:rPr>
              <w:t>redacted content</w:t>
            </w:r>
            <w:r w:rsidR="00581383">
              <w:rPr>
                <w:vertAlign w:val="superscript"/>
              </w:rPr>
              <w:t>1</w:t>
            </w:r>
          </w:p>
        </w:tc>
        <w:tc>
          <w:tcPr>
            <w:tcW w:w="611" w:type="pct"/>
            <w:vAlign w:val="center"/>
          </w:tcPr>
          <w:p w14:paraId="62809841" w14:textId="7D73413E" w:rsidR="0041585D" w:rsidRPr="0098262F" w:rsidRDefault="009218AC" w:rsidP="009826C7">
            <w:pPr>
              <w:pStyle w:val="TableText"/>
            </w:pPr>
            <w:r w:rsidRPr="009218AC">
              <w:rPr>
                <w:sz w:val="2"/>
                <w:highlight w:val="black"/>
              </w:rPr>
              <w:t>redacted content</w:t>
            </w:r>
            <w:r w:rsidR="000E72F6">
              <w:rPr>
                <w:vertAlign w:val="superscript"/>
              </w:rPr>
              <w:t>2</w:t>
            </w:r>
          </w:p>
        </w:tc>
        <w:tc>
          <w:tcPr>
            <w:tcW w:w="611" w:type="pct"/>
            <w:vAlign w:val="center"/>
          </w:tcPr>
          <w:p w14:paraId="7A5DCF60" w14:textId="558AC9F8" w:rsidR="0041585D" w:rsidRPr="0098262F" w:rsidRDefault="009218AC" w:rsidP="009826C7">
            <w:pPr>
              <w:pStyle w:val="TableText"/>
            </w:pPr>
            <w:r w:rsidRPr="009218AC">
              <w:rPr>
                <w:sz w:val="2"/>
                <w:highlight w:val="black"/>
              </w:rPr>
              <w:t>redacted content</w:t>
            </w:r>
            <w:r w:rsidR="000E72F6">
              <w:rPr>
                <w:vertAlign w:val="superscript"/>
              </w:rPr>
              <w:t>2</w:t>
            </w:r>
          </w:p>
        </w:tc>
        <w:tc>
          <w:tcPr>
            <w:tcW w:w="611" w:type="pct"/>
            <w:vAlign w:val="center"/>
          </w:tcPr>
          <w:p w14:paraId="7BE986F0" w14:textId="03CB00BA" w:rsidR="0041585D" w:rsidRPr="000E72F6" w:rsidRDefault="009218AC" w:rsidP="009826C7">
            <w:pPr>
              <w:pStyle w:val="TableText"/>
              <w:rPr>
                <w:vertAlign w:val="superscript"/>
              </w:rPr>
            </w:pPr>
            <w:r w:rsidRPr="009218AC">
              <w:rPr>
                <w:sz w:val="2"/>
                <w:highlight w:val="black"/>
              </w:rPr>
              <w:t>redacted content</w:t>
            </w:r>
            <w:r w:rsidR="000E72F6">
              <w:rPr>
                <w:vertAlign w:val="superscript"/>
              </w:rPr>
              <w:t>3</w:t>
            </w:r>
          </w:p>
        </w:tc>
        <w:tc>
          <w:tcPr>
            <w:tcW w:w="611" w:type="pct"/>
            <w:vAlign w:val="center"/>
          </w:tcPr>
          <w:p w14:paraId="48EAA923" w14:textId="59AD51C3" w:rsidR="0041585D" w:rsidRPr="00FD0545" w:rsidRDefault="009218AC" w:rsidP="009826C7">
            <w:pPr>
              <w:pStyle w:val="TableText"/>
              <w:rPr>
                <w:vertAlign w:val="superscript"/>
              </w:rPr>
            </w:pPr>
            <w:r w:rsidRPr="009218AC">
              <w:rPr>
                <w:sz w:val="2"/>
                <w:highlight w:val="black"/>
              </w:rPr>
              <w:t>redacted content</w:t>
            </w:r>
            <w:r w:rsidR="00FD0545">
              <w:rPr>
                <w:vertAlign w:val="superscript"/>
              </w:rPr>
              <w:t>3</w:t>
            </w:r>
          </w:p>
        </w:tc>
        <w:tc>
          <w:tcPr>
            <w:tcW w:w="611" w:type="pct"/>
          </w:tcPr>
          <w:p w14:paraId="6D67789B" w14:textId="04E3290D" w:rsidR="0041585D" w:rsidRPr="00301DBD" w:rsidRDefault="009218AC" w:rsidP="009826C7">
            <w:pPr>
              <w:pStyle w:val="TableText"/>
              <w:rPr>
                <w:highlight w:val="lightGray"/>
              </w:rPr>
            </w:pPr>
            <w:r w:rsidRPr="009218AC">
              <w:rPr>
                <w:sz w:val="2"/>
                <w:highlight w:val="black"/>
              </w:rPr>
              <w:t>redacted content</w:t>
            </w:r>
            <w:r w:rsidR="00FD0545" w:rsidRPr="00487FC4">
              <w:rPr>
                <w:vertAlign w:val="superscript"/>
              </w:rPr>
              <w:t>3</w:t>
            </w:r>
          </w:p>
        </w:tc>
      </w:tr>
      <w:tr w:rsidR="0041585D" w:rsidRPr="0098262F" w14:paraId="642089E4" w14:textId="77777777" w:rsidTr="008A3158">
        <w:tc>
          <w:tcPr>
            <w:tcW w:w="1334" w:type="pct"/>
            <w:vAlign w:val="center"/>
          </w:tcPr>
          <w:p w14:paraId="7B223BB5" w14:textId="4185A685" w:rsidR="0041585D" w:rsidRPr="0098262F" w:rsidRDefault="0041585D" w:rsidP="009826C7">
            <w:pPr>
              <w:pStyle w:val="TableText"/>
            </w:pPr>
            <w:r>
              <w:t>100</w:t>
            </w:r>
            <w:r w:rsidR="00F5712F">
              <w:t xml:space="preserve"> </w:t>
            </w:r>
            <w:r>
              <w:t>mg</w:t>
            </w:r>
          </w:p>
        </w:tc>
        <w:tc>
          <w:tcPr>
            <w:tcW w:w="611" w:type="pct"/>
            <w:vAlign w:val="center"/>
          </w:tcPr>
          <w:p w14:paraId="6B59818B" w14:textId="3E68D82D" w:rsidR="0041585D" w:rsidRPr="00487FC4" w:rsidRDefault="009218AC" w:rsidP="009826C7">
            <w:pPr>
              <w:pStyle w:val="TableText"/>
              <w:rPr>
                <w:vertAlign w:val="superscript"/>
              </w:rPr>
            </w:pPr>
            <w:r w:rsidRPr="009218AC">
              <w:rPr>
                <w:sz w:val="2"/>
                <w:highlight w:val="black"/>
              </w:rPr>
              <w:t>redacted content</w:t>
            </w:r>
            <w:r w:rsidR="00874E8E" w:rsidRPr="00487FC4">
              <w:rPr>
                <w:vertAlign w:val="superscript"/>
              </w:rPr>
              <w:t>2</w:t>
            </w:r>
          </w:p>
        </w:tc>
        <w:tc>
          <w:tcPr>
            <w:tcW w:w="611" w:type="pct"/>
            <w:vAlign w:val="center"/>
          </w:tcPr>
          <w:p w14:paraId="63CB95D3" w14:textId="666F96EE" w:rsidR="0041585D" w:rsidRPr="00301DBD" w:rsidRDefault="009218AC" w:rsidP="009826C7">
            <w:pPr>
              <w:pStyle w:val="TableText"/>
              <w:rPr>
                <w:highlight w:val="lightGray"/>
              </w:rPr>
            </w:pPr>
            <w:r w:rsidRPr="009218AC">
              <w:rPr>
                <w:sz w:val="2"/>
                <w:highlight w:val="black"/>
              </w:rPr>
              <w:t>redacted content</w:t>
            </w:r>
            <w:r w:rsidR="00874E8E" w:rsidRPr="00487FC4">
              <w:rPr>
                <w:vertAlign w:val="superscript"/>
              </w:rPr>
              <w:t>3</w:t>
            </w:r>
          </w:p>
        </w:tc>
        <w:tc>
          <w:tcPr>
            <w:tcW w:w="611" w:type="pct"/>
            <w:vAlign w:val="center"/>
          </w:tcPr>
          <w:p w14:paraId="143FA1E3" w14:textId="6CF2445E" w:rsidR="0041585D" w:rsidRPr="00301DBD" w:rsidRDefault="009218AC" w:rsidP="009826C7">
            <w:pPr>
              <w:pStyle w:val="TableText"/>
              <w:rPr>
                <w:highlight w:val="lightGray"/>
              </w:rPr>
            </w:pPr>
            <w:r w:rsidRPr="009218AC">
              <w:rPr>
                <w:sz w:val="2"/>
                <w:highlight w:val="black"/>
              </w:rPr>
              <w:t>redacted content</w:t>
            </w:r>
            <w:r w:rsidR="00874E8E" w:rsidRPr="00487FC4">
              <w:rPr>
                <w:vertAlign w:val="superscript"/>
              </w:rPr>
              <w:t>3</w:t>
            </w:r>
          </w:p>
        </w:tc>
        <w:tc>
          <w:tcPr>
            <w:tcW w:w="611" w:type="pct"/>
            <w:vAlign w:val="center"/>
          </w:tcPr>
          <w:p w14:paraId="683239F5" w14:textId="1BF9CC83" w:rsidR="0041585D" w:rsidRPr="00487FC4" w:rsidRDefault="009218AC" w:rsidP="009826C7">
            <w:pPr>
              <w:pStyle w:val="TableText"/>
              <w:rPr>
                <w:vertAlign w:val="superscript"/>
              </w:rPr>
            </w:pPr>
            <w:r w:rsidRPr="009218AC">
              <w:rPr>
                <w:sz w:val="2"/>
                <w:highlight w:val="black"/>
              </w:rPr>
              <w:t>redacted content</w:t>
            </w:r>
            <w:r w:rsidR="00A25AC5" w:rsidRPr="00487FC4">
              <w:rPr>
                <w:vertAlign w:val="superscript"/>
              </w:rPr>
              <w:t>4</w:t>
            </w:r>
          </w:p>
        </w:tc>
        <w:tc>
          <w:tcPr>
            <w:tcW w:w="611" w:type="pct"/>
            <w:vAlign w:val="center"/>
          </w:tcPr>
          <w:p w14:paraId="69E66A8E" w14:textId="5949096C" w:rsidR="0041585D" w:rsidRPr="00301DBD" w:rsidRDefault="009218AC" w:rsidP="009826C7">
            <w:pPr>
              <w:pStyle w:val="TableText"/>
              <w:rPr>
                <w:highlight w:val="lightGray"/>
              </w:rPr>
            </w:pPr>
            <w:r w:rsidRPr="009218AC">
              <w:rPr>
                <w:sz w:val="2"/>
                <w:highlight w:val="black"/>
              </w:rPr>
              <w:t>redacted content</w:t>
            </w:r>
            <w:r w:rsidR="00A25AC5" w:rsidRPr="00487FC4">
              <w:rPr>
                <w:vertAlign w:val="superscript"/>
              </w:rPr>
              <w:t>4</w:t>
            </w:r>
          </w:p>
        </w:tc>
        <w:tc>
          <w:tcPr>
            <w:tcW w:w="611" w:type="pct"/>
          </w:tcPr>
          <w:p w14:paraId="4792C1C5" w14:textId="05922B2B" w:rsidR="0041585D" w:rsidRPr="00301DBD" w:rsidRDefault="009218AC" w:rsidP="009826C7">
            <w:pPr>
              <w:pStyle w:val="TableText"/>
              <w:rPr>
                <w:highlight w:val="lightGray"/>
              </w:rPr>
            </w:pPr>
            <w:r w:rsidRPr="009218AC">
              <w:rPr>
                <w:sz w:val="2"/>
                <w:highlight w:val="black"/>
              </w:rPr>
              <w:t>redacted content</w:t>
            </w:r>
            <w:r w:rsidR="00A25AC5" w:rsidRPr="00487FC4">
              <w:rPr>
                <w:vertAlign w:val="superscript"/>
              </w:rPr>
              <w:t>4</w:t>
            </w:r>
          </w:p>
        </w:tc>
      </w:tr>
      <w:tr w:rsidR="0041585D" w:rsidRPr="0098262F" w14:paraId="319FFCC2" w14:textId="77777777" w:rsidTr="008A3158">
        <w:tc>
          <w:tcPr>
            <w:tcW w:w="1334" w:type="pct"/>
            <w:vAlign w:val="center"/>
          </w:tcPr>
          <w:p w14:paraId="48EA5571" w14:textId="52A5C74F" w:rsidR="0041585D" w:rsidRPr="0098262F" w:rsidRDefault="0041585D" w:rsidP="009826C7">
            <w:pPr>
              <w:pStyle w:val="TableText"/>
            </w:pPr>
            <w:r>
              <w:t>125</w:t>
            </w:r>
            <w:r w:rsidR="00F5712F">
              <w:t xml:space="preserve"> </w:t>
            </w:r>
            <w:r>
              <w:t>mg</w:t>
            </w:r>
          </w:p>
        </w:tc>
        <w:tc>
          <w:tcPr>
            <w:tcW w:w="611" w:type="pct"/>
            <w:vAlign w:val="center"/>
          </w:tcPr>
          <w:p w14:paraId="60DC9907" w14:textId="24DAFDB7" w:rsidR="0041585D" w:rsidRPr="00301DBD" w:rsidRDefault="009218AC" w:rsidP="009826C7">
            <w:pPr>
              <w:pStyle w:val="TableText"/>
              <w:rPr>
                <w:highlight w:val="lightGray"/>
              </w:rPr>
            </w:pPr>
            <w:r w:rsidRPr="009218AC">
              <w:rPr>
                <w:sz w:val="2"/>
                <w:highlight w:val="black"/>
              </w:rPr>
              <w:t>redacted content</w:t>
            </w:r>
            <w:r w:rsidR="00874E8E" w:rsidRPr="00487FC4">
              <w:rPr>
                <w:vertAlign w:val="superscript"/>
              </w:rPr>
              <w:t>2</w:t>
            </w:r>
          </w:p>
        </w:tc>
        <w:tc>
          <w:tcPr>
            <w:tcW w:w="611" w:type="pct"/>
            <w:vAlign w:val="center"/>
          </w:tcPr>
          <w:p w14:paraId="09E79E9A" w14:textId="513D20F4" w:rsidR="0041585D" w:rsidRPr="00301DBD" w:rsidRDefault="009218AC" w:rsidP="009826C7">
            <w:pPr>
              <w:pStyle w:val="TableText"/>
              <w:rPr>
                <w:highlight w:val="lightGray"/>
              </w:rPr>
            </w:pPr>
            <w:r w:rsidRPr="009218AC">
              <w:rPr>
                <w:sz w:val="2"/>
                <w:highlight w:val="black"/>
              </w:rPr>
              <w:t>redacted content</w:t>
            </w:r>
            <w:r w:rsidR="00874E8E" w:rsidRPr="00487FC4">
              <w:rPr>
                <w:vertAlign w:val="superscript"/>
              </w:rPr>
              <w:t>3</w:t>
            </w:r>
          </w:p>
        </w:tc>
        <w:tc>
          <w:tcPr>
            <w:tcW w:w="611" w:type="pct"/>
            <w:vAlign w:val="center"/>
          </w:tcPr>
          <w:p w14:paraId="15BC337E" w14:textId="1D6F7998" w:rsidR="0041585D" w:rsidRPr="00301DBD" w:rsidRDefault="009218AC" w:rsidP="009826C7">
            <w:pPr>
              <w:pStyle w:val="TableText"/>
              <w:rPr>
                <w:highlight w:val="lightGray"/>
              </w:rPr>
            </w:pPr>
            <w:r w:rsidRPr="009218AC">
              <w:rPr>
                <w:sz w:val="2"/>
                <w:highlight w:val="black"/>
              </w:rPr>
              <w:t>redacted content</w:t>
            </w:r>
            <w:r w:rsidR="00874E8E" w:rsidRPr="00487FC4">
              <w:rPr>
                <w:vertAlign w:val="superscript"/>
              </w:rPr>
              <w:t>3</w:t>
            </w:r>
          </w:p>
        </w:tc>
        <w:tc>
          <w:tcPr>
            <w:tcW w:w="611" w:type="pct"/>
            <w:vAlign w:val="center"/>
          </w:tcPr>
          <w:p w14:paraId="70102F6E" w14:textId="6EA8074D" w:rsidR="0041585D" w:rsidRPr="00487FC4" w:rsidRDefault="009218AC" w:rsidP="009826C7">
            <w:pPr>
              <w:pStyle w:val="TableText"/>
              <w:rPr>
                <w:vertAlign w:val="superscript"/>
              </w:rPr>
            </w:pPr>
            <w:r w:rsidRPr="009218AC">
              <w:rPr>
                <w:sz w:val="2"/>
                <w:highlight w:val="black"/>
              </w:rPr>
              <w:t>redacted content</w:t>
            </w:r>
            <w:r w:rsidR="00A25AC5" w:rsidRPr="00487FC4">
              <w:rPr>
                <w:vertAlign w:val="superscript"/>
              </w:rPr>
              <w:t>3</w:t>
            </w:r>
          </w:p>
        </w:tc>
        <w:tc>
          <w:tcPr>
            <w:tcW w:w="611" w:type="pct"/>
            <w:vAlign w:val="center"/>
          </w:tcPr>
          <w:p w14:paraId="37F873D1" w14:textId="40024C20" w:rsidR="0041585D" w:rsidRPr="00301DBD" w:rsidRDefault="009218AC" w:rsidP="009826C7">
            <w:pPr>
              <w:pStyle w:val="TableText"/>
              <w:rPr>
                <w:highlight w:val="lightGray"/>
              </w:rPr>
            </w:pPr>
            <w:r w:rsidRPr="009218AC">
              <w:rPr>
                <w:sz w:val="2"/>
                <w:highlight w:val="black"/>
              </w:rPr>
              <w:t>redacted content</w:t>
            </w:r>
            <w:r w:rsidR="00A25AC5" w:rsidRPr="00487FC4">
              <w:rPr>
                <w:vertAlign w:val="superscript"/>
              </w:rPr>
              <w:t>4</w:t>
            </w:r>
          </w:p>
        </w:tc>
        <w:tc>
          <w:tcPr>
            <w:tcW w:w="611" w:type="pct"/>
          </w:tcPr>
          <w:p w14:paraId="517FDF22" w14:textId="37DDD92B" w:rsidR="0041585D" w:rsidRPr="00301DBD" w:rsidRDefault="009218AC" w:rsidP="009826C7">
            <w:pPr>
              <w:pStyle w:val="TableText"/>
              <w:rPr>
                <w:highlight w:val="lightGray"/>
              </w:rPr>
            </w:pPr>
            <w:r w:rsidRPr="009218AC">
              <w:rPr>
                <w:sz w:val="2"/>
                <w:highlight w:val="black"/>
              </w:rPr>
              <w:t>redacted content</w:t>
            </w:r>
            <w:r w:rsidR="00A25AC5" w:rsidRPr="00487FC4">
              <w:rPr>
                <w:vertAlign w:val="superscript"/>
              </w:rPr>
              <w:t>4</w:t>
            </w:r>
          </w:p>
        </w:tc>
      </w:tr>
      <w:tr w:rsidR="0041585D" w:rsidRPr="0098262F" w14:paraId="384A3796" w14:textId="77777777" w:rsidTr="008A3158">
        <w:tc>
          <w:tcPr>
            <w:tcW w:w="1334" w:type="pct"/>
            <w:vAlign w:val="center"/>
          </w:tcPr>
          <w:p w14:paraId="527E43A8" w14:textId="6811E6F3" w:rsidR="0041585D" w:rsidRPr="0098262F" w:rsidRDefault="0041585D" w:rsidP="009826C7">
            <w:pPr>
              <w:pStyle w:val="TableText"/>
            </w:pPr>
            <w:r>
              <w:t xml:space="preserve">Total </w:t>
            </w:r>
          </w:p>
        </w:tc>
        <w:tc>
          <w:tcPr>
            <w:tcW w:w="611" w:type="pct"/>
            <w:vAlign w:val="center"/>
          </w:tcPr>
          <w:p w14:paraId="50F66B95" w14:textId="5C117BC1" w:rsidR="0041585D" w:rsidRPr="00487FC4" w:rsidRDefault="009218AC" w:rsidP="009826C7">
            <w:pPr>
              <w:pStyle w:val="TableText"/>
              <w:rPr>
                <w:vertAlign w:val="superscript"/>
              </w:rPr>
            </w:pPr>
            <w:r w:rsidRPr="009218AC">
              <w:rPr>
                <w:sz w:val="2"/>
                <w:highlight w:val="black"/>
              </w:rPr>
              <w:t>redacted content</w:t>
            </w:r>
            <w:r w:rsidR="00A25AC5" w:rsidRPr="00487FC4">
              <w:rPr>
                <w:vertAlign w:val="superscript"/>
              </w:rPr>
              <w:t>3</w:t>
            </w:r>
          </w:p>
        </w:tc>
        <w:tc>
          <w:tcPr>
            <w:tcW w:w="611" w:type="pct"/>
            <w:vAlign w:val="center"/>
          </w:tcPr>
          <w:p w14:paraId="188A0E05" w14:textId="2338A569" w:rsidR="0041585D" w:rsidRPr="00487FC4" w:rsidRDefault="009218AC" w:rsidP="009826C7">
            <w:pPr>
              <w:pStyle w:val="TableText"/>
              <w:rPr>
                <w:vertAlign w:val="superscript"/>
              </w:rPr>
            </w:pPr>
            <w:r w:rsidRPr="009218AC">
              <w:rPr>
                <w:sz w:val="2"/>
                <w:highlight w:val="black"/>
              </w:rPr>
              <w:t>redacted content</w:t>
            </w:r>
            <w:r w:rsidR="00AF51A8" w:rsidRPr="00487FC4">
              <w:rPr>
                <w:vertAlign w:val="superscript"/>
              </w:rPr>
              <w:t>5</w:t>
            </w:r>
          </w:p>
        </w:tc>
        <w:tc>
          <w:tcPr>
            <w:tcW w:w="611" w:type="pct"/>
            <w:vAlign w:val="center"/>
          </w:tcPr>
          <w:p w14:paraId="034895F6" w14:textId="429955C9" w:rsidR="0041585D" w:rsidRPr="00487FC4" w:rsidRDefault="009218AC" w:rsidP="009826C7">
            <w:pPr>
              <w:pStyle w:val="TableText"/>
              <w:rPr>
                <w:vertAlign w:val="superscript"/>
              </w:rPr>
            </w:pPr>
            <w:r w:rsidRPr="009218AC">
              <w:rPr>
                <w:sz w:val="2"/>
                <w:highlight w:val="black"/>
              </w:rPr>
              <w:t>redacted content</w:t>
            </w:r>
            <w:r w:rsidR="00FE031C" w:rsidRPr="00487FC4">
              <w:rPr>
                <w:vertAlign w:val="superscript"/>
              </w:rPr>
              <w:t>6</w:t>
            </w:r>
          </w:p>
        </w:tc>
        <w:tc>
          <w:tcPr>
            <w:tcW w:w="611" w:type="pct"/>
            <w:vAlign w:val="center"/>
          </w:tcPr>
          <w:p w14:paraId="12AD9E11" w14:textId="43B03F3E" w:rsidR="0041585D" w:rsidRPr="00487FC4" w:rsidRDefault="009218AC" w:rsidP="009826C7">
            <w:pPr>
              <w:pStyle w:val="TableText"/>
              <w:rPr>
                <w:vertAlign w:val="superscript"/>
              </w:rPr>
            </w:pPr>
            <w:r w:rsidRPr="009218AC">
              <w:rPr>
                <w:sz w:val="2"/>
                <w:highlight w:val="black"/>
              </w:rPr>
              <w:t>redacted content</w:t>
            </w:r>
            <w:r w:rsidR="00916BF8" w:rsidRPr="00487FC4">
              <w:rPr>
                <w:vertAlign w:val="superscript"/>
              </w:rPr>
              <w:t>5</w:t>
            </w:r>
          </w:p>
        </w:tc>
        <w:tc>
          <w:tcPr>
            <w:tcW w:w="611" w:type="pct"/>
            <w:vAlign w:val="center"/>
          </w:tcPr>
          <w:p w14:paraId="29959F49" w14:textId="7DA7CBE1" w:rsidR="0041585D" w:rsidRPr="00487FC4" w:rsidRDefault="009218AC" w:rsidP="009826C7">
            <w:pPr>
              <w:pStyle w:val="TableText"/>
              <w:rPr>
                <w:vertAlign w:val="superscript"/>
              </w:rPr>
            </w:pPr>
            <w:r w:rsidRPr="009218AC">
              <w:rPr>
                <w:sz w:val="2"/>
                <w:highlight w:val="black"/>
              </w:rPr>
              <w:t>redacted content</w:t>
            </w:r>
            <w:r w:rsidR="00916BF8" w:rsidRPr="00487FC4">
              <w:rPr>
                <w:vertAlign w:val="superscript"/>
              </w:rPr>
              <w:t>5</w:t>
            </w:r>
          </w:p>
        </w:tc>
        <w:tc>
          <w:tcPr>
            <w:tcW w:w="611" w:type="pct"/>
          </w:tcPr>
          <w:p w14:paraId="6C0C8B55" w14:textId="6977E74B" w:rsidR="0041585D" w:rsidRPr="00487FC4" w:rsidRDefault="009218AC" w:rsidP="009826C7">
            <w:pPr>
              <w:pStyle w:val="TableText"/>
              <w:rPr>
                <w:vertAlign w:val="superscript"/>
              </w:rPr>
            </w:pPr>
            <w:r w:rsidRPr="009218AC">
              <w:rPr>
                <w:sz w:val="2"/>
                <w:highlight w:val="black"/>
              </w:rPr>
              <w:t>redacted content</w:t>
            </w:r>
            <w:r w:rsidR="002D7C9D" w:rsidRPr="00487FC4">
              <w:rPr>
                <w:vertAlign w:val="superscript"/>
              </w:rPr>
              <w:t>6</w:t>
            </w:r>
          </w:p>
        </w:tc>
      </w:tr>
      <w:tr w:rsidR="00385A9D" w:rsidRPr="0098262F" w14:paraId="1E699D47" w14:textId="77777777" w:rsidTr="009C3A3A">
        <w:tc>
          <w:tcPr>
            <w:tcW w:w="5000" w:type="pct"/>
            <w:gridSpan w:val="7"/>
            <w:vAlign w:val="center"/>
          </w:tcPr>
          <w:p w14:paraId="7D0E0884" w14:textId="24E41322" w:rsidR="00385A9D" w:rsidRPr="0098262F" w:rsidRDefault="00385A9D" w:rsidP="00900AB0">
            <w:pPr>
              <w:pStyle w:val="In-tableHeading"/>
            </w:pPr>
            <w:r w:rsidRPr="0098262F">
              <w:t xml:space="preserve">Estimated financial implications of </w:t>
            </w:r>
            <w:r w:rsidR="00B7136F">
              <w:t>MR</w:t>
            </w:r>
            <w:r w:rsidR="00F5712F">
              <w:t>SC risperidone</w:t>
            </w:r>
          </w:p>
        </w:tc>
      </w:tr>
      <w:tr w:rsidR="00BF2A4F" w:rsidRPr="0098262F" w14:paraId="4B4ACF1A" w14:textId="77777777">
        <w:tc>
          <w:tcPr>
            <w:tcW w:w="1334" w:type="pct"/>
            <w:vAlign w:val="center"/>
          </w:tcPr>
          <w:p w14:paraId="467993BD" w14:textId="618A57F1" w:rsidR="00BF2A4F" w:rsidRPr="0098262F" w:rsidRDefault="00BF2A4F" w:rsidP="00BF2A4F">
            <w:pPr>
              <w:pStyle w:val="TableText"/>
            </w:pPr>
            <w:r w:rsidRPr="0098262F">
              <w:t>Cost to PBS/RPBS less copayments</w:t>
            </w:r>
          </w:p>
        </w:tc>
        <w:tc>
          <w:tcPr>
            <w:tcW w:w="611" w:type="pct"/>
          </w:tcPr>
          <w:p w14:paraId="4125A2B6" w14:textId="35A7639F" w:rsidR="00BF2A4F" w:rsidRPr="00487FC4" w:rsidRDefault="00487FC4" w:rsidP="00BF2A4F">
            <w:pPr>
              <w:pStyle w:val="TableText"/>
              <w:rPr>
                <w:vertAlign w:val="superscript"/>
              </w:rPr>
            </w:pPr>
            <w:r w:rsidRPr="00487FC4">
              <w:t>$</w:t>
            </w:r>
            <w:r w:rsidR="009218AC" w:rsidRPr="009218AC">
              <w:rPr>
                <w:sz w:val="2"/>
                <w:highlight w:val="black"/>
              </w:rPr>
              <w:t>redacted content</w:t>
            </w:r>
            <w:r w:rsidR="00AE232C" w:rsidRPr="00487FC4">
              <w:rPr>
                <w:vertAlign w:val="superscript"/>
              </w:rPr>
              <w:t>7</w:t>
            </w:r>
          </w:p>
        </w:tc>
        <w:tc>
          <w:tcPr>
            <w:tcW w:w="611" w:type="pct"/>
          </w:tcPr>
          <w:p w14:paraId="5BDFECEB" w14:textId="76DA0575"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890D42E" w14:textId="7BE46DD0" w:rsidR="00BF2A4F" w:rsidRPr="00487FC4" w:rsidRDefault="00487FC4" w:rsidP="00BF2A4F">
            <w:pPr>
              <w:pStyle w:val="TableText"/>
              <w:rPr>
                <w:vertAlign w:val="superscript"/>
              </w:rPr>
            </w:pPr>
            <w:r w:rsidRPr="00487FC4">
              <w:t>$</w:t>
            </w:r>
            <w:r w:rsidR="009218AC" w:rsidRPr="009218AC">
              <w:rPr>
                <w:sz w:val="2"/>
                <w:highlight w:val="black"/>
              </w:rPr>
              <w:t>redacted content</w:t>
            </w:r>
            <w:r w:rsidRPr="00487FC4">
              <w:rPr>
                <w:vertAlign w:val="superscript"/>
              </w:rPr>
              <w:t>8</w:t>
            </w:r>
          </w:p>
        </w:tc>
        <w:tc>
          <w:tcPr>
            <w:tcW w:w="611" w:type="pct"/>
          </w:tcPr>
          <w:p w14:paraId="2728B643" w14:textId="456A9089"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c>
          <w:tcPr>
            <w:tcW w:w="611" w:type="pct"/>
          </w:tcPr>
          <w:p w14:paraId="5FE5021A" w14:textId="0724252B"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c>
          <w:tcPr>
            <w:tcW w:w="611" w:type="pct"/>
          </w:tcPr>
          <w:p w14:paraId="6F8E9082" w14:textId="2D2F7A86"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r>
      <w:tr w:rsidR="00BF2A4F" w:rsidRPr="0098262F" w14:paraId="344AC0E2" w14:textId="77777777" w:rsidTr="009C3A3A">
        <w:tc>
          <w:tcPr>
            <w:tcW w:w="5000" w:type="pct"/>
            <w:gridSpan w:val="7"/>
            <w:vAlign w:val="center"/>
          </w:tcPr>
          <w:p w14:paraId="0FF7E64D" w14:textId="794A0B80" w:rsidR="00BF2A4F" w:rsidRPr="0098262F" w:rsidRDefault="00BF2A4F" w:rsidP="00BF2A4F">
            <w:pPr>
              <w:pStyle w:val="TableText"/>
            </w:pPr>
            <w:r w:rsidRPr="0098262F">
              <w:t xml:space="preserve">Estimated financial implications for </w:t>
            </w:r>
            <w:r w:rsidR="000D3A09">
              <w:t>R2WIM</w:t>
            </w:r>
            <w:r w:rsidR="00FB728C">
              <w:t xml:space="preserve"> and</w:t>
            </w:r>
            <w:r>
              <w:t xml:space="preserve"> </w:t>
            </w:r>
            <w:r w:rsidR="00A06706">
              <w:t>R4WIM</w:t>
            </w:r>
            <w:r>
              <w:t xml:space="preserve">, </w:t>
            </w:r>
            <w:r w:rsidR="00FB728C">
              <w:t xml:space="preserve">PP1M and </w:t>
            </w:r>
            <w:r w:rsidR="007D37F7">
              <w:t>A1M</w:t>
            </w:r>
          </w:p>
        </w:tc>
      </w:tr>
      <w:tr w:rsidR="00BF2A4F" w:rsidRPr="0098262F" w14:paraId="0CE077D9" w14:textId="77777777">
        <w:tc>
          <w:tcPr>
            <w:tcW w:w="1334" w:type="pct"/>
            <w:vAlign w:val="center"/>
          </w:tcPr>
          <w:p w14:paraId="40F6A2C5" w14:textId="135CB323" w:rsidR="00BF2A4F" w:rsidRPr="0098262F" w:rsidRDefault="00BF2A4F" w:rsidP="00BF2A4F">
            <w:pPr>
              <w:pStyle w:val="TableText"/>
            </w:pPr>
            <w:r w:rsidRPr="0098262F">
              <w:t>Cost to PBS/RPBS less copayments</w:t>
            </w:r>
          </w:p>
        </w:tc>
        <w:tc>
          <w:tcPr>
            <w:tcW w:w="611" w:type="pct"/>
          </w:tcPr>
          <w:p w14:paraId="50CF2446" w14:textId="65682FA2"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5AF80ED" w14:textId="1A8F7DAA"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8F1C25D" w14:textId="33D5BC75"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c>
          <w:tcPr>
            <w:tcW w:w="611" w:type="pct"/>
          </w:tcPr>
          <w:p w14:paraId="5DBA4173" w14:textId="3621C79F"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c>
          <w:tcPr>
            <w:tcW w:w="611" w:type="pct"/>
          </w:tcPr>
          <w:p w14:paraId="4D6DC68C" w14:textId="51AC2817" w:rsidR="00BF2A4F" w:rsidRPr="00301DBD" w:rsidRDefault="00487FC4" w:rsidP="00BF2A4F">
            <w:pPr>
              <w:pStyle w:val="TableText"/>
              <w:rPr>
                <w:highlight w:val="lightGray"/>
              </w:rPr>
            </w:pPr>
            <w:r w:rsidRPr="00487FC4">
              <w:t>-$</w:t>
            </w:r>
            <w:r w:rsidR="009218AC" w:rsidRPr="009218AC">
              <w:rPr>
                <w:sz w:val="2"/>
                <w:highlight w:val="black"/>
              </w:rPr>
              <w:t>redacted content</w:t>
            </w:r>
            <w:r w:rsidRPr="00487FC4">
              <w:rPr>
                <w:vertAlign w:val="superscript"/>
              </w:rPr>
              <w:t>8</w:t>
            </w:r>
          </w:p>
        </w:tc>
        <w:tc>
          <w:tcPr>
            <w:tcW w:w="611" w:type="pct"/>
          </w:tcPr>
          <w:p w14:paraId="0766C6AC" w14:textId="70F2062E" w:rsidR="00BF2A4F" w:rsidRPr="00487FC4" w:rsidRDefault="00487FC4" w:rsidP="00BF2A4F">
            <w:pPr>
              <w:pStyle w:val="TableText"/>
              <w:rPr>
                <w:vertAlign w:val="superscript"/>
              </w:rPr>
            </w:pPr>
            <w:r w:rsidRPr="00487FC4">
              <w:t>-$</w:t>
            </w:r>
            <w:r w:rsidR="009218AC" w:rsidRPr="009218AC">
              <w:rPr>
                <w:sz w:val="2"/>
                <w:highlight w:val="black"/>
              </w:rPr>
              <w:t>redacted content</w:t>
            </w:r>
            <w:r w:rsidRPr="00487FC4">
              <w:rPr>
                <w:vertAlign w:val="superscript"/>
              </w:rPr>
              <w:t>9</w:t>
            </w:r>
          </w:p>
        </w:tc>
      </w:tr>
      <w:tr w:rsidR="00BF2A4F" w:rsidRPr="0098262F" w14:paraId="4FA07BD8" w14:textId="77777777" w:rsidTr="009C3A3A">
        <w:tc>
          <w:tcPr>
            <w:tcW w:w="5000" w:type="pct"/>
            <w:gridSpan w:val="7"/>
            <w:vAlign w:val="center"/>
          </w:tcPr>
          <w:p w14:paraId="1A627EA0" w14:textId="3CB08731" w:rsidR="00BF2A4F" w:rsidRPr="0098262F" w:rsidRDefault="00BF2A4F" w:rsidP="00900AB0">
            <w:pPr>
              <w:pStyle w:val="In-tableHeading"/>
            </w:pPr>
            <w:r w:rsidRPr="0098262F">
              <w:t>Net financial implications</w:t>
            </w:r>
            <w:r w:rsidRPr="0098262F">
              <w:rPr>
                <w:color w:val="4BACC6" w:themeColor="accent5"/>
              </w:rPr>
              <w:t xml:space="preserve"> </w:t>
            </w:r>
          </w:p>
        </w:tc>
      </w:tr>
      <w:tr w:rsidR="00BF2A4F" w:rsidRPr="0098262F" w14:paraId="3F33D4C6" w14:textId="77777777">
        <w:tc>
          <w:tcPr>
            <w:tcW w:w="1334" w:type="pct"/>
            <w:vAlign w:val="center"/>
          </w:tcPr>
          <w:p w14:paraId="5ABBDE64" w14:textId="77777777" w:rsidR="00BF2A4F" w:rsidRPr="0098262F" w:rsidRDefault="00BF2A4F" w:rsidP="00BF2A4F">
            <w:pPr>
              <w:pStyle w:val="TableText"/>
            </w:pPr>
            <w:r w:rsidRPr="0098262F">
              <w:t>Net cost to PBS/RPBS</w:t>
            </w:r>
          </w:p>
        </w:tc>
        <w:tc>
          <w:tcPr>
            <w:tcW w:w="611" w:type="pct"/>
          </w:tcPr>
          <w:p w14:paraId="744F82C2" w14:textId="3C1B084E"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95843EA" w14:textId="3342350D"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A32302A" w14:textId="49B103F9"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26E9207" w14:textId="3516656C"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56E4D70E" w14:textId="55718413"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41B1CFD" w14:textId="261F8A36"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r>
      <w:tr w:rsidR="00BF2A4F" w:rsidRPr="0098262F" w14:paraId="571B64F4" w14:textId="77777777">
        <w:tc>
          <w:tcPr>
            <w:tcW w:w="1334" w:type="pct"/>
            <w:vAlign w:val="center"/>
          </w:tcPr>
          <w:p w14:paraId="427698FB" w14:textId="78501972" w:rsidR="00BF2A4F" w:rsidRPr="0098262F" w:rsidRDefault="00BF2A4F" w:rsidP="00BF2A4F">
            <w:pPr>
              <w:pStyle w:val="TableText"/>
              <w:rPr>
                <w:rFonts w:ascii="Times" w:hAnsi="Times"/>
              </w:rPr>
            </w:pPr>
            <w:r w:rsidRPr="0098262F">
              <w:t>Net cost to MBS</w:t>
            </w:r>
          </w:p>
        </w:tc>
        <w:tc>
          <w:tcPr>
            <w:tcW w:w="611" w:type="pct"/>
          </w:tcPr>
          <w:p w14:paraId="5AD7A1FC" w14:textId="3AEBC3C3"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1D6E215B" w14:textId="07F7C0D5"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5026D9D" w14:textId="06CEC131"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6933D36F" w14:textId="645E79C9"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04433A65" w14:textId="320FE095"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223EBD7" w14:textId="54FA2639"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r>
      <w:tr w:rsidR="00BF2A4F" w:rsidRPr="0098262F" w14:paraId="123830C0" w14:textId="77777777">
        <w:tc>
          <w:tcPr>
            <w:tcW w:w="1334" w:type="pct"/>
            <w:vAlign w:val="center"/>
          </w:tcPr>
          <w:p w14:paraId="50FCDA47" w14:textId="0C91FE40" w:rsidR="00BF2A4F" w:rsidRPr="0098262F" w:rsidRDefault="00BF2A4F" w:rsidP="00BF2A4F">
            <w:pPr>
              <w:pStyle w:val="TableText"/>
            </w:pPr>
            <w:r w:rsidRPr="0098262F">
              <w:t>Net cost to PBS/RPBS/MBS</w:t>
            </w:r>
          </w:p>
        </w:tc>
        <w:tc>
          <w:tcPr>
            <w:tcW w:w="611" w:type="pct"/>
          </w:tcPr>
          <w:p w14:paraId="0F4EB661" w14:textId="62067612"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59B75FE2" w14:textId="04DF3B3C"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6AE6473A" w14:textId="4EBA2A21"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1F476C04" w14:textId="2E792998"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12079751" w14:textId="45E59ACC"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4844CB4D" w14:textId="35AE8681" w:rsidR="00BF2A4F" w:rsidRPr="00301DBD" w:rsidRDefault="00487FC4" w:rsidP="00BF2A4F">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r>
      <w:tr w:rsidR="008D2B6C" w:rsidRPr="00C7236D" w14:paraId="30E11B7E" w14:textId="77777777">
        <w:tc>
          <w:tcPr>
            <w:tcW w:w="1334" w:type="pct"/>
            <w:vAlign w:val="center"/>
          </w:tcPr>
          <w:p w14:paraId="63C1C437" w14:textId="43B90696" w:rsidR="008D2B6C" w:rsidRPr="00C7236D" w:rsidRDefault="008D2B6C" w:rsidP="008D2B6C">
            <w:pPr>
              <w:pStyle w:val="TableText"/>
              <w:rPr>
                <w:iCs/>
              </w:rPr>
            </w:pPr>
            <w:r w:rsidRPr="00C7236D">
              <w:rPr>
                <w:iCs/>
              </w:rPr>
              <w:t>Net cost to PBS/RPBS/MBS with MBS items removed</w:t>
            </w:r>
          </w:p>
        </w:tc>
        <w:tc>
          <w:tcPr>
            <w:tcW w:w="611" w:type="pct"/>
          </w:tcPr>
          <w:p w14:paraId="1B915184" w14:textId="317A26EA"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c>
          <w:tcPr>
            <w:tcW w:w="611" w:type="pct"/>
          </w:tcPr>
          <w:p w14:paraId="30F0FF22" w14:textId="77C04017"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c>
          <w:tcPr>
            <w:tcW w:w="611" w:type="pct"/>
          </w:tcPr>
          <w:p w14:paraId="28788E73" w14:textId="13E9C457"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c>
          <w:tcPr>
            <w:tcW w:w="611" w:type="pct"/>
          </w:tcPr>
          <w:p w14:paraId="33FD961D" w14:textId="3B6E5084"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c>
          <w:tcPr>
            <w:tcW w:w="611" w:type="pct"/>
          </w:tcPr>
          <w:p w14:paraId="2274A330" w14:textId="16064809"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c>
          <w:tcPr>
            <w:tcW w:w="611" w:type="pct"/>
          </w:tcPr>
          <w:p w14:paraId="6FA53B4E" w14:textId="2E838E22" w:rsidR="008D2B6C" w:rsidRPr="00301DBD" w:rsidRDefault="00487FC4" w:rsidP="008D2B6C">
            <w:pPr>
              <w:pStyle w:val="TableText"/>
              <w:rPr>
                <w:iCs/>
                <w:highlight w:val="lightGray"/>
              </w:rPr>
            </w:pPr>
            <w:r w:rsidRPr="00487FC4">
              <w:rPr>
                <w:iCs/>
              </w:rPr>
              <w:t>-$</w:t>
            </w:r>
            <w:r w:rsidR="009218AC" w:rsidRPr="009218AC">
              <w:rPr>
                <w:iCs/>
                <w:sz w:val="2"/>
                <w:highlight w:val="black"/>
              </w:rPr>
              <w:t>redacted content</w:t>
            </w:r>
            <w:r w:rsidR="00AE232C" w:rsidRPr="00487FC4">
              <w:rPr>
                <w:vertAlign w:val="superscript"/>
              </w:rPr>
              <w:t>7</w:t>
            </w:r>
          </w:p>
        </w:tc>
      </w:tr>
      <w:tr w:rsidR="008D2B6C" w:rsidRPr="0098262F" w14:paraId="377CC237" w14:textId="77777777" w:rsidTr="00462E10">
        <w:tc>
          <w:tcPr>
            <w:tcW w:w="5000" w:type="pct"/>
            <w:gridSpan w:val="7"/>
            <w:vAlign w:val="center"/>
          </w:tcPr>
          <w:p w14:paraId="0638435C" w14:textId="3DAF838E" w:rsidR="008D2B6C" w:rsidRPr="00BF2A4F" w:rsidRDefault="008D2B6C" w:rsidP="00900AB0">
            <w:pPr>
              <w:pStyle w:val="In-tableHeading"/>
            </w:pPr>
            <w:r>
              <w:t>Sensitivity analyses, net cost to PBS</w:t>
            </w:r>
          </w:p>
        </w:tc>
      </w:tr>
      <w:tr w:rsidR="008D2B6C" w:rsidRPr="0098262F" w14:paraId="01529CBA" w14:textId="77777777">
        <w:tc>
          <w:tcPr>
            <w:tcW w:w="1334" w:type="pct"/>
            <w:vAlign w:val="center"/>
          </w:tcPr>
          <w:p w14:paraId="35A83FC9" w14:textId="6C0B1B4A" w:rsidR="008D2B6C" w:rsidRPr="0098262F" w:rsidRDefault="008D2B6C" w:rsidP="008D2B6C">
            <w:pPr>
              <w:pStyle w:val="TableText"/>
            </w:pPr>
            <w:r>
              <w:t>Dose distribution increased</w:t>
            </w:r>
          </w:p>
        </w:tc>
        <w:tc>
          <w:tcPr>
            <w:tcW w:w="611" w:type="pct"/>
          </w:tcPr>
          <w:p w14:paraId="12A3DBCA" w14:textId="2FA8C85D"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3338FBA" w14:textId="2CE5B8AB"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5C1DA703" w14:textId="4EAAA3CC"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789D1320" w14:textId="49A8393D"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CF3A830" w14:textId="44B6CF5C"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6A881320" w14:textId="44C74933"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r>
      <w:tr w:rsidR="008D2B6C" w:rsidRPr="0098262F" w14:paraId="52075E42" w14:textId="77777777">
        <w:tc>
          <w:tcPr>
            <w:tcW w:w="1334" w:type="pct"/>
            <w:vAlign w:val="center"/>
          </w:tcPr>
          <w:p w14:paraId="4884B516" w14:textId="2C3E8734" w:rsidR="008D2B6C" w:rsidRPr="0098262F" w:rsidRDefault="008D2B6C" w:rsidP="008D2B6C">
            <w:pPr>
              <w:pStyle w:val="TableText"/>
            </w:pPr>
            <w:r>
              <w:t>Increase market uptake</w:t>
            </w:r>
          </w:p>
        </w:tc>
        <w:tc>
          <w:tcPr>
            <w:tcW w:w="611" w:type="pct"/>
          </w:tcPr>
          <w:p w14:paraId="2623E483" w14:textId="14C07D45"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4A022F0F" w14:textId="0C6C7EDF"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50D43880" w14:textId="32973DE8"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78886F79" w14:textId="6F469131"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25296128" w14:textId="1B075F5B"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c>
          <w:tcPr>
            <w:tcW w:w="611" w:type="pct"/>
          </w:tcPr>
          <w:p w14:paraId="3F80FA19" w14:textId="6B1AAF22" w:rsidR="008D2B6C" w:rsidRPr="00301DBD" w:rsidRDefault="00487FC4" w:rsidP="008D2B6C">
            <w:pPr>
              <w:pStyle w:val="TableText"/>
              <w:rPr>
                <w:highlight w:val="lightGray"/>
              </w:rPr>
            </w:pPr>
            <w:r w:rsidRPr="00487FC4">
              <w:t>-$</w:t>
            </w:r>
            <w:r w:rsidR="009218AC" w:rsidRPr="009218AC">
              <w:rPr>
                <w:sz w:val="2"/>
                <w:highlight w:val="black"/>
              </w:rPr>
              <w:t>redacted content</w:t>
            </w:r>
            <w:r w:rsidR="00AE232C" w:rsidRPr="00487FC4">
              <w:rPr>
                <w:vertAlign w:val="superscript"/>
              </w:rPr>
              <w:t>7</w:t>
            </w:r>
          </w:p>
        </w:tc>
      </w:tr>
    </w:tbl>
    <w:p w14:paraId="028D3BA3" w14:textId="77777777" w:rsidR="001B00A9" w:rsidRDefault="00620C25" w:rsidP="001B00A9">
      <w:pPr>
        <w:pStyle w:val="FooterTableFigure"/>
      </w:pPr>
      <w:r w:rsidRPr="0098262F">
        <w:t>Source: Table</w:t>
      </w:r>
      <w:r w:rsidR="00320AC1">
        <w:t>s</w:t>
      </w:r>
      <w:r w:rsidR="0063598E">
        <w:t xml:space="preserve"> 4.4,</w:t>
      </w:r>
      <w:r w:rsidR="00320AC1">
        <w:t xml:space="preserve"> 4.7</w:t>
      </w:r>
      <w:r w:rsidRPr="0098262F">
        <w:t>,</w:t>
      </w:r>
      <w:r w:rsidR="00320AC1">
        <w:t>4.10, 4.11, 4.12, 4.13, 4.16</w:t>
      </w:r>
      <w:r w:rsidRPr="0098262F">
        <w:t xml:space="preserve"> pp</w:t>
      </w:r>
      <w:r w:rsidR="00320AC1">
        <w:t>196</w:t>
      </w:r>
      <w:r w:rsidR="002D15C9">
        <w:noBreakHyphen/>
      </w:r>
      <w:r w:rsidR="00320AC1">
        <w:t>206</w:t>
      </w:r>
      <w:r w:rsidRPr="0098262F">
        <w:t xml:space="preserve"> of the submission.</w:t>
      </w:r>
      <w:r w:rsidR="001B00A9" w:rsidRPr="001B00A9">
        <w:t xml:space="preserve"> </w:t>
      </w:r>
    </w:p>
    <w:p w14:paraId="3BA5690F" w14:textId="4130A741" w:rsidR="001B00A9" w:rsidRPr="001B00A9" w:rsidRDefault="001B00A9" w:rsidP="001B00A9">
      <w:pPr>
        <w:pStyle w:val="FooterTableFigure"/>
        <w:rPr>
          <w:i/>
          <w:iCs/>
        </w:rPr>
      </w:pPr>
      <w:r w:rsidRPr="001B00A9">
        <w:rPr>
          <w:i/>
          <w:iCs/>
        </w:rPr>
        <w:t xml:space="preserve">The redacted values correspond to the following ranges: </w:t>
      </w:r>
    </w:p>
    <w:p w14:paraId="148B1F27" w14:textId="77777777" w:rsidR="000E72F6" w:rsidRDefault="001B00A9" w:rsidP="001B00A9">
      <w:pPr>
        <w:pStyle w:val="FooterTableFigure"/>
        <w:rPr>
          <w:i/>
          <w:iCs/>
        </w:rPr>
      </w:pPr>
      <w:r w:rsidRPr="00F8356C">
        <w:rPr>
          <w:i/>
          <w:iCs/>
          <w:vertAlign w:val="superscript"/>
        </w:rPr>
        <w:t>1</w:t>
      </w:r>
      <w:r w:rsidR="00581383" w:rsidRPr="00F8356C">
        <w:rPr>
          <w:i/>
          <w:iCs/>
          <w:vertAlign w:val="superscript"/>
        </w:rPr>
        <w:t xml:space="preserve"> </w:t>
      </w:r>
      <w:r w:rsidR="00581383" w:rsidRPr="00581383">
        <w:rPr>
          <w:i/>
          <w:iCs/>
        </w:rPr>
        <w:t>500 to &lt; 5,000</w:t>
      </w:r>
      <w:r w:rsidR="000E72F6">
        <w:rPr>
          <w:i/>
          <w:iCs/>
        </w:rPr>
        <w:t xml:space="preserve"> </w:t>
      </w:r>
    </w:p>
    <w:p w14:paraId="5F4D5031" w14:textId="77777777" w:rsidR="00FD0545" w:rsidRDefault="000E72F6" w:rsidP="001B00A9">
      <w:pPr>
        <w:pStyle w:val="FooterTableFigure"/>
        <w:rPr>
          <w:i/>
          <w:iCs/>
        </w:rPr>
      </w:pPr>
      <w:r w:rsidRPr="00B07F45">
        <w:rPr>
          <w:i/>
          <w:iCs/>
          <w:vertAlign w:val="superscript"/>
        </w:rPr>
        <w:t>2</w:t>
      </w:r>
      <w:r>
        <w:rPr>
          <w:i/>
          <w:iCs/>
        </w:rPr>
        <w:t xml:space="preserve"> </w:t>
      </w:r>
      <w:r w:rsidRPr="000E72F6">
        <w:rPr>
          <w:i/>
          <w:iCs/>
        </w:rPr>
        <w:t>5,000 to &lt; 10,000</w:t>
      </w:r>
      <w:r w:rsidR="00FD0545">
        <w:rPr>
          <w:i/>
          <w:iCs/>
        </w:rPr>
        <w:t xml:space="preserve"> </w:t>
      </w:r>
    </w:p>
    <w:p w14:paraId="7238A443" w14:textId="77777777" w:rsidR="00A25AC5" w:rsidRDefault="00FD0545" w:rsidP="001B00A9">
      <w:pPr>
        <w:pStyle w:val="FooterTableFigure"/>
        <w:rPr>
          <w:i/>
          <w:iCs/>
        </w:rPr>
      </w:pPr>
      <w:r w:rsidRPr="00B07F45">
        <w:rPr>
          <w:i/>
          <w:iCs/>
          <w:vertAlign w:val="superscript"/>
        </w:rPr>
        <w:t xml:space="preserve">3 </w:t>
      </w:r>
      <w:r w:rsidRPr="00FD0545">
        <w:rPr>
          <w:i/>
          <w:iCs/>
        </w:rPr>
        <w:t>10,000 to &lt; 20,000</w:t>
      </w:r>
      <w:r w:rsidR="00A25AC5">
        <w:rPr>
          <w:i/>
          <w:iCs/>
        </w:rPr>
        <w:t xml:space="preserve"> </w:t>
      </w:r>
    </w:p>
    <w:p w14:paraId="0E50160A" w14:textId="77777777" w:rsidR="00AF51A8" w:rsidRDefault="00A25AC5" w:rsidP="001B00A9">
      <w:pPr>
        <w:pStyle w:val="FooterTableFigure"/>
        <w:rPr>
          <w:i/>
          <w:iCs/>
        </w:rPr>
      </w:pPr>
      <w:r w:rsidRPr="00B07F45">
        <w:rPr>
          <w:i/>
          <w:iCs/>
          <w:vertAlign w:val="superscript"/>
        </w:rPr>
        <w:t>4</w:t>
      </w:r>
      <w:r>
        <w:rPr>
          <w:i/>
          <w:iCs/>
        </w:rPr>
        <w:t xml:space="preserve"> </w:t>
      </w:r>
      <w:r w:rsidRPr="00A25AC5">
        <w:rPr>
          <w:i/>
          <w:iCs/>
        </w:rPr>
        <w:t>20,000 to &lt; 30,000</w:t>
      </w:r>
    </w:p>
    <w:p w14:paraId="727D86EC" w14:textId="77777777" w:rsidR="00FE031C" w:rsidRDefault="00AF51A8" w:rsidP="001B00A9">
      <w:pPr>
        <w:pStyle w:val="FooterTableFigure"/>
        <w:rPr>
          <w:i/>
          <w:iCs/>
        </w:rPr>
      </w:pPr>
      <w:r w:rsidRPr="00B07F45">
        <w:rPr>
          <w:i/>
          <w:iCs/>
          <w:vertAlign w:val="superscript"/>
        </w:rPr>
        <w:t>5</w:t>
      </w:r>
      <w:r>
        <w:rPr>
          <w:i/>
          <w:iCs/>
        </w:rPr>
        <w:t xml:space="preserve"> </w:t>
      </w:r>
      <w:r w:rsidRPr="00AF51A8">
        <w:rPr>
          <w:i/>
          <w:iCs/>
        </w:rPr>
        <w:t>30,000 to &lt; 40,000</w:t>
      </w:r>
      <w:r w:rsidR="00FE031C">
        <w:rPr>
          <w:i/>
          <w:iCs/>
        </w:rPr>
        <w:t xml:space="preserve"> </w:t>
      </w:r>
    </w:p>
    <w:p w14:paraId="6B2AA0F8" w14:textId="77777777" w:rsidR="00916BF8" w:rsidRDefault="00FE031C" w:rsidP="001B00A9">
      <w:pPr>
        <w:pStyle w:val="FooterTableFigure"/>
        <w:rPr>
          <w:i/>
          <w:iCs/>
        </w:rPr>
      </w:pPr>
      <w:r w:rsidRPr="00B07F45">
        <w:rPr>
          <w:i/>
          <w:iCs/>
          <w:vertAlign w:val="superscript"/>
        </w:rPr>
        <w:t>6</w:t>
      </w:r>
      <w:r>
        <w:rPr>
          <w:i/>
          <w:iCs/>
        </w:rPr>
        <w:t xml:space="preserve"> </w:t>
      </w:r>
      <w:r w:rsidRPr="00FE031C">
        <w:rPr>
          <w:i/>
          <w:iCs/>
        </w:rPr>
        <w:t>40,000 to &lt; 50,000</w:t>
      </w:r>
      <w:r w:rsidR="00916BF8">
        <w:rPr>
          <w:i/>
          <w:iCs/>
        </w:rPr>
        <w:t xml:space="preserve"> </w:t>
      </w:r>
    </w:p>
    <w:p w14:paraId="7A1E5B07" w14:textId="77777777" w:rsidR="002D7C9D" w:rsidRDefault="00916BF8" w:rsidP="001B00A9">
      <w:pPr>
        <w:pStyle w:val="FooterTableFigure"/>
        <w:rPr>
          <w:i/>
          <w:iCs/>
        </w:rPr>
      </w:pPr>
      <w:r w:rsidRPr="00B07F45">
        <w:rPr>
          <w:i/>
          <w:iCs/>
          <w:vertAlign w:val="superscript"/>
        </w:rPr>
        <w:t>5</w:t>
      </w:r>
      <w:r>
        <w:rPr>
          <w:i/>
          <w:iCs/>
        </w:rPr>
        <w:t xml:space="preserve"> </w:t>
      </w:r>
      <w:r w:rsidRPr="00916BF8">
        <w:rPr>
          <w:i/>
          <w:iCs/>
        </w:rPr>
        <w:t>50,000 to &lt; 60,000</w:t>
      </w:r>
      <w:r w:rsidR="002D7C9D">
        <w:rPr>
          <w:i/>
          <w:iCs/>
        </w:rPr>
        <w:t xml:space="preserve"> </w:t>
      </w:r>
    </w:p>
    <w:p w14:paraId="6C77309F" w14:textId="77777777" w:rsidR="00AE232C" w:rsidRDefault="002D7C9D" w:rsidP="001B00A9">
      <w:pPr>
        <w:pStyle w:val="FooterTableFigure"/>
        <w:rPr>
          <w:i/>
          <w:iCs/>
        </w:rPr>
      </w:pPr>
      <w:r w:rsidRPr="00B07F45">
        <w:rPr>
          <w:i/>
          <w:iCs/>
          <w:vertAlign w:val="superscript"/>
        </w:rPr>
        <w:t>6</w:t>
      </w:r>
      <w:r>
        <w:rPr>
          <w:i/>
          <w:iCs/>
        </w:rPr>
        <w:t xml:space="preserve"> </w:t>
      </w:r>
      <w:r w:rsidRPr="002D7C9D">
        <w:rPr>
          <w:i/>
          <w:iCs/>
        </w:rPr>
        <w:t>70,000 to &lt; 80,000</w:t>
      </w:r>
      <w:r w:rsidR="00AE232C">
        <w:rPr>
          <w:i/>
          <w:iCs/>
        </w:rPr>
        <w:t xml:space="preserve"> </w:t>
      </w:r>
    </w:p>
    <w:p w14:paraId="1DCB6890" w14:textId="77777777" w:rsidR="00407902" w:rsidRDefault="00AE232C" w:rsidP="001B00A9">
      <w:pPr>
        <w:pStyle w:val="FooterTableFigure"/>
        <w:rPr>
          <w:i/>
          <w:iCs/>
        </w:rPr>
      </w:pPr>
      <w:r w:rsidRPr="00B07F45">
        <w:rPr>
          <w:i/>
          <w:iCs/>
          <w:vertAlign w:val="superscript"/>
        </w:rPr>
        <w:t>7</w:t>
      </w:r>
      <w:r>
        <w:rPr>
          <w:i/>
          <w:iCs/>
        </w:rPr>
        <w:t xml:space="preserve"> </w:t>
      </w:r>
      <w:r w:rsidRPr="00AE232C">
        <w:rPr>
          <w:i/>
          <w:iCs/>
        </w:rPr>
        <w:t>$0 to &lt; $10 million</w:t>
      </w:r>
      <w:r w:rsidR="00407902">
        <w:rPr>
          <w:i/>
          <w:iCs/>
        </w:rPr>
        <w:t xml:space="preserve"> </w:t>
      </w:r>
    </w:p>
    <w:p w14:paraId="4A101729" w14:textId="77777777" w:rsidR="00487FC4" w:rsidRDefault="00407902" w:rsidP="001B00A9">
      <w:pPr>
        <w:pStyle w:val="FooterTableFigure"/>
        <w:rPr>
          <w:i/>
          <w:iCs/>
        </w:rPr>
      </w:pPr>
      <w:r w:rsidRPr="00B07F45">
        <w:rPr>
          <w:i/>
          <w:iCs/>
          <w:vertAlign w:val="superscript"/>
        </w:rPr>
        <w:t>8</w:t>
      </w:r>
      <w:r>
        <w:rPr>
          <w:i/>
          <w:iCs/>
        </w:rPr>
        <w:t xml:space="preserve"> </w:t>
      </w:r>
      <w:r w:rsidRPr="00407902">
        <w:rPr>
          <w:i/>
          <w:iCs/>
        </w:rPr>
        <w:t>$10 million to &lt; $20 million</w:t>
      </w:r>
      <w:r w:rsidR="00487FC4">
        <w:rPr>
          <w:i/>
          <w:iCs/>
        </w:rPr>
        <w:t xml:space="preserve"> </w:t>
      </w:r>
    </w:p>
    <w:p w14:paraId="484CF5B6" w14:textId="13D76A27" w:rsidR="00620C25" w:rsidRDefault="00487FC4" w:rsidP="001B00A9">
      <w:pPr>
        <w:pStyle w:val="FooterTableFigure"/>
        <w:rPr>
          <w:i/>
          <w:iCs/>
        </w:rPr>
      </w:pPr>
      <w:r w:rsidRPr="00B07F45">
        <w:rPr>
          <w:i/>
          <w:iCs/>
          <w:vertAlign w:val="superscript"/>
        </w:rPr>
        <w:t>9</w:t>
      </w:r>
      <w:r>
        <w:rPr>
          <w:i/>
          <w:iCs/>
        </w:rPr>
        <w:t xml:space="preserve"> </w:t>
      </w:r>
      <w:r w:rsidRPr="00487FC4">
        <w:rPr>
          <w:i/>
          <w:iCs/>
        </w:rPr>
        <w:t>$20 million to &lt; $30 million</w:t>
      </w:r>
    </w:p>
    <w:p w14:paraId="4A8EB31F" w14:textId="77777777" w:rsidR="00C64294" w:rsidRPr="001B00A9" w:rsidRDefault="00C64294" w:rsidP="001B00A9">
      <w:pPr>
        <w:pStyle w:val="FooterTableFigure"/>
        <w:rPr>
          <w:rStyle w:val="CommentReference"/>
          <w:i/>
          <w:iCs/>
        </w:rPr>
      </w:pPr>
    </w:p>
    <w:p w14:paraId="75586731" w14:textId="678ED430" w:rsidR="000902D9" w:rsidRDefault="000902D9" w:rsidP="00D244B6">
      <w:pPr>
        <w:pStyle w:val="3-BodyText"/>
      </w:pPr>
      <w:r w:rsidRPr="00643BD0">
        <w:t xml:space="preserve">The total cost to the PBS/RPBS of listing </w:t>
      </w:r>
      <w:r w:rsidR="00B7136F">
        <w:t>MR</w:t>
      </w:r>
      <w:r w:rsidR="00AC324D">
        <w:t xml:space="preserve">SC </w:t>
      </w:r>
      <w:r w:rsidR="00BF2A4F" w:rsidRPr="00643BD0">
        <w:t xml:space="preserve">risperidone </w:t>
      </w:r>
      <w:r w:rsidRPr="00643BD0">
        <w:t xml:space="preserve">was estimated </w:t>
      </w:r>
      <w:r w:rsidR="00A05C32" w:rsidRPr="00643BD0">
        <w:t>to be</w:t>
      </w:r>
      <w:r w:rsidRPr="00643BD0">
        <w:t xml:space="preserve"> </w:t>
      </w:r>
      <w:r w:rsidR="00B9060E" w:rsidRPr="00B9060E">
        <w:t>$10 million to &lt; $20 million</w:t>
      </w:r>
      <w:r w:rsidRPr="00643BD0">
        <w:t xml:space="preserve"> in Year 6</w:t>
      </w:r>
      <w:r w:rsidR="00C5279A" w:rsidRPr="00643BD0">
        <w:t xml:space="preserve"> with a net cost of </w:t>
      </w:r>
      <w:r w:rsidR="002D15C9">
        <w:noBreakHyphen/>
      </w:r>
      <w:r w:rsidR="00C5279A" w:rsidRPr="00643BD0">
        <w:t>$</w:t>
      </w:r>
      <w:r w:rsidR="000630EB" w:rsidRPr="000630EB">
        <w:t>0 to &lt; $10 million</w:t>
      </w:r>
      <w:r w:rsidR="00C5279A" w:rsidRPr="00643BD0">
        <w:t>. Over 6 years,</w:t>
      </w:r>
      <w:r w:rsidRPr="00643BD0">
        <w:t xml:space="preserve"> </w:t>
      </w:r>
      <w:r w:rsidR="00C5279A" w:rsidRPr="00643BD0">
        <w:t xml:space="preserve">the total cost of listing </w:t>
      </w:r>
      <w:r w:rsidR="00B7136F">
        <w:t>MR</w:t>
      </w:r>
      <w:r w:rsidR="003A328D">
        <w:t xml:space="preserve">SC </w:t>
      </w:r>
      <w:r w:rsidR="00C5279A" w:rsidRPr="00643BD0">
        <w:t>risperidone</w:t>
      </w:r>
      <w:r w:rsidRPr="00643BD0">
        <w:t xml:space="preserve"> total </w:t>
      </w:r>
      <w:r w:rsidR="00C5279A" w:rsidRPr="00643BD0">
        <w:t xml:space="preserve">was estimated as </w:t>
      </w:r>
      <w:r w:rsidR="0050071A" w:rsidRPr="0050071A">
        <w:t>$70 million to &lt; $80 million</w:t>
      </w:r>
      <w:r w:rsidR="0050071A">
        <w:t xml:space="preserve"> </w:t>
      </w:r>
      <w:r w:rsidR="00C5279A" w:rsidRPr="00643BD0">
        <w:t>offset by the reduction in cost of the replaced antipsychotics with a re</w:t>
      </w:r>
      <w:r w:rsidR="00643BD0" w:rsidRPr="00643BD0">
        <w:t>s</w:t>
      </w:r>
      <w:r w:rsidR="00C5279A" w:rsidRPr="00643BD0">
        <w:t xml:space="preserve">ulting net </w:t>
      </w:r>
      <w:r w:rsidR="00643BD0" w:rsidRPr="00643BD0">
        <w:t>sav</w:t>
      </w:r>
      <w:r w:rsidR="00CB20E4">
        <w:t>ing</w:t>
      </w:r>
      <w:r w:rsidR="00643BD0" w:rsidRPr="00643BD0">
        <w:t xml:space="preserve"> o</w:t>
      </w:r>
      <w:r w:rsidR="00C5279A" w:rsidRPr="00643BD0">
        <w:t>ver 6 year</w:t>
      </w:r>
      <w:r w:rsidR="00643BD0" w:rsidRPr="00643BD0">
        <w:t>s</w:t>
      </w:r>
      <w:r w:rsidR="00C5279A" w:rsidRPr="00643BD0">
        <w:t xml:space="preserve"> of</w:t>
      </w:r>
      <w:r w:rsidR="00643BD0" w:rsidRPr="00643BD0">
        <w:t xml:space="preserve"> $</w:t>
      </w:r>
      <w:r w:rsidR="000630EB" w:rsidRPr="000630EB">
        <w:t>0 to &lt; $10 million</w:t>
      </w:r>
      <w:r w:rsidR="00643BD0">
        <w:t xml:space="preserve">. </w:t>
      </w:r>
    </w:p>
    <w:p w14:paraId="7ADCD46C" w14:textId="006DB401" w:rsidR="00705610" w:rsidRPr="00057757" w:rsidRDefault="00705610" w:rsidP="00705610">
      <w:pPr>
        <w:pStyle w:val="3-BodyText"/>
        <w:rPr>
          <w:color w:val="0066FF"/>
        </w:rPr>
      </w:pPr>
      <w:r>
        <w:t xml:space="preserve">The submission presented sensitivity analyses for the estimates of total use and cost, varying </w:t>
      </w:r>
      <w:r w:rsidR="00EB5550">
        <w:t xml:space="preserve">the </w:t>
      </w:r>
      <w:r>
        <w:t xml:space="preserve">dose of MRSC risperidone and </w:t>
      </w:r>
      <w:r w:rsidR="00EB5550">
        <w:t xml:space="preserve">the </w:t>
      </w:r>
      <w:r>
        <w:t xml:space="preserve">market uptake. Varying the dose used had no impact on the estimates because </w:t>
      </w:r>
      <w:r w:rsidR="00EB5550">
        <w:t>a</w:t>
      </w:r>
      <w:r>
        <w:t xml:space="preserve"> flat effective price </w:t>
      </w:r>
      <w:r w:rsidR="00EB5550">
        <w:t>was applied</w:t>
      </w:r>
      <w:r>
        <w:t>. The assumption used in the market share analyses</w:t>
      </w:r>
      <w:r w:rsidR="005C5FDD">
        <w:t>,</w:t>
      </w:r>
      <w:r>
        <w:t xml:space="preserve"> </w:t>
      </w:r>
      <w:r w:rsidR="005C5FDD">
        <w:t xml:space="preserve">that more expensive products would be replaced, </w:t>
      </w:r>
      <w:r>
        <w:t xml:space="preserve">resulted in larger savings. </w:t>
      </w:r>
      <w:r>
        <w:rPr>
          <w:iCs/>
        </w:rPr>
        <w:t>The evaluation considered this</w:t>
      </w:r>
      <w:r w:rsidRPr="00C7236D">
        <w:rPr>
          <w:iCs/>
        </w:rPr>
        <w:t xml:space="preserve"> may not be reasonable.</w:t>
      </w:r>
    </w:p>
    <w:p w14:paraId="58E4542D" w14:textId="7B58B4A4" w:rsidR="00D67815" w:rsidRPr="00113C9D" w:rsidRDefault="00246D5E" w:rsidP="008C6AD5">
      <w:pPr>
        <w:pStyle w:val="3-BodyText"/>
        <w:rPr>
          <w:iCs/>
        </w:rPr>
      </w:pPr>
      <w:r w:rsidRPr="00C7236D">
        <w:rPr>
          <w:iCs/>
        </w:rPr>
        <w:t>The</w:t>
      </w:r>
      <w:r w:rsidR="008E08F0">
        <w:rPr>
          <w:iCs/>
        </w:rPr>
        <w:t xml:space="preserve"> evaluation considered the</w:t>
      </w:r>
      <w:r w:rsidRPr="00C7236D">
        <w:rPr>
          <w:iCs/>
        </w:rPr>
        <w:t xml:space="preserve"> costs of health care provider</w:t>
      </w:r>
      <w:r w:rsidR="009653CC">
        <w:rPr>
          <w:iCs/>
        </w:rPr>
        <w:t xml:space="preserve"> (HCP)</w:t>
      </w:r>
      <w:r w:rsidRPr="00C7236D">
        <w:rPr>
          <w:iCs/>
        </w:rPr>
        <w:t xml:space="preserve"> visits should not have been included in the analyses</w:t>
      </w:r>
      <w:r w:rsidR="00E748B6">
        <w:rPr>
          <w:iCs/>
        </w:rPr>
        <w:t xml:space="preserve"> and provided revised estimates as shown in</w:t>
      </w:r>
      <w:r w:rsidRPr="00C7236D">
        <w:rPr>
          <w:iCs/>
        </w:rPr>
        <w:t xml:space="preserve"> </w:t>
      </w:r>
      <w:r w:rsidR="009A2C47">
        <w:rPr>
          <w:iCs/>
        </w:rPr>
        <w:fldChar w:fldCharType="begin"/>
      </w:r>
      <w:r w:rsidR="009A2C47">
        <w:rPr>
          <w:iCs/>
        </w:rPr>
        <w:instrText xml:space="preserve"> REF _Ref222758888 \h </w:instrText>
      </w:r>
      <w:r w:rsidR="009A2C47">
        <w:rPr>
          <w:iCs/>
        </w:rPr>
      </w:r>
      <w:r w:rsidR="009A2C47">
        <w:rPr>
          <w:iCs/>
        </w:rPr>
        <w:fldChar w:fldCharType="separate"/>
      </w:r>
      <w:r w:rsidR="009A2C47">
        <w:t xml:space="preserve">Table </w:t>
      </w:r>
      <w:r w:rsidR="009A2C47">
        <w:rPr>
          <w:noProof/>
        </w:rPr>
        <w:t>14</w:t>
      </w:r>
      <w:r w:rsidR="009A2C47">
        <w:rPr>
          <w:iCs/>
        </w:rPr>
        <w:fldChar w:fldCharType="end"/>
      </w:r>
      <w:r w:rsidRPr="00C7236D">
        <w:rPr>
          <w:iCs/>
        </w:rPr>
        <w:t xml:space="preserve">. </w:t>
      </w:r>
      <w:r w:rsidR="00E748B6">
        <w:rPr>
          <w:iCs/>
        </w:rPr>
        <w:t>The evaluation noted a</w:t>
      </w:r>
      <w:r w:rsidR="008D2B6C" w:rsidRPr="00C7236D">
        <w:rPr>
          <w:iCs/>
        </w:rPr>
        <w:t xml:space="preserve"> significant proportion of the projected savings </w:t>
      </w:r>
      <w:r w:rsidR="00022F6B">
        <w:rPr>
          <w:iCs/>
        </w:rPr>
        <w:t>was</w:t>
      </w:r>
      <w:r w:rsidR="00022F6B" w:rsidRPr="00C7236D">
        <w:rPr>
          <w:iCs/>
        </w:rPr>
        <w:t xml:space="preserve"> </w:t>
      </w:r>
      <w:r w:rsidR="008D2B6C" w:rsidRPr="00C7236D">
        <w:rPr>
          <w:iCs/>
        </w:rPr>
        <w:lastRenderedPageBreak/>
        <w:t xml:space="preserve">removed when this cost </w:t>
      </w:r>
      <w:r w:rsidR="00022F6B">
        <w:rPr>
          <w:iCs/>
        </w:rPr>
        <w:t>was</w:t>
      </w:r>
      <w:r w:rsidR="008D2B6C" w:rsidRPr="00C7236D">
        <w:rPr>
          <w:iCs/>
        </w:rPr>
        <w:t xml:space="preserve"> removed.</w:t>
      </w:r>
      <w:r w:rsidR="008C6AD5" w:rsidRPr="00113C9D">
        <w:rPr>
          <w:iCs/>
          <w:color w:val="0066FF"/>
        </w:rPr>
        <w:t xml:space="preserve"> </w:t>
      </w:r>
      <w:r w:rsidR="00D67815" w:rsidRPr="00113C9D">
        <w:rPr>
          <w:iCs/>
        </w:rPr>
        <w:t xml:space="preserve">The PSCR stated that the inclusion of HCP services costs has previously been applied and reflects the price derivation of </w:t>
      </w:r>
      <w:r w:rsidR="00353351" w:rsidRPr="00113C9D">
        <w:rPr>
          <w:iCs/>
        </w:rPr>
        <w:t>R2WIM and R4WIM</w:t>
      </w:r>
      <w:r w:rsidR="00D67815" w:rsidRPr="00113C9D">
        <w:rPr>
          <w:iCs/>
        </w:rPr>
        <w:t xml:space="preserve"> (</w:t>
      </w:r>
      <w:r w:rsidR="003E6490">
        <w:rPr>
          <w:iCs/>
        </w:rPr>
        <w:t>risperidone</w:t>
      </w:r>
      <w:r w:rsidR="00D67815" w:rsidRPr="00113C9D">
        <w:rPr>
          <w:iCs/>
        </w:rPr>
        <w:t xml:space="preserve"> PSD</w:t>
      </w:r>
      <w:r w:rsidR="003E6490">
        <w:rPr>
          <w:iCs/>
        </w:rPr>
        <w:t>,</w:t>
      </w:r>
      <w:r w:rsidR="00D67815" w:rsidRPr="00113C9D">
        <w:rPr>
          <w:iCs/>
        </w:rPr>
        <w:t xml:space="preserve"> March 2024). </w:t>
      </w:r>
      <w:r w:rsidR="00D754B8" w:rsidRPr="00113C9D">
        <w:rPr>
          <w:iCs/>
        </w:rPr>
        <w:t>It argued that r</w:t>
      </w:r>
      <w:r w:rsidR="00761D27" w:rsidRPr="00113C9D">
        <w:rPr>
          <w:iCs/>
        </w:rPr>
        <w:t>egardless of the inclusion of HCP cost</w:t>
      </w:r>
      <w:r w:rsidR="002D15C9">
        <w:rPr>
          <w:iCs/>
        </w:rPr>
        <w:noBreakHyphen/>
      </w:r>
      <w:r w:rsidR="00761D27" w:rsidRPr="00113C9D">
        <w:rPr>
          <w:iCs/>
        </w:rPr>
        <w:t>offsets, cost</w:t>
      </w:r>
      <w:r w:rsidR="002D15C9">
        <w:rPr>
          <w:iCs/>
        </w:rPr>
        <w:noBreakHyphen/>
      </w:r>
      <w:r w:rsidR="00761D27" w:rsidRPr="000B7CE4">
        <w:rPr>
          <w:iCs/>
        </w:rPr>
        <w:t xml:space="preserve">minimisation calculations using the lowest comparator price result in an identical weighted AEMP </w:t>
      </w:r>
      <w:r w:rsidR="00761D27" w:rsidRPr="00515940">
        <w:rPr>
          <w:iCs/>
        </w:rPr>
        <w:t>of $</w:t>
      </w:r>
      <w:r w:rsidR="009218AC" w:rsidRPr="009218AC">
        <w:rPr>
          <w:iCs/>
          <w:sz w:val="2"/>
          <w:highlight w:val="black"/>
        </w:rPr>
        <w:t>redacted content</w:t>
      </w:r>
      <w:r w:rsidR="00761D27" w:rsidRPr="00515940">
        <w:rPr>
          <w:iCs/>
        </w:rPr>
        <w:t>.</w:t>
      </w:r>
      <w:r w:rsidR="000D6459" w:rsidRPr="00515940">
        <w:rPr>
          <w:iCs/>
        </w:rPr>
        <w:t xml:space="preserve"> The</w:t>
      </w:r>
      <w:r w:rsidR="000D6459" w:rsidRPr="000B7CE4">
        <w:rPr>
          <w:iCs/>
        </w:rPr>
        <w:t xml:space="preserve"> ESC </w:t>
      </w:r>
      <w:r w:rsidR="00D754B8" w:rsidRPr="000B7CE4">
        <w:rPr>
          <w:iCs/>
        </w:rPr>
        <w:t>disagreed</w:t>
      </w:r>
      <w:r w:rsidR="000D6459" w:rsidRPr="000B7CE4">
        <w:rPr>
          <w:iCs/>
        </w:rPr>
        <w:t xml:space="preserve"> with the inclusion of</w:t>
      </w:r>
      <w:r w:rsidR="00AA12F7" w:rsidRPr="000B7CE4">
        <w:rPr>
          <w:iCs/>
        </w:rPr>
        <w:t xml:space="preserve"> the</w:t>
      </w:r>
      <w:r w:rsidR="000D6459" w:rsidRPr="000B7CE4">
        <w:rPr>
          <w:iCs/>
        </w:rPr>
        <w:t xml:space="preserve"> HCP services cost and </w:t>
      </w:r>
      <w:r w:rsidR="007D07B0" w:rsidRPr="000B7CE4">
        <w:rPr>
          <w:iCs/>
        </w:rPr>
        <w:t>considered the</w:t>
      </w:r>
      <w:r w:rsidR="000D6459" w:rsidRPr="000B7CE4">
        <w:rPr>
          <w:iCs/>
        </w:rPr>
        <w:t xml:space="preserve"> corrected</w:t>
      </w:r>
      <w:r w:rsidR="000D6459" w:rsidRPr="00113C9D">
        <w:rPr>
          <w:iCs/>
        </w:rPr>
        <w:t xml:space="preserve"> </w:t>
      </w:r>
      <w:r w:rsidR="00152236" w:rsidRPr="00113C9D">
        <w:rPr>
          <w:iCs/>
        </w:rPr>
        <w:t>estimates</w:t>
      </w:r>
      <w:r w:rsidR="00690E98">
        <w:rPr>
          <w:iCs/>
        </w:rPr>
        <w:t xml:space="preserve"> (</w:t>
      </w:r>
      <w:r w:rsidR="000200E2">
        <w:rPr>
          <w:iCs/>
        </w:rPr>
        <w:t xml:space="preserve">see </w:t>
      </w:r>
      <w:r w:rsidR="000200E2">
        <w:rPr>
          <w:iCs/>
        </w:rPr>
        <w:fldChar w:fldCharType="begin"/>
      </w:r>
      <w:r w:rsidR="000200E2">
        <w:rPr>
          <w:iCs/>
        </w:rPr>
        <w:instrText xml:space="preserve"> REF _Ref222758888 \h </w:instrText>
      </w:r>
      <w:r w:rsidR="000200E2">
        <w:rPr>
          <w:iCs/>
        </w:rPr>
      </w:r>
      <w:r w:rsidR="000200E2">
        <w:rPr>
          <w:iCs/>
        </w:rPr>
        <w:fldChar w:fldCharType="separate"/>
      </w:r>
      <w:r w:rsidR="000200E2">
        <w:t xml:space="preserve">Table </w:t>
      </w:r>
      <w:r w:rsidR="000200E2">
        <w:rPr>
          <w:noProof/>
        </w:rPr>
        <w:t>14</w:t>
      </w:r>
      <w:r w:rsidR="000200E2">
        <w:rPr>
          <w:iCs/>
        </w:rPr>
        <w:fldChar w:fldCharType="end"/>
      </w:r>
      <w:r w:rsidR="000200E2">
        <w:rPr>
          <w:iCs/>
        </w:rPr>
        <w:t>)</w:t>
      </w:r>
      <w:r w:rsidR="00152236" w:rsidRPr="00113C9D">
        <w:rPr>
          <w:iCs/>
        </w:rPr>
        <w:t xml:space="preserve"> </w:t>
      </w:r>
      <w:r w:rsidR="007D07B0" w:rsidRPr="00113C9D">
        <w:rPr>
          <w:iCs/>
        </w:rPr>
        <w:t xml:space="preserve">provided by the </w:t>
      </w:r>
      <w:r w:rsidR="00AA12F7" w:rsidRPr="00113C9D">
        <w:rPr>
          <w:iCs/>
        </w:rPr>
        <w:t xml:space="preserve">evaluation </w:t>
      </w:r>
      <w:r w:rsidR="007D07B0" w:rsidRPr="00113C9D">
        <w:rPr>
          <w:iCs/>
        </w:rPr>
        <w:t>to be appropriate.</w:t>
      </w:r>
    </w:p>
    <w:p w14:paraId="1E9A9F6C" w14:textId="406FEDAD" w:rsidR="00057757" w:rsidRPr="00113C9D" w:rsidRDefault="00152F5B" w:rsidP="000546AB">
      <w:pPr>
        <w:pStyle w:val="3-BodyText"/>
        <w:rPr>
          <w:iCs/>
        </w:rPr>
      </w:pPr>
      <w:r w:rsidRPr="00113C9D">
        <w:rPr>
          <w:iCs/>
        </w:rPr>
        <w:t xml:space="preserve">During evaluation, the </w:t>
      </w:r>
      <w:r w:rsidR="00EF5E5A" w:rsidRPr="00113C9D">
        <w:rPr>
          <w:iCs/>
        </w:rPr>
        <w:t xml:space="preserve">Secretariat identified </w:t>
      </w:r>
      <w:r w:rsidR="00A96012" w:rsidRPr="00113C9D">
        <w:rPr>
          <w:iCs/>
        </w:rPr>
        <w:t xml:space="preserve">the following </w:t>
      </w:r>
      <w:r w:rsidR="00EF5E5A" w:rsidRPr="00113C9D">
        <w:rPr>
          <w:iCs/>
        </w:rPr>
        <w:t xml:space="preserve">issues </w:t>
      </w:r>
      <w:r w:rsidR="00B637E0" w:rsidRPr="00113C9D">
        <w:rPr>
          <w:iCs/>
        </w:rPr>
        <w:t xml:space="preserve">in the </w:t>
      </w:r>
      <w:r w:rsidR="001B67ED" w:rsidRPr="00113C9D">
        <w:rPr>
          <w:iCs/>
        </w:rPr>
        <w:t xml:space="preserve">financial </w:t>
      </w:r>
      <w:r w:rsidR="00B637E0" w:rsidRPr="00113C9D">
        <w:rPr>
          <w:iCs/>
        </w:rPr>
        <w:t>estimates</w:t>
      </w:r>
      <w:r w:rsidR="00A96012" w:rsidRPr="00113C9D">
        <w:rPr>
          <w:iCs/>
        </w:rPr>
        <w:t xml:space="preserve"> which </w:t>
      </w:r>
      <w:r w:rsidR="00875AA3" w:rsidRPr="00113C9D">
        <w:rPr>
          <w:iCs/>
        </w:rPr>
        <w:t xml:space="preserve">were addressed in the </w:t>
      </w:r>
      <w:r w:rsidR="00615D40" w:rsidRPr="00113C9D">
        <w:rPr>
          <w:iCs/>
        </w:rPr>
        <w:t xml:space="preserve">model the evaluation used to </w:t>
      </w:r>
      <w:r w:rsidR="006B1A95" w:rsidRPr="00113C9D">
        <w:rPr>
          <w:iCs/>
        </w:rPr>
        <w:t>revise the estimates shown</w:t>
      </w:r>
      <w:r w:rsidR="00530F37" w:rsidRPr="00113C9D">
        <w:rPr>
          <w:iCs/>
        </w:rPr>
        <w:t xml:space="preserve"> in </w:t>
      </w:r>
      <w:r w:rsidR="000546AB" w:rsidRPr="00113C9D">
        <w:rPr>
          <w:iCs/>
        </w:rPr>
        <w:fldChar w:fldCharType="begin"/>
      </w:r>
      <w:r w:rsidR="000546AB" w:rsidRPr="00113C9D">
        <w:rPr>
          <w:iCs/>
        </w:rPr>
        <w:instrText xml:space="preserve"> REF _Ref222758888 \h  \* MERGEFORMAT </w:instrText>
      </w:r>
      <w:r w:rsidR="000546AB" w:rsidRPr="00113C9D">
        <w:rPr>
          <w:iCs/>
        </w:rPr>
      </w:r>
      <w:r w:rsidR="000546AB" w:rsidRPr="00113C9D">
        <w:rPr>
          <w:iCs/>
        </w:rPr>
        <w:fldChar w:fldCharType="separate"/>
      </w:r>
      <w:r w:rsidR="000546AB" w:rsidRPr="00113C9D">
        <w:rPr>
          <w:iCs/>
        </w:rPr>
        <w:t xml:space="preserve">Table </w:t>
      </w:r>
      <w:r w:rsidR="000546AB" w:rsidRPr="00113C9D">
        <w:rPr>
          <w:iCs/>
          <w:noProof/>
        </w:rPr>
        <w:t>14</w:t>
      </w:r>
      <w:r w:rsidR="000546AB" w:rsidRPr="00113C9D">
        <w:rPr>
          <w:iCs/>
        </w:rPr>
        <w:fldChar w:fldCharType="end"/>
      </w:r>
      <w:r w:rsidR="00530F37" w:rsidRPr="00113C9D">
        <w:rPr>
          <w:iCs/>
        </w:rPr>
        <w:t>:</w:t>
      </w:r>
    </w:p>
    <w:p w14:paraId="69302A32" w14:textId="03F72C07" w:rsidR="00530F37" w:rsidRPr="00113C9D" w:rsidRDefault="0010756A" w:rsidP="001E072A">
      <w:pPr>
        <w:pStyle w:val="ListParagraph"/>
        <w:ind w:left="1276"/>
        <w:rPr>
          <w:iCs/>
        </w:rPr>
      </w:pPr>
      <w:r w:rsidRPr="00113C9D">
        <w:rPr>
          <w:iCs/>
        </w:rPr>
        <w:t>The patient co</w:t>
      </w:r>
      <w:r w:rsidR="002D15C9">
        <w:rPr>
          <w:iCs/>
        </w:rPr>
        <w:noBreakHyphen/>
      </w:r>
      <w:r w:rsidRPr="00113C9D">
        <w:rPr>
          <w:iCs/>
        </w:rPr>
        <w:t xml:space="preserve">payment amount of $31.60 was not current as of </w:t>
      </w:r>
      <w:r w:rsidR="001E072A" w:rsidRPr="00113C9D">
        <w:rPr>
          <w:iCs/>
        </w:rPr>
        <w:t xml:space="preserve">1 </w:t>
      </w:r>
      <w:r w:rsidRPr="00113C9D">
        <w:rPr>
          <w:iCs/>
        </w:rPr>
        <w:t>January 2026</w:t>
      </w:r>
      <w:r w:rsidR="00CE6490" w:rsidRPr="00113C9D">
        <w:rPr>
          <w:iCs/>
        </w:rPr>
        <w:t xml:space="preserve"> and updated</w:t>
      </w:r>
      <w:r w:rsidRPr="00113C9D">
        <w:rPr>
          <w:iCs/>
        </w:rPr>
        <w:t xml:space="preserve"> to $25.00</w:t>
      </w:r>
      <w:r w:rsidR="00CE6490" w:rsidRPr="00113C9D">
        <w:rPr>
          <w:iCs/>
        </w:rPr>
        <w:t>.</w:t>
      </w:r>
    </w:p>
    <w:p w14:paraId="40AD3BA4" w14:textId="6A4C54A5" w:rsidR="00DC5052" w:rsidRPr="00113C9D" w:rsidRDefault="00655AF4" w:rsidP="001E072A">
      <w:pPr>
        <w:pStyle w:val="ListParagraph"/>
        <w:ind w:left="1276"/>
        <w:rPr>
          <w:iCs/>
        </w:rPr>
      </w:pPr>
      <w:r w:rsidRPr="00113C9D">
        <w:rPr>
          <w:iCs/>
        </w:rPr>
        <w:t xml:space="preserve">The service volumes for </w:t>
      </w:r>
      <w:r w:rsidR="0005273E" w:rsidRPr="00113C9D">
        <w:rPr>
          <w:iCs/>
        </w:rPr>
        <w:t xml:space="preserve">expected substitutable medicines in the current PBS market were not current. These </w:t>
      </w:r>
      <w:r w:rsidR="00CE6490" w:rsidRPr="00113C9D">
        <w:rPr>
          <w:iCs/>
        </w:rPr>
        <w:t>were</w:t>
      </w:r>
      <w:r w:rsidR="0005273E" w:rsidRPr="00113C9D">
        <w:rPr>
          <w:iCs/>
        </w:rPr>
        <w:t xml:space="preserve"> updated with the PBS service volume data from the 2025 calendar year (January – December).</w:t>
      </w:r>
    </w:p>
    <w:p w14:paraId="1BA8DA37" w14:textId="451B6733" w:rsidR="0005273E" w:rsidRPr="00113C9D" w:rsidRDefault="00136B3E" w:rsidP="001E072A">
      <w:pPr>
        <w:pStyle w:val="ListParagraph"/>
        <w:ind w:left="1276"/>
        <w:rPr>
          <w:iCs/>
        </w:rPr>
      </w:pPr>
      <w:r w:rsidRPr="00113C9D">
        <w:rPr>
          <w:iCs/>
        </w:rPr>
        <w:t xml:space="preserve">The estimated annual growth rates were not accurate. </w:t>
      </w:r>
      <w:r w:rsidR="00CE6490" w:rsidRPr="00113C9D">
        <w:rPr>
          <w:iCs/>
        </w:rPr>
        <w:t>The s</w:t>
      </w:r>
      <w:r w:rsidR="00BC6728" w:rsidRPr="00113C9D">
        <w:rPr>
          <w:iCs/>
        </w:rPr>
        <w:t xml:space="preserve">ource and justification </w:t>
      </w:r>
      <w:r w:rsidR="00073699" w:rsidRPr="00113C9D">
        <w:rPr>
          <w:iCs/>
        </w:rPr>
        <w:t>were</w:t>
      </w:r>
      <w:r w:rsidR="00BC6728" w:rsidRPr="00113C9D">
        <w:rPr>
          <w:iCs/>
        </w:rPr>
        <w:t xml:space="preserve"> provided for the estimated annual growth</w:t>
      </w:r>
      <w:r w:rsidR="003A7DC7" w:rsidRPr="00113C9D">
        <w:rPr>
          <w:iCs/>
        </w:rPr>
        <w:t xml:space="preserve">, and the </w:t>
      </w:r>
      <w:r w:rsidR="0045040F" w:rsidRPr="00113C9D">
        <w:rPr>
          <w:iCs/>
        </w:rPr>
        <w:t>5</w:t>
      </w:r>
      <w:r w:rsidR="002D15C9">
        <w:rPr>
          <w:iCs/>
        </w:rPr>
        <w:noBreakHyphen/>
      </w:r>
      <w:r w:rsidR="0045040F" w:rsidRPr="00113C9D">
        <w:rPr>
          <w:iCs/>
        </w:rPr>
        <w:t xml:space="preserve">year average calculation was updated </w:t>
      </w:r>
      <w:r w:rsidR="007D17A6" w:rsidRPr="00113C9D">
        <w:rPr>
          <w:iCs/>
        </w:rPr>
        <w:t>to incorporate growth rates from 2021</w:t>
      </w:r>
      <w:r w:rsidR="002D15C9">
        <w:rPr>
          <w:iCs/>
        </w:rPr>
        <w:noBreakHyphen/>
      </w:r>
      <w:r w:rsidR="007D17A6" w:rsidRPr="00113C9D">
        <w:rPr>
          <w:iCs/>
        </w:rPr>
        <w:t>2025.</w:t>
      </w:r>
    </w:p>
    <w:p w14:paraId="173B8D77" w14:textId="5E620C92" w:rsidR="00BC6728" w:rsidRPr="00113C9D" w:rsidRDefault="000546AB" w:rsidP="001E072A">
      <w:pPr>
        <w:pStyle w:val="ListParagraph"/>
        <w:ind w:left="1276"/>
        <w:rPr>
          <w:iCs/>
        </w:rPr>
      </w:pPr>
      <w:r w:rsidRPr="00113C9D">
        <w:rPr>
          <w:iCs/>
        </w:rPr>
        <w:t>The e</w:t>
      </w:r>
      <w:r w:rsidR="009A4E6B" w:rsidRPr="00113C9D">
        <w:rPr>
          <w:iCs/>
        </w:rPr>
        <w:t xml:space="preserve">stimated growth in </w:t>
      </w:r>
      <w:r w:rsidRPr="00113C9D">
        <w:rPr>
          <w:iCs/>
        </w:rPr>
        <w:t xml:space="preserve">some </w:t>
      </w:r>
      <w:r w:rsidR="009A4E6B" w:rsidRPr="00113C9D">
        <w:rPr>
          <w:iCs/>
        </w:rPr>
        <w:t xml:space="preserve">cells provided a value of 10000% in 2025. This </w:t>
      </w:r>
      <w:r w:rsidRPr="00113C9D">
        <w:rPr>
          <w:iCs/>
        </w:rPr>
        <w:t>error was assumed to be typographical and was corrected</w:t>
      </w:r>
      <w:r w:rsidR="009A4E6B" w:rsidRPr="00113C9D">
        <w:rPr>
          <w:iCs/>
        </w:rPr>
        <w:t>.</w:t>
      </w:r>
    </w:p>
    <w:p w14:paraId="490F3C5A" w14:textId="77FB5BC1" w:rsidR="009A4E6B" w:rsidRDefault="0084769C">
      <w:pPr>
        <w:pStyle w:val="3-BodyText"/>
      </w:pPr>
      <w:r w:rsidRPr="00113C9D">
        <w:rPr>
          <w:iCs/>
        </w:rPr>
        <w:t>In the updated estimates, the total cost to the PBS/RPBS of listing MRSC risperidone was estimated to be $</w:t>
      </w:r>
      <w:r w:rsidR="00D46E2F" w:rsidRPr="00D46E2F">
        <w:rPr>
          <w:iCs/>
        </w:rPr>
        <w:t>20 million to &lt; $30 million</w:t>
      </w:r>
      <w:r w:rsidR="00D46E2F">
        <w:rPr>
          <w:iCs/>
        </w:rPr>
        <w:t xml:space="preserve"> </w:t>
      </w:r>
      <w:r w:rsidRPr="00113C9D">
        <w:rPr>
          <w:iCs/>
        </w:rPr>
        <w:t xml:space="preserve">in Year 6 with a net cost of </w:t>
      </w:r>
      <w:r w:rsidR="002D15C9">
        <w:rPr>
          <w:iCs/>
        </w:rPr>
        <w:noBreakHyphen/>
      </w:r>
      <w:r w:rsidRPr="00113C9D">
        <w:rPr>
          <w:iCs/>
        </w:rPr>
        <w:t>$</w:t>
      </w:r>
      <w:r w:rsidR="001A73CF" w:rsidRPr="001A73CF">
        <w:rPr>
          <w:iCs/>
        </w:rPr>
        <w:t>0 to &lt; $10 million</w:t>
      </w:r>
      <w:r w:rsidRPr="00113C9D">
        <w:rPr>
          <w:iCs/>
        </w:rPr>
        <w:t>. Over 6 years, the total cost of listing MRSC risperidone total was estimated as $</w:t>
      </w:r>
      <w:r w:rsidR="003D5646" w:rsidRPr="003D5646">
        <w:rPr>
          <w:iCs/>
        </w:rPr>
        <w:t>$80 million to &lt; $90 million</w:t>
      </w:r>
      <w:r w:rsidR="003D5646">
        <w:rPr>
          <w:iCs/>
        </w:rPr>
        <w:t xml:space="preserve"> </w:t>
      </w:r>
      <w:r w:rsidRPr="00113C9D">
        <w:rPr>
          <w:iCs/>
        </w:rPr>
        <w:t>offset by the reduction in cost of the replaced antipsychotics with a resulting net saving over 6 years of $</w:t>
      </w:r>
      <w:r w:rsidR="001A73CF" w:rsidRPr="001A73CF">
        <w:rPr>
          <w:iCs/>
        </w:rPr>
        <w:t>0 to &lt; $10 million</w:t>
      </w:r>
      <w:r w:rsidRPr="00113C9D">
        <w:rPr>
          <w:iCs/>
        </w:rPr>
        <w:t xml:space="preserve">. </w:t>
      </w:r>
    </w:p>
    <w:p w14:paraId="77D1A221" w14:textId="6E598D8F" w:rsidR="00C27D1B" w:rsidRDefault="00C27D1B" w:rsidP="009218AC">
      <w:pPr>
        <w:pStyle w:val="Caption"/>
        <w:rPr>
          <w:color w:val="0066FF"/>
        </w:rPr>
      </w:pPr>
      <w:bookmarkStart w:id="55" w:name="_Ref222758888"/>
      <w:r>
        <w:lastRenderedPageBreak/>
        <w:t xml:space="preserve">Table </w:t>
      </w:r>
      <w:fldSimple w:instr=" SEQ Table \* ARABIC ">
        <w:r w:rsidR="002D15C9">
          <w:rPr>
            <w:noProof/>
          </w:rPr>
          <w:t>15</w:t>
        </w:r>
      </w:fldSimple>
      <w:bookmarkEnd w:id="55"/>
      <w:r w:rsidR="000546AB">
        <w:t>:</w:t>
      </w:r>
      <w:r>
        <w:tab/>
      </w:r>
      <w:r w:rsidR="000546AB">
        <w:t xml:space="preserve"> </w:t>
      </w:r>
      <w:r w:rsidRPr="0098262F">
        <w:rPr>
          <w:rStyle w:val="CommentReference"/>
          <w:b/>
          <w:szCs w:val="24"/>
        </w:rPr>
        <w:t>Estimated use and financial implications</w:t>
      </w:r>
      <w:r>
        <w:rPr>
          <w:rStyle w:val="CommentReference"/>
          <w:b/>
          <w:szCs w:val="24"/>
        </w:rPr>
        <w:t>, effective price (Secretariat Updates)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effective price (Secretariat Updates)"/>
      </w:tblPr>
      <w:tblGrid>
        <w:gridCol w:w="2405"/>
        <w:gridCol w:w="1102"/>
        <w:gridCol w:w="1102"/>
        <w:gridCol w:w="1102"/>
        <w:gridCol w:w="1102"/>
        <w:gridCol w:w="1102"/>
        <w:gridCol w:w="1102"/>
      </w:tblGrid>
      <w:tr w:rsidR="00C27D1B" w:rsidRPr="0098262F" w14:paraId="748C2672" w14:textId="77777777">
        <w:trPr>
          <w:tblHeader/>
        </w:trPr>
        <w:tc>
          <w:tcPr>
            <w:tcW w:w="1334" w:type="pct"/>
            <w:vAlign w:val="center"/>
          </w:tcPr>
          <w:p w14:paraId="69B14BD2" w14:textId="77777777" w:rsidR="00C27D1B" w:rsidRPr="0098262F" w:rsidRDefault="00C27D1B" w:rsidP="009218AC">
            <w:pPr>
              <w:pStyle w:val="In-tableHeading"/>
              <w:keepLines/>
            </w:pPr>
          </w:p>
        </w:tc>
        <w:tc>
          <w:tcPr>
            <w:tcW w:w="611" w:type="pct"/>
            <w:vAlign w:val="center"/>
          </w:tcPr>
          <w:p w14:paraId="51B6A19D" w14:textId="77777777" w:rsidR="00C27D1B" w:rsidRPr="0098262F" w:rsidRDefault="00C27D1B" w:rsidP="009218AC">
            <w:pPr>
              <w:pStyle w:val="In-tableHeading"/>
              <w:keepLines/>
            </w:pPr>
            <w:r w:rsidRPr="0098262F">
              <w:t>Year 1</w:t>
            </w:r>
          </w:p>
        </w:tc>
        <w:tc>
          <w:tcPr>
            <w:tcW w:w="611" w:type="pct"/>
            <w:vAlign w:val="center"/>
          </w:tcPr>
          <w:p w14:paraId="6662D435" w14:textId="77777777" w:rsidR="00C27D1B" w:rsidRPr="0098262F" w:rsidRDefault="00C27D1B" w:rsidP="009218AC">
            <w:pPr>
              <w:pStyle w:val="In-tableHeading"/>
              <w:keepLines/>
            </w:pPr>
            <w:r w:rsidRPr="0098262F">
              <w:t>Year 2</w:t>
            </w:r>
          </w:p>
        </w:tc>
        <w:tc>
          <w:tcPr>
            <w:tcW w:w="611" w:type="pct"/>
            <w:vAlign w:val="center"/>
          </w:tcPr>
          <w:p w14:paraId="7873DCBA" w14:textId="77777777" w:rsidR="00C27D1B" w:rsidRPr="0098262F" w:rsidRDefault="00C27D1B" w:rsidP="009218AC">
            <w:pPr>
              <w:pStyle w:val="In-tableHeading"/>
              <w:keepLines/>
            </w:pPr>
            <w:r w:rsidRPr="0098262F">
              <w:t>Year 3</w:t>
            </w:r>
          </w:p>
        </w:tc>
        <w:tc>
          <w:tcPr>
            <w:tcW w:w="611" w:type="pct"/>
            <w:vAlign w:val="center"/>
          </w:tcPr>
          <w:p w14:paraId="0FE7C5DB" w14:textId="77777777" w:rsidR="00C27D1B" w:rsidRPr="0098262F" w:rsidRDefault="00C27D1B" w:rsidP="009218AC">
            <w:pPr>
              <w:pStyle w:val="In-tableHeading"/>
              <w:keepLines/>
            </w:pPr>
            <w:r w:rsidRPr="0098262F">
              <w:t>Year 4</w:t>
            </w:r>
          </w:p>
        </w:tc>
        <w:tc>
          <w:tcPr>
            <w:tcW w:w="611" w:type="pct"/>
            <w:vAlign w:val="center"/>
          </w:tcPr>
          <w:p w14:paraId="499E26D1" w14:textId="77777777" w:rsidR="00C27D1B" w:rsidRPr="0098262F" w:rsidRDefault="00C27D1B" w:rsidP="009218AC">
            <w:pPr>
              <w:pStyle w:val="In-tableHeading"/>
              <w:keepLines/>
            </w:pPr>
            <w:r w:rsidRPr="0098262F">
              <w:t>Year 5</w:t>
            </w:r>
          </w:p>
        </w:tc>
        <w:tc>
          <w:tcPr>
            <w:tcW w:w="611" w:type="pct"/>
          </w:tcPr>
          <w:p w14:paraId="53440BF9" w14:textId="77777777" w:rsidR="00C27D1B" w:rsidRPr="0098262F" w:rsidRDefault="00C27D1B" w:rsidP="009218AC">
            <w:pPr>
              <w:pStyle w:val="In-tableHeading"/>
              <w:keepLines/>
            </w:pPr>
            <w:r w:rsidRPr="0098262F">
              <w:t>Year 6</w:t>
            </w:r>
          </w:p>
        </w:tc>
      </w:tr>
      <w:tr w:rsidR="00C27D1B" w:rsidRPr="0098262F" w14:paraId="3F9E5DB3" w14:textId="77777777">
        <w:tc>
          <w:tcPr>
            <w:tcW w:w="5000" w:type="pct"/>
            <w:gridSpan w:val="7"/>
            <w:vAlign w:val="center"/>
          </w:tcPr>
          <w:p w14:paraId="3FABDF32" w14:textId="77777777" w:rsidR="00C27D1B" w:rsidRPr="0098262F" w:rsidRDefault="00C27D1B" w:rsidP="009218AC">
            <w:pPr>
              <w:pStyle w:val="In-tableHeading"/>
              <w:keepLines/>
            </w:pPr>
            <w:r w:rsidRPr="0098262F">
              <w:t>Estimated extent of use</w:t>
            </w:r>
            <w:r>
              <w:t xml:space="preserve"> by preparation, scripts dispensed</w:t>
            </w:r>
          </w:p>
        </w:tc>
      </w:tr>
      <w:tr w:rsidR="00C93892" w:rsidRPr="0098262F" w14:paraId="3CD428C7" w14:textId="77777777" w:rsidTr="00FC6C45">
        <w:tc>
          <w:tcPr>
            <w:tcW w:w="1334" w:type="pct"/>
            <w:vAlign w:val="center"/>
          </w:tcPr>
          <w:p w14:paraId="397D8261" w14:textId="77777777" w:rsidR="00C93892" w:rsidRPr="0041585D" w:rsidRDefault="00C93892" w:rsidP="009218AC">
            <w:pPr>
              <w:pStyle w:val="TableText"/>
              <w:keepLines/>
            </w:pPr>
            <w:r>
              <w:t>50 mg</w:t>
            </w:r>
          </w:p>
        </w:tc>
        <w:tc>
          <w:tcPr>
            <w:tcW w:w="611" w:type="pct"/>
          </w:tcPr>
          <w:p w14:paraId="1EFFA1BA" w14:textId="2F20AEE7" w:rsidR="00C93892" w:rsidRPr="000C36FD" w:rsidRDefault="009218AC" w:rsidP="009218AC">
            <w:pPr>
              <w:pStyle w:val="TableText"/>
              <w:keepLines/>
              <w:rPr>
                <w:highlight w:val="lightGray"/>
              </w:rPr>
            </w:pPr>
            <w:r w:rsidRPr="009218AC">
              <w:rPr>
                <w:sz w:val="2"/>
                <w:highlight w:val="black"/>
              </w:rPr>
              <w:t>redacted content</w:t>
            </w:r>
            <w:r w:rsidR="00923F13" w:rsidRPr="00300351">
              <w:rPr>
                <w:vertAlign w:val="superscript"/>
              </w:rPr>
              <w:t>1</w:t>
            </w:r>
            <w:r w:rsidRPr="009218AC">
              <w:t xml:space="preserve"> </w:t>
            </w:r>
          </w:p>
        </w:tc>
        <w:tc>
          <w:tcPr>
            <w:tcW w:w="611" w:type="pct"/>
          </w:tcPr>
          <w:p w14:paraId="4FEC11EB" w14:textId="77313FAD" w:rsidR="00C93892" w:rsidRPr="000C36FD" w:rsidRDefault="009218AC" w:rsidP="009218AC">
            <w:pPr>
              <w:pStyle w:val="TableText"/>
              <w:keepLines/>
              <w:rPr>
                <w:highlight w:val="lightGray"/>
              </w:rPr>
            </w:pPr>
            <w:r w:rsidRPr="009218AC">
              <w:rPr>
                <w:sz w:val="2"/>
                <w:highlight w:val="black"/>
              </w:rPr>
              <w:t>redacted content</w:t>
            </w:r>
            <w:r w:rsidR="00923F13" w:rsidRPr="00300351">
              <w:rPr>
                <w:vertAlign w:val="superscript"/>
              </w:rPr>
              <w:t>1</w:t>
            </w:r>
          </w:p>
        </w:tc>
        <w:tc>
          <w:tcPr>
            <w:tcW w:w="611" w:type="pct"/>
          </w:tcPr>
          <w:p w14:paraId="2E784ACD" w14:textId="2FA88A67"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57DA5990" w14:textId="7392555D"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6EAAC0E7" w14:textId="26128089"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27B744B9" w14:textId="774C53DE"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r>
      <w:tr w:rsidR="00C93892" w:rsidRPr="0098262F" w14:paraId="000EECA7" w14:textId="77777777" w:rsidTr="00FC6C45">
        <w:tc>
          <w:tcPr>
            <w:tcW w:w="1334" w:type="pct"/>
            <w:vAlign w:val="center"/>
          </w:tcPr>
          <w:p w14:paraId="322D1D48" w14:textId="77777777" w:rsidR="00C93892" w:rsidRPr="0098262F" w:rsidRDefault="00C93892" w:rsidP="009218AC">
            <w:pPr>
              <w:pStyle w:val="TableText"/>
              <w:keepLines/>
            </w:pPr>
            <w:r>
              <w:t>75 mg</w:t>
            </w:r>
          </w:p>
        </w:tc>
        <w:tc>
          <w:tcPr>
            <w:tcW w:w="611" w:type="pct"/>
          </w:tcPr>
          <w:p w14:paraId="07C91579" w14:textId="48D58CB3" w:rsidR="00C93892" w:rsidRPr="000C36FD" w:rsidRDefault="009218AC" w:rsidP="009218AC">
            <w:pPr>
              <w:pStyle w:val="TableText"/>
              <w:keepLines/>
              <w:rPr>
                <w:highlight w:val="lightGray"/>
              </w:rPr>
            </w:pPr>
            <w:r w:rsidRPr="009218AC">
              <w:rPr>
                <w:sz w:val="2"/>
                <w:highlight w:val="black"/>
              </w:rPr>
              <w:t>redacted content</w:t>
            </w:r>
            <w:r w:rsidR="00923F13" w:rsidRPr="00300351">
              <w:rPr>
                <w:vertAlign w:val="superscript"/>
              </w:rPr>
              <w:t>1</w:t>
            </w:r>
          </w:p>
        </w:tc>
        <w:tc>
          <w:tcPr>
            <w:tcW w:w="611" w:type="pct"/>
          </w:tcPr>
          <w:p w14:paraId="48496CEB" w14:textId="295A107C"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43E4426C" w14:textId="028BDDA3"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26D4F4EA" w14:textId="1E498965" w:rsidR="00C93892" w:rsidRPr="000C36FD" w:rsidRDefault="009218AC" w:rsidP="009218AC">
            <w:pPr>
              <w:pStyle w:val="TableText"/>
              <w:keepLines/>
              <w:rPr>
                <w:highlight w:val="lightGray"/>
              </w:rPr>
            </w:pPr>
            <w:r w:rsidRPr="009218AC">
              <w:rPr>
                <w:sz w:val="2"/>
                <w:highlight w:val="black"/>
              </w:rPr>
              <w:t>redacted content</w:t>
            </w:r>
            <w:r w:rsidR="00D86EF0" w:rsidRPr="00300351">
              <w:rPr>
                <w:vertAlign w:val="superscript"/>
              </w:rPr>
              <w:t>3</w:t>
            </w:r>
          </w:p>
        </w:tc>
        <w:tc>
          <w:tcPr>
            <w:tcW w:w="611" w:type="pct"/>
          </w:tcPr>
          <w:p w14:paraId="52C47A04" w14:textId="5E42F8E3" w:rsidR="00C93892" w:rsidRPr="000C36FD" w:rsidRDefault="009218AC" w:rsidP="009218AC">
            <w:pPr>
              <w:pStyle w:val="TableText"/>
              <w:keepLines/>
              <w:rPr>
                <w:highlight w:val="lightGray"/>
              </w:rPr>
            </w:pPr>
            <w:r w:rsidRPr="009218AC">
              <w:rPr>
                <w:sz w:val="2"/>
                <w:highlight w:val="black"/>
              </w:rPr>
              <w:t>redacted content</w:t>
            </w:r>
            <w:r w:rsidR="00D86EF0" w:rsidRPr="00300351">
              <w:rPr>
                <w:vertAlign w:val="superscript"/>
              </w:rPr>
              <w:t>3</w:t>
            </w:r>
          </w:p>
        </w:tc>
        <w:tc>
          <w:tcPr>
            <w:tcW w:w="611" w:type="pct"/>
          </w:tcPr>
          <w:p w14:paraId="5689D075" w14:textId="6E6EE119" w:rsidR="00C93892" w:rsidRPr="000C36FD" w:rsidRDefault="009218AC" w:rsidP="009218AC">
            <w:pPr>
              <w:pStyle w:val="TableText"/>
              <w:keepLines/>
              <w:rPr>
                <w:highlight w:val="lightGray"/>
              </w:rPr>
            </w:pPr>
            <w:r w:rsidRPr="009218AC">
              <w:rPr>
                <w:sz w:val="2"/>
                <w:highlight w:val="black"/>
              </w:rPr>
              <w:t>redacted content</w:t>
            </w:r>
            <w:r w:rsidR="00D86EF0" w:rsidRPr="00300351">
              <w:rPr>
                <w:vertAlign w:val="superscript"/>
              </w:rPr>
              <w:t>3</w:t>
            </w:r>
          </w:p>
        </w:tc>
      </w:tr>
      <w:tr w:rsidR="00C93892" w:rsidRPr="0098262F" w14:paraId="39A2C61B" w14:textId="77777777" w:rsidTr="00FC6C45">
        <w:tc>
          <w:tcPr>
            <w:tcW w:w="1334" w:type="pct"/>
            <w:vAlign w:val="center"/>
          </w:tcPr>
          <w:p w14:paraId="57997578" w14:textId="77777777" w:rsidR="00C93892" w:rsidRPr="0098262F" w:rsidRDefault="00C93892" w:rsidP="009218AC">
            <w:pPr>
              <w:pStyle w:val="TableText"/>
              <w:keepLines/>
            </w:pPr>
            <w:r>
              <w:t>100 mg</w:t>
            </w:r>
          </w:p>
        </w:tc>
        <w:tc>
          <w:tcPr>
            <w:tcW w:w="611" w:type="pct"/>
          </w:tcPr>
          <w:p w14:paraId="353C5C48" w14:textId="58C1DB95"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67ACF58B" w14:textId="6787B9DA" w:rsidR="00C93892" w:rsidRPr="000C36FD" w:rsidRDefault="009218AC" w:rsidP="009218AC">
            <w:pPr>
              <w:pStyle w:val="TableText"/>
              <w:keepLines/>
              <w:rPr>
                <w:highlight w:val="lightGray"/>
              </w:rPr>
            </w:pPr>
            <w:r w:rsidRPr="009218AC">
              <w:rPr>
                <w:sz w:val="2"/>
                <w:highlight w:val="black"/>
              </w:rPr>
              <w:t>redacted content</w:t>
            </w:r>
            <w:r w:rsidR="00D86EF0" w:rsidRPr="00300351">
              <w:rPr>
                <w:vertAlign w:val="superscript"/>
              </w:rPr>
              <w:t>3</w:t>
            </w:r>
          </w:p>
        </w:tc>
        <w:tc>
          <w:tcPr>
            <w:tcW w:w="611" w:type="pct"/>
          </w:tcPr>
          <w:p w14:paraId="7154C8F5" w14:textId="4562E46D"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5CAE5BAF" w14:textId="62ECCE62"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28002C01" w14:textId="3F74E153"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29A4FDA1" w14:textId="2CBBB6BF"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r>
      <w:tr w:rsidR="00C93892" w:rsidRPr="0098262F" w14:paraId="3744D74E" w14:textId="77777777" w:rsidTr="00FC6C45">
        <w:tc>
          <w:tcPr>
            <w:tcW w:w="1334" w:type="pct"/>
            <w:vAlign w:val="center"/>
          </w:tcPr>
          <w:p w14:paraId="3496D1A0" w14:textId="77777777" w:rsidR="00C93892" w:rsidRPr="0098262F" w:rsidRDefault="00C93892" w:rsidP="009218AC">
            <w:pPr>
              <w:pStyle w:val="TableText"/>
              <w:keepLines/>
            </w:pPr>
            <w:r>
              <w:t>125 mg</w:t>
            </w:r>
          </w:p>
        </w:tc>
        <w:tc>
          <w:tcPr>
            <w:tcW w:w="611" w:type="pct"/>
          </w:tcPr>
          <w:p w14:paraId="18F4BC79" w14:textId="1B58E8BD" w:rsidR="00C93892" w:rsidRPr="000C36FD" w:rsidRDefault="009218AC" w:rsidP="009218AC">
            <w:pPr>
              <w:pStyle w:val="TableText"/>
              <w:keepLines/>
              <w:rPr>
                <w:highlight w:val="lightGray"/>
              </w:rPr>
            </w:pPr>
            <w:r w:rsidRPr="009218AC">
              <w:rPr>
                <w:sz w:val="2"/>
                <w:highlight w:val="black"/>
              </w:rPr>
              <w:t>redacted content</w:t>
            </w:r>
            <w:r w:rsidR="00AB0036" w:rsidRPr="00300351">
              <w:rPr>
                <w:vertAlign w:val="superscript"/>
              </w:rPr>
              <w:t>2</w:t>
            </w:r>
          </w:p>
        </w:tc>
        <w:tc>
          <w:tcPr>
            <w:tcW w:w="611" w:type="pct"/>
          </w:tcPr>
          <w:p w14:paraId="7FEF1D29" w14:textId="43948AA8" w:rsidR="00C93892" w:rsidRPr="000C36FD" w:rsidRDefault="009218AC" w:rsidP="009218AC">
            <w:pPr>
              <w:pStyle w:val="TableText"/>
              <w:keepLines/>
              <w:rPr>
                <w:highlight w:val="lightGray"/>
              </w:rPr>
            </w:pPr>
            <w:r w:rsidRPr="009218AC">
              <w:rPr>
                <w:sz w:val="2"/>
                <w:highlight w:val="black"/>
              </w:rPr>
              <w:t>redacted content</w:t>
            </w:r>
            <w:r w:rsidR="00D86EF0" w:rsidRPr="00300351">
              <w:rPr>
                <w:vertAlign w:val="superscript"/>
              </w:rPr>
              <w:t>3</w:t>
            </w:r>
          </w:p>
        </w:tc>
        <w:tc>
          <w:tcPr>
            <w:tcW w:w="611" w:type="pct"/>
          </w:tcPr>
          <w:p w14:paraId="133E985F" w14:textId="49B5C398" w:rsidR="00C93892" w:rsidRPr="000C36FD" w:rsidRDefault="009218AC" w:rsidP="009218AC">
            <w:pPr>
              <w:pStyle w:val="TableText"/>
              <w:keepLines/>
              <w:rPr>
                <w:highlight w:val="lightGray"/>
              </w:rPr>
            </w:pPr>
            <w:r w:rsidRPr="009218AC">
              <w:rPr>
                <w:sz w:val="2"/>
                <w:highlight w:val="black"/>
              </w:rPr>
              <w:t>redacted content</w:t>
            </w:r>
            <w:r w:rsidR="00B545C1" w:rsidRPr="00300351">
              <w:rPr>
                <w:vertAlign w:val="superscript"/>
              </w:rPr>
              <w:t>3</w:t>
            </w:r>
          </w:p>
        </w:tc>
        <w:tc>
          <w:tcPr>
            <w:tcW w:w="611" w:type="pct"/>
          </w:tcPr>
          <w:p w14:paraId="63682C55" w14:textId="4CA25F7E"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2E799F15" w14:textId="1B5718D1"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0AD8B92E" w14:textId="31E5E814"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r>
      <w:tr w:rsidR="00C93892" w:rsidRPr="0098262F" w14:paraId="3C1D7E52" w14:textId="77777777" w:rsidTr="00FC6C45">
        <w:tc>
          <w:tcPr>
            <w:tcW w:w="1334" w:type="pct"/>
            <w:vAlign w:val="center"/>
          </w:tcPr>
          <w:p w14:paraId="67048AA6" w14:textId="77777777" w:rsidR="00C93892" w:rsidRPr="0098262F" w:rsidRDefault="00C93892" w:rsidP="009218AC">
            <w:pPr>
              <w:pStyle w:val="TableText"/>
              <w:keepLines/>
            </w:pPr>
            <w:r>
              <w:t xml:space="preserve">Total </w:t>
            </w:r>
          </w:p>
        </w:tc>
        <w:tc>
          <w:tcPr>
            <w:tcW w:w="611" w:type="pct"/>
          </w:tcPr>
          <w:p w14:paraId="3447EECD" w14:textId="4A52ABCF" w:rsidR="00C93892" w:rsidRPr="000C36FD" w:rsidRDefault="009218AC" w:rsidP="009218AC">
            <w:pPr>
              <w:pStyle w:val="TableText"/>
              <w:keepLines/>
              <w:rPr>
                <w:highlight w:val="lightGray"/>
              </w:rPr>
            </w:pPr>
            <w:r w:rsidRPr="009218AC">
              <w:rPr>
                <w:sz w:val="2"/>
                <w:highlight w:val="black"/>
              </w:rPr>
              <w:t>redacted content</w:t>
            </w:r>
            <w:r w:rsidR="007C0641" w:rsidRPr="00300351">
              <w:rPr>
                <w:vertAlign w:val="superscript"/>
              </w:rPr>
              <w:t>4</w:t>
            </w:r>
          </w:p>
        </w:tc>
        <w:tc>
          <w:tcPr>
            <w:tcW w:w="611" w:type="pct"/>
          </w:tcPr>
          <w:p w14:paraId="46A108E9" w14:textId="7772FDF4" w:rsidR="00C93892" w:rsidRPr="000C36FD" w:rsidRDefault="009218AC" w:rsidP="009218AC">
            <w:pPr>
              <w:pStyle w:val="TableText"/>
              <w:keepLines/>
              <w:rPr>
                <w:highlight w:val="lightGray"/>
              </w:rPr>
            </w:pPr>
            <w:r w:rsidRPr="009218AC">
              <w:rPr>
                <w:sz w:val="2"/>
                <w:highlight w:val="black"/>
              </w:rPr>
              <w:t>redacted content</w:t>
            </w:r>
            <w:r w:rsidR="00DC0D7F" w:rsidRPr="00300351">
              <w:rPr>
                <w:vertAlign w:val="superscript"/>
              </w:rPr>
              <w:t>5</w:t>
            </w:r>
          </w:p>
        </w:tc>
        <w:tc>
          <w:tcPr>
            <w:tcW w:w="611" w:type="pct"/>
          </w:tcPr>
          <w:p w14:paraId="2ADFB5B4" w14:textId="483E699D" w:rsidR="00C93892" w:rsidRPr="000C36FD" w:rsidRDefault="009218AC" w:rsidP="009218AC">
            <w:pPr>
              <w:pStyle w:val="TableText"/>
              <w:keepLines/>
              <w:rPr>
                <w:highlight w:val="lightGray"/>
              </w:rPr>
            </w:pPr>
            <w:r w:rsidRPr="009218AC">
              <w:rPr>
                <w:sz w:val="2"/>
                <w:highlight w:val="black"/>
              </w:rPr>
              <w:t>redacted content</w:t>
            </w:r>
            <w:r w:rsidR="00B33D67" w:rsidRPr="00300351">
              <w:rPr>
                <w:vertAlign w:val="superscript"/>
              </w:rPr>
              <w:t>6</w:t>
            </w:r>
          </w:p>
        </w:tc>
        <w:tc>
          <w:tcPr>
            <w:tcW w:w="611" w:type="pct"/>
          </w:tcPr>
          <w:p w14:paraId="634A72CF" w14:textId="00251FD2" w:rsidR="00C93892" w:rsidRPr="000C36FD" w:rsidRDefault="009218AC" w:rsidP="009218AC">
            <w:pPr>
              <w:pStyle w:val="TableText"/>
              <w:keepLines/>
              <w:rPr>
                <w:highlight w:val="lightGray"/>
              </w:rPr>
            </w:pPr>
            <w:r w:rsidRPr="009218AC">
              <w:rPr>
                <w:sz w:val="2"/>
                <w:highlight w:val="black"/>
              </w:rPr>
              <w:t>redacted content</w:t>
            </w:r>
            <w:r w:rsidR="008507F8" w:rsidRPr="00300351">
              <w:rPr>
                <w:vertAlign w:val="superscript"/>
              </w:rPr>
              <w:t>7</w:t>
            </w:r>
          </w:p>
        </w:tc>
        <w:tc>
          <w:tcPr>
            <w:tcW w:w="611" w:type="pct"/>
          </w:tcPr>
          <w:p w14:paraId="3A2366C9" w14:textId="2D445687" w:rsidR="00C93892" w:rsidRPr="000C36FD" w:rsidRDefault="009218AC" w:rsidP="009218AC">
            <w:pPr>
              <w:pStyle w:val="TableText"/>
              <w:keepLines/>
              <w:rPr>
                <w:highlight w:val="lightGray"/>
              </w:rPr>
            </w:pPr>
            <w:r w:rsidRPr="009218AC">
              <w:rPr>
                <w:sz w:val="2"/>
                <w:highlight w:val="black"/>
              </w:rPr>
              <w:t>redacted content</w:t>
            </w:r>
            <w:r w:rsidR="008507F8" w:rsidRPr="00300351">
              <w:rPr>
                <w:vertAlign w:val="superscript"/>
              </w:rPr>
              <w:t>8</w:t>
            </w:r>
          </w:p>
        </w:tc>
        <w:tc>
          <w:tcPr>
            <w:tcW w:w="611" w:type="pct"/>
          </w:tcPr>
          <w:p w14:paraId="7B2B02F6" w14:textId="03A48411" w:rsidR="00C93892" w:rsidRPr="000C36FD" w:rsidRDefault="009218AC" w:rsidP="009218AC">
            <w:pPr>
              <w:pStyle w:val="TableText"/>
              <w:keepLines/>
              <w:rPr>
                <w:highlight w:val="lightGray"/>
              </w:rPr>
            </w:pPr>
            <w:r w:rsidRPr="009218AC">
              <w:rPr>
                <w:sz w:val="2"/>
                <w:highlight w:val="black"/>
              </w:rPr>
              <w:t>redacted content</w:t>
            </w:r>
            <w:r w:rsidR="008507F8" w:rsidRPr="00300351">
              <w:rPr>
                <w:vertAlign w:val="superscript"/>
              </w:rPr>
              <w:t>9</w:t>
            </w:r>
          </w:p>
        </w:tc>
      </w:tr>
      <w:tr w:rsidR="00C27D1B" w:rsidRPr="0098262F" w14:paraId="2739B319" w14:textId="77777777">
        <w:tc>
          <w:tcPr>
            <w:tcW w:w="5000" w:type="pct"/>
            <w:gridSpan w:val="7"/>
            <w:vAlign w:val="center"/>
          </w:tcPr>
          <w:p w14:paraId="5283D971" w14:textId="77777777" w:rsidR="00C27D1B" w:rsidRPr="0098262F" w:rsidRDefault="00C27D1B" w:rsidP="009218AC">
            <w:pPr>
              <w:pStyle w:val="In-tableHeading"/>
              <w:keepLines/>
            </w:pPr>
            <w:r w:rsidRPr="0098262F">
              <w:t xml:space="preserve">Estimated financial implications of </w:t>
            </w:r>
            <w:r>
              <w:t>MRSC risperidone</w:t>
            </w:r>
          </w:p>
        </w:tc>
      </w:tr>
      <w:tr w:rsidR="00132893" w:rsidRPr="0098262F" w14:paraId="2575799A" w14:textId="77777777">
        <w:tc>
          <w:tcPr>
            <w:tcW w:w="1334" w:type="pct"/>
            <w:vAlign w:val="center"/>
          </w:tcPr>
          <w:p w14:paraId="6B9880E6" w14:textId="77777777" w:rsidR="00132893" w:rsidRPr="0098262F" w:rsidRDefault="00132893" w:rsidP="009218AC">
            <w:pPr>
              <w:pStyle w:val="TableText"/>
              <w:keepLines/>
            </w:pPr>
            <w:r w:rsidRPr="0098262F">
              <w:t>Cost to PBS/RPBS less copayments</w:t>
            </w:r>
          </w:p>
        </w:tc>
        <w:tc>
          <w:tcPr>
            <w:tcW w:w="611" w:type="pct"/>
          </w:tcPr>
          <w:p w14:paraId="5495E7F2" w14:textId="0152F7B7" w:rsidR="00132893" w:rsidRPr="000C36FD" w:rsidRDefault="00300351" w:rsidP="009218AC">
            <w:pPr>
              <w:pStyle w:val="TableText"/>
              <w:keepLines/>
              <w:rPr>
                <w:highlight w:val="lightGray"/>
              </w:rPr>
            </w:pPr>
            <w:r w:rsidRPr="00300351">
              <w:t>$</w:t>
            </w:r>
            <w:r w:rsidR="009218AC" w:rsidRPr="009218AC">
              <w:rPr>
                <w:sz w:val="2"/>
                <w:highlight w:val="black"/>
              </w:rPr>
              <w:t>redacted content</w:t>
            </w:r>
            <w:r w:rsidR="000C36FD" w:rsidRPr="00300351">
              <w:rPr>
                <w:vertAlign w:val="superscript"/>
              </w:rPr>
              <w:t>10</w:t>
            </w:r>
          </w:p>
        </w:tc>
        <w:tc>
          <w:tcPr>
            <w:tcW w:w="611" w:type="pct"/>
          </w:tcPr>
          <w:p w14:paraId="15F01A70" w14:textId="7EDB31D3" w:rsidR="00132893" w:rsidRPr="000C36FD" w:rsidRDefault="00300351" w:rsidP="009218AC">
            <w:pPr>
              <w:pStyle w:val="TableText"/>
              <w:keepLines/>
              <w:rPr>
                <w:highlight w:val="lightGray"/>
              </w:rPr>
            </w:pPr>
            <w:r w:rsidRPr="00300351">
              <w:t>$</w:t>
            </w:r>
            <w:r w:rsidR="009218AC" w:rsidRPr="009218AC">
              <w:rPr>
                <w:sz w:val="2"/>
                <w:highlight w:val="black"/>
              </w:rPr>
              <w:t>redacted content</w:t>
            </w:r>
            <w:r w:rsidR="000C36FD" w:rsidRPr="00300351">
              <w:rPr>
                <w:vertAlign w:val="superscript"/>
              </w:rPr>
              <w:t>10</w:t>
            </w:r>
          </w:p>
        </w:tc>
        <w:tc>
          <w:tcPr>
            <w:tcW w:w="611" w:type="pct"/>
          </w:tcPr>
          <w:p w14:paraId="37330744" w14:textId="1354A262" w:rsidR="00132893" w:rsidRPr="00300351" w:rsidRDefault="00300351" w:rsidP="009218AC">
            <w:pPr>
              <w:pStyle w:val="TableText"/>
              <w:keepLines/>
              <w:rPr>
                <w:vertAlign w:val="superscript"/>
              </w:rPr>
            </w:pPr>
            <w:r w:rsidRPr="00300351">
              <w:t>$</w:t>
            </w:r>
            <w:r w:rsidR="009218AC" w:rsidRPr="009218AC">
              <w:rPr>
                <w:sz w:val="2"/>
                <w:highlight w:val="black"/>
              </w:rPr>
              <w:t>redacted content</w:t>
            </w:r>
            <w:r w:rsidR="000C36FD" w:rsidRPr="00300351">
              <w:rPr>
                <w:vertAlign w:val="superscript"/>
              </w:rPr>
              <w:t>11</w:t>
            </w:r>
          </w:p>
        </w:tc>
        <w:tc>
          <w:tcPr>
            <w:tcW w:w="611" w:type="pct"/>
          </w:tcPr>
          <w:p w14:paraId="3BAA879B" w14:textId="0AAB267C" w:rsidR="00132893" w:rsidRPr="000C36FD" w:rsidRDefault="00300351" w:rsidP="009218AC">
            <w:pPr>
              <w:pStyle w:val="TableText"/>
              <w:keepLines/>
              <w:rPr>
                <w:highlight w:val="lightGray"/>
              </w:rPr>
            </w:pPr>
            <w:r w:rsidRPr="00300351">
              <w:t>$</w:t>
            </w:r>
            <w:r w:rsidR="009218AC" w:rsidRPr="009218AC">
              <w:rPr>
                <w:sz w:val="2"/>
                <w:highlight w:val="black"/>
              </w:rPr>
              <w:t>redacted content</w:t>
            </w:r>
            <w:r w:rsidR="000C36FD" w:rsidRPr="00300351">
              <w:rPr>
                <w:vertAlign w:val="superscript"/>
              </w:rPr>
              <w:t>11</w:t>
            </w:r>
          </w:p>
        </w:tc>
        <w:tc>
          <w:tcPr>
            <w:tcW w:w="611" w:type="pct"/>
          </w:tcPr>
          <w:p w14:paraId="18211F3A" w14:textId="31F5A953" w:rsidR="00132893" w:rsidRPr="000C36FD" w:rsidRDefault="00300351" w:rsidP="009218AC">
            <w:pPr>
              <w:pStyle w:val="TableText"/>
              <w:keepLines/>
              <w:rPr>
                <w:highlight w:val="lightGray"/>
              </w:rPr>
            </w:pPr>
            <w:r w:rsidRPr="00300351">
              <w:t>$</w:t>
            </w:r>
            <w:r w:rsidR="009218AC" w:rsidRPr="009218AC">
              <w:rPr>
                <w:sz w:val="2"/>
                <w:highlight w:val="black"/>
              </w:rPr>
              <w:t>redacted content</w:t>
            </w:r>
            <w:r w:rsidR="000C36FD" w:rsidRPr="00300351">
              <w:rPr>
                <w:vertAlign w:val="superscript"/>
              </w:rPr>
              <w:t>11</w:t>
            </w:r>
          </w:p>
        </w:tc>
        <w:tc>
          <w:tcPr>
            <w:tcW w:w="611" w:type="pct"/>
          </w:tcPr>
          <w:p w14:paraId="49B7A659" w14:textId="6035D698" w:rsidR="00132893" w:rsidRPr="00300351" w:rsidRDefault="00300351" w:rsidP="009218AC">
            <w:pPr>
              <w:pStyle w:val="TableText"/>
              <w:keepLines/>
              <w:rPr>
                <w:vertAlign w:val="superscript"/>
              </w:rPr>
            </w:pPr>
            <w:r w:rsidRPr="00300351">
              <w:t>$</w:t>
            </w:r>
            <w:r w:rsidR="009218AC" w:rsidRPr="009218AC">
              <w:rPr>
                <w:sz w:val="2"/>
                <w:highlight w:val="black"/>
              </w:rPr>
              <w:t>redacted content</w:t>
            </w:r>
            <w:r w:rsidR="000C36FD" w:rsidRPr="00300351">
              <w:rPr>
                <w:vertAlign w:val="superscript"/>
              </w:rPr>
              <w:t>12</w:t>
            </w:r>
          </w:p>
        </w:tc>
      </w:tr>
      <w:tr w:rsidR="00C27D1B" w:rsidRPr="0098262F" w14:paraId="3547DE17" w14:textId="77777777">
        <w:tc>
          <w:tcPr>
            <w:tcW w:w="5000" w:type="pct"/>
            <w:gridSpan w:val="7"/>
            <w:vAlign w:val="center"/>
          </w:tcPr>
          <w:p w14:paraId="26C6D78C" w14:textId="77777777" w:rsidR="00C27D1B" w:rsidRPr="0098262F" w:rsidRDefault="00C27D1B" w:rsidP="009218AC">
            <w:pPr>
              <w:pStyle w:val="TableText"/>
              <w:keepLines/>
            </w:pPr>
            <w:r w:rsidRPr="0098262F">
              <w:t xml:space="preserve">Estimated financial implications for </w:t>
            </w:r>
            <w:r>
              <w:t>R2WIM and R4WIM, PP1M and A1M</w:t>
            </w:r>
          </w:p>
        </w:tc>
      </w:tr>
      <w:tr w:rsidR="0097095B" w:rsidRPr="0098262F" w14:paraId="66B587A9" w14:textId="77777777">
        <w:tc>
          <w:tcPr>
            <w:tcW w:w="1334" w:type="pct"/>
            <w:vAlign w:val="center"/>
          </w:tcPr>
          <w:p w14:paraId="211FF618" w14:textId="77777777" w:rsidR="0097095B" w:rsidRPr="0098262F" w:rsidRDefault="0097095B" w:rsidP="009218AC">
            <w:pPr>
              <w:pStyle w:val="TableText"/>
              <w:keepLines/>
            </w:pPr>
            <w:r w:rsidRPr="0098262F">
              <w:t>Cost to PBS/RPBS less copayments</w:t>
            </w:r>
          </w:p>
        </w:tc>
        <w:tc>
          <w:tcPr>
            <w:tcW w:w="611" w:type="pct"/>
          </w:tcPr>
          <w:p w14:paraId="6230B31C" w14:textId="36BBD682" w:rsidR="0097095B" w:rsidRPr="000C36FD" w:rsidRDefault="00300351" w:rsidP="009218AC">
            <w:pPr>
              <w:pStyle w:val="TableText"/>
              <w:keepLines/>
              <w:rPr>
                <w:highlight w:val="lightGray"/>
              </w:rPr>
            </w:pPr>
            <w:r w:rsidRPr="00300351">
              <w:t>-$</w:t>
            </w:r>
            <w:r w:rsidR="009218AC" w:rsidRPr="009218AC">
              <w:rPr>
                <w:sz w:val="2"/>
                <w:highlight w:val="black"/>
              </w:rPr>
              <w:t>redacted content</w:t>
            </w:r>
            <w:r w:rsidR="000C36FD" w:rsidRPr="00300351">
              <w:rPr>
                <w:vertAlign w:val="superscript"/>
              </w:rPr>
              <w:t>10</w:t>
            </w:r>
          </w:p>
        </w:tc>
        <w:tc>
          <w:tcPr>
            <w:tcW w:w="611" w:type="pct"/>
          </w:tcPr>
          <w:p w14:paraId="01542273" w14:textId="0F618D54" w:rsidR="0097095B" w:rsidRPr="000C36FD" w:rsidRDefault="00300351" w:rsidP="009218AC">
            <w:pPr>
              <w:pStyle w:val="TableText"/>
              <w:keepLines/>
              <w:rPr>
                <w:sz w:val="19"/>
                <w:szCs w:val="19"/>
                <w:highlight w:val="lightGray"/>
              </w:rPr>
            </w:pPr>
            <w:r w:rsidRPr="00300351">
              <w:rPr>
                <w:sz w:val="19"/>
                <w:szCs w:val="19"/>
              </w:rPr>
              <w:t>-$</w:t>
            </w:r>
            <w:r w:rsidR="009218AC" w:rsidRPr="009218AC">
              <w:rPr>
                <w:sz w:val="2"/>
                <w:szCs w:val="19"/>
                <w:highlight w:val="black"/>
              </w:rPr>
              <w:t>redacted content</w:t>
            </w:r>
            <w:r w:rsidR="000C36FD" w:rsidRPr="00300351">
              <w:rPr>
                <w:sz w:val="19"/>
                <w:szCs w:val="19"/>
                <w:vertAlign w:val="superscript"/>
              </w:rPr>
              <w:t>11</w:t>
            </w:r>
          </w:p>
        </w:tc>
        <w:tc>
          <w:tcPr>
            <w:tcW w:w="611" w:type="pct"/>
          </w:tcPr>
          <w:p w14:paraId="13BA5120" w14:textId="036CD378" w:rsidR="0097095B" w:rsidRPr="000C36FD" w:rsidRDefault="00300351" w:rsidP="009218AC">
            <w:pPr>
              <w:pStyle w:val="TableText"/>
              <w:keepLines/>
              <w:rPr>
                <w:sz w:val="19"/>
                <w:szCs w:val="19"/>
                <w:highlight w:val="lightGray"/>
              </w:rPr>
            </w:pPr>
            <w:r w:rsidRPr="00300351">
              <w:rPr>
                <w:sz w:val="19"/>
                <w:szCs w:val="19"/>
              </w:rPr>
              <w:t>-$</w:t>
            </w:r>
            <w:r w:rsidR="009218AC" w:rsidRPr="009218AC">
              <w:rPr>
                <w:sz w:val="2"/>
                <w:szCs w:val="19"/>
                <w:highlight w:val="black"/>
              </w:rPr>
              <w:t>redacted content</w:t>
            </w:r>
            <w:r w:rsidR="000C36FD" w:rsidRPr="00300351">
              <w:rPr>
                <w:sz w:val="19"/>
                <w:szCs w:val="19"/>
                <w:vertAlign w:val="superscript"/>
              </w:rPr>
              <w:t>11</w:t>
            </w:r>
          </w:p>
        </w:tc>
        <w:tc>
          <w:tcPr>
            <w:tcW w:w="611" w:type="pct"/>
          </w:tcPr>
          <w:p w14:paraId="6DC6E6B4" w14:textId="7A814A06" w:rsidR="0097095B" w:rsidRPr="000C36FD" w:rsidRDefault="00300351" w:rsidP="009218AC">
            <w:pPr>
              <w:pStyle w:val="TableText"/>
              <w:keepLines/>
              <w:rPr>
                <w:sz w:val="19"/>
                <w:szCs w:val="19"/>
                <w:highlight w:val="lightGray"/>
              </w:rPr>
            </w:pPr>
            <w:r w:rsidRPr="00300351">
              <w:rPr>
                <w:sz w:val="19"/>
                <w:szCs w:val="19"/>
              </w:rPr>
              <w:t>-$</w:t>
            </w:r>
            <w:r w:rsidR="009218AC" w:rsidRPr="009218AC">
              <w:rPr>
                <w:sz w:val="2"/>
                <w:szCs w:val="19"/>
                <w:highlight w:val="black"/>
              </w:rPr>
              <w:t>redacted content</w:t>
            </w:r>
            <w:r w:rsidR="000C36FD" w:rsidRPr="00300351">
              <w:rPr>
                <w:sz w:val="19"/>
                <w:szCs w:val="19"/>
                <w:vertAlign w:val="superscript"/>
              </w:rPr>
              <w:t>11</w:t>
            </w:r>
          </w:p>
        </w:tc>
        <w:tc>
          <w:tcPr>
            <w:tcW w:w="611" w:type="pct"/>
          </w:tcPr>
          <w:p w14:paraId="028D87EF" w14:textId="57DE9B68" w:rsidR="0097095B" w:rsidRPr="00300351" w:rsidRDefault="00300351" w:rsidP="009218AC">
            <w:pPr>
              <w:pStyle w:val="TableText"/>
              <w:keepLines/>
              <w:rPr>
                <w:sz w:val="19"/>
                <w:szCs w:val="19"/>
                <w:vertAlign w:val="superscript"/>
              </w:rPr>
            </w:pPr>
            <w:r w:rsidRPr="00300351">
              <w:rPr>
                <w:sz w:val="19"/>
                <w:szCs w:val="19"/>
              </w:rPr>
              <w:t>-$</w:t>
            </w:r>
            <w:r w:rsidR="009218AC" w:rsidRPr="009218AC">
              <w:rPr>
                <w:sz w:val="2"/>
                <w:szCs w:val="19"/>
                <w:highlight w:val="black"/>
              </w:rPr>
              <w:t>redacted content</w:t>
            </w:r>
            <w:r w:rsidR="000C36FD" w:rsidRPr="00300351">
              <w:rPr>
                <w:sz w:val="19"/>
                <w:szCs w:val="19"/>
                <w:vertAlign w:val="superscript"/>
              </w:rPr>
              <w:t>12</w:t>
            </w:r>
          </w:p>
        </w:tc>
        <w:tc>
          <w:tcPr>
            <w:tcW w:w="611" w:type="pct"/>
          </w:tcPr>
          <w:p w14:paraId="0AA4935A" w14:textId="2AB06E56" w:rsidR="0097095B" w:rsidRPr="00300351" w:rsidRDefault="00300351" w:rsidP="009218AC">
            <w:pPr>
              <w:pStyle w:val="TableText"/>
              <w:keepLines/>
              <w:rPr>
                <w:sz w:val="19"/>
                <w:szCs w:val="19"/>
                <w:vertAlign w:val="superscript"/>
              </w:rPr>
            </w:pPr>
            <w:r w:rsidRPr="00300351">
              <w:rPr>
                <w:sz w:val="19"/>
                <w:szCs w:val="19"/>
              </w:rPr>
              <w:t>-$</w:t>
            </w:r>
            <w:r w:rsidR="009218AC" w:rsidRPr="009218AC">
              <w:rPr>
                <w:sz w:val="2"/>
                <w:szCs w:val="19"/>
                <w:highlight w:val="black"/>
              </w:rPr>
              <w:t>redacted content</w:t>
            </w:r>
            <w:r w:rsidR="000C36FD" w:rsidRPr="00300351">
              <w:rPr>
                <w:sz w:val="19"/>
                <w:szCs w:val="19"/>
                <w:vertAlign w:val="superscript"/>
              </w:rPr>
              <w:t>12</w:t>
            </w:r>
          </w:p>
        </w:tc>
      </w:tr>
      <w:tr w:rsidR="00C27D1B" w:rsidRPr="0098262F" w14:paraId="095A3758" w14:textId="77777777">
        <w:tc>
          <w:tcPr>
            <w:tcW w:w="5000" w:type="pct"/>
            <w:gridSpan w:val="7"/>
            <w:vAlign w:val="center"/>
          </w:tcPr>
          <w:p w14:paraId="5D22566B" w14:textId="77777777" w:rsidR="00C27D1B" w:rsidRPr="0098262F" w:rsidRDefault="00C27D1B" w:rsidP="009218AC">
            <w:pPr>
              <w:pStyle w:val="In-tableHeading"/>
              <w:keepLines/>
            </w:pPr>
            <w:r w:rsidRPr="0098262F">
              <w:t>Net financial implications</w:t>
            </w:r>
            <w:r w:rsidRPr="0098262F">
              <w:rPr>
                <w:color w:val="4BACC6" w:themeColor="accent5"/>
              </w:rPr>
              <w:t xml:space="preserve"> </w:t>
            </w:r>
          </w:p>
        </w:tc>
      </w:tr>
      <w:tr w:rsidR="00281A39" w:rsidRPr="00C7236D" w14:paraId="58EF57A0" w14:textId="77777777">
        <w:tc>
          <w:tcPr>
            <w:tcW w:w="1334" w:type="pct"/>
            <w:vAlign w:val="center"/>
          </w:tcPr>
          <w:p w14:paraId="796A6623" w14:textId="5793B1B4" w:rsidR="00281A39" w:rsidRPr="00C7236D" w:rsidRDefault="00281A39" w:rsidP="009218AC">
            <w:pPr>
              <w:pStyle w:val="TableText"/>
              <w:keepLines/>
              <w:rPr>
                <w:iCs/>
              </w:rPr>
            </w:pPr>
            <w:r w:rsidRPr="00C7236D">
              <w:rPr>
                <w:iCs/>
              </w:rPr>
              <w:t xml:space="preserve">Net cost to PBS/RPBS/MBS </w:t>
            </w:r>
          </w:p>
        </w:tc>
        <w:tc>
          <w:tcPr>
            <w:tcW w:w="611" w:type="pct"/>
          </w:tcPr>
          <w:p w14:paraId="01DD4175" w14:textId="1C28AA55" w:rsidR="00281A39" w:rsidRPr="00300351" w:rsidRDefault="00300351" w:rsidP="009218AC">
            <w:pPr>
              <w:pStyle w:val="TableText"/>
              <w:keepLines/>
              <w:rPr>
                <w:iCs/>
                <w:vertAlign w:val="superscript"/>
              </w:rPr>
            </w:pPr>
            <w:r w:rsidRPr="00300351">
              <w:t>-$</w:t>
            </w:r>
            <w:r w:rsidR="009218AC" w:rsidRPr="009218AC">
              <w:rPr>
                <w:sz w:val="2"/>
                <w:highlight w:val="black"/>
              </w:rPr>
              <w:t>redacted content</w:t>
            </w:r>
            <w:r w:rsidR="00880BF0" w:rsidRPr="00300351">
              <w:rPr>
                <w:vertAlign w:val="superscript"/>
              </w:rPr>
              <w:t>10</w:t>
            </w:r>
          </w:p>
        </w:tc>
        <w:tc>
          <w:tcPr>
            <w:tcW w:w="611" w:type="pct"/>
          </w:tcPr>
          <w:p w14:paraId="2024D8FB" w14:textId="31480027" w:rsidR="00281A39" w:rsidRPr="000C36FD" w:rsidRDefault="00300351" w:rsidP="009218AC">
            <w:pPr>
              <w:pStyle w:val="TableText"/>
              <w:keepLines/>
              <w:rPr>
                <w:iCs/>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40A4E6DC" w14:textId="11C5DD26" w:rsidR="00281A39" w:rsidRPr="000C36FD" w:rsidRDefault="00300351" w:rsidP="009218AC">
            <w:pPr>
              <w:pStyle w:val="TableText"/>
              <w:keepLines/>
              <w:rPr>
                <w:iCs/>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11394FF4" w14:textId="1AF98748" w:rsidR="00281A39" w:rsidRPr="000C36FD" w:rsidRDefault="00300351" w:rsidP="009218AC">
            <w:pPr>
              <w:pStyle w:val="TableText"/>
              <w:keepLines/>
              <w:rPr>
                <w:iCs/>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5EBD08CC" w14:textId="128BD597" w:rsidR="00281A39" w:rsidRPr="000C36FD" w:rsidRDefault="00300351" w:rsidP="009218AC">
            <w:pPr>
              <w:pStyle w:val="TableText"/>
              <w:keepLines/>
              <w:rPr>
                <w:iCs/>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15076D0D" w14:textId="6E5539D2" w:rsidR="00281A39" w:rsidRPr="000C36FD" w:rsidRDefault="00300351" w:rsidP="009218AC">
            <w:pPr>
              <w:pStyle w:val="TableText"/>
              <w:keepLines/>
              <w:rPr>
                <w:iCs/>
                <w:highlight w:val="lightGray"/>
              </w:rPr>
            </w:pPr>
            <w:r w:rsidRPr="00300351">
              <w:t>-$</w:t>
            </w:r>
            <w:r w:rsidR="009218AC" w:rsidRPr="009218AC">
              <w:rPr>
                <w:sz w:val="2"/>
                <w:highlight w:val="black"/>
              </w:rPr>
              <w:t>redacted content</w:t>
            </w:r>
            <w:r w:rsidR="00880BF0" w:rsidRPr="00300351">
              <w:rPr>
                <w:vertAlign w:val="superscript"/>
              </w:rPr>
              <w:t>10</w:t>
            </w:r>
          </w:p>
        </w:tc>
      </w:tr>
      <w:tr w:rsidR="00C27D1B" w:rsidRPr="0098262F" w14:paraId="5F0DAB45" w14:textId="77777777">
        <w:tc>
          <w:tcPr>
            <w:tcW w:w="5000" w:type="pct"/>
            <w:gridSpan w:val="7"/>
            <w:vAlign w:val="center"/>
          </w:tcPr>
          <w:p w14:paraId="71016F09" w14:textId="77777777" w:rsidR="00C27D1B" w:rsidRPr="00BF2A4F" w:rsidRDefault="00C27D1B" w:rsidP="009218AC">
            <w:pPr>
              <w:pStyle w:val="In-tableHeading"/>
              <w:keepLines/>
            </w:pPr>
            <w:r>
              <w:t>Sensitivity analyses, net cost to PBS</w:t>
            </w:r>
          </w:p>
        </w:tc>
      </w:tr>
      <w:tr w:rsidR="00281A39" w:rsidRPr="0098262F" w14:paraId="0FC30E93" w14:textId="77777777">
        <w:tc>
          <w:tcPr>
            <w:tcW w:w="1334" w:type="pct"/>
            <w:vAlign w:val="center"/>
          </w:tcPr>
          <w:p w14:paraId="2A7071C6" w14:textId="77777777" w:rsidR="00281A39" w:rsidRPr="0098262F" w:rsidRDefault="00281A39" w:rsidP="009218AC">
            <w:pPr>
              <w:pStyle w:val="TableText"/>
              <w:keepLines/>
            </w:pPr>
            <w:r>
              <w:t>Dose distribution increased</w:t>
            </w:r>
          </w:p>
        </w:tc>
        <w:tc>
          <w:tcPr>
            <w:tcW w:w="611" w:type="pct"/>
          </w:tcPr>
          <w:p w14:paraId="36C98E80" w14:textId="26BFD067"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6D6C889B" w14:textId="5CDF92DE"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77C1A6C7" w14:textId="3DEF9AD4"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5B2825E4" w14:textId="06B44735"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2E427093" w14:textId="56F44ABC"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45E57B96" w14:textId="66DA320C" w:rsidR="00281A3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r>
      <w:tr w:rsidR="00C355D9" w:rsidRPr="0098262F" w14:paraId="29BFC92A" w14:textId="77777777">
        <w:tc>
          <w:tcPr>
            <w:tcW w:w="1334" w:type="pct"/>
            <w:vAlign w:val="center"/>
          </w:tcPr>
          <w:p w14:paraId="4912D227" w14:textId="77777777" w:rsidR="00C355D9" w:rsidRPr="0098262F" w:rsidRDefault="00C355D9" w:rsidP="009218AC">
            <w:pPr>
              <w:pStyle w:val="TableText"/>
              <w:keepLines/>
            </w:pPr>
            <w:r>
              <w:t>Increase market uptake</w:t>
            </w:r>
          </w:p>
        </w:tc>
        <w:tc>
          <w:tcPr>
            <w:tcW w:w="611" w:type="pct"/>
          </w:tcPr>
          <w:p w14:paraId="7214F735" w14:textId="46735617"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295CB2AD" w14:textId="7C7CB006"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643F6B97" w14:textId="182B617E"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700F6A67" w14:textId="0864AFE1"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1A71D680" w14:textId="5B5F3DCC"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c>
          <w:tcPr>
            <w:tcW w:w="611" w:type="pct"/>
          </w:tcPr>
          <w:p w14:paraId="1C3EA154" w14:textId="01016DE7" w:rsidR="00C355D9" w:rsidRPr="000C36FD" w:rsidRDefault="00300351" w:rsidP="009218AC">
            <w:pPr>
              <w:pStyle w:val="TableText"/>
              <w:keepLines/>
              <w:rPr>
                <w:highlight w:val="lightGray"/>
              </w:rPr>
            </w:pPr>
            <w:r w:rsidRPr="00300351">
              <w:t>-$</w:t>
            </w:r>
            <w:r w:rsidR="009218AC" w:rsidRPr="009218AC">
              <w:rPr>
                <w:sz w:val="2"/>
                <w:highlight w:val="black"/>
              </w:rPr>
              <w:t>redacted content</w:t>
            </w:r>
            <w:r w:rsidR="00880BF0" w:rsidRPr="00300351">
              <w:rPr>
                <w:vertAlign w:val="superscript"/>
              </w:rPr>
              <w:t>10</w:t>
            </w:r>
          </w:p>
        </w:tc>
      </w:tr>
    </w:tbl>
    <w:p w14:paraId="7D994E25" w14:textId="77777777" w:rsidR="00923F13" w:rsidRPr="001B00A9" w:rsidRDefault="00923F13" w:rsidP="009218AC">
      <w:pPr>
        <w:pStyle w:val="FooterTableFigure"/>
        <w:keepNext/>
        <w:keepLines/>
        <w:rPr>
          <w:i/>
          <w:iCs/>
        </w:rPr>
      </w:pPr>
      <w:bookmarkStart w:id="56" w:name="_Toc22897648"/>
      <w:bookmarkStart w:id="57" w:name="_Toc219904441"/>
      <w:r w:rsidRPr="001B00A9">
        <w:rPr>
          <w:i/>
          <w:iCs/>
        </w:rPr>
        <w:t xml:space="preserve">The redacted values correspond to the following ranges: </w:t>
      </w:r>
    </w:p>
    <w:p w14:paraId="1C7E8D5E" w14:textId="77777777" w:rsidR="00AB0036" w:rsidRDefault="00923F13" w:rsidP="009218AC">
      <w:pPr>
        <w:pStyle w:val="FooterTableFigure"/>
        <w:keepNext/>
        <w:keepLines/>
        <w:rPr>
          <w:i/>
          <w:iCs/>
        </w:rPr>
      </w:pPr>
      <w:r w:rsidRPr="004113EA">
        <w:rPr>
          <w:i/>
          <w:iCs/>
          <w:vertAlign w:val="superscript"/>
        </w:rPr>
        <w:t>1</w:t>
      </w:r>
      <w:r>
        <w:rPr>
          <w:i/>
          <w:iCs/>
        </w:rPr>
        <w:t xml:space="preserve"> </w:t>
      </w:r>
      <w:r w:rsidRPr="00581383">
        <w:rPr>
          <w:i/>
          <w:iCs/>
        </w:rPr>
        <w:t>500 to &lt; 5,000</w:t>
      </w:r>
      <w:r>
        <w:rPr>
          <w:i/>
          <w:iCs/>
        </w:rPr>
        <w:t xml:space="preserve"> </w:t>
      </w:r>
    </w:p>
    <w:p w14:paraId="3B2E459A" w14:textId="77777777" w:rsidR="00D86EF0" w:rsidRDefault="00AB0036" w:rsidP="009218AC">
      <w:pPr>
        <w:pStyle w:val="FooterTableFigure"/>
        <w:keepNext/>
        <w:keepLines/>
        <w:rPr>
          <w:i/>
          <w:iCs/>
        </w:rPr>
      </w:pPr>
      <w:r w:rsidRPr="004113EA">
        <w:rPr>
          <w:i/>
          <w:iCs/>
          <w:vertAlign w:val="superscript"/>
        </w:rPr>
        <w:t>2</w:t>
      </w:r>
      <w:r>
        <w:rPr>
          <w:i/>
          <w:iCs/>
        </w:rPr>
        <w:t xml:space="preserve"> </w:t>
      </w:r>
      <w:r w:rsidRPr="00AB0036">
        <w:rPr>
          <w:i/>
          <w:iCs/>
        </w:rPr>
        <w:t>5,000 to &lt; 10,000</w:t>
      </w:r>
      <w:r w:rsidR="00D86EF0">
        <w:rPr>
          <w:i/>
          <w:iCs/>
        </w:rPr>
        <w:t xml:space="preserve"> </w:t>
      </w:r>
    </w:p>
    <w:p w14:paraId="7FC6DB19" w14:textId="77777777" w:rsidR="007C0641" w:rsidRDefault="00D86EF0" w:rsidP="009218AC">
      <w:pPr>
        <w:pStyle w:val="FooterTableFigure"/>
        <w:keepNext/>
        <w:keepLines/>
        <w:rPr>
          <w:i/>
          <w:iCs/>
        </w:rPr>
      </w:pPr>
      <w:r w:rsidRPr="004113EA">
        <w:rPr>
          <w:i/>
          <w:iCs/>
          <w:vertAlign w:val="superscript"/>
        </w:rPr>
        <w:t>3</w:t>
      </w:r>
      <w:r>
        <w:rPr>
          <w:i/>
          <w:iCs/>
        </w:rPr>
        <w:t xml:space="preserve"> </w:t>
      </w:r>
      <w:r w:rsidRPr="00D86EF0">
        <w:rPr>
          <w:i/>
          <w:iCs/>
        </w:rPr>
        <w:t>10,000 to &lt; 20,000</w:t>
      </w:r>
      <w:r w:rsidR="007C0641">
        <w:rPr>
          <w:i/>
          <w:iCs/>
        </w:rPr>
        <w:t xml:space="preserve"> </w:t>
      </w:r>
    </w:p>
    <w:p w14:paraId="135EB2B5" w14:textId="77777777" w:rsidR="00DC0D7F" w:rsidRDefault="007C0641" w:rsidP="009218AC">
      <w:pPr>
        <w:pStyle w:val="FooterTableFigure"/>
        <w:keepNext/>
        <w:keepLines/>
        <w:rPr>
          <w:i/>
          <w:iCs/>
        </w:rPr>
      </w:pPr>
      <w:r w:rsidRPr="004113EA">
        <w:rPr>
          <w:i/>
          <w:iCs/>
          <w:vertAlign w:val="superscript"/>
        </w:rPr>
        <w:t>4</w:t>
      </w:r>
      <w:r>
        <w:rPr>
          <w:i/>
          <w:iCs/>
        </w:rPr>
        <w:t xml:space="preserve"> </w:t>
      </w:r>
      <w:r w:rsidRPr="007C0641">
        <w:rPr>
          <w:i/>
          <w:iCs/>
        </w:rPr>
        <w:t>20,000 to &lt; 30,000</w:t>
      </w:r>
      <w:r w:rsidR="00DC0D7F">
        <w:rPr>
          <w:i/>
          <w:iCs/>
        </w:rPr>
        <w:t xml:space="preserve"> </w:t>
      </w:r>
    </w:p>
    <w:p w14:paraId="7D57E2D7" w14:textId="3CCCAEE7" w:rsidR="00923F13" w:rsidRDefault="00DC0D7F" w:rsidP="009218AC">
      <w:pPr>
        <w:pStyle w:val="FooterTableFigure"/>
        <w:keepNext/>
        <w:keepLines/>
        <w:rPr>
          <w:i/>
          <w:iCs/>
        </w:rPr>
      </w:pPr>
      <w:r w:rsidRPr="004113EA">
        <w:rPr>
          <w:i/>
          <w:iCs/>
          <w:vertAlign w:val="superscript"/>
        </w:rPr>
        <w:t>5</w:t>
      </w:r>
      <w:r>
        <w:rPr>
          <w:i/>
          <w:iCs/>
        </w:rPr>
        <w:t xml:space="preserve"> </w:t>
      </w:r>
      <w:r w:rsidRPr="00DC0D7F">
        <w:rPr>
          <w:i/>
          <w:iCs/>
        </w:rPr>
        <w:t>30,000 to &lt; 40,000</w:t>
      </w:r>
    </w:p>
    <w:p w14:paraId="486EFD4A" w14:textId="77777777" w:rsidR="008507F8" w:rsidRDefault="00B33D67" w:rsidP="009218AC">
      <w:pPr>
        <w:pStyle w:val="FooterTableFigure"/>
        <w:keepNext/>
        <w:keepLines/>
        <w:rPr>
          <w:i/>
          <w:iCs/>
        </w:rPr>
      </w:pPr>
      <w:r w:rsidRPr="004113EA">
        <w:rPr>
          <w:i/>
          <w:iCs/>
          <w:vertAlign w:val="superscript"/>
        </w:rPr>
        <w:t>6</w:t>
      </w:r>
      <w:r>
        <w:rPr>
          <w:i/>
          <w:iCs/>
        </w:rPr>
        <w:t xml:space="preserve"> </w:t>
      </w:r>
      <w:r w:rsidRPr="00B33D67">
        <w:rPr>
          <w:i/>
          <w:iCs/>
        </w:rPr>
        <w:t>50,000 to &lt; 60,000</w:t>
      </w:r>
      <w:r w:rsidR="008507F8">
        <w:rPr>
          <w:i/>
          <w:iCs/>
        </w:rPr>
        <w:t xml:space="preserve"> </w:t>
      </w:r>
    </w:p>
    <w:p w14:paraId="60AB680F" w14:textId="5B92357D" w:rsidR="008507F8" w:rsidRPr="008507F8" w:rsidRDefault="008507F8" w:rsidP="009218AC">
      <w:pPr>
        <w:pStyle w:val="FooterTableFigure"/>
        <w:keepNext/>
        <w:keepLines/>
        <w:rPr>
          <w:i/>
          <w:iCs/>
        </w:rPr>
      </w:pPr>
      <w:r w:rsidRPr="004113EA">
        <w:rPr>
          <w:i/>
          <w:iCs/>
          <w:vertAlign w:val="superscript"/>
        </w:rPr>
        <w:t xml:space="preserve">7 </w:t>
      </w:r>
      <w:r w:rsidRPr="008507F8">
        <w:rPr>
          <w:i/>
          <w:iCs/>
        </w:rPr>
        <w:t>60,000 to &lt; 70,000</w:t>
      </w:r>
    </w:p>
    <w:p w14:paraId="2AC3E5DD" w14:textId="34AA8954" w:rsidR="008507F8" w:rsidRPr="008507F8" w:rsidRDefault="008507F8" w:rsidP="009218AC">
      <w:pPr>
        <w:pStyle w:val="FooterTableFigure"/>
        <w:keepNext/>
        <w:keepLines/>
        <w:rPr>
          <w:i/>
          <w:iCs/>
        </w:rPr>
      </w:pPr>
      <w:r w:rsidRPr="004113EA">
        <w:rPr>
          <w:i/>
          <w:iCs/>
          <w:vertAlign w:val="superscript"/>
        </w:rPr>
        <w:t>8</w:t>
      </w:r>
      <w:r>
        <w:rPr>
          <w:i/>
          <w:iCs/>
        </w:rPr>
        <w:t xml:space="preserve"> </w:t>
      </w:r>
      <w:r w:rsidRPr="008507F8">
        <w:rPr>
          <w:i/>
          <w:iCs/>
        </w:rPr>
        <w:t>70,000 to &lt; 80,000</w:t>
      </w:r>
    </w:p>
    <w:p w14:paraId="6D9A461E" w14:textId="77777777" w:rsidR="00880BF0" w:rsidRDefault="008507F8" w:rsidP="009218AC">
      <w:pPr>
        <w:pStyle w:val="FooterTableFigure"/>
        <w:keepNext/>
        <w:keepLines/>
        <w:rPr>
          <w:i/>
          <w:iCs/>
        </w:rPr>
      </w:pPr>
      <w:r w:rsidRPr="004113EA">
        <w:rPr>
          <w:i/>
          <w:iCs/>
          <w:vertAlign w:val="superscript"/>
        </w:rPr>
        <w:t>9</w:t>
      </w:r>
      <w:r>
        <w:rPr>
          <w:i/>
          <w:iCs/>
        </w:rPr>
        <w:t xml:space="preserve"> </w:t>
      </w:r>
      <w:r w:rsidRPr="008507F8">
        <w:rPr>
          <w:i/>
          <w:iCs/>
        </w:rPr>
        <w:t>80,000 to &lt; 90,000</w:t>
      </w:r>
      <w:r w:rsidR="00880BF0">
        <w:rPr>
          <w:i/>
          <w:iCs/>
        </w:rPr>
        <w:t xml:space="preserve"> </w:t>
      </w:r>
    </w:p>
    <w:p w14:paraId="76AEC635" w14:textId="4A77876B" w:rsidR="00880BF0" w:rsidRPr="00880BF0" w:rsidRDefault="00880BF0" w:rsidP="009218AC">
      <w:pPr>
        <w:pStyle w:val="FooterTableFigure"/>
        <w:keepNext/>
        <w:keepLines/>
        <w:rPr>
          <w:i/>
          <w:iCs/>
        </w:rPr>
      </w:pPr>
      <w:r w:rsidRPr="004113EA">
        <w:rPr>
          <w:i/>
          <w:iCs/>
          <w:vertAlign w:val="superscript"/>
        </w:rPr>
        <w:t>10</w:t>
      </w:r>
      <w:r>
        <w:rPr>
          <w:i/>
          <w:iCs/>
        </w:rPr>
        <w:t xml:space="preserve"> </w:t>
      </w:r>
      <w:r w:rsidRPr="00880BF0">
        <w:rPr>
          <w:i/>
          <w:iCs/>
        </w:rPr>
        <w:t>$0 to &lt; $10 million</w:t>
      </w:r>
    </w:p>
    <w:p w14:paraId="29F6D86A" w14:textId="1E9A8E85" w:rsidR="00880BF0" w:rsidRPr="00880BF0" w:rsidRDefault="000C36FD" w:rsidP="009218AC">
      <w:pPr>
        <w:pStyle w:val="FooterTableFigure"/>
        <w:keepNext/>
        <w:keepLines/>
        <w:rPr>
          <w:i/>
          <w:iCs/>
        </w:rPr>
      </w:pPr>
      <w:r w:rsidRPr="004113EA">
        <w:rPr>
          <w:i/>
          <w:iCs/>
          <w:vertAlign w:val="superscript"/>
        </w:rPr>
        <w:t>11</w:t>
      </w:r>
      <w:r>
        <w:rPr>
          <w:i/>
          <w:iCs/>
        </w:rPr>
        <w:t xml:space="preserve"> </w:t>
      </w:r>
      <w:r w:rsidR="00880BF0" w:rsidRPr="00880BF0">
        <w:rPr>
          <w:i/>
          <w:iCs/>
        </w:rPr>
        <w:t>$10 million to &lt; $20 million</w:t>
      </w:r>
    </w:p>
    <w:p w14:paraId="7DD92967" w14:textId="1E9CB5FD" w:rsidR="00880BF0" w:rsidRPr="00880BF0" w:rsidRDefault="000C36FD" w:rsidP="009218AC">
      <w:pPr>
        <w:pStyle w:val="FooterTableFigure"/>
        <w:keepNext/>
        <w:keepLines/>
        <w:rPr>
          <w:i/>
          <w:iCs/>
        </w:rPr>
      </w:pPr>
      <w:r w:rsidRPr="004113EA">
        <w:rPr>
          <w:i/>
          <w:iCs/>
          <w:vertAlign w:val="superscript"/>
        </w:rPr>
        <w:t>12</w:t>
      </w:r>
      <w:r w:rsidR="00300351">
        <w:rPr>
          <w:i/>
          <w:iCs/>
        </w:rPr>
        <w:t xml:space="preserve"> </w:t>
      </w:r>
      <w:r w:rsidR="00880BF0" w:rsidRPr="00880BF0">
        <w:rPr>
          <w:i/>
          <w:iCs/>
        </w:rPr>
        <w:t>$20 million to &lt; $30 million</w:t>
      </w:r>
    </w:p>
    <w:p w14:paraId="2238DEE9" w14:textId="11D76C3B" w:rsidR="00576972" w:rsidRPr="0098262F" w:rsidRDefault="00576972" w:rsidP="00606FBA">
      <w:pPr>
        <w:pStyle w:val="4-SubsectionHeading"/>
      </w:pPr>
      <w:r w:rsidRPr="0098262F">
        <w:t>Quality Use of Medicines</w:t>
      </w:r>
      <w:bookmarkEnd w:id="56"/>
      <w:bookmarkEnd w:id="57"/>
    </w:p>
    <w:p w14:paraId="5DCE8D50" w14:textId="560E9C24" w:rsidR="004F7BE1" w:rsidRDefault="00153657" w:rsidP="00D43ED2">
      <w:pPr>
        <w:pStyle w:val="3-BodyText"/>
      </w:pPr>
      <w:r w:rsidRPr="00153657">
        <w:t>The submission provided a list of activities in relation to quality use of medicines f</w:t>
      </w:r>
      <w:r>
        <w:t>o</w:t>
      </w:r>
      <w:r w:rsidRPr="00153657">
        <w:t xml:space="preserve">r </w:t>
      </w:r>
      <w:r w:rsidR="00B7136F">
        <w:t>MR</w:t>
      </w:r>
      <w:r w:rsidR="004111F4">
        <w:t xml:space="preserve">SC </w:t>
      </w:r>
      <w:r w:rsidRPr="00153657">
        <w:t>risperidone</w:t>
      </w:r>
      <w:r w:rsidR="002E5D2C">
        <w:t>.</w:t>
      </w:r>
    </w:p>
    <w:p w14:paraId="59B20800" w14:textId="77777777" w:rsidR="004F7BE1" w:rsidRPr="006845B7" w:rsidRDefault="004F7BE1" w:rsidP="004F7BE1">
      <w:pPr>
        <w:spacing w:after="200" w:line="276" w:lineRule="auto"/>
        <w:ind w:left="709"/>
        <w:rPr>
          <w:rFonts w:asciiTheme="minorHAnsi" w:hAnsiTheme="minorHAnsi" w:cstheme="minorHAnsi"/>
          <w:i/>
        </w:rPr>
      </w:pPr>
      <w:r w:rsidRPr="006845B7">
        <w:rPr>
          <w:rFonts w:asciiTheme="minorHAnsi" w:hAnsiTheme="minorHAnsi" w:cstheme="minorHAnsi"/>
          <w:i/>
        </w:rPr>
        <w:t>For more detail on PBAC’s view, see section 7 PBAC outcome</w:t>
      </w:r>
    </w:p>
    <w:p w14:paraId="614BE7E4" w14:textId="5A5FCF1A" w:rsidR="003831F1" w:rsidRDefault="003831F1" w:rsidP="003831F1">
      <w:pPr>
        <w:pStyle w:val="2-SectionHeading"/>
      </w:pPr>
      <w:r>
        <w:t xml:space="preserve">PBAC outcome </w:t>
      </w:r>
    </w:p>
    <w:p w14:paraId="46E04E3C" w14:textId="4FF48C6E" w:rsidR="008F3B0A" w:rsidRDefault="004E65FE" w:rsidP="00E95F39">
      <w:pPr>
        <w:widowControl w:val="0"/>
        <w:numPr>
          <w:ilvl w:val="1"/>
          <w:numId w:val="1"/>
        </w:numPr>
        <w:spacing w:after="120"/>
        <w:rPr>
          <w:rFonts w:asciiTheme="minorHAnsi" w:hAnsiTheme="minorHAnsi"/>
          <w:snapToGrid w:val="0"/>
          <w:lang w:val="en-GB"/>
        </w:rPr>
      </w:pPr>
      <w:bookmarkStart w:id="58" w:name="_Hlk111543188"/>
      <w:r>
        <w:rPr>
          <w:rFonts w:asciiTheme="minorHAnsi" w:hAnsiTheme="minorHAnsi"/>
          <w:snapToGrid w:val="0"/>
          <w:lang w:val="en-GB"/>
        </w:rPr>
        <w:t>The PBAC recommended the</w:t>
      </w:r>
      <w:r w:rsidR="00787643" w:rsidRPr="0062512F">
        <w:t xml:space="preserve"> </w:t>
      </w:r>
      <w:r w:rsidR="00122C4E">
        <w:rPr>
          <w:rFonts w:asciiTheme="minorHAnsi" w:hAnsiTheme="minorHAnsi"/>
          <w:snapToGrid w:val="0"/>
          <w:lang w:val="en-GB"/>
        </w:rPr>
        <w:t>listing</w:t>
      </w:r>
      <w:r>
        <w:rPr>
          <w:rFonts w:asciiTheme="minorHAnsi" w:hAnsiTheme="minorHAnsi"/>
          <w:snapToGrid w:val="0"/>
          <w:lang w:val="en-GB"/>
        </w:rPr>
        <w:t xml:space="preserve"> of </w:t>
      </w:r>
      <w:r w:rsidR="00EE4906">
        <w:rPr>
          <w:rFonts w:asciiTheme="minorHAnsi" w:hAnsiTheme="minorHAnsi"/>
          <w:snapToGrid w:val="0"/>
          <w:lang w:val="en-GB"/>
        </w:rPr>
        <w:t xml:space="preserve">MRSC </w:t>
      </w:r>
      <w:r>
        <w:rPr>
          <w:rFonts w:asciiTheme="minorHAnsi" w:hAnsiTheme="minorHAnsi"/>
          <w:snapToGrid w:val="0"/>
          <w:lang w:val="en-GB"/>
        </w:rPr>
        <w:t>risperidone</w:t>
      </w:r>
      <w:r w:rsidR="0058684F" w:rsidRPr="0058684F" w:rsidDel="00EE4906">
        <w:rPr>
          <w:rFonts w:asciiTheme="minorHAnsi" w:hAnsiTheme="minorHAnsi"/>
          <w:snapToGrid w:val="0"/>
          <w:lang w:val="en-GB"/>
        </w:rPr>
        <w:t xml:space="preserve"> </w:t>
      </w:r>
      <w:r w:rsidR="0058684F" w:rsidRPr="0058684F">
        <w:rPr>
          <w:rFonts w:asciiTheme="minorHAnsi" w:hAnsiTheme="minorHAnsi"/>
          <w:snapToGrid w:val="0"/>
          <w:lang w:val="en-GB"/>
        </w:rPr>
        <w:t>for the treatment of adult patients with schizophrenia</w:t>
      </w:r>
      <w:r w:rsidR="00EE4906">
        <w:rPr>
          <w:rFonts w:asciiTheme="minorHAnsi" w:hAnsiTheme="minorHAnsi"/>
          <w:snapToGrid w:val="0"/>
          <w:lang w:val="en-GB"/>
        </w:rPr>
        <w:t xml:space="preserve"> on a cost</w:t>
      </w:r>
      <w:r w:rsidR="002D15C9">
        <w:rPr>
          <w:rFonts w:asciiTheme="minorHAnsi" w:hAnsiTheme="minorHAnsi"/>
          <w:snapToGrid w:val="0"/>
          <w:lang w:val="en-GB"/>
        </w:rPr>
        <w:noBreakHyphen/>
      </w:r>
      <w:r w:rsidR="00EE4906">
        <w:rPr>
          <w:rFonts w:asciiTheme="minorHAnsi" w:hAnsiTheme="minorHAnsi"/>
          <w:snapToGrid w:val="0"/>
          <w:lang w:val="en-GB"/>
        </w:rPr>
        <w:t xml:space="preserve">minimisation basis to the lowest cost </w:t>
      </w:r>
      <w:r w:rsidR="00C70AC4">
        <w:rPr>
          <w:rFonts w:asciiTheme="minorHAnsi" w:hAnsiTheme="minorHAnsi"/>
          <w:snapToGrid w:val="0"/>
          <w:lang w:val="en-GB"/>
        </w:rPr>
        <w:t>long</w:t>
      </w:r>
      <w:r w:rsidR="002D15C9">
        <w:rPr>
          <w:rFonts w:asciiTheme="minorHAnsi" w:hAnsiTheme="minorHAnsi"/>
          <w:snapToGrid w:val="0"/>
          <w:lang w:val="en-GB"/>
        </w:rPr>
        <w:noBreakHyphen/>
      </w:r>
      <w:r w:rsidR="00C70AC4">
        <w:rPr>
          <w:rFonts w:asciiTheme="minorHAnsi" w:hAnsiTheme="minorHAnsi"/>
          <w:snapToGrid w:val="0"/>
          <w:lang w:val="en-GB"/>
        </w:rPr>
        <w:t>acting</w:t>
      </w:r>
      <w:r w:rsidR="00D23E21">
        <w:rPr>
          <w:rFonts w:asciiTheme="minorHAnsi" w:hAnsiTheme="minorHAnsi"/>
          <w:snapToGrid w:val="0"/>
          <w:lang w:val="en-GB"/>
        </w:rPr>
        <w:t xml:space="preserve"> </w:t>
      </w:r>
      <w:r w:rsidR="00ED44B8">
        <w:rPr>
          <w:rFonts w:asciiTheme="minorHAnsi" w:hAnsiTheme="minorHAnsi"/>
          <w:snapToGrid w:val="0"/>
          <w:lang w:val="en-GB"/>
        </w:rPr>
        <w:t>injection</w:t>
      </w:r>
      <w:r w:rsidR="00F960F9">
        <w:rPr>
          <w:rFonts w:asciiTheme="minorHAnsi" w:hAnsiTheme="minorHAnsi"/>
          <w:snapToGrid w:val="0"/>
          <w:lang w:val="en-GB"/>
        </w:rPr>
        <w:t xml:space="preserve"> antipsychotic</w:t>
      </w:r>
      <w:r w:rsidR="00F178F8">
        <w:rPr>
          <w:rFonts w:asciiTheme="minorHAnsi" w:hAnsiTheme="minorHAnsi"/>
          <w:snapToGrid w:val="0"/>
          <w:lang w:val="en-GB"/>
        </w:rPr>
        <w:t xml:space="preserve"> </w:t>
      </w:r>
      <w:r w:rsidR="00475B56">
        <w:rPr>
          <w:rFonts w:asciiTheme="minorHAnsi" w:hAnsiTheme="minorHAnsi"/>
          <w:snapToGrid w:val="0"/>
          <w:lang w:val="en-GB"/>
        </w:rPr>
        <w:t>(</w:t>
      </w:r>
      <w:r w:rsidR="00F178F8">
        <w:rPr>
          <w:rFonts w:asciiTheme="minorHAnsi" w:hAnsiTheme="minorHAnsi"/>
          <w:snapToGrid w:val="0"/>
          <w:lang w:val="en-GB"/>
        </w:rPr>
        <w:t xml:space="preserve">of </w:t>
      </w:r>
      <w:r w:rsidR="00F178F8" w:rsidRPr="00F178F8">
        <w:rPr>
          <w:rFonts w:asciiTheme="minorHAnsi" w:hAnsiTheme="minorHAnsi"/>
          <w:snapToGrid w:val="0"/>
          <w:lang w:val="en-GB"/>
        </w:rPr>
        <w:t xml:space="preserve">risperidone, paliperidone </w:t>
      </w:r>
      <w:r w:rsidR="00475B56">
        <w:rPr>
          <w:rFonts w:asciiTheme="minorHAnsi" w:hAnsiTheme="minorHAnsi"/>
          <w:snapToGrid w:val="0"/>
          <w:lang w:val="en-GB"/>
        </w:rPr>
        <w:t>or</w:t>
      </w:r>
      <w:r w:rsidR="00F178F8" w:rsidRPr="00F178F8">
        <w:rPr>
          <w:rFonts w:asciiTheme="minorHAnsi" w:hAnsiTheme="minorHAnsi"/>
          <w:snapToGrid w:val="0"/>
          <w:lang w:val="en-GB"/>
        </w:rPr>
        <w:t xml:space="preserve"> aripiprazole</w:t>
      </w:r>
      <w:r w:rsidR="00475B56">
        <w:rPr>
          <w:rFonts w:asciiTheme="minorHAnsi" w:hAnsiTheme="minorHAnsi"/>
          <w:snapToGrid w:val="0"/>
          <w:lang w:val="en-GB"/>
        </w:rPr>
        <w:t>)</w:t>
      </w:r>
      <w:r w:rsidR="0058684F">
        <w:rPr>
          <w:rFonts w:asciiTheme="minorHAnsi" w:hAnsiTheme="minorHAnsi"/>
          <w:snapToGrid w:val="0"/>
          <w:lang w:val="en-GB"/>
        </w:rPr>
        <w:t>.</w:t>
      </w:r>
    </w:p>
    <w:p w14:paraId="7F52BBE7" w14:textId="73998635" w:rsidR="00CC2540" w:rsidRDefault="00DD1B45" w:rsidP="00463082">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w:t>
      </w:r>
      <w:r w:rsidR="00C76414">
        <w:rPr>
          <w:rFonts w:asciiTheme="minorHAnsi" w:hAnsiTheme="minorHAnsi"/>
          <w:snapToGrid w:val="0"/>
          <w:lang w:val="en-GB"/>
        </w:rPr>
        <w:t xml:space="preserve">primary </w:t>
      </w:r>
      <w:r>
        <w:rPr>
          <w:rFonts w:asciiTheme="minorHAnsi" w:hAnsiTheme="minorHAnsi"/>
          <w:snapToGrid w:val="0"/>
          <w:lang w:val="en-GB"/>
        </w:rPr>
        <w:t>comparators</w:t>
      </w:r>
      <w:r w:rsidR="00C76414">
        <w:rPr>
          <w:rFonts w:asciiTheme="minorHAnsi" w:hAnsiTheme="minorHAnsi"/>
          <w:snapToGrid w:val="0"/>
          <w:lang w:val="en-GB"/>
        </w:rPr>
        <w:t>,</w:t>
      </w:r>
      <w:r w:rsidR="00861542">
        <w:rPr>
          <w:rFonts w:asciiTheme="minorHAnsi" w:hAnsiTheme="minorHAnsi"/>
          <w:snapToGrid w:val="0"/>
          <w:lang w:val="en-GB"/>
        </w:rPr>
        <w:t xml:space="preserve"> </w:t>
      </w:r>
      <w:r>
        <w:rPr>
          <w:rFonts w:asciiTheme="minorHAnsi" w:hAnsiTheme="minorHAnsi"/>
          <w:snapToGrid w:val="0"/>
          <w:lang w:val="en-GB"/>
        </w:rPr>
        <w:t>PP1M and A1M</w:t>
      </w:r>
      <w:r w:rsidR="00C76414">
        <w:rPr>
          <w:rFonts w:asciiTheme="minorHAnsi" w:hAnsiTheme="minorHAnsi"/>
          <w:snapToGrid w:val="0"/>
          <w:lang w:val="en-GB"/>
        </w:rPr>
        <w:t>,</w:t>
      </w:r>
      <w:r>
        <w:rPr>
          <w:rFonts w:asciiTheme="minorHAnsi" w:hAnsiTheme="minorHAnsi"/>
          <w:snapToGrid w:val="0"/>
          <w:lang w:val="en-GB"/>
        </w:rPr>
        <w:t xml:space="preserve"> were appropriate</w:t>
      </w:r>
      <w:r w:rsidR="002C6891">
        <w:rPr>
          <w:rFonts w:asciiTheme="minorHAnsi" w:hAnsiTheme="minorHAnsi"/>
          <w:snapToGrid w:val="0"/>
          <w:lang w:val="en-GB"/>
        </w:rPr>
        <w:t>.</w:t>
      </w:r>
      <w:r w:rsidR="0012231C">
        <w:rPr>
          <w:rFonts w:asciiTheme="minorHAnsi" w:hAnsiTheme="minorHAnsi"/>
          <w:snapToGrid w:val="0"/>
          <w:lang w:val="en-GB"/>
        </w:rPr>
        <w:t xml:space="preserve"> </w:t>
      </w:r>
      <w:r w:rsidR="002C6891">
        <w:rPr>
          <w:rFonts w:asciiTheme="minorHAnsi" w:hAnsiTheme="minorHAnsi"/>
          <w:snapToGrid w:val="0"/>
          <w:lang w:val="en-GB"/>
        </w:rPr>
        <w:t xml:space="preserve">The PBAC considered the submission’s claim of </w:t>
      </w:r>
      <w:r w:rsidR="00463082" w:rsidRPr="00796EE0">
        <w:rPr>
          <w:rFonts w:asciiTheme="minorHAnsi" w:hAnsiTheme="minorHAnsi"/>
          <w:snapToGrid w:val="0"/>
          <w:lang w:val="en-GB"/>
        </w:rPr>
        <w:t>non</w:t>
      </w:r>
      <w:r w:rsidR="00463082" w:rsidRPr="00796EE0">
        <w:rPr>
          <w:rFonts w:ascii="Cambria Math" w:hAnsi="Cambria Math" w:cs="Cambria Math"/>
          <w:snapToGrid w:val="0"/>
          <w:lang w:val="en-GB"/>
        </w:rPr>
        <w:t>‑</w:t>
      </w:r>
      <w:r w:rsidR="00463082" w:rsidRPr="00796EE0">
        <w:rPr>
          <w:rFonts w:asciiTheme="minorHAnsi" w:hAnsiTheme="minorHAnsi"/>
          <w:snapToGrid w:val="0"/>
          <w:lang w:val="en-GB"/>
        </w:rPr>
        <w:t xml:space="preserve">inferior </w:t>
      </w:r>
      <w:r w:rsidR="002C6891">
        <w:rPr>
          <w:rFonts w:asciiTheme="minorHAnsi" w:hAnsiTheme="minorHAnsi"/>
          <w:snapToGrid w:val="0"/>
          <w:lang w:val="en-GB"/>
        </w:rPr>
        <w:t xml:space="preserve">comparative </w:t>
      </w:r>
      <w:r w:rsidR="00463082" w:rsidRPr="00796EE0">
        <w:rPr>
          <w:rFonts w:asciiTheme="minorHAnsi" w:hAnsiTheme="minorHAnsi"/>
          <w:snapToGrid w:val="0"/>
          <w:lang w:val="en-GB"/>
        </w:rPr>
        <w:t xml:space="preserve">effectiveness and safety </w:t>
      </w:r>
      <w:r w:rsidR="00EC44E8">
        <w:rPr>
          <w:rFonts w:asciiTheme="minorHAnsi" w:hAnsiTheme="minorHAnsi"/>
          <w:snapToGrid w:val="0"/>
          <w:lang w:val="en-GB"/>
        </w:rPr>
        <w:t xml:space="preserve">of MRSC risperidone to the comparators </w:t>
      </w:r>
      <w:r w:rsidR="00463082" w:rsidRPr="00796EE0">
        <w:rPr>
          <w:rFonts w:asciiTheme="minorHAnsi" w:hAnsiTheme="minorHAnsi"/>
          <w:snapToGrid w:val="0"/>
          <w:lang w:val="en-GB"/>
        </w:rPr>
        <w:t>to be reasonable, despite the identified transitivity limitations within the comparative evidence base.</w:t>
      </w:r>
      <w:r w:rsidR="007C48EB">
        <w:rPr>
          <w:rFonts w:asciiTheme="minorHAnsi" w:hAnsiTheme="minorHAnsi"/>
          <w:snapToGrid w:val="0"/>
          <w:lang w:val="en-GB"/>
        </w:rPr>
        <w:t xml:space="preserve"> </w:t>
      </w:r>
      <w:r w:rsidR="000D63C8">
        <w:rPr>
          <w:rFonts w:asciiTheme="minorHAnsi" w:hAnsiTheme="minorHAnsi"/>
          <w:snapToGrid w:val="0"/>
          <w:lang w:val="en-GB"/>
        </w:rPr>
        <w:t>The PBA</w:t>
      </w:r>
      <w:r w:rsidR="009E1A61">
        <w:rPr>
          <w:rFonts w:asciiTheme="minorHAnsi" w:hAnsiTheme="minorHAnsi"/>
          <w:snapToGrid w:val="0"/>
          <w:lang w:val="en-GB"/>
        </w:rPr>
        <w:t>C</w:t>
      </w:r>
      <w:r w:rsidR="000A554E">
        <w:rPr>
          <w:rFonts w:asciiTheme="minorHAnsi" w:hAnsiTheme="minorHAnsi"/>
          <w:snapToGrid w:val="0"/>
          <w:lang w:val="en-GB"/>
        </w:rPr>
        <w:t xml:space="preserve"> agreed with the PSCR that MRSC risperidone would be non</w:t>
      </w:r>
      <w:r w:rsidR="002D15C9">
        <w:rPr>
          <w:rFonts w:asciiTheme="minorHAnsi" w:hAnsiTheme="minorHAnsi"/>
          <w:snapToGrid w:val="0"/>
          <w:lang w:val="en-GB"/>
        </w:rPr>
        <w:noBreakHyphen/>
      </w:r>
      <w:r w:rsidR="000A554E">
        <w:rPr>
          <w:rFonts w:asciiTheme="minorHAnsi" w:hAnsiTheme="minorHAnsi"/>
          <w:snapToGrid w:val="0"/>
          <w:lang w:val="en-GB"/>
        </w:rPr>
        <w:t xml:space="preserve">inferior to </w:t>
      </w:r>
      <w:r w:rsidR="0015160B">
        <w:rPr>
          <w:rFonts w:asciiTheme="minorHAnsi" w:hAnsiTheme="minorHAnsi"/>
          <w:snapToGrid w:val="0"/>
          <w:lang w:val="en-GB"/>
        </w:rPr>
        <w:t xml:space="preserve">the </w:t>
      </w:r>
      <w:r w:rsidR="00F42E6D">
        <w:rPr>
          <w:rFonts w:asciiTheme="minorHAnsi" w:hAnsiTheme="minorHAnsi"/>
          <w:snapToGrid w:val="0"/>
          <w:lang w:val="en-GB"/>
        </w:rPr>
        <w:t>IM</w:t>
      </w:r>
      <w:r w:rsidR="0015160B">
        <w:rPr>
          <w:rFonts w:asciiTheme="minorHAnsi" w:hAnsiTheme="minorHAnsi"/>
          <w:snapToGrid w:val="0"/>
          <w:lang w:val="en-GB"/>
        </w:rPr>
        <w:t xml:space="preserve"> </w:t>
      </w:r>
      <w:r w:rsidR="000A554E">
        <w:rPr>
          <w:rFonts w:asciiTheme="minorHAnsi" w:hAnsiTheme="minorHAnsi"/>
          <w:snapToGrid w:val="0"/>
          <w:lang w:val="en-GB"/>
        </w:rPr>
        <w:t xml:space="preserve">risperidone LAIs and </w:t>
      </w:r>
      <w:r w:rsidR="009C11A0">
        <w:rPr>
          <w:rFonts w:asciiTheme="minorHAnsi" w:hAnsiTheme="minorHAnsi"/>
          <w:snapToGrid w:val="0"/>
          <w:lang w:val="en-GB"/>
        </w:rPr>
        <w:t xml:space="preserve">therefore advised, </w:t>
      </w:r>
      <w:r w:rsidR="00664977">
        <w:rPr>
          <w:rFonts w:asciiTheme="minorHAnsi" w:hAnsiTheme="minorHAnsi"/>
          <w:snapToGrid w:val="0"/>
          <w:lang w:val="en-GB"/>
        </w:rPr>
        <w:t>consistent with</w:t>
      </w:r>
      <w:r w:rsidR="000A554E">
        <w:rPr>
          <w:rFonts w:asciiTheme="minorHAnsi" w:hAnsiTheme="minorHAnsi"/>
          <w:snapToGrid w:val="0"/>
          <w:lang w:val="en-GB"/>
        </w:rPr>
        <w:t xml:space="preserve"> its March 2024</w:t>
      </w:r>
      <w:r w:rsidR="00621939">
        <w:rPr>
          <w:rFonts w:asciiTheme="minorHAnsi" w:hAnsiTheme="minorHAnsi"/>
          <w:snapToGrid w:val="0"/>
          <w:lang w:val="en-GB"/>
        </w:rPr>
        <w:t xml:space="preserve"> advice</w:t>
      </w:r>
      <w:r w:rsidR="00664977">
        <w:rPr>
          <w:rFonts w:asciiTheme="minorHAnsi" w:hAnsiTheme="minorHAnsi"/>
          <w:snapToGrid w:val="0"/>
          <w:lang w:val="en-GB"/>
        </w:rPr>
        <w:t>,</w:t>
      </w:r>
      <w:r w:rsidR="00621939">
        <w:rPr>
          <w:rFonts w:asciiTheme="minorHAnsi" w:hAnsiTheme="minorHAnsi"/>
          <w:snapToGrid w:val="0"/>
          <w:lang w:val="en-GB"/>
        </w:rPr>
        <w:t xml:space="preserve"> that </w:t>
      </w:r>
      <w:r w:rsidR="00FF2CFD">
        <w:rPr>
          <w:rFonts w:asciiTheme="minorHAnsi" w:hAnsiTheme="minorHAnsi"/>
          <w:snapToGrid w:val="0"/>
          <w:lang w:val="en-GB"/>
        </w:rPr>
        <w:t>LAIs of</w:t>
      </w:r>
      <w:r w:rsidR="00621939">
        <w:rPr>
          <w:rFonts w:asciiTheme="minorHAnsi" w:hAnsiTheme="minorHAnsi"/>
          <w:snapToGrid w:val="0"/>
          <w:lang w:val="en-GB"/>
        </w:rPr>
        <w:t xml:space="preserve"> risperidone</w:t>
      </w:r>
      <w:r w:rsidR="007A4045">
        <w:rPr>
          <w:rFonts w:asciiTheme="minorHAnsi" w:hAnsiTheme="minorHAnsi"/>
          <w:snapToGrid w:val="0"/>
          <w:lang w:val="en-GB"/>
        </w:rPr>
        <w:t>, paliperidone and aripiprazole</w:t>
      </w:r>
      <w:r w:rsidR="0030330E">
        <w:rPr>
          <w:rFonts w:asciiTheme="minorHAnsi" w:hAnsiTheme="minorHAnsi"/>
          <w:snapToGrid w:val="0"/>
          <w:lang w:val="en-GB"/>
        </w:rPr>
        <w:t>, but not olanzapine</w:t>
      </w:r>
      <w:r w:rsidR="007E6991">
        <w:rPr>
          <w:rFonts w:asciiTheme="minorHAnsi" w:hAnsiTheme="minorHAnsi"/>
          <w:snapToGrid w:val="0"/>
          <w:lang w:val="en-GB"/>
        </w:rPr>
        <w:t>,</w:t>
      </w:r>
      <w:r w:rsidR="0030330E">
        <w:rPr>
          <w:rFonts w:asciiTheme="minorHAnsi" w:hAnsiTheme="minorHAnsi"/>
          <w:snapToGrid w:val="0"/>
          <w:lang w:val="en-GB"/>
        </w:rPr>
        <w:t xml:space="preserve"> </w:t>
      </w:r>
      <w:r w:rsidR="00FF2CFD">
        <w:rPr>
          <w:rFonts w:asciiTheme="minorHAnsi" w:hAnsiTheme="minorHAnsi"/>
          <w:snapToGrid w:val="0"/>
          <w:lang w:val="en-GB"/>
        </w:rPr>
        <w:t>be</w:t>
      </w:r>
      <w:r w:rsidR="00A67E1E">
        <w:rPr>
          <w:rFonts w:asciiTheme="minorHAnsi" w:hAnsiTheme="minorHAnsi"/>
          <w:snapToGrid w:val="0"/>
          <w:lang w:val="en-GB"/>
        </w:rPr>
        <w:t xml:space="preserve"> considered </w:t>
      </w:r>
      <w:r w:rsidR="00A67E1E">
        <w:rPr>
          <w:rFonts w:asciiTheme="minorHAnsi" w:hAnsiTheme="minorHAnsi"/>
          <w:snapToGrid w:val="0"/>
          <w:lang w:val="en-GB"/>
        </w:rPr>
        <w:lastRenderedPageBreak/>
        <w:t>alternative therapies</w:t>
      </w:r>
      <w:r w:rsidR="001F0891">
        <w:rPr>
          <w:rFonts w:asciiTheme="minorHAnsi" w:hAnsiTheme="minorHAnsi"/>
          <w:snapToGrid w:val="0"/>
          <w:lang w:val="en-GB"/>
        </w:rPr>
        <w:t xml:space="preserve">, noting that olanzapine </w:t>
      </w:r>
      <w:r w:rsidR="006E705C">
        <w:rPr>
          <w:rFonts w:asciiTheme="minorHAnsi" w:hAnsiTheme="minorHAnsi"/>
          <w:snapToGrid w:val="0"/>
          <w:lang w:val="en-GB"/>
        </w:rPr>
        <w:t>is associated with post</w:t>
      </w:r>
      <w:r w:rsidR="002D15C9">
        <w:rPr>
          <w:rFonts w:asciiTheme="minorHAnsi" w:hAnsiTheme="minorHAnsi"/>
          <w:snapToGrid w:val="0"/>
          <w:lang w:val="en-GB"/>
        </w:rPr>
        <w:noBreakHyphen/>
      </w:r>
      <w:r w:rsidR="006E705C">
        <w:rPr>
          <w:rFonts w:asciiTheme="minorHAnsi" w:hAnsiTheme="minorHAnsi"/>
          <w:snapToGrid w:val="0"/>
          <w:lang w:val="en-GB"/>
        </w:rPr>
        <w:t>injection syndrome requiring at least two to three hours of post</w:t>
      </w:r>
      <w:r w:rsidR="002D15C9">
        <w:rPr>
          <w:rFonts w:asciiTheme="minorHAnsi" w:hAnsiTheme="minorHAnsi"/>
          <w:snapToGrid w:val="0"/>
          <w:lang w:val="en-GB"/>
        </w:rPr>
        <w:noBreakHyphen/>
      </w:r>
      <w:r w:rsidR="006E705C">
        <w:rPr>
          <w:rFonts w:asciiTheme="minorHAnsi" w:hAnsiTheme="minorHAnsi"/>
          <w:snapToGrid w:val="0"/>
          <w:lang w:val="en-GB"/>
        </w:rPr>
        <w:t>administration monitoring</w:t>
      </w:r>
      <w:r w:rsidR="007E6991">
        <w:rPr>
          <w:rFonts w:asciiTheme="minorHAnsi" w:hAnsiTheme="minorHAnsi"/>
          <w:snapToGrid w:val="0"/>
          <w:lang w:val="en-GB"/>
        </w:rPr>
        <w:t xml:space="preserve"> </w:t>
      </w:r>
      <w:r w:rsidR="006E705C">
        <w:rPr>
          <w:color w:val="000000" w:themeColor="text1"/>
        </w:rPr>
        <w:t>(Paragraphs 7.3 and 7.14, Risperidone PSD, March 2024 PBAC Meeting).</w:t>
      </w:r>
    </w:p>
    <w:p w14:paraId="3D10D87C" w14:textId="62612B3F" w:rsidR="00B77E6E" w:rsidRDefault="00FE65DB" w:rsidP="00FE65DB">
      <w:pPr>
        <w:widowControl w:val="0"/>
        <w:numPr>
          <w:ilvl w:val="1"/>
          <w:numId w:val="1"/>
        </w:numPr>
        <w:spacing w:after="120"/>
        <w:rPr>
          <w:rFonts w:asciiTheme="minorHAnsi" w:hAnsiTheme="minorHAnsi"/>
          <w:snapToGrid w:val="0"/>
          <w:lang w:val="en-GB"/>
        </w:rPr>
      </w:pPr>
      <w:r w:rsidRPr="00796EE0">
        <w:rPr>
          <w:rFonts w:asciiTheme="minorHAnsi" w:hAnsiTheme="minorHAnsi"/>
          <w:snapToGrid w:val="0"/>
          <w:lang w:val="en-GB"/>
        </w:rPr>
        <w:t>The PBAC noted the weighted average dose approach used in the submission and</w:t>
      </w:r>
      <w:r w:rsidR="002B64A4">
        <w:rPr>
          <w:rFonts w:asciiTheme="minorHAnsi" w:hAnsiTheme="minorHAnsi"/>
          <w:snapToGrid w:val="0"/>
          <w:lang w:val="en-GB"/>
        </w:rPr>
        <w:t xml:space="preserve"> agreed with the</w:t>
      </w:r>
      <w:r w:rsidRPr="00796EE0">
        <w:rPr>
          <w:rFonts w:asciiTheme="minorHAnsi" w:hAnsiTheme="minorHAnsi"/>
          <w:snapToGrid w:val="0"/>
          <w:lang w:val="en-GB"/>
        </w:rPr>
        <w:t xml:space="preserve"> ESC advice</w:t>
      </w:r>
      <w:r w:rsidR="00256628">
        <w:rPr>
          <w:rFonts w:asciiTheme="minorHAnsi" w:hAnsiTheme="minorHAnsi"/>
          <w:snapToGrid w:val="0"/>
          <w:lang w:val="en-GB"/>
        </w:rPr>
        <w:t xml:space="preserve"> that </w:t>
      </w:r>
      <w:r w:rsidRPr="00796EE0">
        <w:rPr>
          <w:rFonts w:asciiTheme="minorHAnsi" w:hAnsiTheme="minorHAnsi"/>
          <w:snapToGrid w:val="0"/>
          <w:lang w:val="en-GB"/>
        </w:rPr>
        <w:t xml:space="preserve">the appropriate economic framework </w:t>
      </w:r>
      <w:r w:rsidR="00EE07A5">
        <w:rPr>
          <w:rFonts w:asciiTheme="minorHAnsi" w:hAnsiTheme="minorHAnsi"/>
          <w:snapToGrid w:val="0"/>
          <w:lang w:val="en-GB"/>
        </w:rPr>
        <w:t>should be</w:t>
      </w:r>
      <w:r w:rsidR="00EE07A5" w:rsidRPr="00796EE0">
        <w:rPr>
          <w:rFonts w:asciiTheme="minorHAnsi" w:hAnsiTheme="minorHAnsi"/>
          <w:snapToGrid w:val="0"/>
          <w:lang w:val="en-GB"/>
        </w:rPr>
        <w:t xml:space="preserve"> </w:t>
      </w:r>
      <w:r w:rsidRPr="00796EE0">
        <w:rPr>
          <w:rFonts w:asciiTheme="minorHAnsi" w:hAnsiTheme="minorHAnsi"/>
          <w:snapToGrid w:val="0"/>
          <w:lang w:val="en-GB"/>
        </w:rPr>
        <w:t>cost</w:t>
      </w:r>
      <w:r w:rsidRPr="00796EE0">
        <w:rPr>
          <w:rFonts w:ascii="Cambria Math" w:hAnsi="Cambria Math" w:cs="Cambria Math"/>
          <w:snapToGrid w:val="0"/>
          <w:lang w:val="en-GB"/>
        </w:rPr>
        <w:t>‑</w:t>
      </w:r>
      <w:r w:rsidRPr="00796EE0">
        <w:rPr>
          <w:rFonts w:asciiTheme="minorHAnsi" w:hAnsiTheme="minorHAnsi"/>
          <w:snapToGrid w:val="0"/>
          <w:lang w:val="en-GB"/>
        </w:rPr>
        <w:t>minimisation to the lowest</w:t>
      </w:r>
      <w:r w:rsidRPr="00796EE0">
        <w:rPr>
          <w:rFonts w:ascii="Cambria Math" w:hAnsi="Cambria Math" w:cs="Cambria Math"/>
          <w:snapToGrid w:val="0"/>
          <w:lang w:val="en-GB"/>
        </w:rPr>
        <w:t>‑</w:t>
      </w:r>
      <w:r w:rsidRPr="00796EE0">
        <w:rPr>
          <w:rFonts w:asciiTheme="minorHAnsi" w:hAnsiTheme="minorHAnsi"/>
          <w:snapToGrid w:val="0"/>
          <w:lang w:val="en-GB"/>
        </w:rPr>
        <w:t>cost LAI alternative</w:t>
      </w:r>
      <w:r w:rsidR="00470235">
        <w:rPr>
          <w:rFonts w:asciiTheme="minorHAnsi" w:hAnsiTheme="minorHAnsi"/>
          <w:snapToGrid w:val="0"/>
          <w:lang w:val="en-GB"/>
        </w:rPr>
        <w:t xml:space="preserve"> on a cost per patient </w:t>
      </w:r>
      <w:r w:rsidR="00A913FE">
        <w:rPr>
          <w:rFonts w:asciiTheme="minorHAnsi" w:hAnsiTheme="minorHAnsi"/>
          <w:snapToGrid w:val="0"/>
          <w:lang w:val="en-GB"/>
        </w:rPr>
        <w:t xml:space="preserve">per year </w:t>
      </w:r>
      <w:r w:rsidR="00257538">
        <w:rPr>
          <w:rFonts w:asciiTheme="minorHAnsi" w:hAnsiTheme="minorHAnsi"/>
          <w:snapToGrid w:val="0"/>
          <w:lang w:val="en-GB"/>
        </w:rPr>
        <w:t>basis.</w:t>
      </w:r>
    </w:p>
    <w:p w14:paraId="1F79B35B" w14:textId="78501267" w:rsidR="00FE65DB" w:rsidRDefault="00B77E6E" w:rsidP="00FE65D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BB3FED">
        <w:rPr>
          <w:rFonts w:asciiTheme="minorHAnsi" w:hAnsiTheme="minorHAnsi"/>
          <w:snapToGrid w:val="0"/>
          <w:lang w:val="en-GB"/>
        </w:rPr>
        <w:t>noted the submission’s equi</w:t>
      </w:r>
      <w:r w:rsidR="002D15C9">
        <w:rPr>
          <w:rFonts w:asciiTheme="minorHAnsi" w:hAnsiTheme="minorHAnsi"/>
          <w:snapToGrid w:val="0"/>
          <w:lang w:val="en-GB"/>
        </w:rPr>
        <w:noBreakHyphen/>
      </w:r>
      <w:r w:rsidR="00BB3FED">
        <w:rPr>
          <w:rFonts w:asciiTheme="minorHAnsi" w:hAnsiTheme="minorHAnsi"/>
          <w:snapToGrid w:val="0"/>
          <w:lang w:val="en-GB"/>
        </w:rPr>
        <w:t xml:space="preserve">effective dose comparison was </w:t>
      </w:r>
      <w:r w:rsidR="00FE65DB" w:rsidRPr="00796EE0">
        <w:rPr>
          <w:rFonts w:asciiTheme="minorHAnsi" w:hAnsiTheme="minorHAnsi"/>
          <w:snapToGrid w:val="0"/>
          <w:lang w:val="en-GB"/>
        </w:rPr>
        <w:t xml:space="preserve">informed by </w:t>
      </w:r>
      <w:r w:rsidR="00257538">
        <w:rPr>
          <w:rFonts w:asciiTheme="minorHAnsi" w:hAnsiTheme="minorHAnsi"/>
          <w:snapToGrid w:val="0"/>
          <w:lang w:val="en-GB"/>
        </w:rPr>
        <w:t xml:space="preserve">the </w:t>
      </w:r>
      <w:r w:rsidR="00FE65DB" w:rsidRPr="00796EE0">
        <w:rPr>
          <w:rFonts w:asciiTheme="minorHAnsi" w:hAnsiTheme="minorHAnsi"/>
          <w:snapToGrid w:val="0"/>
          <w:lang w:val="en-GB"/>
        </w:rPr>
        <w:t>TGA Product Information</w:t>
      </w:r>
      <w:r w:rsidR="00C61C56">
        <w:rPr>
          <w:rFonts w:asciiTheme="minorHAnsi" w:hAnsiTheme="minorHAnsi"/>
          <w:snapToGrid w:val="0"/>
          <w:lang w:val="en-GB"/>
        </w:rPr>
        <w:t>. I</w:t>
      </w:r>
      <w:r w:rsidR="00C61C56" w:rsidRPr="00796EE0">
        <w:rPr>
          <w:rFonts w:asciiTheme="minorHAnsi" w:hAnsiTheme="minorHAnsi"/>
          <w:snapToGrid w:val="0"/>
          <w:lang w:val="en-GB"/>
        </w:rPr>
        <w:t xml:space="preserve">n the absence of direct switching data, </w:t>
      </w:r>
      <w:r w:rsidR="00C61C56">
        <w:rPr>
          <w:rFonts w:asciiTheme="minorHAnsi" w:hAnsiTheme="minorHAnsi"/>
          <w:snapToGrid w:val="0"/>
          <w:lang w:val="en-GB"/>
        </w:rPr>
        <w:t xml:space="preserve">the PBAC considered </w:t>
      </w:r>
      <w:r w:rsidR="00C61C56" w:rsidRPr="00796EE0">
        <w:rPr>
          <w:rFonts w:asciiTheme="minorHAnsi" w:hAnsiTheme="minorHAnsi"/>
          <w:snapToGrid w:val="0"/>
          <w:lang w:val="en-GB"/>
        </w:rPr>
        <w:t>a pragmatic approach</w:t>
      </w:r>
      <w:r w:rsidR="00C61C56" w:rsidRPr="00796EE0">
        <w:rPr>
          <w:rFonts w:cs="Calibri"/>
          <w:snapToGrid w:val="0"/>
          <w:lang w:val="en-GB"/>
        </w:rPr>
        <w:t xml:space="preserve"> </w:t>
      </w:r>
      <w:r w:rsidR="00D55247">
        <w:rPr>
          <w:rFonts w:cs="Calibri"/>
          <w:snapToGrid w:val="0"/>
          <w:lang w:val="en-GB"/>
        </w:rPr>
        <w:t>PI</w:t>
      </w:r>
      <w:r w:rsidR="00FE65DB" w:rsidRPr="00796EE0">
        <w:rPr>
          <w:rFonts w:cs="Calibri"/>
          <w:snapToGrid w:val="0"/>
          <w:lang w:val="en-GB"/>
        </w:rPr>
        <w:t>–</w:t>
      </w:r>
      <w:r w:rsidR="00FE65DB" w:rsidRPr="00796EE0">
        <w:rPr>
          <w:rFonts w:asciiTheme="minorHAnsi" w:hAnsiTheme="minorHAnsi"/>
          <w:snapToGrid w:val="0"/>
          <w:lang w:val="en-GB"/>
        </w:rPr>
        <w:t>based switching was considered acceptable</w:t>
      </w:r>
      <w:r w:rsidR="00D55247">
        <w:rPr>
          <w:rFonts w:asciiTheme="minorHAnsi" w:hAnsiTheme="minorHAnsi"/>
          <w:snapToGrid w:val="0"/>
          <w:lang w:val="en-GB"/>
        </w:rPr>
        <w:t xml:space="preserve"> in the absence of prior PBAC recommendations</w:t>
      </w:r>
      <w:r w:rsidR="00FE65DB" w:rsidRPr="00796EE0">
        <w:rPr>
          <w:rFonts w:asciiTheme="minorHAnsi" w:hAnsiTheme="minorHAnsi"/>
          <w:snapToGrid w:val="0"/>
          <w:lang w:val="en-GB"/>
        </w:rPr>
        <w:t>.</w:t>
      </w:r>
      <w:r w:rsidR="00FE65DB">
        <w:rPr>
          <w:rFonts w:asciiTheme="minorHAnsi" w:hAnsiTheme="minorHAnsi"/>
          <w:snapToGrid w:val="0"/>
          <w:lang w:val="en-GB"/>
        </w:rPr>
        <w:t xml:space="preserve"> </w:t>
      </w:r>
      <w:r w:rsidR="00D55247">
        <w:rPr>
          <w:rFonts w:asciiTheme="minorHAnsi" w:hAnsiTheme="minorHAnsi"/>
          <w:snapToGrid w:val="0"/>
          <w:lang w:val="en-GB"/>
        </w:rPr>
        <w:t xml:space="preserve">As such, the PBAC </w:t>
      </w:r>
      <w:r w:rsidR="00EC58A3">
        <w:rPr>
          <w:rFonts w:asciiTheme="minorHAnsi" w:hAnsiTheme="minorHAnsi"/>
          <w:snapToGrid w:val="0"/>
          <w:lang w:val="en-GB"/>
        </w:rPr>
        <w:t xml:space="preserve">considered the </w:t>
      </w:r>
      <w:proofErr w:type="spellStart"/>
      <w:r w:rsidR="00EC58A3">
        <w:rPr>
          <w:rFonts w:asciiTheme="minorHAnsi" w:hAnsiTheme="minorHAnsi"/>
          <w:snapToGrid w:val="0"/>
          <w:lang w:val="en-GB"/>
        </w:rPr>
        <w:t>equi</w:t>
      </w:r>
      <w:proofErr w:type="spellEnd"/>
      <w:r w:rsidR="002D15C9">
        <w:rPr>
          <w:rFonts w:asciiTheme="minorHAnsi" w:hAnsiTheme="minorHAnsi"/>
          <w:snapToGrid w:val="0"/>
          <w:lang w:val="en-GB"/>
        </w:rPr>
        <w:noBreakHyphen/>
      </w:r>
      <w:r w:rsidR="00EC58A3">
        <w:rPr>
          <w:rFonts w:asciiTheme="minorHAnsi" w:hAnsiTheme="minorHAnsi"/>
          <w:snapToGrid w:val="0"/>
          <w:lang w:val="en-GB"/>
        </w:rPr>
        <w:t>effective doses as</w:t>
      </w:r>
      <w:r w:rsidR="004E095A">
        <w:rPr>
          <w:rFonts w:asciiTheme="minorHAnsi" w:hAnsiTheme="minorHAnsi"/>
          <w:snapToGrid w:val="0"/>
          <w:lang w:val="en-GB"/>
        </w:rPr>
        <w:t xml:space="preserve"> shown in </w:t>
      </w:r>
      <w:r w:rsidR="003D65C9">
        <w:rPr>
          <w:rFonts w:asciiTheme="minorHAnsi" w:hAnsiTheme="minorHAnsi"/>
          <w:snapToGrid w:val="0"/>
          <w:lang w:val="en-GB"/>
        </w:rPr>
        <w:fldChar w:fldCharType="begin"/>
      </w:r>
      <w:r w:rsidR="003D65C9">
        <w:rPr>
          <w:rFonts w:asciiTheme="minorHAnsi" w:hAnsiTheme="minorHAnsi"/>
          <w:snapToGrid w:val="0"/>
          <w:lang w:val="en-GB"/>
        </w:rPr>
        <w:instrText xml:space="preserve"> REF _Ref225523280 \h </w:instrText>
      </w:r>
      <w:r w:rsidR="003D65C9">
        <w:rPr>
          <w:rFonts w:asciiTheme="minorHAnsi" w:hAnsiTheme="minorHAnsi"/>
          <w:snapToGrid w:val="0"/>
          <w:lang w:val="en-GB"/>
        </w:rPr>
      </w:r>
      <w:r w:rsidR="003D65C9">
        <w:rPr>
          <w:rFonts w:asciiTheme="minorHAnsi" w:hAnsiTheme="minorHAnsi"/>
          <w:snapToGrid w:val="0"/>
          <w:lang w:val="en-GB"/>
        </w:rPr>
        <w:fldChar w:fldCharType="separate"/>
      </w:r>
      <w:r w:rsidR="003D65C9">
        <w:t xml:space="preserve">Table </w:t>
      </w:r>
      <w:r w:rsidR="003D65C9">
        <w:rPr>
          <w:noProof/>
        </w:rPr>
        <w:t>15</w:t>
      </w:r>
      <w:r w:rsidR="003D65C9">
        <w:rPr>
          <w:rFonts w:asciiTheme="minorHAnsi" w:hAnsiTheme="minorHAnsi"/>
          <w:snapToGrid w:val="0"/>
          <w:lang w:val="en-GB"/>
        </w:rPr>
        <w:fldChar w:fldCharType="end"/>
      </w:r>
      <w:r w:rsidR="004E095A">
        <w:rPr>
          <w:rFonts w:asciiTheme="minorHAnsi" w:hAnsiTheme="minorHAnsi"/>
          <w:snapToGrid w:val="0"/>
          <w:lang w:val="en-GB"/>
        </w:rPr>
        <w:t>.</w:t>
      </w:r>
    </w:p>
    <w:p w14:paraId="17B288DF" w14:textId="3009AFDA" w:rsidR="0083219E" w:rsidRDefault="0083219E" w:rsidP="0083219E">
      <w:pPr>
        <w:pStyle w:val="Caption"/>
      </w:pPr>
      <w:bookmarkStart w:id="59" w:name="_Ref225523280"/>
      <w:r>
        <w:t xml:space="preserve">Table </w:t>
      </w:r>
      <w:fldSimple w:instr=" SEQ Table \* ARABIC ">
        <w:r w:rsidR="002D15C9">
          <w:rPr>
            <w:noProof/>
          </w:rPr>
          <w:t>16</w:t>
        </w:r>
      </w:fldSimple>
      <w:bookmarkEnd w:id="59"/>
      <w:r>
        <w:t>: PBAC recommended equi</w:t>
      </w:r>
      <w:r w:rsidR="002D15C9">
        <w:noBreakHyphen/>
      </w:r>
      <w:r>
        <w:t>effective dosing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PBAC recommended equi effective dosing"/>
      </w:tblPr>
      <w:tblGrid>
        <w:gridCol w:w="1667"/>
        <w:gridCol w:w="1805"/>
        <w:gridCol w:w="2038"/>
        <w:gridCol w:w="1075"/>
        <w:gridCol w:w="1263"/>
        <w:gridCol w:w="1169"/>
      </w:tblGrid>
      <w:tr w:rsidR="00310598" w:rsidRPr="0098262F" w14:paraId="65DB2598" w14:textId="77777777" w:rsidTr="009218AC">
        <w:tc>
          <w:tcPr>
            <w:tcW w:w="925" w:type="pct"/>
            <w:vAlign w:val="center"/>
          </w:tcPr>
          <w:p w14:paraId="5D5EFEAA" w14:textId="27E42851" w:rsidR="0083219E" w:rsidRPr="0098262F" w:rsidRDefault="0083219E" w:rsidP="005F3FB7">
            <w:pPr>
              <w:pStyle w:val="In-tableHeading"/>
              <w:jc w:val="center"/>
            </w:pPr>
            <w:r w:rsidRPr="00306C87">
              <w:t xml:space="preserve">Oral risperidone </w:t>
            </w:r>
            <w:r w:rsidR="004F4D8C">
              <w:t>(1</w:t>
            </w:r>
            <w:r w:rsidR="002D15C9">
              <w:noBreakHyphen/>
            </w:r>
            <w:r w:rsidR="004F4D8C">
              <w:t>daily)</w:t>
            </w:r>
            <w:r w:rsidR="00BE1369" w:rsidRPr="00BE1369">
              <w:rPr>
                <w:vertAlign w:val="superscript"/>
              </w:rPr>
              <w:t>a</w:t>
            </w:r>
          </w:p>
        </w:tc>
        <w:tc>
          <w:tcPr>
            <w:tcW w:w="1001" w:type="pct"/>
            <w:vAlign w:val="center"/>
          </w:tcPr>
          <w:p w14:paraId="205CA06B" w14:textId="4498110C" w:rsidR="0083219E" w:rsidRPr="0098262F" w:rsidRDefault="004F4D8C" w:rsidP="005F3FB7">
            <w:pPr>
              <w:pStyle w:val="In-tableHeading"/>
              <w:jc w:val="center"/>
            </w:pPr>
            <w:r>
              <w:t>MRSC risperidone (1</w:t>
            </w:r>
            <w:r w:rsidR="002D15C9">
              <w:noBreakHyphen/>
            </w:r>
            <w:r>
              <w:t>monthly)</w:t>
            </w:r>
            <w:r w:rsidR="00BE1369" w:rsidRPr="00BE1369">
              <w:rPr>
                <w:vertAlign w:val="superscript"/>
              </w:rPr>
              <w:t>a</w:t>
            </w:r>
          </w:p>
        </w:tc>
        <w:tc>
          <w:tcPr>
            <w:tcW w:w="1130" w:type="pct"/>
            <w:vAlign w:val="center"/>
          </w:tcPr>
          <w:p w14:paraId="486FBCD1" w14:textId="6B4D9993" w:rsidR="00AE3D92" w:rsidRDefault="00AE3D92" w:rsidP="005F3FB7">
            <w:pPr>
              <w:pStyle w:val="In-tableHeading"/>
              <w:jc w:val="center"/>
            </w:pPr>
            <w:r>
              <w:t>R4WIM (4</w:t>
            </w:r>
            <w:r w:rsidR="002D15C9">
              <w:noBreakHyphen/>
            </w:r>
            <w:r>
              <w:t>weekly)</w:t>
            </w:r>
            <w:r w:rsidR="00CD7639">
              <w:rPr>
                <w:vertAlign w:val="superscript"/>
              </w:rPr>
              <w:t>a,</w:t>
            </w:r>
            <w:r w:rsidR="00310598">
              <w:rPr>
                <w:vertAlign w:val="superscript"/>
              </w:rPr>
              <w:t>b</w:t>
            </w:r>
          </w:p>
        </w:tc>
        <w:tc>
          <w:tcPr>
            <w:tcW w:w="596" w:type="pct"/>
            <w:vAlign w:val="center"/>
          </w:tcPr>
          <w:p w14:paraId="30D9C656" w14:textId="5AACF959" w:rsidR="001E0F2C" w:rsidRDefault="001E0F2C" w:rsidP="001E0F2C">
            <w:pPr>
              <w:pStyle w:val="In-tableHeading"/>
              <w:jc w:val="center"/>
            </w:pPr>
            <w:r>
              <w:t>R2WIM (2</w:t>
            </w:r>
            <w:r w:rsidR="002D15C9">
              <w:noBreakHyphen/>
            </w:r>
            <w:r>
              <w:t>weekly)</w:t>
            </w:r>
            <w:r w:rsidRPr="00BE1369">
              <w:rPr>
                <w:vertAlign w:val="superscript"/>
              </w:rPr>
              <w:t>b</w:t>
            </w:r>
          </w:p>
        </w:tc>
        <w:tc>
          <w:tcPr>
            <w:tcW w:w="700" w:type="pct"/>
            <w:vAlign w:val="center"/>
          </w:tcPr>
          <w:p w14:paraId="651DBF0D" w14:textId="04C2AA7F" w:rsidR="0083219E" w:rsidRPr="0098262F" w:rsidRDefault="004F4D8C" w:rsidP="005F3FB7">
            <w:pPr>
              <w:pStyle w:val="In-tableHeading"/>
              <w:jc w:val="center"/>
            </w:pPr>
            <w:r>
              <w:t>PP1M (1</w:t>
            </w:r>
            <w:r w:rsidR="002D15C9">
              <w:noBreakHyphen/>
            </w:r>
            <w:r>
              <w:t>monthly)</w:t>
            </w:r>
            <w:r w:rsidR="00F73E16">
              <w:rPr>
                <w:vertAlign w:val="superscript"/>
              </w:rPr>
              <w:t>b,c</w:t>
            </w:r>
          </w:p>
        </w:tc>
        <w:tc>
          <w:tcPr>
            <w:tcW w:w="648" w:type="pct"/>
            <w:vAlign w:val="center"/>
          </w:tcPr>
          <w:p w14:paraId="4137460A" w14:textId="733FFECD" w:rsidR="0083219E" w:rsidRPr="0098262F" w:rsidRDefault="00AE3D92" w:rsidP="005F3FB7">
            <w:pPr>
              <w:pStyle w:val="In-tableHeading"/>
              <w:jc w:val="center"/>
            </w:pPr>
            <w:r>
              <w:t>A1M (1</w:t>
            </w:r>
            <w:r w:rsidR="002D15C9">
              <w:noBreakHyphen/>
            </w:r>
            <w:r>
              <w:t>monthly)</w:t>
            </w:r>
            <w:r w:rsidR="00310598" w:rsidRPr="001C1A5C">
              <w:rPr>
                <w:vertAlign w:val="superscript"/>
                <w:lang w:val="en-GB"/>
              </w:rPr>
              <w:t>c</w:t>
            </w:r>
          </w:p>
        </w:tc>
      </w:tr>
      <w:tr w:rsidR="000413EB" w:rsidRPr="0098262F" w14:paraId="2BC7D17E" w14:textId="77777777" w:rsidTr="009218AC">
        <w:tc>
          <w:tcPr>
            <w:tcW w:w="925" w:type="pct"/>
            <w:vAlign w:val="center"/>
          </w:tcPr>
          <w:p w14:paraId="4F3A4C22" w14:textId="6F55F5B6" w:rsidR="0083219E" w:rsidRPr="0098262F" w:rsidRDefault="0083219E" w:rsidP="005F3FB7">
            <w:pPr>
              <w:pStyle w:val="TableText"/>
              <w:jc w:val="center"/>
            </w:pPr>
            <w:r w:rsidRPr="00B17B55">
              <w:t>1</w:t>
            </w:r>
            <w:r w:rsidR="0027537A">
              <w:t xml:space="preserve"> </w:t>
            </w:r>
            <w:r w:rsidRPr="00B17B55">
              <w:t>mg</w:t>
            </w:r>
          </w:p>
        </w:tc>
        <w:tc>
          <w:tcPr>
            <w:tcW w:w="1001" w:type="pct"/>
            <w:vAlign w:val="center"/>
          </w:tcPr>
          <w:p w14:paraId="0A87A63F" w14:textId="76C0AA1F" w:rsidR="0083219E" w:rsidRPr="0098262F" w:rsidRDefault="00E91E91" w:rsidP="005F3FB7">
            <w:pPr>
              <w:pStyle w:val="TableText"/>
              <w:jc w:val="center"/>
            </w:pPr>
            <w:r w:rsidDel="00E11D5B">
              <w:t>25 mg</w:t>
            </w:r>
          </w:p>
        </w:tc>
        <w:tc>
          <w:tcPr>
            <w:tcW w:w="1130" w:type="pct"/>
            <w:vAlign w:val="center"/>
          </w:tcPr>
          <w:p w14:paraId="525A32C2" w14:textId="24CEF1DD" w:rsidR="00AE3D92" w:rsidRPr="00B17B55" w:rsidRDefault="009920CC" w:rsidP="005F3FB7">
            <w:pPr>
              <w:pStyle w:val="TableText"/>
              <w:jc w:val="center"/>
            </w:pPr>
            <w:r>
              <w:t>25 mg</w:t>
            </w:r>
          </w:p>
        </w:tc>
        <w:tc>
          <w:tcPr>
            <w:tcW w:w="596" w:type="pct"/>
            <w:vAlign w:val="center"/>
          </w:tcPr>
          <w:p w14:paraId="63A059B3" w14:textId="7F0A9F79" w:rsidR="001E0F2C" w:rsidRDefault="001E0F2C" w:rsidP="001E0F2C">
            <w:pPr>
              <w:pStyle w:val="TableText"/>
              <w:jc w:val="center"/>
            </w:pPr>
            <w:r>
              <w:t>12.5 mg</w:t>
            </w:r>
          </w:p>
        </w:tc>
        <w:tc>
          <w:tcPr>
            <w:tcW w:w="700" w:type="pct"/>
            <w:vAlign w:val="center"/>
          </w:tcPr>
          <w:p w14:paraId="01CEF177" w14:textId="4DCFC784" w:rsidR="0083219E" w:rsidRPr="0098262F" w:rsidRDefault="00AE3D92" w:rsidP="005F3FB7">
            <w:pPr>
              <w:pStyle w:val="TableText"/>
              <w:jc w:val="center"/>
            </w:pPr>
            <w:r w:rsidRPr="005F3FB7" w:rsidDel="00DF0FB9">
              <w:t>25</w:t>
            </w:r>
            <w:r w:rsidR="00FE3EBE" w:rsidDel="00DF0FB9">
              <w:t xml:space="preserve"> </w:t>
            </w:r>
            <w:r w:rsidRPr="005F3FB7" w:rsidDel="00DF0FB9">
              <w:t>mg</w:t>
            </w:r>
          </w:p>
        </w:tc>
        <w:tc>
          <w:tcPr>
            <w:tcW w:w="648" w:type="pct"/>
            <w:vAlign w:val="center"/>
          </w:tcPr>
          <w:p w14:paraId="7B1224EA" w14:textId="143FA061" w:rsidR="0083219E" w:rsidRPr="0098262F" w:rsidRDefault="00867EE3" w:rsidP="005F3FB7">
            <w:pPr>
              <w:pStyle w:val="TableText"/>
              <w:jc w:val="center"/>
            </w:pPr>
            <w:r>
              <w:t>118 mg</w:t>
            </w:r>
          </w:p>
        </w:tc>
      </w:tr>
      <w:tr w:rsidR="00310598" w:rsidRPr="0098262F" w14:paraId="5D9B9C21" w14:textId="77777777" w:rsidTr="009218AC">
        <w:tc>
          <w:tcPr>
            <w:tcW w:w="925" w:type="pct"/>
            <w:vAlign w:val="center"/>
          </w:tcPr>
          <w:p w14:paraId="7DEF47CB" w14:textId="479DD712" w:rsidR="0083219E" w:rsidRPr="0098262F" w:rsidRDefault="0083219E" w:rsidP="005F3FB7">
            <w:pPr>
              <w:pStyle w:val="TableText"/>
              <w:jc w:val="center"/>
            </w:pPr>
            <w:r w:rsidRPr="00B17B55">
              <w:t>2</w:t>
            </w:r>
            <w:r w:rsidR="0027537A">
              <w:t xml:space="preserve"> </w:t>
            </w:r>
            <w:r w:rsidRPr="00B17B55">
              <w:t>mg</w:t>
            </w:r>
          </w:p>
        </w:tc>
        <w:tc>
          <w:tcPr>
            <w:tcW w:w="1001" w:type="pct"/>
            <w:vAlign w:val="center"/>
          </w:tcPr>
          <w:p w14:paraId="5FA22198" w14:textId="53B9212C" w:rsidR="0083219E" w:rsidRPr="0098262F" w:rsidRDefault="00AE3D92" w:rsidP="005F3FB7">
            <w:pPr>
              <w:pStyle w:val="TableText"/>
              <w:jc w:val="center"/>
            </w:pPr>
            <w:r w:rsidRPr="005F3FB7">
              <w:t>50</w:t>
            </w:r>
            <w:r w:rsidR="00FE3EBE">
              <w:t xml:space="preserve"> </w:t>
            </w:r>
            <w:r w:rsidRPr="005F3FB7">
              <w:t>mg</w:t>
            </w:r>
          </w:p>
        </w:tc>
        <w:tc>
          <w:tcPr>
            <w:tcW w:w="1130" w:type="pct"/>
            <w:vAlign w:val="center"/>
          </w:tcPr>
          <w:p w14:paraId="1CA9D53B" w14:textId="32217CA9" w:rsidR="00AE3D92" w:rsidRPr="00B17B55" w:rsidRDefault="009920CC" w:rsidP="005F3FB7">
            <w:pPr>
              <w:pStyle w:val="TableText"/>
              <w:jc w:val="center"/>
            </w:pPr>
            <w:r>
              <w:t>50 mg</w:t>
            </w:r>
          </w:p>
        </w:tc>
        <w:tc>
          <w:tcPr>
            <w:tcW w:w="596" w:type="pct"/>
            <w:vAlign w:val="center"/>
          </w:tcPr>
          <w:p w14:paraId="265DD2F7" w14:textId="01A6E684" w:rsidR="001E0F2C" w:rsidRDefault="001E0F2C" w:rsidP="001E0F2C">
            <w:pPr>
              <w:pStyle w:val="TableText"/>
              <w:jc w:val="center"/>
            </w:pPr>
            <w:r>
              <w:t>25 mg</w:t>
            </w:r>
            <w:r w:rsidRPr="00B17B55" w:rsidDel="00DF0FB9">
              <w:t xml:space="preserve"> </w:t>
            </w:r>
          </w:p>
        </w:tc>
        <w:tc>
          <w:tcPr>
            <w:tcW w:w="700" w:type="pct"/>
            <w:vAlign w:val="center"/>
          </w:tcPr>
          <w:p w14:paraId="2C218DFF" w14:textId="7D22C791" w:rsidR="0083219E" w:rsidRPr="0098262F" w:rsidRDefault="001E0F2C" w:rsidP="005F3FB7">
            <w:pPr>
              <w:pStyle w:val="TableText"/>
              <w:jc w:val="center"/>
            </w:pPr>
            <w:r>
              <w:t>50 mg</w:t>
            </w:r>
          </w:p>
        </w:tc>
        <w:tc>
          <w:tcPr>
            <w:tcW w:w="648" w:type="pct"/>
            <w:vAlign w:val="center"/>
          </w:tcPr>
          <w:p w14:paraId="1E5142E2" w14:textId="3A4EEF54" w:rsidR="0083219E" w:rsidRPr="0098262F" w:rsidRDefault="00867EE3" w:rsidP="005F3FB7">
            <w:pPr>
              <w:pStyle w:val="TableText"/>
              <w:jc w:val="center"/>
            </w:pPr>
            <w:r>
              <w:t>235</w:t>
            </w:r>
            <w:r w:rsidR="00006B3A">
              <w:t xml:space="preserve"> </w:t>
            </w:r>
            <w:r w:rsidR="005F3FB7" w:rsidRPr="005F3FB7" w:rsidDel="00DF0FB9">
              <w:t>mg</w:t>
            </w:r>
          </w:p>
        </w:tc>
      </w:tr>
      <w:tr w:rsidR="00310598" w:rsidRPr="0098262F" w14:paraId="09AFEA09" w14:textId="77777777" w:rsidTr="009218AC">
        <w:tc>
          <w:tcPr>
            <w:tcW w:w="925" w:type="pct"/>
            <w:vAlign w:val="center"/>
          </w:tcPr>
          <w:p w14:paraId="72B7E948" w14:textId="2DBE7794" w:rsidR="0083219E" w:rsidRPr="0098262F" w:rsidRDefault="0083219E" w:rsidP="005F3FB7">
            <w:pPr>
              <w:pStyle w:val="TableText"/>
              <w:jc w:val="center"/>
            </w:pPr>
            <w:r w:rsidRPr="00B17B55">
              <w:t>3</w:t>
            </w:r>
            <w:r w:rsidR="0027537A">
              <w:t xml:space="preserve"> </w:t>
            </w:r>
            <w:r w:rsidRPr="00B17B55">
              <w:t>mg</w:t>
            </w:r>
          </w:p>
        </w:tc>
        <w:tc>
          <w:tcPr>
            <w:tcW w:w="1001" w:type="pct"/>
            <w:vAlign w:val="center"/>
          </w:tcPr>
          <w:p w14:paraId="147D6924" w14:textId="6ED83EF8" w:rsidR="0083219E" w:rsidRPr="0098262F" w:rsidRDefault="00AE3D92" w:rsidP="005F3FB7">
            <w:pPr>
              <w:pStyle w:val="TableText"/>
              <w:jc w:val="center"/>
            </w:pPr>
            <w:r w:rsidRPr="005F3FB7">
              <w:t>75</w:t>
            </w:r>
            <w:r w:rsidR="00FE3EBE">
              <w:t xml:space="preserve"> </w:t>
            </w:r>
            <w:r w:rsidR="001E0F2C" w:rsidRPr="005F3FB7">
              <w:t>mg</w:t>
            </w:r>
          </w:p>
        </w:tc>
        <w:tc>
          <w:tcPr>
            <w:tcW w:w="1130" w:type="pct"/>
            <w:vAlign w:val="center"/>
          </w:tcPr>
          <w:p w14:paraId="052A1F5C" w14:textId="60C793B9" w:rsidR="00AE3D92" w:rsidRPr="00B17B55" w:rsidRDefault="001E0F2C" w:rsidP="005F3FB7">
            <w:pPr>
              <w:pStyle w:val="TableText"/>
              <w:jc w:val="center"/>
            </w:pPr>
            <w:r>
              <w:t>75 mg</w:t>
            </w:r>
          </w:p>
        </w:tc>
        <w:tc>
          <w:tcPr>
            <w:tcW w:w="596" w:type="pct"/>
            <w:vAlign w:val="center"/>
          </w:tcPr>
          <w:p w14:paraId="42630C1B" w14:textId="01E2FEFC" w:rsidR="001E0F2C" w:rsidRDefault="001E0F2C" w:rsidP="001E0F2C">
            <w:pPr>
              <w:pStyle w:val="TableText"/>
              <w:jc w:val="center"/>
            </w:pPr>
            <w:r>
              <w:t>37.5 m</w:t>
            </w:r>
            <w:r w:rsidR="00A4218F">
              <w:t>g</w:t>
            </w:r>
          </w:p>
        </w:tc>
        <w:tc>
          <w:tcPr>
            <w:tcW w:w="700" w:type="pct"/>
            <w:vAlign w:val="center"/>
          </w:tcPr>
          <w:p w14:paraId="2857932F" w14:textId="60E9310C" w:rsidR="0083219E" w:rsidRPr="0098262F" w:rsidRDefault="001E0F2C" w:rsidP="005F3FB7">
            <w:pPr>
              <w:pStyle w:val="TableText"/>
              <w:jc w:val="center"/>
            </w:pPr>
            <w:r>
              <w:t>75 mg</w:t>
            </w:r>
          </w:p>
        </w:tc>
        <w:tc>
          <w:tcPr>
            <w:tcW w:w="648" w:type="pct"/>
            <w:vAlign w:val="center"/>
          </w:tcPr>
          <w:p w14:paraId="42B64791" w14:textId="70515044" w:rsidR="0083219E" w:rsidRPr="0098262F" w:rsidRDefault="00F52239" w:rsidP="005F3FB7">
            <w:pPr>
              <w:pStyle w:val="TableText"/>
              <w:jc w:val="center"/>
            </w:pPr>
            <w:r>
              <w:t>352</w:t>
            </w:r>
            <w:r w:rsidR="00913AA9">
              <w:t xml:space="preserve"> mg</w:t>
            </w:r>
          </w:p>
        </w:tc>
      </w:tr>
      <w:tr w:rsidR="00310598" w:rsidRPr="0098262F" w14:paraId="267F0EED" w14:textId="77777777" w:rsidTr="009218AC">
        <w:tc>
          <w:tcPr>
            <w:tcW w:w="925" w:type="pct"/>
            <w:vAlign w:val="center"/>
          </w:tcPr>
          <w:p w14:paraId="06A3EBF2" w14:textId="09466553" w:rsidR="0083219E" w:rsidRPr="0098262F" w:rsidRDefault="0083219E" w:rsidP="005F3FB7">
            <w:pPr>
              <w:pStyle w:val="TableText"/>
              <w:jc w:val="center"/>
            </w:pPr>
            <w:r w:rsidRPr="00B17B55">
              <w:t>4</w:t>
            </w:r>
            <w:r w:rsidR="0027537A">
              <w:t xml:space="preserve"> </w:t>
            </w:r>
            <w:r w:rsidRPr="00B17B55">
              <w:t>mg</w:t>
            </w:r>
          </w:p>
        </w:tc>
        <w:tc>
          <w:tcPr>
            <w:tcW w:w="1001" w:type="pct"/>
            <w:vAlign w:val="center"/>
          </w:tcPr>
          <w:p w14:paraId="599F5B69" w14:textId="5524F615" w:rsidR="0083219E" w:rsidRPr="0098262F" w:rsidRDefault="00AE3D92" w:rsidP="005F3FB7">
            <w:pPr>
              <w:pStyle w:val="TableText"/>
              <w:jc w:val="center"/>
            </w:pPr>
            <w:r w:rsidRPr="005F3FB7">
              <w:t>100</w:t>
            </w:r>
            <w:r w:rsidR="00FE3EBE">
              <w:t xml:space="preserve"> </w:t>
            </w:r>
            <w:r w:rsidR="001E0F2C" w:rsidRPr="005F3FB7">
              <w:t>mg</w:t>
            </w:r>
          </w:p>
        </w:tc>
        <w:tc>
          <w:tcPr>
            <w:tcW w:w="1130" w:type="pct"/>
            <w:vAlign w:val="center"/>
          </w:tcPr>
          <w:p w14:paraId="685E3408" w14:textId="11E7FC71" w:rsidR="00AE3D92" w:rsidRPr="00B17B55" w:rsidRDefault="00AE3D92" w:rsidP="005F3FB7">
            <w:pPr>
              <w:pStyle w:val="TableText"/>
              <w:jc w:val="center"/>
            </w:pPr>
            <w:r w:rsidRPr="005F3FB7" w:rsidDel="00DF0FB9">
              <w:t>100</w:t>
            </w:r>
            <w:r w:rsidR="00FE3EBE" w:rsidDel="00DF0FB9">
              <w:t xml:space="preserve"> </w:t>
            </w:r>
            <w:r w:rsidRPr="005F3FB7" w:rsidDel="00DF0FB9">
              <w:t xml:space="preserve">mg </w:t>
            </w:r>
          </w:p>
        </w:tc>
        <w:tc>
          <w:tcPr>
            <w:tcW w:w="596" w:type="pct"/>
            <w:vAlign w:val="center"/>
          </w:tcPr>
          <w:p w14:paraId="7534879A" w14:textId="2D793F58" w:rsidR="001E0F2C" w:rsidRDefault="001E0F2C" w:rsidP="001E0F2C">
            <w:pPr>
              <w:pStyle w:val="TableText"/>
              <w:jc w:val="center"/>
            </w:pPr>
            <w:r>
              <w:t>50 mg</w:t>
            </w:r>
          </w:p>
        </w:tc>
        <w:tc>
          <w:tcPr>
            <w:tcW w:w="700" w:type="pct"/>
            <w:vAlign w:val="center"/>
          </w:tcPr>
          <w:p w14:paraId="1BC0EC11" w14:textId="1DD7E2EB" w:rsidR="0083219E" w:rsidRPr="0098262F" w:rsidRDefault="001E0F2C" w:rsidP="005F3FB7">
            <w:pPr>
              <w:pStyle w:val="TableText"/>
              <w:jc w:val="center"/>
            </w:pPr>
            <w:r>
              <w:t>100 mg</w:t>
            </w:r>
          </w:p>
        </w:tc>
        <w:tc>
          <w:tcPr>
            <w:tcW w:w="648" w:type="pct"/>
            <w:vAlign w:val="center"/>
          </w:tcPr>
          <w:p w14:paraId="532D0923" w14:textId="4ECFA18A" w:rsidR="0083219E" w:rsidRPr="0098262F" w:rsidRDefault="00B71DC6" w:rsidP="005F3FB7">
            <w:pPr>
              <w:pStyle w:val="TableText"/>
              <w:jc w:val="center"/>
            </w:pPr>
            <w:r>
              <w:t>470</w:t>
            </w:r>
            <w:r w:rsidR="00573F9E">
              <w:t xml:space="preserve"> mg</w:t>
            </w:r>
          </w:p>
        </w:tc>
      </w:tr>
      <w:tr w:rsidR="00310598" w:rsidRPr="0098262F" w14:paraId="785E4ED4" w14:textId="77777777" w:rsidTr="009218AC">
        <w:tc>
          <w:tcPr>
            <w:tcW w:w="925" w:type="pct"/>
            <w:vAlign w:val="center"/>
          </w:tcPr>
          <w:p w14:paraId="680BE250" w14:textId="07FD80E8" w:rsidR="0083219E" w:rsidRPr="0098262F" w:rsidRDefault="0083219E" w:rsidP="005F3FB7">
            <w:pPr>
              <w:pStyle w:val="TableText"/>
              <w:jc w:val="center"/>
            </w:pPr>
            <w:r w:rsidRPr="00B17B55">
              <w:t>5</w:t>
            </w:r>
            <w:r w:rsidR="0027537A">
              <w:t xml:space="preserve"> </w:t>
            </w:r>
            <w:r w:rsidRPr="00B17B55">
              <w:t>mg</w:t>
            </w:r>
          </w:p>
        </w:tc>
        <w:tc>
          <w:tcPr>
            <w:tcW w:w="1001" w:type="pct"/>
            <w:vAlign w:val="center"/>
          </w:tcPr>
          <w:p w14:paraId="2AF6025D" w14:textId="5BBB2549" w:rsidR="0083219E" w:rsidRPr="0098262F" w:rsidRDefault="00AE3D92" w:rsidP="005F3FB7">
            <w:pPr>
              <w:pStyle w:val="TableText"/>
              <w:jc w:val="center"/>
            </w:pPr>
            <w:r w:rsidRPr="005F3FB7">
              <w:t>125</w:t>
            </w:r>
            <w:r w:rsidR="00FE3EBE">
              <w:t xml:space="preserve"> </w:t>
            </w:r>
            <w:r w:rsidR="001E0F2C" w:rsidRPr="005F3FB7">
              <w:t>mg</w:t>
            </w:r>
          </w:p>
        </w:tc>
        <w:tc>
          <w:tcPr>
            <w:tcW w:w="1130" w:type="pct"/>
            <w:vAlign w:val="center"/>
          </w:tcPr>
          <w:p w14:paraId="29D50648" w14:textId="3DDECF25" w:rsidR="00AE3D92" w:rsidRPr="0098262F" w:rsidRDefault="002C782C" w:rsidP="005F3FB7">
            <w:pPr>
              <w:pStyle w:val="TableText"/>
              <w:jc w:val="center"/>
            </w:pPr>
            <w:r>
              <w:t>125 mg</w:t>
            </w:r>
          </w:p>
        </w:tc>
        <w:tc>
          <w:tcPr>
            <w:tcW w:w="596" w:type="pct"/>
            <w:vAlign w:val="center"/>
          </w:tcPr>
          <w:p w14:paraId="53BA867C" w14:textId="0EEEB77B" w:rsidR="001E0F2C" w:rsidRDefault="001E0F2C" w:rsidP="001E0F2C">
            <w:pPr>
              <w:pStyle w:val="TableText"/>
              <w:jc w:val="center"/>
            </w:pPr>
            <w:r>
              <w:t>62.5 mg</w:t>
            </w:r>
          </w:p>
        </w:tc>
        <w:tc>
          <w:tcPr>
            <w:tcW w:w="700" w:type="pct"/>
            <w:vAlign w:val="center"/>
          </w:tcPr>
          <w:p w14:paraId="44AB1611" w14:textId="4C9C256C" w:rsidR="0083219E" w:rsidRPr="0098262F" w:rsidRDefault="002C782C" w:rsidP="005F3FB7">
            <w:pPr>
              <w:pStyle w:val="TableText"/>
              <w:jc w:val="center"/>
            </w:pPr>
            <w:r>
              <w:t>125 mg</w:t>
            </w:r>
          </w:p>
        </w:tc>
        <w:tc>
          <w:tcPr>
            <w:tcW w:w="648" w:type="pct"/>
            <w:vAlign w:val="center"/>
          </w:tcPr>
          <w:p w14:paraId="727A63CA" w14:textId="7747EE36" w:rsidR="0083219E" w:rsidRPr="0098262F" w:rsidRDefault="00E654AF" w:rsidP="005F3FB7">
            <w:pPr>
              <w:pStyle w:val="TableText"/>
              <w:jc w:val="center"/>
            </w:pPr>
            <w:r>
              <w:t>587</w:t>
            </w:r>
            <w:r w:rsidR="000C4276">
              <w:t xml:space="preserve"> mg</w:t>
            </w:r>
          </w:p>
        </w:tc>
      </w:tr>
      <w:tr w:rsidR="00310598" w:rsidRPr="0098262F" w14:paraId="5F3E4674" w14:textId="77777777" w:rsidTr="009218AC">
        <w:tc>
          <w:tcPr>
            <w:tcW w:w="925" w:type="pct"/>
            <w:vAlign w:val="center"/>
          </w:tcPr>
          <w:p w14:paraId="7BECCA6A" w14:textId="16603737" w:rsidR="0083219E" w:rsidRPr="0098262F" w:rsidRDefault="0083219E" w:rsidP="005F3FB7">
            <w:pPr>
              <w:pStyle w:val="TableText"/>
              <w:jc w:val="center"/>
            </w:pPr>
            <w:r w:rsidRPr="00B17B55">
              <w:t>6</w:t>
            </w:r>
            <w:r w:rsidR="0027537A">
              <w:t xml:space="preserve"> </w:t>
            </w:r>
            <w:r w:rsidRPr="00B17B55">
              <w:t>mg</w:t>
            </w:r>
          </w:p>
        </w:tc>
        <w:tc>
          <w:tcPr>
            <w:tcW w:w="1001" w:type="pct"/>
            <w:vAlign w:val="center"/>
          </w:tcPr>
          <w:p w14:paraId="461E3EF1" w14:textId="35924DDE" w:rsidR="0083219E" w:rsidRPr="0098262F" w:rsidRDefault="005503E3" w:rsidP="005F3FB7">
            <w:pPr>
              <w:pStyle w:val="TableText"/>
              <w:jc w:val="center"/>
            </w:pPr>
            <w:r w:rsidDel="00E11D5B">
              <w:t>150 mg</w:t>
            </w:r>
          </w:p>
        </w:tc>
        <w:tc>
          <w:tcPr>
            <w:tcW w:w="1130" w:type="pct"/>
            <w:vAlign w:val="center"/>
          </w:tcPr>
          <w:p w14:paraId="57828AD0" w14:textId="27BDA492" w:rsidR="00AE3D92" w:rsidRPr="00B17B55" w:rsidRDefault="00E654AF" w:rsidP="005F3FB7">
            <w:pPr>
              <w:pStyle w:val="TableText"/>
              <w:jc w:val="center"/>
            </w:pPr>
            <w:r>
              <w:t>150 mg</w:t>
            </w:r>
          </w:p>
        </w:tc>
        <w:tc>
          <w:tcPr>
            <w:tcW w:w="596" w:type="pct"/>
            <w:vAlign w:val="center"/>
          </w:tcPr>
          <w:p w14:paraId="3300E4E2" w14:textId="77019597" w:rsidR="001E0F2C" w:rsidRDefault="001E0F2C" w:rsidP="001E0F2C">
            <w:pPr>
              <w:pStyle w:val="TableText"/>
              <w:jc w:val="center"/>
            </w:pPr>
            <w:r>
              <w:t>75 mg</w:t>
            </w:r>
          </w:p>
        </w:tc>
        <w:tc>
          <w:tcPr>
            <w:tcW w:w="700" w:type="pct"/>
            <w:vAlign w:val="center"/>
          </w:tcPr>
          <w:p w14:paraId="62F4C3EE" w14:textId="0BDDA67C" w:rsidR="0083219E" w:rsidRPr="0098262F" w:rsidRDefault="00AE3D92" w:rsidP="005F3FB7">
            <w:pPr>
              <w:pStyle w:val="TableText"/>
              <w:jc w:val="center"/>
            </w:pPr>
            <w:r w:rsidRPr="005F3FB7" w:rsidDel="00DF0FB9">
              <w:t>150</w:t>
            </w:r>
            <w:r w:rsidR="00FE3EBE" w:rsidDel="00DF0FB9">
              <w:t xml:space="preserve"> </w:t>
            </w:r>
            <w:r w:rsidRPr="005F3FB7" w:rsidDel="00DF0FB9">
              <w:t>mg</w:t>
            </w:r>
          </w:p>
        </w:tc>
        <w:tc>
          <w:tcPr>
            <w:tcW w:w="648" w:type="pct"/>
            <w:vAlign w:val="center"/>
          </w:tcPr>
          <w:p w14:paraId="630D7752" w14:textId="7C0D92AD" w:rsidR="0083219E" w:rsidRPr="0098262F" w:rsidRDefault="009A4446" w:rsidP="005F3FB7">
            <w:pPr>
              <w:pStyle w:val="TableText"/>
              <w:jc w:val="center"/>
            </w:pPr>
            <w:r>
              <w:t>705 mg</w:t>
            </w:r>
          </w:p>
        </w:tc>
      </w:tr>
    </w:tbl>
    <w:p w14:paraId="7481B2E2" w14:textId="5C34D82A" w:rsidR="004E095A" w:rsidRDefault="00106951" w:rsidP="0083219E">
      <w:pPr>
        <w:pStyle w:val="TableFigureFooter"/>
        <w:rPr>
          <w:lang w:val="en-GB"/>
        </w:rPr>
      </w:pPr>
      <w:r>
        <w:rPr>
          <w:lang w:val="en-GB"/>
        </w:rPr>
        <w:t>A1M = Aripiprazole once</w:t>
      </w:r>
      <w:r w:rsidR="002D15C9">
        <w:rPr>
          <w:lang w:val="en-GB"/>
        </w:rPr>
        <w:noBreakHyphen/>
      </w:r>
      <w:r>
        <w:rPr>
          <w:lang w:val="en-GB"/>
        </w:rPr>
        <w:t>monthly</w:t>
      </w:r>
      <w:r w:rsidR="009E3F62">
        <w:rPr>
          <w:lang w:val="en-GB"/>
        </w:rPr>
        <w:t xml:space="preserve"> intramuscular injection</w:t>
      </w:r>
      <w:r w:rsidR="0067113E">
        <w:rPr>
          <w:lang w:val="en-GB"/>
        </w:rPr>
        <w:t>; MRSC</w:t>
      </w:r>
      <w:r w:rsidR="006B2035">
        <w:rPr>
          <w:lang w:val="en-GB"/>
        </w:rPr>
        <w:t xml:space="preserve"> = </w:t>
      </w:r>
      <w:r w:rsidR="006B2035" w:rsidRPr="006B2035">
        <w:rPr>
          <w:lang w:val="en-GB"/>
        </w:rPr>
        <w:t xml:space="preserve">modified release subcutaneous </w:t>
      </w:r>
      <w:r w:rsidR="006B2035">
        <w:rPr>
          <w:lang w:val="en-GB"/>
        </w:rPr>
        <w:t xml:space="preserve">injection; </w:t>
      </w:r>
      <w:r w:rsidR="0067113E">
        <w:rPr>
          <w:lang w:val="en-GB"/>
        </w:rPr>
        <w:t xml:space="preserve">PP1M = </w:t>
      </w:r>
      <w:r w:rsidR="0067113E" w:rsidRPr="0067113E">
        <w:rPr>
          <w:lang w:val="en-GB"/>
        </w:rPr>
        <w:t>paliperidone once</w:t>
      </w:r>
      <w:r w:rsidR="002D15C9">
        <w:rPr>
          <w:lang w:val="en-GB"/>
        </w:rPr>
        <w:noBreakHyphen/>
      </w:r>
      <w:r w:rsidR="0067113E" w:rsidRPr="0067113E">
        <w:rPr>
          <w:lang w:val="en-GB"/>
        </w:rPr>
        <w:t>monthly intramuscular injection</w:t>
      </w:r>
      <w:r w:rsidR="0067113E">
        <w:rPr>
          <w:lang w:val="en-GB"/>
        </w:rPr>
        <w:t xml:space="preserve">; </w:t>
      </w:r>
      <w:r w:rsidR="0067113E" w:rsidRPr="0067113E">
        <w:rPr>
          <w:lang w:val="en-GB"/>
        </w:rPr>
        <w:t>R2WIM = risperidone 2</w:t>
      </w:r>
      <w:r w:rsidR="002D15C9">
        <w:rPr>
          <w:lang w:val="en-GB"/>
        </w:rPr>
        <w:noBreakHyphen/>
      </w:r>
      <w:r w:rsidR="0067113E" w:rsidRPr="0067113E">
        <w:rPr>
          <w:lang w:val="en-GB"/>
        </w:rPr>
        <w:t>weekly intramuscular injection</w:t>
      </w:r>
      <w:r w:rsidR="0067113E">
        <w:rPr>
          <w:lang w:val="en-GB"/>
        </w:rPr>
        <w:t xml:space="preserve">; R4WIM = </w:t>
      </w:r>
      <w:r w:rsidR="0067113E" w:rsidRPr="0067113E">
        <w:rPr>
          <w:lang w:val="en-GB"/>
        </w:rPr>
        <w:t xml:space="preserve">risperidone </w:t>
      </w:r>
      <w:r w:rsidR="0067113E">
        <w:rPr>
          <w:lang w:val="en-GB"/>
        </w:rPr>
        <w:t>4</w:t>
      </w:r>
      <w:r w:rsidR="002D15C9">
        <w:rPr>
          <w:lang w:val="en-GB"/>
        </w:rPr>
        <w:noBreakHyphen/>
      </w:r>
      <w:r w:rsidR="0067113E" w:rsidRPr="0067113E">
        <w:rPr>
          <w:lang w:val="en-GB"/>
        </w:rPr>
        <w:t>weekly intramuscular injection</w:t>
      </w:r>
    </w:p>
    <w:p w14:paraId="3E2A24A1" w14:textId="43C52019" w:rsidR="00305501" w:rsidRDefault="00104B59" w:rsidP="00305501">
      <w:pPr>
        <w:pStyle w:val="TableFigureFooter"/>
        <w:rPr>
          <w:lang w:val="en-GB"/>
        </w:rPr>
      </w:pPr>
      <w:r w:rsidRPr="001C1A5C">
        <w:rPr>
          <w:vertAlign w:val="superscript"/>
          <w:lang w:val="en-GB"/>
        </w:rPr>
        <w:t>a</w:t>
      </w:r>
      <w:r w:rsidR="00305501">
        <w:rPr>
          <w:lang w:val="en-GB"/>
        </w:rPr>
        <w:t xml:space="preserve"> TGA P</w:t>
      </w:r>
      <w:r w:rsidR="001C1A5C">
        <w:rPr>
          <w:lang w:val="en-GB"/>
        </w:rPr>
        <w:t>roduct Information</w:t>
      </w:r>
    </w:p>
    <w:p w14:paraId="75D62B6A" w14:textId="1B6CE9ED" w:rsidR="00CC44F4" w:rsidRPr="00CC44F4" w:rsidRDefault="001C1A5C" w:rsidP="00CC44F4">
      <w:pPr>
        <w:pStyle w:val="TableFigureFooter"/>
        <w:rPr>
          <w:lang w:val="en-GB"/>
        </w:rPr>
      </w:pPr>
      <w:r w:rsidRPr="001C1A5C">
        <w:rPr>
          <w:vertAlign w:val="superscript"/>
          <w:lang w:val="en-GB"/>
        </w:rPr>
        <w:t>b</w:t>
      </w:r>
      <w:r w:rsidR="00305501">
        <w:rPr>
          <w:lang w:val="en-GB"/>
        </w:rPr>
        <w:t xml:space="preserve"> </w:t>
      </w:r>
      <w:r w:rsidR="00CC44F4">
        <w:rPr>
          <w:lang w:val="en-GB"/>
        </w:rPr>
        <w:t>risp</w:t>
      </w:r>
      <w:r w:rsidR="0051797A">
        <w:rPr>
          <w:lang w:val="en-GB"/>
        </w:rPr>
        <w:t>eridone</w:t>
      </w:r>
      <w:r w:rsidR="003D65C9">
        <w:rPr>
          <w:lang w:val="en-GB"/>
        </w:rPr>
        <w:t xml:space="preserve"> PSD,</w:t>
      </w:r>
      <w:r w:rsidR="00CC44F4">
        <w:rPr>
          <w:lang w:val="en-GB"/>
        </w:rPr>
        <w:t xml:space="preserve"> March 2</w:t>
      </w:r>
      <w:r w:rsidR="003D65C9">
        <w:rPr>
          <w:lang w:val="en-GB"/>
        </w:rPr>
        <w:t>02</w:t>
      </w:r>
      <w:r w:rsidR="00CC44F4">
        <w:rPr>
          <w:lang w:val="en-GB"/>
        </w:rPr>
        <w:t>4</w:t>
      </w:r>
    </w:p>
    <w:p w14:paraId="67896DBF" w14:textId="07A59465" w:rsidR="001C1A5C" w:rsidRPr="001C1A5C" w:rsidRDefault="001C1A5C" w:rsidP="001C1A5C">
      <w:pPr>
        <w:pStyle w:val="TableFigureFooter"/>
        <w:rPr>
          <w:lang w:val="en-GB"/>
        </w:rPr>
      </w:pPr>
      <w:r w:rsidRPr="001C1A5C">
        <w:rPr>
          <w:vertAlign w:val="superscript"/>
          <w:lang w:val="en-GB"/>
        </w:rPr>
        <w:t>c</w:t>
      </w:r>
      <w:r>
        <w:rPr>
          <w:lang w:val="en-GB"/>
        </w:rPr>
        <w:t xml:space="preserve"> </w:t>
      </w:r>
      <w:r w:rsidR="003D65C9">
        <w:rPr>
          <w:lang w:val="en-GB"/>
        </w:rPr>
        <w:t>aripiprazole PSD,</w:t>
      </w:r>
      <w:r>
        <w:rPr>
          <w:lang w:val="en-GB"/>
        </w:rPr>
        <w:t xml:space="preserve"> July 2014</w:t>
      </w:r>
    </w:p>
    <w:p w14:paraId="122DCB71" w14:textId="6A46E96C" w:rsidR="008F5580" w:rsidRDefault="00811E1B" w:rsidP="00E95F39">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advised that MRSC risperidone</w:t>
      </w:r>
      <w:r w:rsidR="001C2AE5">
        <w:rPr>
          <w:rFonts w:asciiTheme="minorHAnsi" w:hAnsiTheme="minorHAnsi"/>
          <w:snapToGrid w:val="0"/>
          <w:lang w:val="en-GB"/>
        </w:rPr>
        <w:t xml:space="preserve"> is non</w:t>
      </w:r>
      <w:r w:rsidR="002D15C9">
        <w:rPr>
          <w:rFonts w:asciiTheme="minorHAnsi" w:hAnsiTheme="minorHAnsi"/>
          <w:snapToGrid w:val="0"/>
          <w:lang w:val="en-GB"/>
        </w:rPr>
        <w:noBreakHyphen/>
      </w:r>
      <w:r w:rsidR="001C2AE5">
        <w:rPr>
          <w:rFonts w:asciiTheme="minorHAnsi" w:hAnsiTheme="minorHAnsi"/>
          <w:snapToGrid w:val="0"/>
          <w:lang w:val="en-GB"/>
        </w:rPr>
        <w:t xml:space="preserve">inferior in comparative effectiveness to PP1M and A1M for </w:t>
      </w:r>
      <w:r w:rsidR="008160D8">
        <w:rPr>
          <w:rFonts w:asciiTheme="minorHAnsi" w:hAnsiTheme="minorHAnsi"/>
          <w:snapToGrid w:val="0"/>
          <w:lang w:val="en-GB"/>
        </w:rPr>
        <w:t>relapse prevention in adults with schizophrenia. The PBAC noted that</w:t>
      </w:r>
      <w:r w:rsidR="00EA2086" w:rsidRPr="00EA2086">
        <w:t xml:space="preserve"> </w:t>
      </w:r>
      <w:r w:rsidR="00EA2086" w:rsidRPr="00EA2086">
        <w:rPr>
          <w:rFonts w:asciiTheme="minorHAnsi" w:hAnsiTheme="minorHAnsi"/>
          <w:snapToGrid w:val="0"/>
          <w:lang w:val="en-GB"/>
        </w:rPr>
        <w:t xml:space="preserve">MRSC risperidone, PP1M and A1M were each superior to placebo in maintenance trials, and by indirect comparative analyses </w:t>
      </w:r>
      <w:r w:rsidR="00EA2086">
        <w:rPr>
          <w:rFonts w:asciiTheme="minorHAnsi" w:hAnsiTheme="minorHAnsi"/>
          <w:snapToGrid w:val="0"/>
          <w:lang w:val="en-GB"/>
        </w:rPr>
        <w:t>against placebo</w:t>
      </w:r>
      <w:r w:rsidR="00F82CA3">
        <w:rPr>
          <w:rFonts w:asciiTheme="minorHAnsi" w:hAnsiTheme="minorHAnsi"/>
          <w:snapToGrid w:val="0"/>
          <w:lang w:val="en-GB"/>
        </w:rPr>
        <w:t>, which the PBAC considered appropriate for assessing non</w:t>
      </w:r>
      <w:r w:rsidR="002D15C9">
        <w:rPr>
          <w:rFonts w:asciiTheme="minorHAnsi" w:hAnsiTheme="minorHAnsi"/>
          <w:snapToGrid w:val="0"/>
          <w:lang w:val="en-GB"/>
        </w:rPr>
        <w:noBreakHyphen/>
      </w:r>
      <w:r w:rsidR="00F82CA3">
        <w:rPr>
          <w:rFonts w:asciiTheme="minorHAnsi" w:hAnsiTheme="minorHAnsi"/>
          <w:snapToGrid w:val="0"/>
          <w:lang w:val="en-GB"/>
        </w:rPr>
        <w:t>inferiority in the absence of direct head</w:t>
      </w:r>
      <w:r w:rsidR="002D15C9">
        <w:rPr>
          <w:rFonts w:asciiTheme="minorHAnsi" w:hAnsiTheme="minorHAnsi"/>
          <w:snapToGrid w:val="0"/>
          <w:lang w:val="en-GB"/>
        </w:rPr>
        <w:noBreakHyphen/>
      </w:r>
      <w:r w:rsidR="00F82CA3">
        <w:rPr>
          <w:rFonts w:asciiTheme="minorHAnsi" w:hAnsiTheme="minorHAnsi"/>
          <w:snapToGrid w:val="0"/>
          <w:lang w:val="en-GB"/>
        </w:rPr>
        <w:t>to</w:t>
      </w:r>
      <w:r w:rsidR="002D15C9">
        <w:rPr>
          <w:rFonts w:asciiTheme="minorHAnsi" w:hAnsiTheme="minorHAnsi"/>
          <w:snapToGrid w:val="0"/>
          <w:lang w:val="en-GB"/>
        </w:rPr>
        <w:noBreakHyphen/>
      </w:r>
      <w:r w:rsidR="00F82CA3">
        <w:rPr>
          <w:rFonts w:asciiTheme="minorHAnsi" w:hAnsiTheme="minorHAnsi"/>
          <w:snapToGrid w:val="0"/>
          <w:lang w:val="en-GB"/>
        </w:rPr>
        <w:t>head evidence.</w:t>
      </w:r>
      <w:r w:rsidR="003153B5">
        <w:rPr>
          <w:rFonts w:asciiTheme="minorHAnsi" w:hAnsiTheme="minorHAnsi"/>
          <w:snapToGrid w:val="0"/>
          <w:lang w:val="en-GB"/>
        </w:rPr>
        <w:t xml:space="preserve"> </w:t>
      </w:r>
      <w:r w:rsidR="00691F84">
        <w:rPr>
          <w:rFonts w:asciiTheme="minorHAnsi" w:hAnsiTheme="minorHAnsi"/>
          <w:snapToGrid w:val="0"/>
          <w:lang w:val="en-GB"/>
        </w:rPr>
        <w:t>Limitations</w:t>
      </w:r>
      <w:r w:rsidR="00936269">
        <w:rPr>
          <w:rFonts w:asciiTheme="minorHAnsi" w:hAnsiTheme="minorHAnsi"/>
          <w:snapToGrid w:val="0"/>
          <w:lang w:val="en-GB"/>
        </w:rPr>
        <w:t xml:space="preserve"> affecting transitivity across the tr</w:t>
      </w:r>
      <w:r w:rsidR="003153B5">
        <w:rPr>
          <w:rFonts w:asciiTheme="minorHAnsi" w:hAnsiTheme="minorHAnsi"/>
          <w:snapToGrid w:val="0"/>
          <w:lang w:val="en-GB"/>
        </w:rPr>
        <w:t>ials which included</w:t>
      </w:r>
      <w:r w:rsidR="00936269">
        <w:rPr>
          <w:rFonts w:asciiTheme="minorHAnsi" w:hAnsiTheme="minorHAnsi"/>
          <w:snapToGrid w:val="0"/>
          <w:lang w:val="en-GB"/>
        </w:rPr>
        <w:t xml:space="preserve"> differences in stabilisation and run</w:t>
      </w:r>
      <w:r w:rsidR="002D15C9">
        <w:rPr>
          <w:rFonts w:asciiTheme="minorHAnsi" w:hAnsiTheme="minorHAnsi"/>
          <w:snapToGrid w:val="0"/>
          <w:lang w:val="en-GB"/>
        </w:rPr>
        <w:noBreakHyphen/>
      </w:r>
      <w:r w:rsidR="00936269">
        <w:rPr>
          <w:rFonts w:asciiTheme="minorHAnsi" w:hAnsiTheme="minorHAnsi"/>
          <w:snapToGrid w:val="0"/>
          <w:lang w:val="en-GB"/>
        </w:rPr>
        <w:t>in procedures, baseline symptom severity, relapse definitions, and notably lower placebo relapse rates in the RISE study</w:t>
      </w:r>
      <w:r w:rsidR="00691F84">
        <w:rPr>
          <w:rFonts w:asciiTheme="minorHAnsi" w:hAnsiTheme="minorHAnsi"/>
          <w:snapToGrid w:val="0"/>
          <w:lang w:val="en-GB"/>
        </w:rPr>
        <w:t>, were acknowledged by the PBAC</w:t>
      </w:r>
      <w:r w:rsidR="00C25064">
        <w:rPr>
          <w:rFonts w:asciiTheme="minorHAnsi" w:hAnsiTheme="minorHAnsi"/>
          <w:snapToGrid w:val="0"/>
          <w:lang w:val="en-GB"/>
        </w:rPr>
        <w:t xml:space="preserve">. </w:t>
      </w:r>
      <w:r w:rsidR="00045A5E">
        <w:rPr>
          <w:rFonts w:asciiTheme="minorHAnsi" w:hAnsiTheme="minorHAnsi"/>
          <w:snapToGrid w:val="0"/>
          <w:lang w:val="en-GB"/>
        </w:rPr>
        <w:t>However</w:t>
      </w:r>
      <w:r w:rsidR="00C25064">
        <w:rPr>
          <w:rFonts w:asciiTheme="minorHAnsi" w:hAnsiTheme="minorHAnsi"/>
          <w:snapToGrid w:val="0"/>
          <w:lang w:val="en-GB"/>
        </w:rPr>
        <w:t xml:space="preserve">, these limitations were deemed </w:t>
      </w:r>
      <w:r w:rsidR="00045A5E" w:rsidRPr="00045A5E">
        <w:rPr>
          <w:rFonts w:asciiTheme="minorHAnsi" w:hAnsiTheme="minorHAnsi"/>
          <w:snapToGrid w:val="0"/>
          <w:lang w:val="en-GB"/>
        </w:rPr>
        <w:t>insufficient to undermine the overall interpretation of comparative effectiveness.</w:t>
      </w:r>
      <w:r w:rsidR="00045A5E">
        <w:rPr>
          <w:rFonts w:asciiTheme="minorHAnsi" w:hAnsiTheme="minorHAnsi"/>
          <w:snapToGrid w:val="0"/>
          <w:lang w:val="en-GB"/>
        </w:rPr>
        <w:t xml:space="preserve"> </w:t>
      </w:r>
      <w:r w:rsidR="00045A5E" w:rsidRPr="00045A5E">
        <w:rPr>
          <w:rFonts w:asciiTheme="minorHAnsi" w:hAnsiTheme="minorHAnsi"/>
          <w:snapToGrid w:val="0"/>
          <w:lang w:val="en-GB"/>
        </w:rPr>
        <w:t>In particular, the PBAC accepted that the direction and magnitude of treatment effects versus placebo were broadly consistent across trials and considered that the application of a 20% non</w:t>
      </w:r>
      <w:r w:rsidR="00045A5E" w:rsidRPr="00045A5E">
        <w:rPr>
          <w:rFonts w:ascii="Cambria Math" w:hAnsi="Cambria Math" w:cs="Cambria Math"/>
          <w:snapToGrid w:val="0"/>
          <w:lang w:val="en-GB"/>
        </w:rPr>
        <w:t>‑</w:t>
      </w:r>
      <w:r w:rsidR="00045A5E" w:rsidRPr="00045A5E">
        <w:rPr>
          <w:rFonts w:asciiTheme="minorHAnsi" w:hAnsiTheme="minorHAnsi"/>
          <w:snapToGrid w:val="0"/>
          <w:lang w:val="en-GB"/>
        </w:rPr>
        <w:t xml:space="preserve">inferiority margin for direct comparisons, and a more conservative margin of 11.5% for indirect comparisons, was appropriate. </w:t>
      </w:r>
    </w:p>
    <w:p w14:paraId="477A0E3F" w14:textId="07C04AAE" w:rsidR="00EA5D70" w:rsidRDefault="00EA5D70" w:rsidP="00E95F39">
      <w:pPr>
        <w:widowControl w:val="0"/>
        <w:numPr>
          <w:ilvl w:val="1"/>
          <w:numId w:val="1"/>
        </w:numPr>
        <w:spacing w:after="120"/>
        <w:rPr>
          <w:rFonts w:asciiTheme="minorHAnsi" w:hAnsiTheme="minorHAnsi"/>
          <w:snapToGrid w:val="0"/>
          <w:lang w:val="en-GB"/>
        </w:rPr>
      </w:pPr>
      <w:r w:rsidRPr="00EA5D70">
        <w:rPr>
          <w:rFonts w:asciiTheme="minorHAnsi" w:hAnsiTheme="minorHAnsi"/>
          <w:snapToGrid w:val="0"/>
          <w:lang w:val="en-GB"/>
        </w:rPr>
        <w:t xml:space="preserve">The PBAC noted that the adverse event profile of MRSC risperidone was consistent with the known safety profile of </w:t>
      </w:r>
      <w:r w:rsidR="00E16EA9">
        <w:rPr>
          <w:rFonts w:asciiTheme="minorHAnsi" w:hAnsiTheme="minorHAnsi"/>
          <w:snapToGrid w:val="0"/>
          <w:lang w:val="en-GB"/>
        </w:rPr>
        <w:t>PP1M</w:t>
      </w:r>
      <w:r w:rsidRPr="00EA5D70">
        <w:rPr>
          <w:rFonts w:asciiTheme="minorHAnsi" w:hAnsiTheme="minorHAnsi"/>
          <w:snapToGrid w:val="0"/>
          <w:lang w:val="en-GB"/>
        </w:rPr>
        <w:t>. The PBAC noted higher rates of treatment</w:t>
      </w:r>
      <w:r w:rsidRPr="00EA5D70">
        <w:rPr>
          <w:rFonts w:ascii="Cambria Math" w:hAnsi="Cambria Math" w:cs="Cambria Math"/>
          <w:snapToGrid w:val="0"/>
          <w:lang w:val="en-GB"/>
        </w:rPr>
        <w:t>‑</w:t>
      </w:r>
      <w:r w:rsidRPr="00EA5D70">
        <w:rPr>
          <w:rFonts w:asciiTheme="minorHAnsi" w:hAnsiTheme="minorHAnsi"/>
          <w:snapToGrid w:val="0"/>
          <w:lang w:val="en-GB"/>
        </w:rPr>
        <w:t>emergent adverse events leading to withdrawal and prolactin</w:t>
      </w:r>
      <w:r w:rsidRPr="00EA5D70">
        <w:rPr>
          <w:rFonts w:ascii="Cambria Math" w:hAnsi="Cambria Math" w:cs="Cambria Math"/>
          <w:snapToGrid w:val="0"/>
          <w:lang w:val="en-GB"/>
        </w:rPr>
        <w:t>‑</w:t>
      </w:r>
      <w:r w:rsidRPr="00EA5D70">
        <w:rPr>
          <w:rFonts w:asciiTheme="minorHAnsi" w:hAnsiTheme="minorHAnsi"/>
          <w:snapToGrid w:val="0"/>
          <w:lang w:val="en-GB"/>
        </w:rPr>
        <w:t xml:space="preserve">related events in indirect comparisons with </w:t>
      </w:r>
      <w:r w:rsidR="00E56A5D">
        <w:rPr>
          <w:rFonts w:asciiTheme="minorHAnsi" w:hAnsiTheme="minorHAnsi"/>
          <w:snapToGrid w:val="0"/>
          <w:lang w:val="en-GB"/>
        </w:rPr>
        <w:t>A1M</w:t>
      </w:r>
      <w:r w:rsidR="00E56A5D" w:rsidRPr="00EA5D70">
        <w:rPr>
          <w:rFonts w:asciiTheme="minorHAnsi" w:hAnsiTheme="minorHAnsi"/>
          <w:snapToGrid w:val="0"/>
          <w:lang w:val="en-GB"/>
        </w:rPr>
        <w:t xml:space="preserve"> but</w:t>
      </w:r>
      <w:r w:rsidRPr="00EA5D70">
        <w:rPr>
          <w:rFonts w:asciiTheme="minorHAnsi" w:hAnsiTheme="minorHAnsi"/>
          <w:snapToGrid w:val="0"/>
          <w:lang w:val="en-GB"/>
        </w:rPr>
        <w:t xml:space="preserve"> considered these findings consistent </w:t>
      </w:r>
      <w:r w:rsidRPr="00EA5D70">
        <w:rPr>
          <w:rFonts w:asciiTheme="minorHAnsi" w:hAnsiTheme="minorHAnsi"/>
          <w:snapToGrid w:val="0"/>
          <w:lang w:val="en-GB"/>
        </w:rPr>
        <w:lastRenderedPageBreak/>
        <w:t>with recognised class effects and influenced by differences in trial design and run</w:t>
      </w:r>
      <w:r w:rsidRPr="00EA5D70">
        <w:rPr>
          <w:rFonts w:ascii="Cambria Math" w:hAnsi="Cambria Math" w:cs="Cambria Math"/>
          <w:snapToGrid w:val="0"/>
          <w:lang w:val="en-GB"/>
        </w:rPr>
        <w:t>‑</w:t>
      </w:r>
      <w:r w:rsidRPr="00EA5D70">
        <w:rPr>
          <w:rFonts w:asciiTheme="minorHAnsi" w:hAnsiTheme="minorHAnsi"/>
          <w:snapToGrid w:val="0"/>
          <w:lang w:val="en-GB"/>
        </w:rPr>
        <w:t>in phases. The PBAC noted that no unexpected safety signals were identified and considered that, overall, the evidence supported a conclusion of non</w:t>
      </w:r>
      <w:r w:rsidRPr="00EA5D70">
        <w:rPr>
          <w:rFonts w:ascii="Cambria Math" w:hAnsi="Cambria Math" w:cs="Cambria Math"/>
          <w:snapToGrid w:val="0"/>
          <w:lang w:val="en-GB"/>
        </w:rPr>
        <w:t>‑</w:t>
      </w:r>
      <w:r w:rsidRPr="00EA5D70">
        <w:rPr>
          <w:rFonts w:asciiTheme="minorHAnsi" w:hAnsiTheme="minorHAnsi"/>
          <w:snapToGrid w:val="0"/>
          <w:lang w:val="en-GB"/>
        </w:rPr>
        <w:t xml:space="preserve">inferior comparative safety relative to </w:t>
      </w:r>
      <w:r w:rsidR="00E16EA9">
        <w:rPr>
          <w:rFonts w:asciiTheme="minorHAnsi" w:hAnsiTheme="minorHAnsi"/>
          <w:snapToGrid w:val="0"/>
          <w:lang w:val="en-GB"/>
        </w:rPr>
        <w:t>PP1M and A1M</w:t>
      </w:r>
      <w:r w:rsidRPr="00EA5D70">
        <w:rPr>
          <w:rFonts w:asciiTheme="minorHAnsi" w:hAnsiTheme="minorHAnsi"/>
          <w:snapToGrid w:val="0"/>
          <w:lang w:val="en-GB"/>
        </w:rPr>
        <w:t>.</w:t>
      </w:r>
    </w:p>
    <w:p w14:paraId="40B2FAE6" w14:textId="6AD13076" w:rsidR="007E0103" w:rsidRDefault="007E0103" w:rsidP="007E01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Overall, t</w:t>
      </w:r>
      <w:r w:rsidRPr="00DC2F98">
        <w:rPr>
          <w:rFonts w:asciiTheme="minorHAnsi" w:hAnsiTheme="minorHAnsi"/>
          <w:snapToGrid w:val="0"/>
          <w:lang w:val="en-GB"/>
        </w:rPr>
        <w:t>he PBAC</w:t>
      </w:r>
      <w:r>
        <w:rPr>
          <w:rFonts w:asciiTheme="minorHAnsi" w:hAnsiTheme="minorHAnsi"/>
          <w:snapToGrid w:val="0"/>
          <w:lang w:val="en-GB"/>
        </w:rPr>
        <w:t xml:space="preserve"> advised the clinical evidence presented by the submission reasonably demonstrated comparative non</w:t>
      </w:r>
      <w:r w:rsidR="002D15C9">
        <w:rPr>
          <w:rFonts w:asciiTheme="minorHAnsi" w:hAnsiTheme="minorHAnsi"/>
          <w:snapToGrid w:val="0"/>
          <w:lang w:val="en-GB"/>
        </w:rPr>
        <w:noBreakHyphen/>
      </w:r>
      <w:r>
        <w:rPr>
          <w:rFonts w:asciiTheme="minorHAnsi" w:hAnsiTheme="minorHAnsi"/>
          <w:snapToGrid w:val="0"/>
          <w:lang w:val="en-GB"/>
        </w:rPr>
        <w:t>inferior effectiveness and safety, and considered that it was broadly consistent with other LAI trials and sufficiently informative for decision making.</w:t>
      </w:r>
    </w:p>
    <w:bookmarkEnd w:id="58"/>
    <w:p w14:paraId="3A14BE51" w14:textId="6601B725" w:rsidR="00E14E1D" w:rsidRPr="00E14E1D" w:rsidRDefault="00E14E1D">
      <w:pPr>
        <w:widowControl w:val="0"/>
        <w:numPr>
          <w:ilvl w:val="1"/>
          <w:numId w:val="1"/>
        </w:numPr>
        <w:spacing w:after="120"/>
        <w:rPr>
          <w:rFonts w:asciiTheme="minorHAnsi" w:hAnsiTheme="minorHAnsi"/>
          <w:snapToGrid w:val="0"/>
          <w:lang w:val="en-GB"/>
        </w:rPr>
      </w:pPr>
      <w:r w:rsidRPr="00E14E1D">
        <w:rPr>
          <w:snapToGrid w:val="0"/>
          <w:lang w:val="en-GB"/>
        </w:rPr>
        <w:t xml:space="preserve">The PBAC noted that the submission had requested a Special Pricing Arrangement (SPA). The PBAC could not advise the Minister that MRSC risperidone </w:t>
      </w:r>
      <w:r w:rsidR="002B66C3">
        <w:rPr>
          <w:snapToGrid w:val="0"/>
          <w:lang w:val="en-GB"/>
        </w:rPr>
        <w:t xml:space="preserve">generates substantial incremental benefits </w:t>
      </w:r>
      <w:r w:rsidR="002F2E7E">
        <w:rPr>
          <w:snapToGrid w:val="0"/>
          <w:lang w:val="en-GB"/>
        </w:rPr>
        <w:t>for its intended population</w:t>
      </w:r>
      <w:r w:rsidR="00663777">
        <w:rPr>
          <w:snapToGrid w:val="0"/>
          <w:lang w:val="en-GB"/>
        </w:rPr>
        <w:t xml:space="preserve"> (over standard treatment</w:t>
      </w:r>
      <w:r w:rsidR="00CB3352">
        <w:rPr>
          <w:snapToGrid w:val="0"/>
          <w:lang w:val="en-GB"/>
        </w:rPr>
        <w:t>)</w:t>
      </w:r>
      <w:r w:rsidR="00663777">
        <w:rPr>
          <w:snapToGrid w:val="0"/>
          <w:lang w:val="en-GB"/>
        </w:rPr>
        <w:t xml:space="preserve">. </w:t>
      </w:r>
      <w:r w:rsidR="007361D4">
        <w:rPr>
          <w:snapToGrid w:val="0"/>
          <w:lang w:val="en-GB"/>
        </w:rPr>
        <w:t xml:space="preserve">The PBAC advised that </w:t>
      </w:r>
      <w:r w:rsidR="00885902">
        <w:rPr>
          <w:snapToGrid w:val="0"/>
          <w:lang w:val="en-GB"/>
        </w:rPr>
        <w:t xml:space="preserve">the </w:t>
      </w:r>
      <w:r w:rsidRPr="00E14E1D">
        <w:rPr>
          <w:snapToGrid w:val="0"/>
          <w:lang w:val="en-GB"/>
        </w:rPr>
        <w:t>SC route of administration</w:t>
      </w:r>
      <w:r w:rsidR="0095102A">
        <w:rPr>
          <w:snapToGrid w:val="0"/>
          <w:lang w:val="en-GB"/>
        </w:rPr>
        <w:t>,</w:t>
      </w:r>
      <w:r w:rsidR="001933E8">
        <w:rPr>
          <w:snapToGrid w:val="0"/>
          <w:lang w:val="en-GB"/>
        </w:rPr>
        <w:t xml:space="preserve"> which </w:t>
      </w:r>
      <w:r w:rsidR="00C7690E">
        <w:rPr>
          <w:snapToGrid w:val="0"/>
          <w:lang w:val="en-GB"/>
        </w:rPr>
        <w:t>may facilitate</w:t>
      </w:r>
      <w:r w:rsidRPr="00E14E1D">
        <w:rPr>
          <w:snapToGrid w:val="0"/>
          <w:lang w:val="en-GB"/>
        </w:rPr>
        <w:t xml:space="preserve"> improved ease of use</w:t>
      </w:r>
      <w:r w:rsidR="00C7690E">
        <w:rPr>
          <w:snapToGrid w:val="0"/>
          <w:lang w:val="en-GB"/>
        </w:rPr>
        <w:t xml:space="preserve"> and</w:t>
      </w:r>
      <w:r w:rsidRPr="00E14E1D">
        <w:rPr>
          <w:snapToGrid w:val="0"/>
          <w:lang w:val="en-GB"/>
        </w:rPr>
        <w:t xml:space="preserve"> better injection experience, and the potential for future self</w:t>
      </w:r>
      <w:r w:rsidRPr="00E14E1D">
        <w:rPr>
          <w:rFonts w:ascii="Cambria Math" w:hAnsi="Cambria Math" w:cs="Cambria Math"/>
          <w:snapToGrid w:val="0"/>
          <w:lang w:val="en-GB"/>
        </w:rPr>
        <w:t>‑</w:t>
      </w:r>
      <w:r w:rsidRPr="00E14E1D">
        <w:rPr>
          <w:snapToGrid w:val="0"/>
          <w:lang w:val="en-GB"/>
        </w:rPr>
        <w:t>administration</w:t>
      </w:r>
      <w:r w:rsidR="00E61385">
        <w:rPr>
          <w:snapToGrid w:val="0"/>
          <w:lang w:val="en-GB"/>
        </w:rPr>
        <w:t>,</w:t>
      </w:r>
      <w:r w:rsidRPr="00E14E1D">
        <w:rPr>
          <w:snapToGrid w:val="0"/>
          <w:lang w:val="en-GB"/>
        </w:rPr>
        <w:t xml:space="preserve"> </w:t>
      </w:r>
      <w:r w:rsidR="0024027A">
        <w:rPr>
          <w:snapToGrid w:val="0"/>
          <w:lang w:val="en-GB"/>
        </w:rPr>
        <w:t>could be considered unique</w:t>
      </w:r>
      <w:r w:rsidRPr="00E14E1D">
        <w:rPr>
          <w:snapToGrid w:val="0"/>
          <w:lang w:val="en-GB"/>
        </w:rPr>
        <w:t xml:space="preserve"> characteristics </w:t>
      </w:r>
      <w:r w:rsidR="0024027A">
        <w:rPr>
          <w:snapToGrid w:val="0"/>
          <w:lang w:val="en-GB"/>
        </w:rPr>
        <w:t>of</w:t>
      </w:r>
      <w:r w:rsidRPr="00E14E1D">
        <w:rPr>
          <w:snapToGrid w:val="0"/>
          <w:lang w:val="en-GB"/>
        </w:rPr>
        <w:t xml:space="preserve"> MRSC risperidone.</w:t>
      </w:r>
      <w:r w:rsidR="0067690B" w:rsidRPr="0067690B">
        <w:t xml:space="preserve"> </w:t>
      </w:r>
      <w:r w:rsidR="0067690B" w:rsidRPr="0067690B">
        <w:rPr>
          <w:snapToGrid w:val="0"/>
          <w:lang w:val="en-GB"/>
        </w:rPr>
        <w:t xml:space="preserve">However, the PBAC considered that </w:t>
      </w:r>
      <w:r w:rsidR="00504DFD">
        <w:rPr>
          <w:snapToGrid w:val="0"/>
          <w:lang w:val="en-GB"/>
        </w:rPr>
        <w:t>these</w:t>
      </w:r>
      <w:r w:rsidR="0067690B" w:rsidRPr="0067690B">
        <w:rPr>
          <w:snapToGrid w:val="0"/>
          <w:lang w:val="en-GB"/>
        </w:rPr>
        <w:t xml:space="preserve"> difference</w:t>
      </w:r>
      <w:r w:rsidR="00504DFD">
        <w:rPr>
          <w:snapToGrid w:val="0"/>
          <w:lang w:val="en-GB"/>
        </w:rPr>
        <w:t>s</w:t>
      </w:r>
      <w:r w:rsidR="0067690B" w:rsidRPr="0067690B">
        <w:rPr>
          <w:snapToGrid w:val="0"/>
          <w:lang w:val="en-GB"/>
        </w:rPr>
        <w:t xml:space="preserve"> could not be considered </w:t>
      </w:r>
      <w:r w:rsidR="00D9362A">
        <w:rPr>
          <w:snapToGrid w:val="0"/>
          <w:lang w:val="en-GB"/>
        </w:rPr>
        <w:t>substantial</w:t>
      </w:r>
      <w:r w:rsidR="00DE402C">
        <w:rPr>
          <w:snapToGrid w:val="0"/>
          <w:lang w:val="en-GB"/>
        </w:rPr>
        <w:t xml:space="preserve"> relative </w:t>
      </w:r>
      <w:r w:rsidR="001C7E6F">
        <w:rPr>
          <w:snapToGrid w:val="0"/>
          <w:lang w:val="en-GB"/>
        </w:rPr>
        <w:t xml:space="preserve">to </w:t>
      </w:r>
      <w:r w:rsidR="00355C2E">
        <w:rPr>
          <w:snapToGrid w:val="0"/>
          <w:lang w:val="en-GB"/>
        </w:rPr>
        <w:t>IM LAIs for the same indication</w:t>
      </w:r>
      <w:r w:rsidR="0067690B" w:rsidRPr="0067690B">
        <w:rPr>
          <w:snapToGrid w:val="0"/>
          <w:lang w:val="en-GB"/>
        </w:rPr>
        <w:t>, as the submission did not present any evidence that demonstrated a benefit in patient outcomes.</w:t>
      </w:r>
    </w:p>
    <w:p w14:paraId="645CFF3F" w14:textId="2FDA14EC" w:rsidR="00506466" w:rsidRPr="00CF1CDA" w:rsidRDefault="5E55F586" w:rsidP="00E56A5D">
      <w:pPr>
        <w:widowControl w:val="0"/>
        <w:numPr>
          <w:ilvl w:val="1"/>
          <w:numId w:val="1"/>
        </w:numPr>
        <w:rPr>
          <w:rFonts w:asciiTheme="minorHAnsi" w:hAnsiTheme="minorHAnsi"/>
          <w:lang w:val="en-GB"/>
        </w:rPr>
      </w:pPr>
      <w:r w:rsidRPr="45341A54">
        <w:rPr>
          <w:rFonts w:asciiTheme="minorHAnsi" w:hAnsiTheme="minorHAnsi"/>
          <w:snapToGrid w:val="0"/>
          <w:lang w:val="en-GB"/>
        </w:rPr>
        <w:t xml:space="preserve">The PBAC </w:t>
      </w:r>
      <w:r w:rsidR="003602C4">
        <w:rPr>
          <w:rFonts w:asciiTheme="minorHAnsi" w:hAnsiTheme="minorHAnsi"/>
          <w:snapToGrid w:val="0"/>
          <w:lang w:val="en-GB"/>
        </w:rPr>
        <w:t xml:space="preserve">supported the methodology </w:t>
      </w:r>
      <w:r w:rsidR="000D2028">
        <w:rPr>
          <w:rFonts w:asciiTheme="minorHAnsi" w:hAnsiTheme="minorHAnsi"/>
          <w:snapToGrid w:val="0"/>
          <w:lang w:val="en-GB"/>
        </w:rPr>
        <w:t>used to develop</w:t>
      </w:r>
      <w:r w:rsidRPr="45341A54">
        <w:rPr>
          <w:rFonts w:asciiTheme="minorHAnsi" w:hAnsiTheme="minorHAnsi"/>
          <w:snapToGrid w:val="0"/>
          <w:lang w:val="en-GB"/>
        </w:rPr>
        <w:t xml:space="preserve"> the </w:t>
      </w:r>
      <w:r w:rsidR="000D2028">
        <w:rPr>
          <w:rFonts w:asciiTheme="minorHAnsi" w:hAnsiTheme="minorHAnsi"/>
          <w:snapToGrid w:val="0"/>
          <w:lang w:val="en-GB"/>
        </w:rPr>
        <w:t>submission’s</w:t>
      </w:r>
      <w:r w:rsidRPr="45341A54">
        <w:rPr>
          <w:rFonts w:asciiTheme="minorHAnsi" w:hAnsiTheme="minorHAnsi"/>
          <w:snapToGrid w:val="0"/>
          <w:lang w:val="en-GB"/>
        </w:rPr>
        <w:t xml:space="preserve"> financial estimates </w:t>
      </w:r>
      <w:r w:rsidR="000D2028">
        <w:rPr>
          <w:rFonts w:asciiTheme="minorHAnsi" w:hAnsiTheme="minorHAnsi"/>
          <w:snapToGrid w:val="0"/>
          <w:lang w:val="en-GB"/>
        </w:rPr>
        <w:t>model</w:t>
      </w:r>
      <w:r w:rsidRPr="45341A54">
        <w:rPr>
          <w:rFonts w:asciiTheme="minorHAnsi" w:hAnsiTheme="minorHAnsi"/>
          <w:snapToGrid w:val="0"/>
          <w:lang w:val="en-GB"/>
        </w:rPr>
        <w:t xml:space="preserve"> for listing MRSC risperidone</w:t>
      </w:r>
      <w:r w:rsidR="0062575D">
        <w:rPr>
          <w:rFonts w:asciiTheme="minorHAnsi" w:hAnsiTheme="minorHAnsi"/>
          <w:snapToGrid w:val="0"/>
          <w:lang w:val="en-GB"/>
        </w:rPr>
        <w:t xml:space="preserve"> </w:t>
      </w:r>
      <w:r w:rsidR="003B54B7">
        <w:rPr>
          <w:rFonts w:asciiTheme="minorHAnsi" w:hAnsiTheme="minorHAnsi"/>
          <w:snapToGrid w:val="0"/>
          <w:lang w:val="en-GB"/>
        </w:rPr>
        <w:t xml:space="preserve">but with the exclusion of </w:t>
      </w:r>
      <w:r w:rsidR="0062575D" w:rsidRPr="45341A54">
        <w:rPr>
          <w:rFonts w:asciiTheme="minorHAnsi" w:hAnsiTheme="minorHAnsi"/>
          <w:snapToGrid w:val="0"/>
          <w:lang w:val="en-GB"/>
        </w:rPr>
        <w:t xml:space="preserve">health care provider </w:t>
      </w:r>
      <w:r w:rsidR="005268B7">
        <w:rPr>
          <w:rFonts w:asciiTheme="minorHAnsi" w:hAnsiTheme="minorHAnsi"/>
          <w:snapToGrid w:val="0"/>
          <w:lang w:val="en-GB"/>
        </w:rPr>
        <w:t>(HCP)</w:t>
      </w:r>
      <w:r w:rsidR="0062575D" w:rsidRPr="45341A54">
        <w:rPr>
          <w:rFonts w:asciiTheme="minorHAnsi" w:hAnsiTheme="minorHAnsi"/>
          <w:snapToGrid w:val="0"/>
          <w:lang w:val="en-GB"/>
        </w:rPr>
        <w:t xml:space="preserve"> visit costs</w:t>
      </w:r>
      <w:r w:rsidR="003B54B7">
        <w:rPr>
          <w:rFonts w:asciiTheme="minorHAnsi" w:hAnsiTheme="minorHAnsi"/>
          <w:snapToGrid w:val="0"/>
          <w:lang w:val="en-GB"/>
        </w:rPr>
        <w:t xml:space="preserve">. </w:t>
      </w:r>
      <w:r w:rsidR="001523E0" w:rsidRPr="45341A54">
        <w:rPr>
          <w:rFonts w:asciiTheme="minorHAnsi" w:hAnsiTheme="minorHAnsi"/>
          <w:snapToGrid w:val="0"/>
          <w:lang w:val="en-GB"/>
        </w:rPr>
        <w:t>The PBAC agreed with the ESC advice to exclude health care provider visit costs, acknowledging that this materially reduced the projected cost savings.</w:t>
      </w:r>
      <w:r w:rsidR="001523E0">
        <w:rPr>
          <w:rFonts w:asciiTheme="minorHAnsi" w:hAnsiTheme="minorHAnsi"/>
          <w:snapToGrid w:val="0"/>
          <w:lang w:val="en-GB"/>
        </w:rPr>
        <w:t xml:space="preserve"> </w:t>
      </w:r>
      <w:r w:rsidR="003B54B7">
        <w:rPr>
          <w:rFonts w:asciiTheme="minorHAnsi" w:hAnsiTheme="minorHAnsi"/>
          <w:snapToGrid w:val="0"/>
          <w:lang w:val="en-GB"/>
        </w:rPr>
        <w:t>The PBAC</w:t>
      </w:r>
      <w:r w:rsidR="007E391B">
        <w:rPr>
          <w:rFonts w:asciiTheme="minorHAnsi" w:hAnsiTheme="minorHAnsi"/>
          <w:snapToGrid w:val="0"/>
          <w:lang w:val="en-GB"/>
        </w:rPr>
        <w:t xml:space="preserve"> </w:t>
      </w:r>
      <w:r w:rsidRPr="45341A54">
        <w:rPr>
          <w:rFonts w:asciiTheme="minorHAnsi" w:hAnsiTheme="minorHAnsi"/>
          <w:snapToGrid w:val="0"/>
          <w:lang w:val="en-GB"/>
        </w:rPr>
        <w:t xml:space="preserve">noted that </w:t>
      </w:r>
      <w:r w:rsidR="003376C0" w:rsidRPr="45341A54">
        <w:rPr>
          <w:rFonts w:asciiTheme="minorHAnsi" w:hAnsiTheme="minorHAnsi"/>
          <w:snapToGrid w:val="0"/>
          <w:lang w:val="en-GB"/>
        </w:rPr>
        <w:t>revis</w:t>
      </w:r>
      <w:r w:rsidR="003376C0">
        <w:rPr>
          <w:rFonts w:asciiTheme="minorHAnsi" w:hAnsiTheme="minorHAnsi"/>
          <w:snapToGrid w:val="0"/>
          <w:lang w:val="en-GB"/>
        </w:rPr>
        <w:t xml:space="preserve">ions </w:t>
      </w:r>
      <w:r w:rsidR="00115A6B">
        <w:rPr>
          <w:rFonts w:asciiTheme="minorHAnsi" w:hAnsiTheme="minorHAnsi"/>
          <w:snapToGrid w:val="0"/>
          <w:lang w:val="en-GB"/>
        </w:rPr>
        <w:t>were</w:t>
      </w:r>
      <w:r w:rsidR="003376C0">
        <w:rPr>
          <w:rFonts w:asciiTheme="minorHAnsi" w:hAnsiTheme="minorHAnsi"/>
          <w:snapToGrid w:val="0"/>
          <w:lang w:val="en-GB"/>
        </w:rPr>
        <w:t xml:space="preserve"> </w:t>
      </w:r>
      <w:r w:rsidR="008A46EC">
        <w:rPr>
          <w:rFonts w:asciiTheme="minorHAnsi" w:hAnsiTheme="minorHAnsi"/>
          <w:snapToGrid w:val="0"/>
          <w:lang w:val="en-GB"/>
        </w:rPr>
        <w:t xml:space="preserve">made </w:t>
      </w:r>
      <w:r w:rsidR="003376C0">
        <w:rPr>
          <w:rFonts w:asciiTheme="minorHAnsi" w:hAnsiTheme="minorHAnsi"/>
          <w:snapToGrid w:val="0"/>
          <w:lang w:val="en-GB"/>
        </w:rPr>
        <w:t>to the financial estimates model</w:t>
      </w:r>
      <w:r w:rsidR="000E0D6C">
        <w:rPr>
          <w:rFonts w:asciiTheme="minorHAnsi" w:hAnsiTheme="minorHAnsi"/>
          <w:snapToGrid w:val="0"/>
          <w:lang w:val="en-GB"/>
        </w:rPr>
        <w:t xml:space="preserve"> </w:t>
      </w:r>
      <w:r w:rsidR="00F75BB3">
        <w:rPr>
          <w:rFonts w:asciiTheme="minorHAnsi" w:hAnsiTheme="minorHAnsi"/>
          <w:snapToGrid w:val="0"/>
          <w:lang w:val="en-GB"/>
        </w:rPr>
        <w:t>during the</w:t>
      </w:r>
      <w:r w:rsidRPr="45341A54">
        <w:rPr>
          <w:rFonts w:asciiTheme="minorHAnsi" w:hAnsiTheme="minorHAnsi"/>
          <w:snapToGrid w:val="0"/>
          <w:lang w:val="en-GB"/>
        </w:rPr>
        <w:t xml:space="preserve"> evaluation. </w:t>
      </w:r>
      <w:r w:rsidR="2D32A1E3" w:rsidRPr="45341A54">
        <w:rPr>
          <w:rFonts w:asciiTheme="minorHAnsi" w:hAnsiTheme="minorHAnsi"/>
          <w:snapToGrid w:val="0"/>
          <w:lang w:val="en-GB"/>
        </w:rPr>
        <w:t>The PBA</w:t>
      </w:r>
      <w:r w:rsidR="5E82561D" w:rsidRPr="45341A54">
        <w:rPr>
          <w:rFonts w:asciiTheme="minorHAnsi" w:hAnsiTheme="minorHAnsi"/>
          <w:snapToGrid w:val="0"/>
          <w:lang w:val="en-GB"/>
        </w:rPr>
        <w:t>C</w:t>
      </w:r>
      <w:r w:rsidR="2D32A1E3" w:rsidRPr="45341A54">
        <w:rPr>
          <w:rFonts w:asciiTheme="minorHAnsi" w:hAnsiTheme="minorHAnsi"/>
          <w:snapToGrid w:val="0"/>
          <w:lang w:val="en-GB"/>
        </w:rPr>
        <w:t xml:space="preserve"> noted </w:t>
      </w:r>
      <w:r w:rsidR="471930EF" w:rsidRPr="45341A54">
        <w:rPr>
          <w:rFonts w:asciiTheme="minorHAnsi" w:hAnsiTheme="minorHAnsi"/>
          <w:snapToGrid w:val="0"/>
          <w:lang w:val="en-GB"/>
        </w:rPr>
        <w:t>the revised estimates corrected patient co</w:t>
      </w:r>
      <w:r w:rsidR="002D15C9">
        <w:rPr>
          <w:rFonts w:asciiTheme="minorHAnsi" w:hAnsiTheme="minorHAnsi"/>
          <w:snapToGrid w:val="0"/>
          <w:lang w:val="en-GB"/>
        </w:rPr>
        <w:noBreakHyphen/>
      </w:r>
      <w:r w:rsidR="471930EF" w:rsidRPr="45341A54">
        <w:rPr>
          <w:rFonts w:asciiTheme="minorHAnsi" w:hAnsiTheme="minorHAnsi"/>
          <w:snapToGrid w:val="0"/>
          <w:lang w:val="en-GB"/>
        </w:rPr>
        <w:t>payments, PBS service volumes, growth rate assumptions</w:t>
      </w:r>
      <w:r w:rsidR="521FA387" w:rsidRPr="45341A54">
        <w:rPr>
          <w:rFonts w:asciiTheme="minorHAnsi" w:hAnsiTheme="minorHAnsi"/>
          <w:snapToGrid w:val="0"/>
          <w:lang w:val="en-GB"/>
        </w:rPr>
        <w:t xml:space="preserve"> and data errors, which indicated a </w:t>
      </w:r>
      <w:r w:rsidR="7A0706DC" w:rsidRPr="45341A54">
        <w:rPr>
          <w:rFonts w:asciiTheme="minorHAnsi" w:hAnsiTheme="minorHAnsi"/>
          <w:snapToGrid w:val="0"/>
          <w:lang w:val="en-GB"/>
        </w:rPr>
        <w:t>modest net savi</w:t>
      </w:r>
      <w:r w:rsidR="7E3C78F0" w:rsidRPr="45341A54">
        <w:rPr>
          <w:rFonts w:asciiTheme="minorHAnsi" w:hAnsiTheme="minorHAnsi"/>
          <w:snapToGrid w:val="0"/>
          <w:lang w:val="en-GB"/>
        </w:rPr>
        <w:t xml:space="preserve">ng to the PBS over six years. </w:t>
      </w:r>
      <w:r w:rsidR="003E7354">
        <w:rPr>
          <w:rFonts w:asciiTheme="minorHAnsi" w:hAnsiTheme="minorHAnsi"/>
          <w:snapToGrid w:val="0"/>
          <w:lang w:val="en-GB"/>
        </w:rPr>
        <w:t>T</w:t>
      </w:r>
      <w:r w:rsidR="7E3C78F0" w:rsidRPr="45341A54">
        <w:rPr>
          <w:rFonts w:asciiTheme="minorHAnsi" w:hAnsiTheme="minorHAnsi"/>
          <w:snapToGrid w:val="0"/>
          <w:lang w:val="en-GB"/>
        </w:rPr>
        <w:t xml:space="preserve">he </w:t>
      </w:r>
      <w:r w:rsidR="5E82561D" w:rsidRPr="45341A54">
        <w:rPr>
          <w:rFonts w:asciiTheme="minorHAnsi" w:hAnsiTheme="minorHAnsi"/>
          <w:snapToGrid w:val="0"/>
          <w:lang w:val="en-GB"/>
        </w:rPr>
        <w:t>PBAC</w:t>
      </w:r>
      <w:r w:rsidR="7E3C78F0" w:rsidRPr="45341A54">
        <w:rPr>
          <w:rFonts w:asciiTheme="minorHAnsi" w:hAnsiTheme="minorHAnsi"/>
          <w:snapToGrid w:val="0"/>
          <w:lang w:val="en-GB"/>
        </w:rPr>
        <w:t xml:space="preserve"> advised that the </w:t>
      </w:r>
      <w:r w:rsidR="003E7354">
        <w:rPr>
          <w:rFonts w:asciiTheme="minorHAnsi" w:hAnsiTheme="minorHAnsi"/>
          <w:snapToGrid w:val="0"/>
          <w:lang w:val="en-GB"/>
        </w:rPr>
        <w:t>revised estimates</w:t>
      </w:r>
      <w:r w:rsidR="00C626DB">
        <w:rPr>
          <w:rFonts w:asciiTheme="minorHAnsi" w:hAnsiTheme="minorHAnsi"/>
          <w:snapToGrid w:val="0"/>
          <w:lang w:val="en-GB"/>
        </w:rPr>
        <w:t xml:space="preserve"> with the exclusion </w:t>
      </w:r>
      <w:r w:rsidR="005268B7">
        <w:rPr>
          <w:rFonts w:asciiTheme="minorHAnsi" w:hAnsiTheme="minorHAnsi"/>
          <w:snapToGrid w:val="0"/>
          <w:lang w:val="en-GB"/>
        </w:rPr>
        <w:t xml:space="preserve">of the HCP visit costs were </w:t>
      </w:r>
      <w:r w:rsidR="00B13825">
        <w:rPr>
          <w:rFonts w:asciiTheme="minorHAnsi" w:hAnsiTheme="minorHAnsi"/>
          <w:snapToGrid w:val="0"/>
          <w:lang w:val="en-GB"/>
        </w:rPr>
        <w:t>appropriate</w:t>
      </w:r>
      <w:r w:rsidR="5E82561D" w:rsidRPr="45341A54">
        <w:rPr>
          <w:rFonts w:asciiTheme="minorHAnsi" w:hAnsiTheme="minorHAnsi"/>
          <w:snapToGrid w:val="0"/>
          <w:lang w:val="en-GB"/>
        </w:rPr>
        <w:t>.</w:t>
      </w:r>
    </w:p>
    <w:p w14:paraId="742D50E7" w14:textId="1B498FE8" w:rsidR="00E93B5A" w:rsidRPr="00A7209C" w:rsidRDefault="00E93B5A" w:rsidP="00E93B5A">
      <w:pPr>
        <w:pStyle w:val="3-BodyText"/>
        <w:rPr>
          <w:rFonts w:eastAsia="Times New Roman" w:cs="Arial"/>
          <w:snapToGrid w:val="0"/>
          <w:szCs w:val="24"/>
          <w:lang w:val="en-GB"/>
        </w:rPr>
      </w:pPr>
      <w:r>
        <w:rPr>
          <w:snapToGrid w:val="0"/>
          <w:lang w:val="en-GB"/>
        </w:rPr>
        <w:t>The PBAC noted the proposed restriction wording and</w:t>
      </w:r>
      <w:r>
        <w:rPr>
          <w:rFonts w:eastAsia="Times New Roman" w:cs="Arial"/>
          <w:snapToGrid w:val="0"/>
          <w:szCs w:val="24"/>
          <w:lang w:val="en-GB"/>
        </w:rPr>
        <w:t xml:space="preserve"> agreed with the ESC advice which it noted was consistent with the listing of R4WIM. The PBAC therefore advised that the restriction should remain consistent with that of R4WIM, that is, it should include advice on switching between oral and MRSC risperidone and the DSM</w:t>
      </w:r>
      <w:r w:rsidR="002D15C9">
        <w:rPr>
          <w:rFonts w:eastAsia="Times New Roman" w:cs="Arial"/>
          <w:snapToGrid w:val="0"/>
          <w:szCs w:val="24"/>
          <w:lang w:val="en-GB"/>
        </w:rPr>
        <w:noBreakHyphen/>
      </w:r>
      <w:r>
        <w:rPr>
          <w:rFonts w:eastAsia="Times New Roman" w:cs="Arial"/>
          <w:snapToGrid w:val="0"/>
          <w:szCs w:val="24"/>
          <w:lang w:val="en-GB"/>
        </w:rPr>
        <w:t>5 definition of schizophrenia</w:t>
      </w:r>
      <w:r w:rsidR="000364EA">
        <w:rPr>
          <w:rFonts w:eastAsia="Times New Roman" w:cs="Arial"/>
          <w:snapToGrid w:val="0"/>
          <w:szCs w:val="24"/>
          <w:lang w:val="en-GB"/>
        </w:rPr>
        <w:t xml:space="preserve">, </w:t>
      </w:r>
      <w:r w:rsidR="000364EA" w:rsidRPr="000364EA">
        <w:rPr>
          <w:rFonts w:eastAsia="Times New Roman" w:cs="Arial"/>
          <w:snapToGrid w:val="0"/>
          <w:szCs w:val="24"/>
          <w:lang w:val="en-GB"/>
        </w:rPr>
        <w:t>and should not require specification of stabilisation on oral risperidone for a minimum period of 12 weeks</w:t>
      </w:r>
      <w:r w:rsidR="006A1BA1">
        <w:rPr>
          <w:rFonts w:eastAsia="Times New Roman" w:cs="Arial"/>
          <w:snapToGrid w:val="0"/>
          <w:szCs w:val="24"/>
          <w:lang w:val="en-GB"/>
        </w:rPr>
        <w:t>.</w:t>
      </w:r>
    </w:p>
    <w:p w14:paraId="11AB1A6A" w14:textId="77777777" w:rsidR="00C10B4D" w:rsidRPr="00C10B4D" w:rsidRDefault="00BE4CDB" w:rsidP="00C10B4D">
      <w:pPr>
        <w:pStyle w:val="3-BodyText"/>
        <w:rPr>
          <w:i/>
          <w:snapToGrid w:val="0"/>
          <w:lang w:val="en-GB"/>
        </w:rPr>
      </w:pPr>
      <w:r w:rsidRPr="00BE4CDB">
        <w:rPr>
          <w:iCs/>
          <w:snapToGrid w:val="0"/>
          <w:lang w:val="en-GB"/>
        </w:rPr>
        <w:t xml:space="preserve">The PBAC </w:t>
      </w:r>
      <w:r>
        <w:rPr>
          <w:iCs/>
          <w:snapToGrid w:val="0"/>
          <w:lang w:val="en-GB"/>
        </w:rPr>
        <w:t>advised that</w:t>
      </w:r>
      <w:r w:rsidRPr="00BE4CDB">
        <w:rPr>
          <w:iCs/>
          <w:snapToGrid w:val="0"/>
          <w:lang w:val="en-GB"/>
        </w:rPr>
        <w:t xml:space="preserve"> MRSC risperidone is suitable for prescribing by nurse practitioners</w:t>
      </w:r>
      <w:r w:rsidR="00791A4B">
        <w:rPr>
          <w:iCs/>
          <w:snapToGrid w:val="0"/>
          <w:lang w:val="en-GB"/>
        </w:rPr>
        <w:t xml:space="preserve"> consistent with current PBS listings </w:t>
      </w:r>
      <w:r w:rsidR="00791A4B" w:rsidRPr="00BE4CDB">
        <w:rPr>
          <w:iCs/>
          <w:snapToGrid w:val="0"/>
          <w:lang w:val="en-GB"/>
        </w:rPr>
        <w:t>for</w:t>
      </w:r>
      <w:r w:rsidR="00791A4B">
        <w:rPr>
          <w:iCs/>
          <w:snapToGrid w:val="0"/>
          <w:lang w:val="en-GB"/>
        </w:rPr>
        <w:t xml:space="preserve"> </w:t>
      </w:r>
      <w:r w:rsidRPr="00BE4CDB">
        <w:rPr>
          <w:iCs/>
          <w:snapToGrid w:val="0"/>
          <w:lang w:val="en-GB"/>
        </w:rPr>
        <w:t>oral and I</w:t>
      </w:r>
      <w:r w:rsidR="00791A4B">
        <w:rPr>
          <w:iCs/>
          <w:snapToGrid w:val="0"/>
          <w:lang w:val="en-GB"/>
        </w:rPr>
        <w:t>M</w:t>
      </w:r>
      <w:r w:rsidRPr="00BE4CDB">
        <w:rPr>
          <w:iCs/>
          <w:snapToGrid w:val="0"/>
          <w:lang w:val="en-GB"/>
        </w:rPr>
        <w:t xml:space="preserve"> risperidone and paliperidone/aripiprazole (oral tablet and </w:t>
      </w:r>
      <w:r w:rsidR="00791A4B">
        <w:rPr>
          <w:iCs/>
          <w:snapToGrid w:val="0"/>
          <w:lang w:val="en-GB"/>
        </w:rPr>
        <w:t>LAI</w:t>
      </w:r>
      <w:r w:rsidRPr="00BE4CDB">
        <w:rPr>
          <w:iCs/>
          <w:snapToGrid w:val="0"/>
          <w:lang w:val="en-GB"/>
        </w:rPr>
        <w:t>) for the treatment of schizophrenia.</w:t>
      </w:r>
    </w:p>
    <w:p w14:paraId="0791545A" w14:textId="042C81AF" w:rsidR="00BE4CDB" w:rsidRPr="00BE4CDB" w:rsidRDefault="00C10B4D" w:rsidP="00BE4CDB">
      <w:pPr>
        <w:pStyle w:val="3-BodyText"/>
        <w:rPr>
          <w:iCs/>
          <w:snapToGrid w:val="0"/>
          <w:lang w:val="en-GB"/>
        </w:rPr>
      </w:pPr>
      <w:r w:rsidRPr="00C7236D">
        <w:t>Th</w:t>
      </w:r>
      <w:r>
        <w:t>e PBAC considered this</w:t>
      </w:r>
      <w:r w:rsidRPr="00C7236D" w:rsidDel="009400EF">
        <w:t xml:space="preserve"> restriction to be simple</w:t>
      </w:r>
      <w:r>
        <w:t>.</w:t>
      </w:r>
    </w:p>
    <w:p w14:paraId="61424DDE" w14:textId="59E48596" w:rsidR="00BE4CDB" w:rsidRPr="000C6B73" w:rsidRDefault="000C6B73" w:rsidP="000C6B73">
      <w:pPr>
        <w:pStyle w:val="3-BodyText"/>
        <w:rPr>
          <w:iCs/>
          <w:snapToGrid w:val="0"/>
          <w:lang w:val="en-GB"/>
        </w:rPr>
      </w:pPr>
      <w:r w:rsidRPr="000C6B73">
        <w:rPr>
          <w:iCs/>
          <w:snapToGrid w:val="0"/>
          <w:lang w:val="en-GB"/>
        </w:rPr>
        <w:t xml:space="preserve">The PBAC advised that the Early Supply Rule (Safety Net Penalty) should not </w:t>
      </w:r>
      <w:r w:rsidR="00791A4B" w:rsidRPr="000C6B73">
        <w:rPr>
          <w:iCs/>
          <w:snapToGrid w:val="0"/>
          <w:lang w:val="en-GB"/>
        </w:rPr>
        <w:t>apply</w:t>
      </w:r>
      <w:r w:rsidRPr="000C6B73">
        <w:rPr>
          <w:iCs/>
          <w:snapToGrid w:val="0"/>
          <w:lang w:val="en-GB"/>
        </w:rPr>
        <w:t xml:space="preserve"> consistent with the current PBS listings for oral and IM risperidone and paliperidone/aripiprazole (oral tablet and LAI) for the treatment of schizophrenia.</w:t>
      </w:r>
    </w:p>
    <w:p w14:paraId="0C5E595D" w14:textId="754390AD" w:rsidR="0027537A" w:rsidRPr="00BD1274" w:rsidRDefault="0027537A" w:rsidP="0027537A">
      <w:pPr>
        <w:pStyle w:val="3-BodyText"/>
      </w:pPr>
      <w:r w:rsidRPr="00C7236D">
        <w:t>In the context of the cost</w:t>
      </w:r>
      <w:r w:rsidR="002D15C9">
        <w:noBreakHyphen/>
      </w:r>
      <w:r w:rsidRPr="00C7236D">
        <w:t xml:space="preserve">minimisation approach taken by the submission, </w:t>
      </w:r>
      <w:r>
        <w:t>the PBAC advised</w:t>
      </w:r>
      <w:r w:rsidRPr="00C7236D">
        <w:t xml:space="preserve">, under </w:t>
      </w:r>
      <w:r>
        <w:t>subs</w:t>
      </w:r>
      <w:r w:rsidRPr="00C7236D">
        <w:t xml:space="preserve">ection 101(3B) of the </w:t>
      </w:r>
      <w:r w:rsidRPr="004E36B2">
        <w:rPr>
          <w:i/>
        </w:rPr>
        <w:t>National Health Act 1953</w:t>
      </w:r>
      <w:r w:rsidRPr="00C7236D">
        <w:t xml:space="preserve">, </w:t>
      </w:r>
      <w:r>
        <w:t xml:space="preserve">that MRSC </w:t>
      </w:r>
      <w:r>
        <w:lastRenderedPageBreak/>
        <w:t xml:space="preserve">risperidone does not </w:t>
      </w:r>
      <w:r w:rsidRPr="00C7236D">
        <w:t>provide</w:t>
      </w:r>
      <w:r>
        <w:t>d</w:t>
      </w:r>
      <w:r w:rsidRPr="00C7236D">
        <w:t xml:space="preserve"> a significant </w:t>
      </w:r>
      <w:r>
        <w:t xml:space="preserve">and clinically relevant </w:t>
      </w:r>
      <w:r w:rsidRPr="00C7236D">
        <w:t>improvement in efficacy and/or reduction of toxicity over the alternative therap</w:t>
      </w:r>
      <w:r>
        <w:t xml:space="preserve">ies. For the same reason the </w:t>
      </w:r>
      <w:r w:rsidRPr="007C5D89">
        <w:t xml:space="preserve">PBAC </w:t>
      </w:r>
      <w:r>
        <w:t xml:space="preserve">also advised that </w:t>
      </w:r>
      <w:r w:rsidRPr="007C5D89">
        <w:t xml:space="preserve">the criteria prescribed by the </w:t>
      </w:r>
      <w:r w:rsidRPr="005506B6">
        <w:rPr>
          <w:i/>
          <w:iCs/>
        </w:rPr>
        <w:t>National Health (Pharmaceuticals and Vaccines – Cost Recovery) Regulations 2022</w:t>
      </w:r>
      <w:r w:rsidRPr="007C5D89">
        <w:t xml:space="preserve"> for Pricing Pathway A were not met </w:t>
      </w:r>
      <w:r>
        <w:t xml:space="preserve">and </w:t>
      </w:r>
      <w:r w:rsidRPr="007C5D89">
        <w:t xml:space="preserve">because </w:t>
      </w:r>
      <w:r>
        <w:t>MRSC risperidone</w:t>
      </w:r>
      <w:r w:rsidRPr="007C5D89">
        <w:t xml:space="preserve"> is not expected to address a high and urgent unmet clinical need given the presence of alternative therap</w:t>
      </w:r>
      <w:r>
        <w:t>ies, nor</w:t>
      </w:r>
      <w:r w:rsidRPr="009771D1">
        <w:t xml:space="preserve"> would</w:t>
      </w:r>
      <w:r>
        <w:t xml:space="preserve"> it</w:t>
      </w:r>
      <w:r w:rsidRPr="009771D1">
        <w:t xml:space="preserve"> be in the public interest for a pricing application relating to the drugs or medicinal preparations to be in this category</w:t>
      </w:r>
      <w:r w:rsidRPr="007C5D89">
        <w:t>.</w:t>
      </w:r>
    </w:p>
    <w:p w14:paraId="23451244" w14:textId="60ED3715" w:rsidR="0027537A" w:rsidRPr="0027537A" w:rsidRDefault="0027537A">
      <w:pPr>
        <w:pStyle w:val="3-BodyText"/>
        <w:rPr>
          <w:snapToGrid w:val="0"/>
          <w:lang w:val="en-GB"/>
        </w:rPr>
      </w:pPr>
      <w:r w:rsidRPr="0027537A">
        <w:rPr>
          <w:snapToGrid w:val="0"/>
          <w:lang w:val="en-GB"/>
        </w:rPr>
        <w:t>The PBAC noted that this submission is not eligible for an Independent Review as it received a positive recommendation.</w:t>
      </w:r>
    </w:p>
    <w:p w14:paraId="63CF90A7" w14:textId="77777777" w:rsidR="003D3A3D" w:rsidRPr="00525B39" w:rsidRDefault="003D3A3D" w:rsidP="003D3A3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2C3D8E4" w14:textId="1EB8B8E7" w:rsidR="003D3A3D" w:rsidRPr="00292344" w:rsidRDefault="003D3A3D" w:rsidP="00292344">
      <w:pPr>
        <w:rPr>
          <w:rFonts w:asciiTheme="minorHAnsi" w:hAnsiTheme="minorHAnsi"/>
          <w:bCs/>
          <w:snapToGrid w:val="0"/>
          <w:lang w:val="en-GB"/>
        </w:rPr>
      </w:pPr>
      <w:r w:rsidRPr="00525B39">
        <w:rPr>
          <w:rFonts w:asciiTheme="minorHAnsi" w:hAnsiTheme="minorHAnsi"/>
          <w:bCs/>
          <w:snapToGrid w:val="0"/>
          <w:lang w:val="en-GB"/>
        </w:rPr>
        <w:t>Recommended</w:t>
      </w:r>
    </w:p>
    <w:p w14:paraId="6562D6ED" w14:textId="519961E8" w:rsidR="005A4B5E" w:rsidRDefault="003D3A3D" w:rsidP="00AF6B3B">
      <w:pPr>
        <w:pStyle w:val="2-SectionHeading"/>
      </w:pPr>
      <w:r>
        <w:t>Recommended listing</w:t>
      </w:r>
    </w:p>
    <w:p w14:paraId="139773E0" w14:textId="522C94FF" w:rsidR="00167847" w:rsidRPr="00A74DF0" w:rsidRDefault="000A320A">
      <w:pPr>
        <w:pStyle w:val="3-BodyText"/>
        <w:widowControl w:val="0"/>
        <w:contextualSpacing/>
        <w:rPr>
          <w:snapToGrid w:val="0"/>
        </w:rPr>
      </w:pPr>
      <w:r w:rsidRPr="00A74DF0">
        <w:rPr>
          <w:snapToGrid w:val="0"/>
        </w:rPr>
        <w:t>Add</w:t>
      </w:r>
      <w:r>
        <w:rPr>
          <w:bCs/>
          <w:snapToGrid w:val="0"/>
        </w:rPr>
        <w:t xml:space="preserve"> new listing as follows</w:t>
      </w:r>
      <w:r w:rsidR="006602BB" w:rsidRPr="00525B39">
        <w:rPr>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1415"/>
        <w:gridCol w:w="3986"/>
        <w:gridCol w:w="804"/>
        <w:gridCol w:w="682"/>
        <w:gridCol w:w="608"/>
        <w:gridCol w:w="581"/>
        <w:gridCol w:w="941"/>
      </w:tblGrid>
      <w:tr w:rsidR="002327C7" w:rsidRPr="0098262F" w14:paraId="41F78DD7" w14:textId="77777777" w:rsidTr="002327C7">
        <w:trPr>
          <w:cantSplit/>
          <w:trHeight w:val="20"/>
        </w:trPr>
        <w:tc>
          <w:tcPr>
            <w:tcW w:w="2995" w:type="pct"/>
            <w:gridSpan w:val="2"/>
          </w:tcPr>
          <w:p w14:paraId="7EBBABA9" w14:textId="63FB9767" w:rsidR="002327C7" w:rsidRPr="0098262F" w:rsidRDefault="002327C7" w:rsidP="00900AB0">
            <w:pPr>
              <w:pStyle w:val="In-tableHeading"/>
            </w:pPr>
            <w:r w:rsidRPr="0098262F">
              <w:t>MEDICINAL PRODUCT</w:t>
            </w:r>
          </w:p>
          <w:p w14:paraId="00B5773F" w14:textId="77777777" w:rsidR="002327C7" w:rsidRPr="0098262F" w:rsidRDefault="002327C7" w:rsidP="00900AB0">
            <w:pPr>
              <w:pStyle w:val="In-tableHeading"/>
            </w:pPr>
            <w:r w:rsidRPr="0098262F">
              <w:t>medicinal product pack</w:t>
            </w:r>
          </w:p>
        </w:tc>
        <w:tc>
          <w:tcPr>
            <w:tcW w:w="446" w:type="pct"/>
            <w:vAlign w:val="center"/>
          </w:tcPr>
          <w:p w14:paraId="4CAC614F" w14:textId="697411FA" w:rsidR="002327C7" w:rsidRPr="0098262F" w:rsidRDefault="002327C7" w:rsidP="00900AB0">
            <w:pPr>
              <w:pStyle w:val="In-tableHeading"/>
            </w:pPr>
            <w:r>
              <w:rPr>
                <w:snapToGrid w:val="0"/>
              </w:rPr>
              <w:t>PBS item code</w:t>
            </w:r>
            <w:r w:rsidRPr="0098262F">
              <w:rPr>
                <w:snapToGrid w:val="0"/>
              </w:rPr>
              <w:t xml:space="preserve"> </w:t>
            </w:r>
          </w:p>
        </w:tc>
        <w:tc>
          <w:tcPr>
            <w:tcW w:w="378" w:type="pct"/>
            <w:vAlign w:val="center"/>
          </w:tcPr>
          <w:p w14:paraId="0C1E0119" w14:textId="77777777" w:rsidR="002327C7" w:rsidRPr="0098262F" w:rsidRDefault="002327C7" w:rsidP="00900AB0">
            <w:pPr>
              <w:pStyle w:val="In-tableHeading"/>
            </w:pPr>
            <w:r w:rsidRPr="0098262F">
              <w:t>Max. qty packs</w:t>
            </w:r>
          </w:p>
        </w:tc>
        <w:tc>
          <w:tcPr>
            <w:tcW w:w="337" w:type="pct"/>
            <w:vAlign w:val="center"/>
          </w:tcPr>
          <w:p w14:paraId="761CE283" w14:textId="77777777" w:rsidR="002327C7" w:rsidRPr="0098262F" w:rsidRDefault="002327C7" w:rsidP="00900AB0">
            <w:pPr>
              <w:pStyle w:val="In-tableHeading"/>
            </w:pPr>
            <w:r w:rsidRPr="0098262F">
              <w:t>Max. qty units</w:t>
            </w:r>
          </w:p>
        </w:tc>
        <w:tc>
          <w:tcPr>
            <w:tcW w:w="322" w:type="pct"/>
            <w:vAlign w:val="center"/>
          </w:tcPr>
          <w:p w14:paraId="4D2AB1E7" w14:textId="77777777" w:rsidR="002327C7" w:rsidRPr="0098262F" w:rsidRDefault="002327C7" w:rsidP="00900AB0">
            <w:pPr>
              <w:pStyle w:val="In-tableHeading"/>
            </w:pPr>
            <w:r w:rsidRPr="0098262F">
              <w:t>№. of</w:t>
            </w:r>
          </w:p>
          <w:p w14:paraId="79F7BD90" w14:textId="77777777" w:rsidR="002327C7" w:rsidRPr="0098262F" w:rsidRDefault="002327C7" w:rsidP="00900AB0">
            <w:pPr>
              <w:pStyle w:val="In-tableHeading"/>
            </w:pPr>
            <w:r w:rsidRPr="0098262F">
              <w:t>Rpts</w:t>
            </w:r>
          </w:p>
        </w:tc>
        <w:tc>
          <w:tcPr>
            <w:tcW w:w="522" w:type="pct"/>
            <w:vAlign w:val="center"/>
          </w:tcPr>
          <w:p w14:paraId="30302491" w14:textId="77777777" w:rsidR="002327C7" w:rsidRPr="0098262F" w:rsidRDefault="002327C7" w:rsidP="00900AB0">
            <w:pPr>
              <w:pStyle w:val="In-tableHeading"/>
            </w:pPr>
            <w:r w:rsidRPr="0098262F">
              <w:t>Available brands</w:t>
            </w:r>
          </w:p>
        </w:tc>
      </w:tr>
      <w:tr w:rsidR="002327C7" w:rsidRPr="0098262F" w14:paraId="6D420F70" w14:textId="77777777" w:rsidTr="002327C7">
        <w:trPr>
          <w:cantSplit/>
          <w:trHeight w:val="20"/>
        </w:trPr>
        <w:tc>
          <w:tcPr>
            <w:tcW w:w="5000" w:type="pct"/>
            <w:gridSpan w:val="7"/>
          </w:tcPr>
          <w:p w14:paraId="51094FAA" w14:textId="2E700900" w:rsidR="002327C7" w:rsidRPr="0098262F" w:rsidRDefault="002327C7">
            <w:pPr>
              <w:pStyle w:val="TableText"/>
            </w:pPr>
            <w:r>
              <w:t>RISPERIDONE</w:t>
            </w:r>
            <w:r w:rsidRPr="0098262F">
              <w:t xml:space="preserve"> </w:t>
            </w:r>
          </w:p>
        </w:tc>
      </w:tr>
      <w:tr w:rsidR="002327C7" w:rsidRPr="0098262F" w14:paraId="6724EECA" w14:textId="77777777" w:rsidTr="002327C7">
        <w:trPr>
          <w:cantSplit/>
          <w:trHeight w:val="20"/>
        </w:trPr>
        <w:tc>
          <w:tcPr>
            <w:tcW w:w="2995" w:type="pct"/>
            <w:gridSpan w:val="2"/>
          </w:tcPr>
          <w:p w14:paraId="1A571DFF" w14:textId="62F289BE" w:rsidR="002327C7" w:rsidRPr="0098262F" w:rsidRDefault="002327C7">
            <w:pPr>
              <w:pStyle w:val="TableText"/>
            </w:pPr>
            <w:r>
              <w:t xml:space="preserve">Risperidone </w:t>
            </w:r>
            <w:r w:rsidRPr="0042581F">
              <w:t xml:space="preserve">50 mg/0.14 mL subcutaneous modified release injection prefilled syringe </w:t>
            </w:r>
            <w:r w:rsidRPr="0098262F">
              <w:t xml:space="preserve">drug </w:t>
            </w:r>
          </w:p>
        </w:tc>
        <w:tc>
          <w:tcPr>
            <w:tcW w:w="446" w:type="pct"/>
            <w:vAlign w:val="center"/>
          </w:tcPr>
          <w:p w14:paraId="2EE6DC84" w14:textId="404D9715" w:rsidR="002327C7" w:rsidRPr="0098262F" w:rsidRDefault="002327C7" w:rsidP="008906B1">
            <w:pPr>
              <w:pStyle w:val="TableText"/>
              <w:jc w:val="center"/>
            </w:pPr>
            <w:r>
              <w:t>NEW</w:t>
            </w:r>
          </w:p>
        </w:tc>
        <w:tc>
          <w:tcPr>
            <w:tcW w:w="378" w:type="pct"/>
            <w:vAlign w:val="center"/>
          </w:tcPr>
          <w:p w14:paraId="69A68626" w14:textId="77777777" w:rsidR="002327C7" w:rsidRPr="0098262F" w:rsidRDefault="002327C7" w:rsidP="008906B1">
            <w:pPr>
              <w:pStyle w:val="TableText"/>
              <w:jc w:val="center"/>
            </w:pPr>
            <w:r>
              <w:t>1</w:t>
            </w:r>
          </w:p>
        </w:tc>
        <w:tc>
          <w:tcPr>
            <w:tcW w:w="337" w:type="pct"/>
            <w:vAlign w:val="center"/>
          </w:tcPr>
          <w:p w14:paraId="3475439C" w14:textId="77777777" w:rsidR="002327C7" w:rsidRPr="0098262F" w:rsidRDefault="002327C7" w:rsidP="008906B1">
            <w:pPr>
              <w:pStyle w:val="TableText"/>
              <w:jc w:val="center"/>
            </w:pPr>
            <w:r>
              <w:t>1</w:t>
            </w:r>
          </w:p>
        </w:tc>
        <w:tc>
          <w:tcPr>
            <w:tcW w:w="322" w:type="pct"/>
            <w:vAlign w:val="center"/>
          </w:tcPr>
          <w:p w14:paraId="11AF8F6B" w14:textId="77777777" w:rsidR="002327C7" w:rsidRPr="0098262F" w:rsidRDefault="002327C7" w:rsidP="008906B1">
            <w:pPr>
              <w:pStyle w:val="TableText"/>
              <w:jc w:val="center"/>
            </w:pPr>
            <w:r>
              <w:t>5</w:t>
            </w:r>
          </w:p>
        </w:tc>
        <w:tc>
          <w:tcPr>
            <w:tcW w:w="522" w:type="pct"/>
            <w:vAlign w:val="center"/>
          </w:tcPr>
          <w:p w14:paraId="171DA3E3" w14:textId="77777777" w:rsidR="002327C7" w:rsidRPr="0098262F" w:rsidRDefault="002327C7" w:rsidP="008906B1">
            <w:pPr>
              <w:pStyle w:val="TableText"/>
              <w:jc w:val="center"/>
              <w:rPr>
                <w:color w:val="0066FF"/>
              </w:rPr>
            </w:pPr>
            <w:r>
              <w:t>Uzedy</w:t>
            </w:r>
          </w:p>
        </w:tc>
      </w:tr>
      <w:tr w:rsidR="002327C7" w:rsidRPr="0098262F" w14:paraId="05EFAD7A" w14:textId="77777777" w:rsidTr="002327C7">
        <w:trPr>
          <w:cantSplit/>
          <w:trHeight w:val="20"/>
        </w:trPr>
        <w:tc>
          <w:tcPr>
            <w:tcW w:w="2995" w:type="pct"/>
            <w:gridSpan w:val="2"/>
          </w:tcPr>
          <w:p w14:paraId="0EE9A57C" w14:textId="655B8D20" w:rsidR="002327C7" w:rsidRPr="0098262F" w:rsidRDefault="002327C7">
            <w:pPr>
              <w:pStyle w:val="TableText"/>
            </w:pPr>
            <w:r>
              <w:t>Risperidone 75</w:t>
            </w:r>
            <w:r w:rsidRPr="0042581F">
              <w:t xml:space="preserve"> mg/0.</w:t>
            </w:r>
            <w:r>
              <w:t>21</w:t>
            </w:r>
            <w:r w:rsidRPr="0042581F">
              <w:t xml:space="preserve"> mL subcutaneous modified release injection prefilled syringe </w:t>
            </w:r>
            <w:r w:rsidRPr="0098262F">
              <w:t>drug</w:t>
            </w:r>
          </w:p>
        </w:tc>
        <w:tc>
          <w:tcPr>
            <w:tcW w:w="446" w:type="pct"/>
            <w:vAlign w:val="center"/>
          </w:tcPr>
          <w:p w14:paraId="6A9C8DE6" w14:textId="3D49099D" w:rsidR="002327C7" w:rsidRPr="0098262F" w:rsidRDefault="002327C7" w:rsidP="008906B1">
            <w:pPr>
              <w:pStyle w:val="TableText"/>
              <w:jc w:val="center"/>
            </w:pPr>
            <w:r>
              <w:t>NEW</w:t>
            </w:r>
          </w:p>
        </w:tc>
        <w:tc>
          <w:tcPr>
            <w:tcW w:w="378" w:type="pct"/>
            <w:vAlign w:val="center"/>
          </w:tcPr>
          <w:p w14:paraId="12FCA9B8" w14:textId="77777777" w:rsidR="002327C7" w:rsidRPr="0098262F" w:rsidRDefault="002327C7" w:rsidP="008906B1">
            <w:pPr>
              <w:pStyle w:val="TableText"/>
              <w:jc w:val="center"/>
            </w:pPr>
            <w:r>
              <w:t>1</w:t>
            </w:r>
          </w:p>
        </w:tc>
        <w:tc>
          <w:tcPr>
            <w:tcW w:w="337" w:type="pct"/>
            <w:vAlign w:val="center"/>
          </w:tcPr>
          <w:p w14:paraId="0207A04F" w14:textId="77777777" w:rsidR="002327C7" w:rsidRPr="0098262F" w:rsidRDefault="002327C7" w:rsidP="008906B1">
            <w:pPr>
              <w:pStyle w:val="TableText"/>
              <w:jc w:val="center"/>
            </w:pPr>
            <w:r>
              <w:t>1</w:t>
            </w:r>
          </w:p>
        </w:tc>
        <w:tc>
          <w:tcPr>
            <w:tcW w:w="322" w:type="pct"/>
            <w:vAlign w:val="center"/>
          </w:tcPr>
          <w:p w14:paraId="799DAD78" w14:textId="77777777" w:rsidR="002327C7" w:rsidRPr="0098262F" w:rsidRDefault="002327C7" w:rsidP="008906B1">
            <w:pPr>
              <w:pStyle w:val="TableText"/>
              <w:jc w:val="center"/>
            </w:pPr>
            <w:r>
              <w:t>5</w:t>
            </w:r>
          </w:p>
        </w:tc>
        <w:tc>
          <w:tcPr>
            <w:tcW w:w="522" w:type="pct"/>
            <w:vAlign w:val="center"/>
          </w:tcPr>
          <w:p w14:paraId="3114CC55" w14:textId="77777777" w:rsidR="002327C7" w:rsidRPr="0098262F" w:rsidRDefault="002327C7" w:rsidP="008906B1">
            <w:pPr>
              <w:pStyle w:val="TableText"/>
              <w:jc w:val="center"/>
            </w:pPr>
            <w:r>
              <w:t>Uzedy</w:t>
            </w:r>
          </w:p>
        </w:tc>
      </w:tr>
      <w:tr w:rsidR="002327C7" w:rsidRPr="0098262F" w14:paraId="2926944C" w14:textId="77777777" w:rsidTr="002327C7">
        <w:trPr>
          <w:cantSplit/>
          <w:trHeight w:val="20"/>
        </w:trPr>
        <w:tc>
          <w:tcPr>
            <w:tcW w:w="2995" w:type="pct"/>
            <w:gridSpan w:val="2"/>
          </w:tcPr>
          <w:p w14:paraId="56DED791" w14:textId="617FABC2" w:rsidR="002327C7" w:rsidRPr="003C6D2D" w:rsidRDefault="002327C7">
            <w:pPr>
              <w:pStyle w:val="TableText"/>
            </w:pPr>
            <w:r w:rsidRPr="003C6D2D">
              <w:t>Risperidone 100 mg/0.28 mL subcutaneous modified release injection prefilled syringe drug</w:t>
            </w:r>
          </w:p>
        </w:tc>
        <w:tc>
          <w:tcPr>
            <w:tcW w:w="446" w:type="pct"/>
            <w:vAlign w:val="center"/>
          </w:tcPr>
          <w:p w14:paraId="3E458B00" w14:textId="360295FE" w:rsidR="002327C7" w:rsidRPr="003C6D2D" w:rsidRDefault="002327C7" w:rsidP="008906B1">
            <w:pPr>
              <w:pStyle w:val="TableText"/>
              <w:jc w:val="center"/>
            </w:pPr>
            <w:r>
              <w:t>NEW</w:t>
            </w:r>
          </w:p>
        </w:tc>
        <w:tc>
          <w:tcPr>
            <w:tcW w:w="378" w:type="pct"/>
            <w:vAlign w:val="center"/>
          </w:tcPr>
          <w:p w14:paraId="0CF25B17" w14:textId="77777777" w:rsidR="002327C7" w:rsidRPr="0098262F" w:rsidRDefault="002327C7" w:rsidP="008906B1">
            <w:pPr>
              <w:pStyle w:val="TableText"/>
              <w:jc w:val="center"/>
            </w:pPr>
            <w:r>
              <w:t>1</w:t>
            </w:r>
          </w:p>
        </w:tc>
        <w:tc>
          <w:tcPr>
            <w:tcW w:w="337" w:type="pct"/>
            <w:vAlign w:val="center"/>
          </w:tcPr>
          <w:p w14:paraId="489D3DE6" w14:textId="77777777" w:rsidR="002327C7" w:rsidRPr="0098262F" w:rsidRDefault="002327C7" w:rsidP="008906B1">
            <w:pPr>
              <w:pStyle w:val="TableText"/>
              <w:jc w:val="center"/>
            </w:pPr>
            <w:r>
              <w:t>1</w:t>
            </w:r>
          </w:p>
        </w:tc>
        <w:tc>
          <w:tcPr>
            <w:tcW w:w="322" w:type="pct"/>
            <w:vAlign w:val="center"/>
          </w:tcPr>
          <w:p w14:paraId="535C7167" w14:textId="77777777" w:rsidR="002327C7" w:rsidRPr="0098262F" w:rsidRDefault="002327C7" w:rsidP="008906B1">
            <w:pPr>
              <w:pStyle w:val="TableText"/>
              <w:jc w:val="center"/>
            </w:pPr>
            <w:r>
              <w:t>5</w:t>
            </w:r>
          </w:p>
        </w:tc>
        <w:tc>
          <w:tcPr>
            <w:tcW w:w="522" w:type="pct"/>
            <w:vAlign w:val="center"/>
          </w:tcPr>
          <w:p w14:paraId="1C7755E3" w14:textId="77777777" w:rsidR="002327C7" w:rsidRPr="0098262F" w:rsidRDefault="002327C7" w:rsidP="008906B1">
            <w:pPr>
              <w:pStyle w:val="TableText"/>
              <w:jc w:val="center"/>
            </w:pPr>
            <w:r>
              <w:t>Uzedy</w:t>
            </w:r>
          </w:p>
        </w:tc>
      </w:tr>
      <w:tr w:rsidR="00167847" w:rsidRPr="0098262F" w14:paraId="54A5A486" w14:textId="77777777" w:rsidTr="00167847">
        <w:trPr>
          <w:cantSplit/>
          <w:trHeight w:val="20"/>
        </w:trPr>
        <w:tc>
          <w:tcPr>
            <w:tcW w:w="2995" w:type="pct"/>
            <w:gridSpan w:val="2"/>
          </w:tcPr>
          <w:p w14:paraId="4813EF3E" w14:textId="19D32B8F" w:rsidR="00167847" w:rsidRDefault="00167847">
            <w:pPr>
              <w:pStyle w:val="TableText"/>
            </w:pPr>
            <w:r w:rsidRPr="0042581F">
              <w:t>Risperidone 125 mg/0.35 mL subcutaneous modified release injection prefilled syringe</w:t>
            </w:r>
          </w:p>
        </w:tc>
        <w:tc>
          <w:tcPr>
            <w:tcW w:w="446" w:type="pct"/>
            <w:vAlign w:val="center"/>
          </w:tcPr>
          <w:p w14:paraId="599213BC" w14:textId="1C40EF77" w:rsidR="00167847" w:rsidRPr="0098262F" w:rsidRDefault="00167847" w:rsidP="008906B1">
            <w:pPr>
              <w:pStyle w:val="TableText"/>
              <w:jc w:val="center"/>
            </w:pPr>
            <w:r>
              <w:t>NEW</w:t>
            </w:r>
          </w:p>
        </w:tc>
        <w:tc>
          <w:tcPr>
            <w:tcW w:w="378" w:type="pct"/>
            <w:vAlign w:val="center"/>
          </w:tcPr>
          <w:p w14:paraId="540BF993" w14:textId="77777777" w:rsidR="00167847" w:rsidRPr="0098262F" w:rsidRDefault="00167847" w:rsidP="008906B1">
            <w:pPr>
              <w:pStyle w:val="TableText"/>
              <w:jc w:val="center"/>
            </w:pPr>
            <w:r>
              <w:t>1</w:t>
            </w:r>
          </w:p>
        </w:tc>
        <w:tc>
          <w:tcPr>
            <w:tcW w:w="337" w:type="pct"/>
            <w:vAlign w:val="center"/>
          </w:tcPr>
          <w:p w14:paraId="6A7253EB" w14:textId="77777777" w:rsidR="00167847" w:rsidRPr="0098262F" w:rsidRDefault="00167847" w:rsidP="008906B1">
            <w:pPr>
              <w:pStyle w:val="TableText"/>
              <w:jc w:val="center"/>
            </w:pPr>
            <w:r>
              <w:t>1</w:t>
            </w:r>
          </w:p>
        </w:tc>
        <w:tc>
          <w:tcPr>
            <w:tcW w:w="322" w:type="pct"/>
            <w:vAlign w:val="center"/>
          </w:tcPr>
          <w:p w14:paraId="3F0A3E34" w14:textId="77777777" w:rsidR="00167847" w:rsidRPr="0098262F" w:rsidRDefault="00167847" w:rsidP="008906B1">
            <w:pPr>
              <w:pStyle w:val="TableText"/>
              <w:jc w:val="center"/>
            </w:pPr>
            <w:r>
              <w:t>5</w:t>
            </w:r>
          </w:p>
        </w:tc>
        <w:tc>
          <w:tcPr>
            <w:tcW w:w="522" w:type="pct"/>
            <w:vAlign w:val="center"/>
          </w:tcPr>
          <w:p w14:paraId="070136F2" w14:textId="77777777" w:rsidR="00167847" w:rsidRPr="0098262F" w:rsidRDefault="00167847" w:rsidP="008906B1">
            <w:pPr>
              <w:pStyle w:val="TableText"/>
              <w:jc w:val="center"/>
            </w:pPr>
            <w:r>
              <w:t>Uzedy</w:t>
            </w:r>
          </w:p>
        </w:tc>
      </w:tr>
      <w:tr w:rsidR="00F87358" w:rsidRPr="0098262F" w14:paraId="416DB6F5" w14:textId="77777777" w:rsidTr="00EC0575">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A0CC389" w14:textId="77777777" w:rsidR="00EC0575" w:rsidRPr="0098262F" w:rsidRDefault="00EC0575">
            <w:pPr>
              <w:pStyle w:val="TableText"/>
              <w:rPr>
                <w:b/>
              </w:rPr>
            </w:pPr>
          </w:p>
        </w:tc>
      </w:tr>
      <w:tr w:rsidR="00F87358" w:rsidRPr="0098262F" w14:paraId="5657B7E2" w14:textId="77777777" w:rsidTr="006367FD">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153EBC6" w14:textId="0FFDECE7" w:rsidR="006367FD" w:rsidRPr="0098262F" w:rsidRDefault="006367FD">
            <w:pPr>
              <w:pStyle w:val="TableText"/>
              <w:rPr>
                <w:b/>
              </w:rPr>
            </w:pPr>
            <w:r>
              <w:rPr>
                <w:b/>
              </w:rPr>
              <w:t>Restriction Summary [new 1]/ Treatment of Concept: [new 2]</w:t>
            </w:r>
          </w:p>
        </w:tc>
      </w:tr>
      <w:tr w:rsidR="00167847" w:rsidRPr="0098262F" w14:paraId="24C7974D" w14:textId="77777777" w:rsidTr="002327C7">
        <w:tblPrEx>
          <w:tblCellMar>
            <w:top w:w="15" w:type="dxa"/>
            <w:bottom w:w="15" w:type="dxa"/>
          </w:tblCellMar>
          <w:tblLook w:val="04A0" w:firstRow="1" w:lastRow="0" w:firstColumn="1" w:lastColumn="0" w:noHBand="0" w:noVBand="1"/>
        </w:tblPrEx>
        <w:trPr>
          <w:cantSplit/>
          <w:trHeight w:val="20"/>
        </w:trPr>
        <w:tc>
          <w:tcPr>
            <w:tcW w:w="785" w:type="pct"/>
            <w:vMerge w:val="restart"/>
            <w:vAlign w:val="center"/>
          </w:tcPr>
          <w:p w14:paraId="29D3C54D" w14:textId="47F2E158" w:rsidR="00167847" w:rsidRPr="0098262F" w:rsidRDefault="00167847" w:rsidP="002327C7">
            <w:pPr>
              <w:pStyle w:val="TableText"/>
              <w:jc w:val="center"/>
              <w:rPr>
                <w:b/>
              </w:rPr>
            </w:pPr>
            <w:r>
              <w:rPr>
                <w:b/>
              </w:rPr>
              <w:t xml:space="preserve">Concept ID </w:t>
            </w:r>
            <w:r w:rsidRPr="00C57D72">
              <w:t>(for internal Dept. use)</w:t>
            </w:r>
          </w:p>
        </w:tc>
        <w:tc>
          <w:tcPr>
            <w:tcW w:w="4215" w:type="pct"/>
            <w:gridSpan w:val="6"/>
          </w:tcPr>
          <w:p w14:paraId="0A2E1425" w14:textId="049D83BE" w:rsidR="00167847" w:rsidRPr="0098262F" w:rsidRDefault="00167847">
            <w:pPr>
              <w:pStyle w:val="TableText"/>
            </w:pPr>
            <w:r w:rsidRPr="0098262F">
              <w:rPr>
                <w:b/>
              </w:rPr>
              <w:t xml:space="preserve">Category / Program: </w:t>
            </w:r>
            <w:r w:rsidRPr="0098262F">
              <w:t>General Schedule</w:t>
            </w:r>
            <w:r>
              <w:t xml:space="preserve"> Section 85</w:t>
            </w:r>
          </w:p>
        </w:tc>
      </w:tr>
      <w:tr w:rsidR="00167847" w:rsidRPr="0098262F" w14:paraId="714758A5" w14:textId="77777777" w:rsidTr="002327C7">
        <w:tblPrEx>
          <w:tblCellMar>
            <w:top w:w="15" w:type="dxa"/>
            <w:bottom w:w="15" w:type="dxa"/>
          </w:tblCellMar>
          <w:tblLook w:val="04A0" w:firstRow="1" w:lastRow="0" w:firstColumn="1" w:lastColumn="0" w:noHBand="0" w:noVBand="1"/>
        </w:tblPrEx>
        <w:trPr>
          <w:cantSplit/>
          <w:trHeight w:val="20"/>
        </w:trPr>
        <w:tc>
          <w:tcPr>
            <w:tcW w:w="785" w:type="pct"/>
            <w:vMerge/>
          </w:tcPr>
          <w:p w14:paraId="48F39B0E" w14:textId="77777777" w:rsidR="00167847" w:rsidRPr="0098262F" w:rsidRDefault="00167847">
            <w:pPr>
              <w:pStyle w:val="TableText"/>
              <w:rPr>
                <w:b/>
              </w:rPr>
            </w:pPr>
          </w:p>
        </w:tc>
        <w:tc>
          <w:tcPr>
            <w:tcW w:w="4215" w:type="pct"/>
            <w:gridSpan w:val="6"/>
          </w:tcPr>
          <w:p w14:paraId="18041FDE" w14:textId="09B391F8" w:rsidR="00167847" w:rsidRPr="0098262F" w:rsidRDefault="00167847">
            <w:pPr>
              <w:pStyle w:val="TableText"/>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w:t>
            </w:r>
            <w:r w:rsidRPr="0098262F">
              <w:t xml:space="preserve">Medical Practitioners </w:t>
            </w:r>
            <w:r>
              <w:fldChar w:fldCharType="begin">
                <w:ffData>
                  <w:name w:val="Check3"/>
                  <w:enabled/>
                  <w:calcOnExit w:val="0"/>
                  <w:checkBox>
                    <w:sizeAuto/>
                    <w:default w:val="1"/>
                  </w:checkBox>
                </w:ffData>
              </w:fldChar>
            </w:r>
            <w:r>
              <w:instrText xml:space="preserve"> FORMCHECKBOX </w:instrText>
            </w:r>
            <w:r>
              <w:fldChar w:fldCharType="separate"/>
            </w:r>
            <w:r>
              <w:fldChar w:fldCharType="end"/>
            </w:r>
            <w:r>
              <w:t xml:space="preserve"> </w:t>
            </w:r>
            <w:r w:rsidRPr="0098262F">
              <w:t>Nurse practitioners</w:t>
            </w:r>
          </w:p>
        </w:tc>
      </w:tr>
      <w:tr w:rsidR="00167847" w:rsidRPr="0098262F" w14:paraId="52A791EB" w14:textId="77777777" w:rsidTr="002327C7">
        <w:tblPrEx>
          <w:tblCellMar>
            <w:top w:w="15" w:type="dxa"/>
            <w:bottom w:w="15" w:type="dxa"/>
          </w:tblCellMar>
          <w:tblLook w:val="04A0" w:firstRow="1" w:lastRow="0" w:firstColumn="1" w:lastColumn="0" w:noHBand="0" w:noVBand="1"/>
        </w:tblPrEx>
        <w:trPr>
          <w:cantSplit/>
          <w:trHeight w:val="20"/>
        </w:trPr>
        <w:tc>
          <w:tcPr>
            <w:tcW w:w="785" w:type="pct"/>
            <w:vMerge/>
          </w:tcPr>
          <w:p w14:paraId="29624313" w14:textId="77777777" w:rsidR="00167847" w:rsidRPr="0098262F" w:rsidRDefault="00167847">
            <w:pPr>
              <w:pStyle w:val="TableText"/>
              <w:rPr>
                <w:b/>
              </w:rPr>
            </w:pPr>
          </w:p>
        </w:tc>
        <w:tc>
          <w:tcPr>
            <w:tcW w:w="4215" w:type="pct"/>
            <w:gridSpan w:val="6"/>
          </w:tcPr>
          <w:p w14:paraId="59209957" w14:textId="6B1BED0F" w:rsidR="00167847" w:rsidRPr="0098262F" w:rsidRDefault="00167847">
            <w:pPr>
              <w:pStyle w:val="TableText"/>
            </w:pPr>
            <w:r w:rsidRPr="0098262F">
              <w:rPr>
                <w:b/>
              </w:rPr>
              <w:t>Restriction type:</w:t>
            </w:r>
            <w:r w:rsidRPr="0098262F">
              <w:t xml:space="preserv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(STREAMLINED) </w:t>
            </w:r>
          </w:p>
        </w:tc>
      </w:tr>
      <w:tr w:rsidR="00167847" w:rsidRPr="0098262F" w14:paraId="6BD0EB34" w14:textId="77777777" w:rsidTr="002327C7">
        <w:tblPrEx>
          <w:tblCellMar>
            <w:top w:w="15" w:type="dxa"/>
            <w:bottom w:w="15" w:type="dxa"/>
          </w:tblCellMar>
          <w:tblLook w:val="04A0" w:firstRow="1" w:lastRow="0" w:firstColumn="1" w:lastColumn="0" w:noHBand="0" w:noVBand="1"/>
        </w:tblPrEx>
        <w:trPr>
          <w:cantSplit/>
          <w:trHeight w:val="20"/>
        </w:trPr>
        <w:tc>
          <w:tcPr>
            <w:tcW w:w="785" w:type="pct"/>
            <w:vMerge/>
            <w:vAlign w:val="center"/>
          </w:tcPr>
          <w:p w14:paraId="1A03E5F9" w14:textId="77777777" w:rsidR="00167847" w:rsidRPr="0098262F" w:rsidRDefault="00167847" w:rsidP="002327C7">
            <w:pPr>
              <w:pStyle w:val="TableText"/>
              <w:jc w:val="center"/>
              <w:rPr>
                <w:b/>
              </w:rPr>
            </w:pPr>
          </w:p>
        </w:tc>
        <w:tc>
          <w:tcPr>
            <w:tcW w:w="4215" w:type="pct"/>
            <w:gridSpan w:val="6"/>
            <w:vAlign w:val="center"/>
          </w:tcPr>
          <w:p w14:paraId="0195D31F" w14:textId="186C9E5C" w:rsidR="00167847" w:rsidRPr="0098262F" w:rsidRDefault="00167847">
            <w:pPr>
              <w:pStyle w:val="TableText"/>
              <w:rPr>
                <w:b/>
              </w:rPr>
            </w:pPr>
            <w:r w:rsidRPr="0098262F">
              <w:rPr>
                <w:b/>
              </w:rPr>
              <w:t xml:space="preserve">Condition: </w:t>
            </w:r>
            <w:r>
              <w:t>Schizophrenia</w:t>
            </w:r>
            <w:r w:rsidRPr="0098262F">
              <w:t xml:space="preserve"> </w:t>
            </w:r>
          </w:p>
        </w:tc>
      </w:tr>
      <w:tr w:rsidR="00167847" w:rsidRPr="0098262F" w14:paraId="416196C4" w14:textId="77777777" w:rsidTr="002327C7">
        <w:tblPrEx>
          <w:tblCellMar>
            <w:top w:w="15" w:type="dxa"/>
            <w:bottom w:w="15" w:type="dxa"/>
          </w:tblCellMar>
          <w:tblLook w:val="04A0" w:firstRow="1" w:lastRow="0" w:firstColumn="1" w:lastColumn="0" w:noHBand="0" w:noVBand="1"/>
        </w:tblPrEx>
        <w:trPr>
          <w:cantSplit/>
          <w:trHeight w:val="20"/>
        </w:trPr>
        <w:tc>
          <w:tcPr>
            <w:tcW w:w="785" w:type="pct"/>
            <w:vMerge/>
            <w:vAlign w:val="center"/>
          </w:tcPr>
          <w:p w14:paraId="5D4D9499" w14:textId="77777777" w:rsidR="00167847" w:rsidRPr="0098262F" w:rsidRDefault="00167847" w:rsidP="002327C7">
            <w:pPr>
              <w:pStyle w:val="TableText"/>
              <w:jc w:val="center"/>
              <w:rPr>
                <w:b/>
              </w:rPr>
            </w:pPr>
          </w:p>
        </w:tc>
        <w:tc>
          <w:tcPr>
            <w:tcW w:w="4215" w:type="pct"/>
            <w:gridSpan w:val="6"/>
            <w:vAlign w:val="center"/>
            <w:hideMark/>
          </w:tcPr>
          <w:p w14:paraId="48DC2AC5" w14:textId="344F3268" w:rsidR="00167847" w:rsidRPr="0098262F" w:rsidRDefault="00167847">
            <w:pPr>
              <w:pStyle w:val="TableText"/>
            </w:pPr>
            <w:r w:rsidRPr="0098262F">
              <w:rPr>
                <w:b/>
              </w:rPr>
              <w:t>Indication:</w:t>
            </w:r>
            <w:r w:rsidRPr="0098262F">
              <w:t xml:space="preserve"> </w:t>
            </w:r>
            <w:r>
              <w:t>Schizophrenia</w:t>
            </w:r>
          </w:p>
        </w:tc>
      </w:tr>
      <w:tr w:rsidR="002B01CD" w:rsidRPr="0098262F" w14:paraId="7208B454" w14:textId="77777777" w:rsidTr="002327C7">
        <w:tblPrEx>
          <w:tblCellMar>
            <w:top w:w="15" w:type="dxa"/>
            <w:bottom w:w="15" w:type="dxa"/>
          </w:tblCellMar>
          <w:tblLook w:val="04A0" w:firstRow="1" w:lastRow="0" w:firstColumn="1" w:lastColumn="0" w:noHBand="0" w:noVBand="1"/>
        </w:tblPrEx>
        <w:trPr>
          <w:cantSplit/>
          <w:trHeight w:val="20"/>
        </w:trPr>
        <w:tc>
          <w:tcPr>
            <w:tcW w:w="785" w:type="pct"/>
            <w:vAlign w:val="center"/>
          </w:tcPr>
          <w:p w14:paraId="2AEE839F" w14:textId="12D0A8F4" w:rsidR="00EA4107" w:rsidRPr="00E50502" w:rsidRDefault="00EA4107" w:rsidP="00EA4107">
            <w:pPr>
              <w:pStyle w:val="TableText"/>
              <w:jc w:val="center"/>
              <w:rPr>
                <w:bCs w:val="0"/>
              </w:rPr>
            </w:pPr>
          </w:p>
        </w:tc>
        <w:tc>
          <w:tcPr>
            <w:tcW w:w="4215" w:type="pct"/>
            <w:gridSpan w:val="6"/>
            <w:vAlign w:val="center"/>
          </w:tcPr>
          <w:p w14:paraId="1B3C3CD0" w14:textId="32317126" w:rsidR="00EA4107" w:rsidRPr="0098262F" w:rsidRDefault="00EA4107" w:rsidP="00EA4107">
            <w:pPr>
              <w:pStyle w:val="TableText"/>
              <w:rPr>
                <w:b/>
              </w:rPr>
            </w:pPr>
            <w:r w:rsidRPr="002850BC">
              <w:rPr>
                <w:b/>
              </w:rPr>
              <w:t xml:space="preserve">Administrative Advice: </w:t>
            </w:r>
            <w:r w:rsidRPr="002850BC">
              <w:t>No increase in the maximum quantity or number of units may be authorised.</w:t>
            </w:r>
          </w:p>
        </w:tc>
      </w:tr>
      <w:tr w:rsidR="00F87358" w:rsidRPr="0098262F" w14:paraId="45515373" w14:textId="77777777" w:rsidTr="002327C7">
        <w:tblPrEx>
          <w:tblCellMar>
            <w:top w:w="15" w:type="dxa"/>
            <w:bottom w:w="15" w:type="dxa"/>
          </w:tblCellMar>
          <w:tblLook w:val="04A0" w:firstRow="1" w:lastRow="0" w:firstColumn="1" w:lastColumn="0" w:noHBand="0" w:noVBand="1"/>
        </w:tblPrEx>
        <w:trPr>
          <w:cantSplit/>
          <w:trHeight w:val="20"/>
        </w:trPr>
        <w:tc>
          <w:tcPr>
            <w:tcW w:w="785" w:type="pct"/>
            <w:vAlign w:val="center"/>
          </w:tcPr>
          <w:p w14:paraId="3BCD96FC" w14:textId="69EE66CA" w:rsidR="00EA4107" w:rsidRPr="00E50502" w:rsidRDefault="00EA4107" w:rsidP="00EA4107">
            <w:pPr>
              <w:pStyle w:val="TableText"/>
              <w:jc w:val="center"/>
              <w:rPr>
                <w:bCs w:val="0"/>
              </w:rPr>
            </w:pPr>
          </w:p>
        </w:tc>
        <w:tc>
          <w:tcPr>
            <w:tcW w:w="4215" w:type="pct"/>
            <w:gridSpan w:val="6"/>
            <w:vAlign w:val="center"/>
          </w:tcPr>
          <w:p w14:paraId="59261F95" w14:textId="66338C9C" w:rsidR="00EA4107" w:rsidRPr="0098262F" w:rsidRDefault="00EA4107" w:rsidP="00EA4107">
            <w:pPr>
              <w:pStyle w:val="TableText"/>
              <w:rPr>
                <w:b/>
              </w:rPr>
            </w:pPr>
            <w:r w:rsidRPr="002850BC">
              <w:rPr>
                <w:b/>
              </w:rPr>
              <w:t>Administrative Advice:</w:t>
            </w:r>
            <w:r w:rsidRPr="002850BC">
              <w:rPr>
                <w:rFonts w:ascii="Open Sans" w:hAnsi="Open Sans" w:cs="Open Sans"/>
                <w:sz w:val="22"/>
                <w:szCs w:val="22"/>
                <w:shd w:val="clear" w:color="auto" w:fill="FFFFFF"/>
              </w:rPr>
              <w:t xml:space="preserve"> </w:t>
            </w:r>
            <w:r w:rsidRPr="002850BC">
              <w:t>No increase in the maximum number of repeats may be authorised</w:t>
            </w:r>
          </w:p>
        </w:tc>
      </w:tr>
      <w:tr w:rsidR="00622438" w:rsidRPr="0098262F" w14:paraId="47B57959" w14:textId="77777777" w:rsidTr="002327C7">
        <w:tblPrEx>
          <w:tblCellMar>
            <w:top w:w="15" w:type="dxa"/>
            <w:bottom w:w="15" w:type="dxa"/>
          </w:tblCellMar>
          <w:tblLook w:val="04A0" w:firstRow="1" w:lastRow="0" w:firstColumn="1" w:lastColumn="0" w:noHBand="0" w:noVBand="1"/>
        </w:tblPrEx>
        <w:trPr>
          <w:cantSplit/>
          <w:trHeight w:val="20"/>
        </w:trPr>
        <w:tc>
          <w:tcPr>
            <w:tcW w:w="785" w:type="pct"/>
            <w:vAlign w:val="center"/>
          </w:tcPr>
          <w:p w14:paraId="34C554C9" w14:textId="79EA3E87" w:rsidR="00EA4107" w:rsidRPr="002850BC" w:rsidRDefault="00EA4107" w:rsidP="00EA4107">
            <w:pPr>
              <w:pStyle w:val="TableText"/>
              <w:jc w:val="center"/>
              <w:rPr>
                <w:bCs w:val="0"/>
              </w:rPr>
            </w:pPr>
          </w:p>
        </w:tc>
        <w:tc>
          <w:tcPr>
            <w:tcW w:w="4215" w:type="pct"/>
            <w:gridSpan w:val="6"/>
            <w:vAlign w:val="center"/>
            <w:hideMark/>
          </w:tcPr>
          <w:p w14:paraId="57E1B6D1" w14:textId="7DC9761E" w:rsidR="00EA4107" w:rsidRPr="002850BC" w:rsidRDefault="00EA4107" w:rsidP="00EA4107">
            <w:pPr>
              <w:pStyle w:val="TableText"/>
            </w:pPr>
            <w:r w:rsidRPr="002850BC">
              <w:rPr>
                <w:b/>
              </w:rPr>
              <w:t>Administrative Advice:</w:t>
            </w:r>
            <w:r w:rsidRPr="002850BC">
              <w:t xml:space="preserve"> For a patient switching from oral risperidone, the prescriber must determine the patient dosage of this drug based on the current dose of oral risperidone according to the dose transition table in the Therapeutic Goods Administration (TGA) approved Product Information.</w:t>
            </w:r>
          </w:p>
        </w:tc>
      </w:tr>
      <w:tr w:rsidR="00F87358" w:rsidRPr="0098262F" w14:paraId="4F2223A3" w14:textId="77777777" w:rsidTr="002327C7">
        <w:tblPrEx>
          <w:tblCellMar>
            <w:top w:w="15" w:type="dxa"/>
            <w:bottom w:w="15" w:type="dxa"/>
          </w:tblCellMar>
          <w:tblLook w:val="04A0" w:firstRow="1" w:lastRow="0" w:firstColumn="1" w:lastColumn="0" w:noHBand="0" w:noVBand="1"/>
        </w:tblPrEx>
        <w:trPr>
          <w:cantSplit/>
          <w:trHeight w:val="20"/>
        </w:trPr>
        <w:tc>
          <w:tcPr>
            <w:tcW w:w="785" w:type="pct"/>
            <w:vAlign w:val="center"/>
          </w:tcPr>
          <w:p w14:paraId="02160C03" w14:textId="2A6DB782" w:rsidR="00EA4107" w:rsidRPr="00E50502" w:rsidRDefault="00EA4107" w:rsidP="00EA4107">
            <w:pPr>
              <w:pStyle w:val="TableText"/>
              <w:jc w:val="center"/>
              <w:rPr>
                <w:bCs w:val="0"/>
              </w:rPr>
            </w:pPr>
          </w:p>
        </w:tc>
        <w:tc>
          <w:tcPr>
            <w:tcW w:w="4215" w:type="pct"/>
            <w:gridSpan w:val="6"/>
            <w:vAlign w:val="center"/>
          </w:tcPr>
          <w:p w14:paraId="22D779E0" w14:textId="2B12C453" w:rsidR="00EA4107" w:rsidRPr="00092071" w:rsidRDefault="00EA4107" w:rsidP="00EA4107">
            <w:pPr>
              <w:pStyle w:val="TableText"/>
              <w:rPr>
                <w:bCs w:val="0"/>
              </w:rPr>
            </w:pPr>
            <w:r w:rsidRPr="0098262F">
              <w:rPr>
                <w:b/>
              </w:rPr>
              <w:t>Administrative Advice:</w:t>
            </w:r>
            <w:r>
              <w:t xml:space="preserve"> </w:t>
            </w:r>
            <w:proofErr w:type="gramStart"/>
            <w:r w:rsidRPr="00092071">
              <w:t>For the purpose of</w:t>
            </w:r>
            <w:proofErr w:type="gramEnd"/>
            <w:r w:rsidRPr="00092071">
              <w:t xml:space="preserve"> administering this restriction, Schizophrenia refers to schizophrenia spectrum disorders outlined in the DSM</w:t>
            </w:r>
            <w:r w:rsidR="002D15C9">
              <w:noBreakHyphen/>
            </w:r>
            <w:r w:rsidRPr="00092071">
              <w:t>5 criteria</w:t>
            </w:r>
          </w:p>
        </w:tc>
      </w:tr>
    </w:tbl>
    <w:p w14:paraId="2E4F18A9" w14:textId="6E88C3F6" w:rsidR="00816050" w:rsidRDefault="006602BB" w:rsidP="002D15C9">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74A8786C" w14:textId="4DD52B90" w:rsidR="00060319" w:rsidRPr="00061CBE" w:rsidRDefault="00060319" w:rsidP="00060319">
      <w:pPr>
        <w:pStyle w:val="2-SectionHeading"/>
        <w:numPr>
          <w:ilvl w:val="0"/>
          <w:numId w:val="0"/>
        </w:numPr>
        <w:ind w:left="720" w:hanging="720"/>
        <w:rPr>
          <w:lang w:val="en-GB"/>
        </w:rPr>
      </w:pPr>
      <w:r>
        <w:lastRenderedPageBreak/>
        <w:t xml:space="preserve">9 </w:t>
      </w:r>
      <w:r>
        <w:tab/>
      </w:r>
      <w:r w:rsidRPr="00061CBE">
        <w:t>Context for Decision</w:t>
      </w:r>
    </w:p>
    <w:p w14:paraId="7E20B407" w14:textId="77777777" w:rsidR="00060319" w:rsidRPr="00061CBE" w:rsidRDefault="00060319" w:rsidP="00060319">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06080C7" w14:textId="2C804764" w:rsidR="00486282" w:rsidRPr="00855336" w:rsidRDefault="00060319" w:rsidP="00855336">
      <w:pPr>
        <w:pStyle w:val="2-SectionHeading"/>
        <w:numPr>
          <w:ilvl w:val="0"/>
          <w:numId w:val="0"/>
        </w:numPr>
        <w:ind w:left="720" w:hanging="720"/>
      </w:pPr>
      <w:r>
        <w:t>10</w:t>
      </w:r>
      <w:r w:rsidRPr="00061CBE">
        <w:tab/>
        <w:t>Sponsor’s Comment</w:t>
      </w:r>
    </w:p>
    <w:p w14:paraId="7F970A5E" w14:textId="33D5BB94" w:rsidR="00060319" w:rsidRPr="00061CBE" w:rsidRDefault="00486282" w:rsidP="00855336">
      <w:pPr>
        <w:ind w:left="720"/>
        <w:rPr>
          <w:bCs/>
        </w:rPr>
      </w:pPr>
      <w:r w:rsidRPr="00855336">
        <w:rPr>
          <w:bCs/>
        </w:rPr>
        <w:t>Teva is committed to working with the Department through the PBS listing process, resolving any outstanding items,</w:t>
      </w:r>
      <w:r w:rsidR="009218AC">
        <w:rPr>
          <w:bCs/>
        </w:rPr>
        <w:t xml:space="preserve"> </w:t>
      </w:r>
      <w:r w:rsidRPr="00855336">
        <w:rPr>
          <w:bCs/>
        </w:rPr>
        <w:t>and to support timely access in Australia, ensuring those living with schizophrenia can access clinically appropriate antipsychotic treatment</w:t>
      </w:r>
      <w:r w:rsidR="00855336">
        <w:rPr>
          <w:bCs/>
        </w:rPr>
        <w:t>.</w:t>
      </w:r>
    </w:p>
    <w:p w14:paraId="50A10F2E" w14:textId="77777777" w:rsidR="00A83550" w:rsidRPr="002D15C9" w:rsidRDefault="00A83550" w:rsidP="00762C35">
      <w:pPr>
        <w:spacing w:before="120"/>
        <w:ind w:firstLine="720"/>
        <w:rPr>
          <w:rFonts w:asciiTheme="minorHAnsi" w:hAnsiTheme="minorHAnsi"/>
          <w:b/>
          <w:i/>
          <w:iCs/>
          <w:snapToGrid w:val="0"/>
          <w:lang w:val="en-GB"/>
        </w:rPr>
      </w:pPr>
    </w:p>
    <w:sectPr w:rsidR="00A83550" w:rsidRPr="002D15C9"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0F33" w14:textId="77777777" w:rsidR="005E0069" w:rsidRDefault="005E0069" w:rsidP="00124A51">
      <w:r>
        <w:separator/>
      </w:r>
    </w:p>
    <w:p w14:paraId="6AA6F20A" w14:textId="77777777" w:rsidR="005E0069" w:rsidRDefault="005E0069"/>
  </w:endnote>
  <w:endnote w:type="continuationSeparator" w:id="0">
    <w:p w14:paraId="1EB62EB2" w14:textId="77777777" w:rsidR="005E0069" w:rsidRDefault="005E0069" w:rsidP="00124A51">
      <w:r>
        <w:continuationSeparator/>
      </w:r>
    </w:p>
    <w:p w14:paraId="4E2A3443" w14:textId="77777777" w:rsidR="005E0069" w:rsidRDefault="005E0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17085828" w:rsidR="00D843F2" w:rsidRDefault="00492119">
    <w:pPr>
      <w:pStyle w:val="Footer"/>
    </w:pPr>
    <w:r>
      <w:rPr>
        <w:noProof/>
      </w:rPr>
      <mc:AlternateContent>
        <mc:Choice Requires="wps">
          <w:drawing>
            <wp:anchor distT="0" distB="0" distL="0" distR="0" simplePos="0" relativeHeight="251658244" behindDoc="0" locked="0" layoutInCell="1" allowOverlap="1" wp14:anchorId="362ABBB1" wp14:editId="4CBBF639">
              <wp:simplePos x="635" y="635"/>
              <wp:positionH relativeFrom="page">
                <wp:align>center</wp:align>
              </wp:positionH>
              <wp:positionV relativeFrom="page">
                <wp:align>bottom</wp:align>
              </wp:positionV>
              <wp:extent cx="622300" cy="376555"/>
              <wp:effectExtent l="0" t="0" r="6350" b="0"/>
              <wp:wrapNone/>
              <wp:docPr id="20993082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3F20A3" w14:textId="7BD40D7D"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ABBB1"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73F20A3" w14:textId="7BD40D7D"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ACF1F1B" w:rsidR="00D843F2" w:rsidRDefault="00492119" w:rsidP="00753B29">
    <w:pPr>
      <w:pStyle w:val="Footer"/>
      <w:jc w:val="center"/>
    </w:pPr>
    <w:r>
      <w:rPr>
        <w:noProof/>
      </w:rPr>
      <mc:AlternateContent>
        <mc:Choice Requires="wps">
          <w:drawing>
            <wp:anchor distT="0" distB="0" distL="0" distR="0" simplePos="0" relativeHeight="251658245" behindDoc="0" locked="0" layoutInCell="1" allowOverlap="1" wp14:anchorId="66E91191" wp14:editId="71E81B73">
              <wp:simplePos x="635" y="635"/>
              <wp:positionH relativeFrom="page">
                <wp:align>center</wp:align>
              </wp:positionH>
              <wp:positionV relativeFrom="page">
                <wp:align>bottom</wp:align>
              </wp:positionV>
              <wp:extent cx="622300" cy="376555"/>
              <wp:effectExtent l="0" t="0" r="6350" b="0"/>
              <wp:wrapNone/>
              <wp:docPr id="1791522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0A9EE3" w14:textId="517E3864"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9119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B0A9EE3" w14:textId="517E3864"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p>
  <w:p w14:paraId="37484CD3" w14:textId="1F9F6F6D" w:rsidR="00D843F2" w:rsidRPr="007C1CD9" w:rsidRDefault="005E0069"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A4E7" w14:textId="415B415E" w:rsidR="00D843F2" w:rsidRDefault="00492119">
    <w:pPr>
      <w:pStyle w:val="Footer"/>
    </w:pPr>
    <w:r>
      <w:rPr>
        <w:noProof/>
      </w:rPr>
      <mc:AlternateContent>
        <mc:Choice Requires="wps">
          <w:drawing>
            <wp:anchor distT="0" distB="0" distL="0" distR="0" simplePos="0" relativeHeight="251658243" behindDoc="0" locked="0" layoutInCell="1" allowOverlap="1" wp14:anchorId="64E780FF" wp14:editId="27239826">
              <wp:simplePos x="635" y="635"/>
              <wp:positionH relativeFrom="page">
                <wp:align>center</wp:align>
              </wp:positionH>
              <wp:positionV relativeFrom="page">
                <wp:align>bottom</wp:align>
              </wp:positionV>
              <wp:extent cx="622300" cy="376555"/>
              <wp:effectExtent l="0" t="0" r="6350" b="0"/>
              <wp:wrapNone/>
              <wp:docPr id="14411989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79DA03" w14:textId="35AD841A"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780F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879DA03" w14:textId="35AD841A"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9ECE" w14:textId="77777777" w:rsidR="005E0069" w:rsidRDefault="005E0069" w:rsidP="00124A51">
      <w:r>
        <w:separator/>
      </w:r>
    </w:p>
    <w:p w14:paraId="37D05214" w14:textId="77777777" w:rsidR="005E0069" w:rsidRDefault="005E0069"/>
  </w:footnote>
  <w:footnote w:type="continuationSeparator" w:id="0">
    <w:p w14:paraId="15CFE3BE" w14:textId="77777777" w:rsidR="005E0069" w:rsidRDefault="005E0069" w:rsidP="00124A51">
      <w:r>
        <w:continuationSeparator/>
      </w:r>
    </w:p>
    <w:p w14:paraId="6360BCF9" w14:textId="77777777" w:rsidR="005E0069" w:rsidRDefault="005E0069"/>
  </w:footnote>
  <w:footnote w:id="1">
    <w:p w14:paraId="5F1661FD" w14:textId="1A9482E0" w:rsidR="001C2549" w:rsidRDefault="001C2549">
      <w:pPr>
        <w:pStyle w:val="FootnoteText"/>
      </w:pPr>
      <w:r>
        <w:rPr>
          <w:rStyle w:val="FootnoteReference"/>
        </w:rPr>
        <w:footnoteRef/>
      </w:r>
      <w:r>
        <w:t xml:space="preserve"> Morgan V, Waterreus A, Saw S, et al. </w:t>
      </w:r>
      <w:r w:rsidR="00F97EC6" w:rsidRPr="00F97EC6">
        <w:t>People living with psychotic illness in 2010: The second Australian national survey of psychosis</w:t>
      </w:r>
      <w:r w:rsidR="00F97EC6">
        <w:t>. ANZ J Psych 2012; 46:735</w:t>
      </w:r>
      <w:r w:rsidR="002D15C9">
        <w:noBreakHyphen/>
      </w:r>
      <w:r w:rsidR="00F97EC6">
        <w:t xml:space="preserve">752. </w:t>
      </w:r>
    </w:p>
  </w:footnote>
  <w:footnote w:id="2">
    <w:p w14:paraId="2AE18073" w14:textId="5FB1EE77" w:rsidR="00286E1A" w:rsidRPr="00286E1A" w:rsidRDefault="00C3429F" w:rsidP="00286E1A">
      <w:pPr>
        <w:pStyle w:val="FootnoteText"/>
      </w:pPr>
      <w:r>
        <w:rPr>
          <w:rStyle w:val="FootnoteReference"/>
        </w:rPr>
        <w:footnoteRef/>
      </w:r>
      <w:r>
        <w:t xml:space="preserve"> Kishimoto T, Hagi K, </w:t>
      </w:r>
      <w:r w:rsidR="00286E1A">
        <w:t>Kurokawa S, et al</w:t>
      </w:r>
      <w:r w:rsidR="00286E1A" w:rsidRPr="00286E1A">
        <w:t>. Long</w:t>
      </w:r>
      <w:r w:rsidR="002D15C9">
        <w:noBreakHyphen/>
      </w:r>
      <w:r w:rsidR="00286E1A" w:rsidRPr="00286E1A">
        <w:t>acting injectable versus oral antipsychotics for the maintenance treatment of schizophrenia: a systematic review and comparative meta</w:t>
      </w:r>
      <w:r w:rsidR="002D15C9">
        <w:noBreakHyphen/>
      </w:r>
      <w:r w:rsidR="00286E1A" w:rsidRPr="00286E1A">
        <w:t>analysis of randomised, cohort, and pre–post studies</w:t>
      </w:r>
      <w:r w:rsidR="00286E1A">
        <w:t xml:space="preserve">. </w:t>
      </w:r>
      <w:r w:rsidR="00286E1A" w:rsidRPr="00286E1A">
        <w:rPr>
          <w:i/>
          <w:iCs/>
        </w:rPr>
        <w:t>Lancet Psych</w:t>
      </w:r>
      <w:r w:rsidR="00286E1A">
        <w:t xml:space="preserve"> 2021; 8:387</w:t>
      </w:r>
      <w:r w:rsidR="002D15C9">
        <w:noBreakHyphen/>
      </w:r>
      <w:r w:rsidR="00286E1A">
        <w:t xml:space="preserve">404. </w:t>
      </w:r>
    </w:p>
    <w:p w14:paraId="1F4F97DD" w14:textId="280992FF" w:rsidR="00C3429F" w:rsidRDefault="00C3429F">
      <w:pPr>
        <w:pStyle w:val="FootnoteText"/>
      </w:pPr>
    </w:p>
  </w:footnote>
  <w:footnote w:id="3">
    <w:p w14:paraId="26F5D41A" w14:textId="2BCEFF5E" w:rsidR="00064B4C" w:rsidRPr="00064B4C" w:rsidRDefault="00064B4C" w:rsidP="00064B4C">
      <w:pPr>
        <w:pStyle w:val="FootnoteText"/>
      </w:pPr>
      <w:r>
        <w:rPr>
          <w:rStyle w:val="FootnoteReference"/>
        </w:rPr>
        <w:footnoteRef/>
      </w:r>
      <w:r>
        <w:t xml:space="preserve"> </w:t>
      </w:r>
      <w:r w:rsidRPr="00064B4C">
        <w:t>van der Ven E, Olino TM, Diehl K,</w:t>
      </w:r>
      <w:r>
        <w:t xml:space="preserve"> et al</w:t>
      </w:r>
      <w:r w:rsidRPr="00064B4C">
        <w:t xml:space="preserve">. Ethnoracial </w:t>
      </w:r>
      <w:r>
        <w:t>r</w:t>
      </w:r>
      <w:r w:rsidRPr="00064B4C">
        <w:t xml:space="preserve">isk </w:t>
      </w:r>
      <w:r>
        <w:t>v</w:t>
      </w:r>
      <w:r w:rsidRPr="00064B4C">
        <w:t xml:space="preserve">ariation </w:t>
      </w:r>
      <w:r>
        <w:t>a</w:t>
      </w:r>
      <w:r w:rsidRPr="00064B4C">
        <w:t xml:space="preserve">cross the </w:t>
      </w:r>
      <w:r>
        <w:t>p</w:t>
      </w:r>
      <w:r w:rsidRPr="00064B4C">
        <w:t xml:space="preserve">sychosis </w:t>
      </w:r>
      <w:r>
        <w:t>c</w:t>
      </w:r>
      <w:r w:rsidRPr="00064B4C">
        <w:t xml:space="preserve">ontinuum in the US: A </w:t>
      </w:r>
      <w:r>
        <w:t>s</w:t>
      </w:r>
      <w:r w:rsidRPr="00064B4C">
        <w:t xml:space="preserve">ystematic </w:t>
      </w:r>
      <w:r>
        <w:t>r</w:t>
      </w:r>
      <w:r w:rsidRPr="00064B4C">
        <w:t xml:space="preserve">eview and </w:t>
      </w:r>
      <w:r>
        <w:t>m</w:t>
      </w:r>
      <w:r w:rsidRPr="00064B4C">
        <w:t>eta</w:t>
      </w:r>
      <w:r w:rsidR="002D15C9">
        <w:noBreakHyphen/>
      </w:r>
      <w:r w:rsidR="005F4EEA">
        <w:t>a</w:t>
      </w:r>
      <w:r w:rsidRPr="00064B4C">
        <w:t xml:space="preserve">nalysis. </w:t>
      </w:r>
      <w:r w:rsidRPr="00064B4C">
        <w:rPr>
          <w:i/>
          <w:iCs/>
        </w:rPr>
        <w:t>JAMA Psych</w:t>
      </w:r>
      <w:r w:rsidRPr="00064B4C">
        <w:t xml:space="preserve"> 2024</w:t>
      </w:r>
      <w:r>
        <w:t xml:space="preserve">; </w:t>
      </w:r>
      <w:r w:rsidRPr="00064B4C">
        <w:t>81(5):447</w:t>
      </w:r>
      <w:r w:rsidR="002D15C9">
        <w:noBreakHyphen/>
      </w:r>
      <w:r w:rsidRPr="00064B4C">
        <w:t>455.</w:t>
      </w:r>
    </w:p>
    <w:p w14:paraId="3982903C" w14:textId="3FD6A65D" w:rsidR="00064B4C" w:rsidRDefault="00064B4C">
      <w:pPr>
        <w:pStyle w:val="FootnoteText"/>
      </w:pPr>
    </w:p>
  </w:footnote>
  <w:footnote w:id="4">
    <w:p w14:paraId="02C7F991" w14:textId="1FAAACAA" w:rsidR="00855851" w:rsidRDefault="00855851">
      <w:pPr>
        <w:pStyle w:val="FootnoteText"/>
      </w:pPr>
      <w:r>
        <w:rPr>
          <w:rStyle w:val="FootnoteReference"/>
        </w:rPr>
        <w:footnoteRef/>
      </w:r>
      <w:r>
        <w:t xml:space="preserve"> </w:t>
      </w:r>
      <w:r w:rsidR="00386615">
        <w:t>McCaffrey N, Kaambwa B, Currow DC, Ratcliffe J</w:t>
      </w:r>
      <w:r w:rsidR="00386615" w:rsidRPr="00386615">
        <w:t>. Health</w:t>
      </w:r>
      <w:r w:rsidR="002D15C9">
        <w:noBreakHyphen/>
      </w:r>
      <w:r w:rsidR="00386615" w:rsidRPr="00386615">
        <w:t>related quality of life measured using the EQ</w:t>
      </w:r>
      <w:r w:rsidR="002D15C9">
        <w:noBreakHyphen/>
      </w:r>
      <w:r w:rsidR="00386615" w:rsidRPr="00386615">
        <w:t>5D–5L: South Australian population norms</w:t>
      </w:r>
      <w:r w:rsidR="00386615">
        <w:t xml:space="preserve">. </w:t>
      </w:r>
      <w:r w:rsidR="00386615" w:rsidRPr="00386615">
        <w:rPr>
          <w:i/>
          <w:iCs/>
        </w:rPr>
        <w:t>Health Qual Life Outcomes</w:t>
      </w:r>
      <w:r w:rsidR="00386615">
        <w:t xml:space="preserve"> 2016; 14:133. </w:t>
      </w:r>
    </w:p>
  </w:footnote>
  <w:footnote w:id="5">
    <w:p w14:paraId="38B69D9F" w14:textId="565140F1" w:rsidR="00386615" w:rsidRDefault="00386615">
      <w:pPr>
        <w:pStyle w:val="FootnoteText"/>
      </w:pPr>
      <w:r>
        <w:rPr>
          <w:rStyle w:val="FootnoteReference"/>
        </w:rPr>
        <w:footnoteRef/>
      </w:r>
      <w:r>
        <w:t xml:space="preserve"> Cheng LJ, Chen LA, Cheng JY, Herdman M, Luo N. </w:t>
      </w:r>
      <w:r w:rsidRPr="00386615">
        <w:t>Systematic review reveals that EQ</w:t>
      </w:r>
      <w:r w:rsidR="002D15C9">
        <w:noBreakHyphen/>
      </w:r>
      <w:r w:rsidRPr="00386615">
        <w:t>5D minimally important differences vary with treatment type and may decrease with increasing baseline score</w:t>
      </w:r>
      <w:r>
        <w:t xml:space="preserve">. J Clin Epidemiol 2024; </w:t>
      </w:r>
      <w:hyperlink r:id="rId1" w:tgtFrame="_blank" w:tooltip="Persistent link using digital object identifier" w:history="1">
        <w:r>
          <w:rPr>
            <w:rStyle w:val="anchor-text"/>
            <w:color w:val="0000FF"/>
            <w:u w:val="single"/>
          </w:rPr>
          <w:t>https://doi.org/10.1016/j.jclinepi.2024.111487</w:t>
        </w:r>
      </w:hyperlink>
      <w:r>
        <w:t xml:space="preserve"> </w:t>
      </w:r>
    </w:p>
  </w:footnote>
  <w:footnote w:id="6">
    <w:p w14:paraId="7B24D3B8" w14:textId="5ABC78A0" w:rsidR="007936EF" w:rsidRPr="007936EF" w:rsidRDefault="007936EF" w:rsidP="007936EF">
      <w:pPr>
        <w:pStyle w:val="FootnoteText"/>
      </w:pPr>
      <w:r>
        <w:rPr>
          <w:rStyle w:val="FootnoteReference"/>
        </w:rPr>
        <w:footnoteRef/>
      </w:r>
      <w:r>
        <w:t xml:space="preserve"> Morosini PL, Magliano L, Brambilla L, Ugolini S, Pioli R. </w:t>
      </w:r>
      <w:r w:rsidRPr="007936EF">
        <w:t>Development, reliability and acceptability of a new version of the DSM</w:t>
      </w:r>
      <w:r w:rsidR="002D15C9">
        <w:noBreakHyphen/>
      </w:r>
      <w:r w:rsidRPr="007936EF">
        <w:t>IV Social and Occupational Functioning Assessment Scale (SOFAS) to assess routine social fun</w:t>
      </w:r>
      <w:r>
        <w:t>c</w:t>
      </w:r>
      <w:r w:rsidRPr="007936EF">
        <w:t>tioning</w:t>
      </w:r>
      <w:r>
        <w:t xml:space="preserve">. </w:t>
      </w:r>
      <w:r w:rsidRPr="007936EF">
        <w:rPr>
          <w:i/>
          <w:iCs/>
        </w:rPr>
        <w:t>Acta Psych Scand</w:t>
      </w:r>
      <w:r>
        <w:t xml:space="preserve"> 2001; 101:323</w:t>
      </w:r>
      <w:r w:rsidR="002D15C9">
        <w:noBreakHyphen/>
      </w:r>
      <w:r>
        <w:t xml:space="preserve">329. </w:t>
      </w:r>
    </w:p>
    <w:p w14:paraId="553465DD" w14:textId="4EDB255E" w:rsidR="007936EF" w:rsidRDefault="007936EF">
      <w:pPr>
        <w:pStyle w:val="FootnoteText"/>
      </w:pPr>
    </w:p>
  </w:footnote>
  <w:footnote w:id="7">
    <w:p w14:paraId="069D3657" w14:textId="5C28955D" w:rsidR="00E337F6" w:rsidRDefault="00E337F6">
      <w:pPr>
        <w:pStyle w:val="FootnoteText"/>
      </w:pPr>
      <w:r>
        <w:rPr>
          <w:rStyle w:val="FootnoteReference"/>
        </w:rPr>
        <w:footnoteRef/>
      </w:r>
      <w:r>
        <w:t xml:space="preserve"> Szarfman</w:t>
      </w:r>
      <w:r w:rsidR="00697CFC">
        <w:t xml:space="preserve"> </w:t>
      </w:r>
      <w:r>
        <w:t xml:space="preserve">A, Tonning JM, Levine JG, Doraiswamy PM. </w:t>
      </w:r>
      <w:r w:rsidRPr="00E337F6">
        <w:t>Atypical antipsychotics and pituitary tumors: a pharmacovigilance study</w:t>
      </w:r>
      <w:r>
        <w:t xml:space="preserve">. </w:t>
      </w:r>
      <w:r w:rsidRPr="00E337F6">
        <w:rPr>
          <w:i/>
          <w:iCs/>
        </w:rPr>
        <w:t xml:space="preserve">Pharmacotherapy </w:t>
      </w:r>
      <w:r>
        <w:t>2006; 26:748</w:t>
      </w:r>
      <w:r w:rsidR="002D15C9">
        <w:noBreakHyphen/>
      </w:r>
      <w:r>
        <w:t xml:space="preserve">758. </w:t>
      </w:r>
    </w:p>
  </w:footnote>
  <w:footnote w:id="8">
    <w:p w14:paraId="3A28405E" w14:textId="6BC48016" w:rsidR="003A3D2D" w:rsidRDefault="003A3D2D" w:rsidP="003A3D2D">
      <w:pPr>
        <w:pStyle w:val="FootnoteText"/>
      </w:pPr>
      <w:r>
        <w:rPr>
          <w:rStyle w:val="FootnoteReference"/>
        </w:rPr>
        <w:footnoteRef/>
      </w:r>
      <w:r>
        <w:t xml:space="preserve"> Jibson MD. </w:t>
      </w:r>
      <w:r w:rsidRPr="00167C47">
        <w:t>Second</w:t>
      </w:r>
      <w:r w:rsidR="002D15C9">
        <w:noBreakHyphen/>
      </w:r>
      <w:r w:rsidRPr="00167C47">
        <w:t>generation and other antipsychotic medications: Pharmacology, administration, and side effects</w:t>
      </w:r>
      <w:r>
        <w:t xml:space="preserve">. In: UpToDate, Connor RF, ed, Wolters Kluwer, accessed 21 November 2025. </w:t>
      </w:r>
    </w:p>
  </w:footnote>
  <w:footnote w:id="9">
    <w:p w14:paraId="43C6EF06" w14:textId="29555AD4" w:rsidR="0079435F" w:rsidRDefault="0079435F" w:rsidP="0079435F">
      <w:pPr>
        <w:pStyle w:val="FootnoteText"/>
      </w:pPr>
      <w:r>
        <w:rPr>
          <w:rStyle w:val="FootnoteReference"/>
        </w:rPr>
        <w:footnoteRef/>
      </w:r>
      <w:r>
        <w:t xml:space="preserve"> </w:t>
      </w:r>
      <w:r w:rsidRPr="0079435F">
        <w:t>Franzenburg KR, Corpuz R, Heinloth AN, et al. Efficacy and Safety of TV</w:t>
      </w:r>
      <w:r w:rsidR="002D15C9">
        <w:noBreakHyphen/>
      </w:r>
      <w:r w:rsidRPr="0079435F">
        <w:t>46000 and Second</w:t>
      </w:r>
      <w:r w:rsidR="002D15C9">
        <w:noBreakHyphen/>
      </w:r>
      <w:r w:rsidRPr="0079435F">
        <w:t>Generation Long</w:t>
      </w:r>
      <w:r w:rsidR="002D15C9">
        <w:noBreakHyphen/>
      </w:r>
      <w:r w:rsidRPr="0079435F">
        <w:t>Acting Injectable Antipsychotics in Schizophrenia: A Network Meta</w:t>
      </w:r>
      <w:r w:rsidR="002D15C9">
        <w:noBreakHyphen/>
      </w:r>
      <w:r w:rsidRPr="0079435F">
        <w:t>Analysis. Advances in Therapy. 2025;42(7):2847</w:t>
      </w:r>
      <w:r w:rsidR="002D15C9">
        <w:noBreakHyphen/>
      </w:r>
      <w:r w:rsidRPr="0079435F">
        <w:t>2867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28B58099" w:rsidR="00D843F2" w:rsidRDefault="00492119">
    <w:pPr>
      <w:pStyle w:val="Header"/>
    </w:pPr>
    <w:r>
      <w:rPr>
        <w:noProof/>
      </w:rPr>
      <mc:AlternateContent>
        <mc:Choice Requires="wps">
          <w:drawing>
            <wp:anchor distT="0" distB="0" distL="0" distR="0" simplePos="0" relativeHeight="251658241" behindDoc="0" locked="0" layoutInCell="1" allowOverlap="1" wp14:anchorId="56134732" wp14:editId="6B03CEED">
              <wp:simplePos x="635" y="635"/>
              <wp:positionH relativeFrom="page">
                <wp:align>center</wp:align>
              </wp:positionH>
              <wp:positionV relativeFrom="page">
                <wp:align>top</wp:align>
              </wp:positionV>
              <wp:extent cx="622300" cy="376555"/>
              <wp:effectExtent l="0" t="0" r="6350" b="4445"/>
              <wp:wrapNone/>
              <wp:docPr id="3894992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731F00" w14:textId="78791019"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3473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1731F00" w14:textId="78791019"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06B93A0F" w:rsidR="00D843F2" w:rsidRPr="00195452" w:rsidRDefault="00492119"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501EBA2B" wp14:editId="4E8A38FA">
              <wp:simplePos x="635" y="635"/>
              <wp:positionH relativeFrom="page">
                <wp:align>center</wp:align>
              </wp:positionH>
              <wp:positionV relativeFrom="page">
                <wp:align>top</wp:align>
              </wp:positionV>
              <wp:extent cx="622300" cy="376555"/>
              <wp:effectExtent l="0" t="0" r="6350" b="4445"/>
              <wp:wrapNone/>
              <wp:docPr id="9445080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62E20" w14:textId="23F43D58"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EBA2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E162E20" w14:textId="23F43D58"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r w:rsidR="00DB28F1">
      <w:rPr>
        <w:rFonts w:asciiTheme="minorHAnsi" w:hAnsiTheme="minorHAnsi"/>
        <w:color w:val="808080"/>
      </w:rPr>
      <w:t>Public Summary Document</w:t>
    </w:r>
    <w:r w:rsidR="00550D67">
      <w:rPr>
        <w:rFonts w:asciiTheme="minorHAnsi" w:hAnsiTheme="minorHAnsi"/>
        <w:color w:val="808080"/>
      </w:rPr>
      <w:t xml:space="preserve"> </w:t>
    </w:r>
    <w:r w:rsidR="00075CDF">
      <w:rPr>
        <w:rFonts w:asciiTheme="minorHAnsi" w:hAnsiTheme="minorHAnsi"/>
        <w:color w:val="808080"/>
      </w:rPr>
      <w:t xml:space="preserve">– </w:t>
    </w:r>
    <w:r w:rsidR="00D843F2">
      <w:rPr>
        <w:rFonts w:asciiTheme="minorHAnsi" w:hAnsiTheme="minorHAnsi"/>
        <w:color w:val="808080"/>
      </w:rPr>
      <w:t>M</w:t>
    </w:r>
    <w:r w:rsidR="000E7862">
      <w:rPr>
        <w:rFonts w:asciiTheme="minorHAnsi" w:hAnsiTheme="minorHAnsi"/>
        <w:color w:val="808080"/>
      </w:rPr>
      <w:t>arch</w:t>
    </w:r>
    <w:r w:rsidR="00D843F2">
      <w:rPr>
        <w:rFonts w:asciiTheme="minorHAnsi" w:hAnsiTheme="minorHAnsi"/>
        <w:color w:val="808080"/>
      </w:rPr>
      <w:t xml:space="preserve"> 20</w:t>
    </w:r>
    <w:r w:rsidR="000E7862">
      <w:rPr>
        <w:rFonts w:asciiTheme="minorHAnsi" w:hAnsiTheme="minorHAnsi"/>
        <w:color w:val="808080"/>
      </w:rPr>
      <w:t>26</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BE60" w14:textId="26DB200B" w:rsidR="00D843F2" w:rsidRDefault="00492119">
    <w:pPr>
      <w:pStyle w:val="Header"/>
    </w:pPr>
    <w:r>
      <w:rPr>
        <w:noProof/>
      </w:rPr>
      <mc:AlternateContent>
        <mc:Choice Requires="wps">
          <w:drawing>
            <wp:anchor distT="0" distB="0" distL="0" distR="0" simplePos="0" relativeHeight="251658240" behindDoc="0" locked="0" layoutInCell="1" allowOverlap="1" wp14:anchorId="3F691FE9" wp14:editId="17E7BCA5">
              <wp:simplePos x="635" y="635"/>
              <wp:positionH relativeFrom="page">
                <wp:align>center</wp:align>
              </wp:positionH>
              <wp:positionV relativeFrom="page">
                <wp:align>top</wp:align>
              </wp:positionV>
              <wp:extent cx="622300" cy="376555"/>
              <wp:effectExtent l="0" t="0" r="6350" b="4445"/>
              <wp:wrapNone/>
              <wp:docPr id="11902534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CFF3CA" w14:textId="7CC85AFB"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91FE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8CFF3CA" w14:textId="7CC85AFB" w:rsidR="00492119" w:rsidRPr="00492119" w:rsidRDefault="00492119" w:rsidP="00492119">
                    <w:pPr>
                      <w:rPr>
                        <w:rFonts w:ascii="Aptos" w:eastAsia="Aptos" w:hAnsi="Aptos" w:cs="Aptos"/>
                        <w:noProof/>
                        <w:color w:val="FF0000"/>
                      </w:rPr>
                    </w:pPr>
                    <w:r w:rsidRPr="0049211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383278"/>
    <w:multiLevelType w:val="hybridMultilevel"/>
    <w:tmpl w:val="58A8B10C"/>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32E0E"/>
    <w:multiLevelType w:val="hybridMultilevel"/>
    <w:tmpl w:val="41C2FB9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3D1878"/>
    <w:multiLevelType w:val="multilevel"/>
    <w:tmpl w:val="CBF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54AFE"/>
    <w:multiLevelType w:val="hybridMultilevel"/>
    <w:tmpl w:val="4DD8D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C31A1E"/>
    <w:multiLevelType w:val="hybridMultilevel"/>
    <w:tmpl w:val="FD88D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4B5ADD"/>
    <w:multiLevelType w:val="multilevel"/>
    <w:tmpl w:val="1B0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C1282"/>
    <w:multiLevelType w:val="hybridMultilevel"/>
    <w:tmpl w:val="91E69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E17D79"/>
    <w:multiLevelType w:val="hybridMultilevel"/>
    <w:tmpl w:val="58A8B10C"/>
    <w:lvl w:ilvl="0" w:tplc="0C09000F">
      <w:start w:val="1"/>
      <w:numFmt w:val="decimal"/>
      <w:lvlText w:val="%1."/>
      <w:lvlJc w:val="left"/>
      <w:pPr>
        <w:ind w:left="720" w:hanging="360"/>
      </w:pPr>
      <w:rPr>
        <w:rFonts w:hint="default"/>
      </w:rPr>
    </w:lvl>
    <w:lvl w:ilvl="1" w:tplc="0C090015">
      <w:start w:val="1"/>
      <w:numFmt w:val="upp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A42C49"/>
    <w:multiLevelType w:val="hybridMultilevel"/>
    <w:tmpl w:val="6DBEAD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30AC81E0"/>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46663E"/>
    <w:multiLevelType w:val="multilevel"/>
    <w:tmpl w:val="2956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33188"/>
    <w:multiLevelType w:val="hybridMultilevel"/>
    <w:tmpl w:val="75280FF4"/>
    <w:lvl w:ilvl="0" w:tplc="855C99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2326"/>
    <w:multiLevelType w:val="hybridMultilevel"/>
    <w:tmpl w:val="585891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B400F35"/>
    <w:multiLevelType w:val="hybridMultilevel"/>
    <w:tmpl w:val="58984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682E76"/>
    <w:multiLevelType w:val="hybridMultilevel"/>
    <w:tmpl w:val="621AD5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2BF7877"/>
    <w:multiLevelType w:val="multilevel"/>
    <w:tmpl w:val="E032733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B834F60"/>
    <w:multiLevelType w:val="hybridMultilevel"/>
    <w:tmpl w:val="4B543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4566CC"/>
    <w:multiLevelType w:val="hybridMultilevel"/>
    <w:tmpl w:val="BB0A0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9B20C6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EC272B"/>
    <w:multiLevelType w:val="hybridMultilevel"/>
    <w:tmpl w:val="A2FC3376"/>
    <w:lvl w:ilvl="0" w:tplc="0C090001">
      <w:start w:val="1"/>
      <w:numFmt w:val="bullet"/>
      <w:lvlText w:val=""/>
      <w:lvlJc w:val="left"/>
      <w:pPr>
        <w:ind w:left="551" w:hanging="360"/>
      </w:pPr>
      <w:rPr>
        <w:rFonts w:ascii="Symbol" w:hAnsi="Symbol" w:hint="default"/>
      </w:rPr>
    </w:lvl>
    <w:lvl w:ilvl="1" w:tplc="0C090003">
      <w:start w:val="1"/>
      <w:numFmt w:val="bullet"/>
      <w:lvlText w:val="o"/>
      <w:lvlJc w:val="left"/>
      <w:pPr>
        <w:ind w:left="1271"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num w:numId="1" w16cid:durableId="816186631">
    <w:abstractNumId w:val="29"/>
  </w:num>
  <w:num w:numId="2" w16cid:durableId="917793048">
    <w:abstractNumId w:val="17"/>
  </w:num>
  <w:num w:numId="3" w16cid:durableId="263461728">
    <w:abstractNumId w:val="0"/>
  </w:num>
  <w:num w:numId="4" w16cid:durableId="139346788">
    <w:abstractNumId w:val="30"/>
  </w:num>
  <w:num w:numId="5" w16cid:durableId="220360847">
    <w:abstractNumId w:val="25"/>
  </w:num>
  <w:num w:numId="6" w16cid:durableId="268196418">
    <w:abstractNumId w:val="14"/>
  </w:num>
  <w:num w:numId="7" w16cid:durableId="1048839230">
    <w:abstractNumId w:val="29"/>
  </w:num>
  <w:num w:numId="8" w16cid:durableId="337735522">
    <w:abstractNumId w:val="19"/>
  </w:num>
  <w:num w:numId="9" w16cid:durableId="560167184">
    <w:abstractNumId w:val="9"/>
  </w:num>
  <w:num w:numId="10" w16cid:durableId="1828936774">
    <w:abstractNumId w:val="16"/>
  </w:num>
  <w:num w:numId="11" w16cid:durableId="1111052469">
    <w:abstractNumId w:val="24"/>
  </w:num>
  <w:num w:numId="12" w16cid:durableId="437260588">
    <w:abstractNumId w:val="26"/>
  </w:num>
  <w:num w:numId="13" w16cid:durableId="2021466651">
    <w:abstractNumId w:val="5"/>
  </w:num>
  <w:num w:numId="14" w16cid:durableId="1207065584">
    <w:abstractNumId w:val="18"/>
  </w:num>
  <w:num w:numId="15" w16cid:durableId="1560171052">
    <w:abstractNumId w:val="6"/>
  </w:num>
  <w:num w:numId="16" w16cid:durableId="1800491576">
    <w:abstractNumId w:val="2"/>
  </w:num>
  <w:num w:numId="17" w16cid:durableId="304821685">
    <w:abstractNumId w:val="3"/>
  </w:num>
  <w:num w:numId="18" w16cid:durableId="1979457665">
    <w:abstractNumId w:val="13"/>
  </w:num>
  <w:num w:numId="19" w16cid:durableId="705176722">
    <w:abstractNumId w:val="1"/>
  </w:num>
  <w:num w:numId="20" w16cid:durableId="1926569401">
    <w:abstractNumId w:val="11"/>
  </w:num>
  <w:num w:numId="21" w16cid:durableId="2038313566">
    <w:abstractNumId w:val="10"/>
  </w:num>
  <w:num w:numId="22" w16cid:durableId="209997201">
    <w:abstractNumId w:val="27"/>
  </w:num>
  <w:num w:numId="23" w16cid:durableId="408699874">
    <w:abstractNumId w:val="22"/>
  </w:num>
  <w:num w:numId="24" w16cid:durableId="12974431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005167">
    <w:abstractNumId w:val="21"/>
  </w:num>
  <w:num w:numId="26" w16cid:durableId="1946770394">
    <w:abstractNumId w:val="7"/>
  </w:num>
  <w:num w:numId="27" w16cid:durableId="127818698">
    <w:abstractNumId w:val="15"/>
  </w:num>
  <w:num w:numId="28" w16cid:durableId="1428499247">
    <w:abstractNumId w:val="20"/>
  </w:num>
  <w:num w:numId="29" w16cid:durableId="1758555476">
    <w:abstractNumId w:val="28"/>
  </w:num>
  <w:num w:numId="30" w16cid:durableId="1498307007">
    <w:abstractNumId w:val="4"/>
  </w:num>
  <w:num w:numId="31" w16cid:durableId="24184509">
    <w:abstractNumId w:val="12"/>
  </w:num>
  <w:num w:numId="32" w16cid:durableId="1491288557">
    <w:abstractNumId w:val="14"/>
  </w:num>
  <w:num w:numId="33" w16cid:durableId="1902865847">
    <w:abstractNumId w:val="29"/>
  </w:num>
  <w:num w:numId="34" w16cid:durableId="1578324165">
    <w:abstractNumId w:val="29"/>
  </w:num>
  <w:num w:numId="35" w16cid:durableId="10696842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18"/>
    <w:rsid w:val="00000790"/>
    <w:rsid w:val="0000091F"/>
    <w:rsid w:val="00000E6C"/>
    <w:rsid w:val="0000110B"/>
    <w:rsid w:val="0000162B"/>
    <w:rsid w:val="000017B6"/>
    <w:rsid w:val="00001FB3"/>
    <w:rsid w:val="00002041"/>
    <w:rsid w:val="00002330"/>
    <w:rsid w:val="00002CD6"/>
    <w:rsid w:val="0000320A"/>
    <w:rsid w:val="0000326B"/>
    <w:rsid w:val="00003499"/>
    <w:rsid w:val="00003865"/>
    <w:rsid w:val="0000399D"/>
    <w:rsid w:val="000039B7"/>
    <w:rsid w:val="0000422B"/>
    <w:rsid w:val="000056B9"/>
    <w:rsid w:val="000060B6"/>
    <w:rsid w:val="0000639A"/>
    <w:rsid w:val="00006603"/>
    <w:rsid w:val="000066FD"/>
    <w:rsid w:val="000067F1"/>
    <w:rsid w:val="00006998"/>
    <w:rsid w:val="00006B3A"/>
    <w:rsid w:val="00006F50"/>
    <w:rsid w:val="00006FDE"/>
    <w:rsid w:val="000101C2"/>
    <w:rsid w:val="00010345"/>
    <w:rsid w:val="000117C8"/>
    <w:rsid w:val="0001192C"/>
    <w:rsid w:val="00011971"/>
    <w:rsid w:val="0001318F"/>
    <w:rsid w:val="00013247"/>
    <w:rsid w:val="000132CC"/>
    <w:rsid w:val="000132D1"/>
    <w:rsid w:val="000133BE"/>
    <w:rsid w:val="000135B5"/>
    <w:rsid w:val="0001385F"/>
    <w:rsid w:val="00013CB3"/>
    <w:rsid w:val="000147E9"/>
    <w:rsid w:val="00014AB3"/>
    <w:rsid w:val="000151D5"/>
    <w:rsid w:val="00015886"/>
    <w:rsid w:val="00015C0B"/>
    <w:rsid w:val="00016141"/>
    <w:rsid w:val="000162EF"/>
    <w:rsid w:val="0001695E"/>
    <w:rsid w:val="00017A8B"/>
    <w:rsid w:val="000200E2"/>
    <w:rsid w:val="000203C7"/>
    <w:rsid w:val="000207C9"/>
    <w:rsid w:val="00020914"/>
    <w:rsid w:val="00020DBE"/>
    <w:rsid w:val="00020EE4"/>
    <w:rsid w:val="00021050"/>
    <w:rsid w:val="000219D0"/>
    <w:rsid w:val="00021CE5"/>
    <w:rsid w:val="0002225F"/>
    <w:rsid w:val="000223FD"/>
    <w:rsid w:val="00022692"/>
    <w:rsid w:val="00022AD5"/>
    <w:rsid w:val="00022B9B"/>
    <w:rsid w:val="00022F6B"/>
    <w:rsid w:val="00023482"/>
    <w:rsid w:val="00023595"/>
    <w:rsid w:val="00023763"/>
    <w:rsid w:val="0002384D"/>
    <w:rsid w:val="00023FAF"/>
    <w:rsid w:val="00024211"/>
    <w:rsid w:val="0002475E"/>
    <w:rsid w:val="00024EB5"/>
    <w:rsid w:val="00024F7D"/>
    <w:rsid w:val="00025141"/>
    <w:rsid w:val="00025405"/>
    <w:rsid w:val="00025727"/>
    <w:rsid w:val="00026E50"/>
    <w:rsid w:val="000274A7"/>
    <w:rsid w:val="000274B8"/>
    <w:rsid w:val="000300FA"/>
    <w:rsid w:val="0003025E"/>
    <w:rsid w:val="00030F4B"/>
    <w:rsid w:val="00031699"/>
    <w:rsid w:val="0003180D"/>
    <w:rsid w:val="00031BE3"/>
    <w:rsid w:val="00031C1B"/>
    <w:rsid w:val="0003218D"/>
    <w:rsid w:val="00032353"/>
    <w:rsid w:val="00032406"/>
    <w:rsid w:val="00032B12"/>
    <w:rsid w:val="00032C11"/>
    <w:rsid w:val="00032CC1"/>
    <w:rsid w:val="0003347D"/>
    <w:rsid w:val="0003379F"/>
    <w:rsid w:val="00033863"/>
    <w:rsid w:val="000339F6"/>
    <w:rsid w:val="00033BFE"/>
    <w:rsid w:val="000341A4"/>
    <w:rsid w:val="000344BA"/>
    <w:rsid w:val="00034EFC"/>
    <w:rsid w:val="000353D5"/>
    <w:rsid w:val="0003555F"/>
    <w:rsid w:val="00035731"/>
    <w:rsid w:val="0003574B"/>
    <w:rsid w:val="00035AF3"/>
    <w:rsid w:val="00035C2D"/>
    <w:rsid w:val="00035DC0"/>
    <w:rsid w:val="000364EA"/>
    <w:rsid w:val="00036829"/>
    <w:rsid w:val="00036EF1"/>
    <w:rsid w:val="0003702F"/>
    <w:rsid w:val="000379CD"/>
    <w:rsid w:val="00037AAE"/>
    <w:rsid w:val="000406ED"/>
    <w:rsid w:val="00040895"/>
    <w:rsid w:val="00040D10"/>
    <w:rsid w:val="00040D18"/>
    <w:rsid w:val="00040F08"/>
    <w:rsid w:val="000410A0"/>
    <w:rsid w:val="00041145"/>
    <w:rsid w:val="00041147"/>
    <w:rsid w:val="000413EB"/>
    <w:rsid w:val="00041558"/>
    <w:rsid w:val="00041A01"/>
    <w:rsid w:val="00041D16"/>
    <w:rsid w:val="00041D2C"/>
    <w:rsid w:val="000420DF"/>
    <w:rsid w:val="000435EE"/>
    <w:rsid w:val="000437D9"/>
    <w:rsid w:val="00043813"/>
    <w:rsid w:val="0004391D"/>
    <w:rsid w:val="00043C37"/>
    <w:rsid w:val="00043DB3"/>
    <w:rsid w:val="000441D7"/>
    <w:rsid w:val="00044D50"/>
    <w:rsid w:val="00045017"/>
    <w:rsid w:val="00045390"/>
    <w:rsid w:val="00045A2B"/>
    <w:rsid w:val="00045A5E"/>
    <w:rsid w:val="00045C65"/>
    <w:rsid w:val="00045F5A"/>
    <w:rsid w:val="00046154"/>
    <w:rsid w:val="0004616C"/>
    <w:rsid w:val="000461DC"/>
    <w:rsid w:val="00046452"/>
    <w:rsid w:val="000467D2"/>
    <w:rsid w:val="0004698F"/>
    <w:rsid w:val="0004699E"/>
    <w:rsid w:val="00046D64"/>
    <w:rsid w:val="0004700A"/>
    <w:rsid w:val="00047062"/>
    <w:rsid w:val="000508C2"/>
    <w:rsid w:val="00050BFD"/>
    <w:rsid w:val="00050F99"/>
    <w:rsid w:val="00051F78"/>
    <w:rsid w:val="00051FD7"/>
    <w:rsid w:val="00052657"/>
    <w:rsid w:val="0005273E"/>
    <w:rsid w:val="00053133"/>
    <w:rsid w:val="000539D0"/>
    <w:rsid w:val="00054621"/>
    <w:rsid w:val="000546AB"/>
    <w:rsid w:val="000546BC"/>
    <w:rsid w:val="000546D7"/>
    <w:rsid w:val="00054A8D"/>
    <w:rsid w:val="00054C8C"/>
    <w:rsid w:val="00054D79"/>
    <w:rsid w:val="00055B6A"/>
    <w:rsid w:val="00055E12"/>
    <w:rsid w:val="000560A9"/>
    <w:rsid w:val="00056123"/>
    <w:rsid w:val="0005664E"/>
    <w:rsid w:val="00056A1B"/>
    <w:rsid w:val="00056ECF"/>
    <w:rsid w:val="000574C2"/>
    <w:rsid w:val="000574FF"/>
    <w:rsid w:val="00057757"/>
    <w:rsid w:val="000577FA"/>
    <w:rsid w:val="00057DD0"/>
    <w:rsid w:val="00057E23"/>
    <w:rsid w:val="00057F6E"/>
    <w:rsid w:val="0006015A"/>
    <w:rsid w:val="00060319"/>
    <w:rsid w:val="000604DF"/>
    <w:rsid w:val="000606BE"/>
    <w:rsid w:val="00061240"/>
    <w:rsid w:val="000612A9"/>
    <w:rsid w:val="000613BB"/>
    <w:rsid w:val="00061C0C"/>
    <w:rsid w:val="00061D82"/>
    <w:rsid w:val="00061E47"/>
    <w:rsid w:val="00061EA9"/>
    <w:rsid w:val="00062324"/>
    <w:rsid w:val="000630EB"/>
    <w:rsid w:val="00063741"/>
    <w:rsid w:val="00063BCA"/>
    <w:rsid w:val="00064159"/>
    <w:rsid w:val="00064B4C"/>
    <w:rsid w:val="000653B5"/>
    <w:rsid w:val="000656F8"/>
    <w:rsid w:val="00065C59"/>
    <w:rsid w:val="00066360"/>
    <w:rsid w:val="000663AF"/>
    <w:rsid w:val="000663D5"/>
    <w:rsid w:val="00066AF8"/>
    <w:rsid w:val="00066D44"/>
    <w:rsid w:val="00066ED8"/>
    <w:rsid w:val="00067843"/>
    <w:rsid w:val="00067A2B"/>
    <w:rsid w:val="00070508"/>
    <w:rsid w:val="00070540"/>
    <w:rsid w:val="00070546"/>
    <w:rsid w:val="00070886"/>
    <w:rsid w:val="000709B0"/>
    <w:rsid w:val="00070C06"/>
    <w:rsid w:val="00070C35"/>
    <w:rsid w:val="00071248"/>
    <w:rsid w:val="000718CC"/>
    <w:rsid w:val="00071E85"/>
    <w:rsid w:val="00072021"/>
    <w:rsid w:val="000720B9"/>
    <w:rsid w:val="00072DE1"/>
    <w:rsid w:val="00072F3C"/>
    <w:rsid w:val="00073168"/>
    <w:rsid w:val="00073699"/>
    <w:rsid w:val="000737F7"/>
    <w:rsid w:val="00073E44"/>
    <w:rsid w:val="00073E8C"/>
    <w:rsid w:val="000756DA"/>
    <w:rsid w:val="00075CDF"/>
    <w:rsid w:val="00075F0D"/>
    <w:rsid w:val="00076006"/>
    <w:rsid w:val="0007645A"/>
    <w:rsid w:val="0007672F"/>
    <w:rsid w:val="00076B54"/>
    <w:rsid w:val="00076B5D"/>
    <w:rsid w:val="000774F0"/>
    <w:rsid w:val="000776E1"/>
    <w:rsid w:val="00080909"/>
    <w:rsid w:val="00080A32"/>
    <w:rsid w:val="00080A52"/>
    <w:rsid w:val="00080CCD"/>
    <w:rsid w:val="00080FE5"/>
    <w:rsid w:val="000812A1"/>
    <w:rsid w:val="000812CA"/>
    <w:rsid w:val="000815B3"/>
    <w:rsid w:val="00081707"/>
    <w:rsid w:val="00081D1D"/>
    <w:rsid w:val="00081E63"/>
    <w:rsid w:val="00082419"/>
    <w:rsid w:val="00082464"/>
    <w:rsid w:val="00082502"/>
    <w:rsid w:val="0008258D"/>
    <w:rsid w:val="0008289A"/>
    <w:rsid w:val="00082905"/>
    <w:rsid w:val="000837E5"/>
    <w:rsid w:val="0008389A"/>
    <w:rsid w:val="00083E99"/>
    <w:rsid w:val="0008424B"/>
    <w:rsid w:val="00084FA8"/>
    <w:rsid w:val="000852EB"/>
    <w:rsid w:val="0008531A"/>
    <w:rsid w:val="000856C5"/>
    <w:rsid w:val="000859B4"/>
    <w:rsid w:val="00085C31"/>
    <w:rsid w:val="000865C5"/>
    <w:rsid w:val="00086848"/>
    <w:rsid w:val="00086E9D"/>
    <w:rsid w:val="000871C8"/>
    <w:rsid w:val="00087717"/>
    <w:rsid w:val="00087E6E"/>
    <w:rsid w:val="000901C8"/>
    <w:rsid w:val="0009022E"/>
    <w:rsid w:val="000902D9"/>
    <w:rsid w:val="000906EF"/>
    <w:rsid w:val="00090C7E"/>
    <w:rsid w:val="00090D9B"/>
    <w:rsid w:val="000911AC"/>
    <w:rsid w:val="00091CC9"/>
    <w:rsid w:val="00091D1D"/>
    <w:rsid w:val="00091E60"/>
    <w:rsid w:val="00092071"/>
    <w:rsid w:val="00092086"/>
    <w:rsid w:val="00092600"/>
    <w:rsid w:val="0009262B"/>
    <w:rsid w:val="00093083"/>
    <w:rsid w:val="000931A8"/>
    <w:rsid w:val="00093310"/>
    <w:rsid w:val="000936A1"/>
    <w:rsid w:val="00093AAE"/>
    <w:rsid w:val="000942F1"/>
    <w:rsid w:val="00094420"/>
    <w:rsid w:val="0009445C"/>
    <w:rsid w:val="00094DAF"/>
    <w:rsid w:val="00095146"/>
    <w:rsid w:val="00095200"/>
    <w:rsid w:val="000952C6"/>
    <w:rsid w:val="0009544B"/>
    <w:rsid w:val="00095C24"/>
    <w:rsid w:val="00095D53"/>
    <w:rsid w:val="00095E14"/>
    <w:rsid w:val="00095FE5"/>
    <w:rsid w:val="00096284"/>
    <w:rsid w:val="000963B6"/>
    <w:rsid w:val="00096AB7"/>
    <w:rsid w:val="00096BBF"/>
    <w:rsid w:val="00097398"/>
    <w:rsid w:val="000A0182"/>
    <w:rsid w:val="000A0FE7"/>
    <w:rsid w:val="000A13A8"/>
    <w:rsid w:val="000A161B"/>
    <w:rsid w:val="000A1662"/>
    <w:rsid w:val="000A16B0"/>
    <w:rsid w:val="000A1BC0"/>
    <w:rsid w:val="000A23D4"/>
    <w:rsid w:val="000A25D3"/>
    <w:rsid w:val="000A28DE"/>
    <w:rsid w:val="000A28E1"/>
    <w:rsid w:val="000A2A54"/>
    <w:rsid w:val="000A2F9E"/>
    <w:rsid w:val="000A30E0"/>
    <w:rsid w:val="000A320A"/>
    <w:rsid w:val="000A3C50"/>
    <w:rsid w:val="000A3E2B"/>
    <w:rsid w:val="000A3E47"/>
    <w:rsid w:val="000A408C"/>
    <w:rsid w:val="000A410A"/>
    <w:rsid w:val="000A4A28"/>
    <w:rsid w:val="000A4DC0"/>
    <w:rsid w:val="000A4F56"/>
    <w:rsid w:val="000A522B"/>
    <w:rsid w:val="000A52D6"/>
    <w:rsid w:val="000A554E"/>
    <w:rsid w:val="000A5E93"/>
    <w:rsid w:val="000A6039"/>
    <w:rsid w:val="000A63A2"/>
    <w:rsid w:val="000A64DF"/>
    <w:rsid w:val="000A6AF4"/>
    <w:rsid w:val="000A6EA5"/>
    <w:rsid w:val="000A6EE9"/>
    <w:rsid w:val="000A7453"/>
    <w:rsid w:val="000A7970"/>
    <w:rsid w:val="000A7D08"/>
    <w:rsid w:val="000B0121"/>
    <w:rsid w:val="000B015A"/>
    <w:rsid w:val="000B0471"/>
    <w:rsid w:val="000B0670"/>
    <w:rsid w:val="000B0E75"/>
    <w:rsid w:val="000B0E81"/>
    <w:rsid w:val="000B1484"/>
    <w:rsid w:val="000B1619"/>
    <w:rsid w:val="000B16D6"/>
    <w:rsid w:val="000B17B4"/>
    <w:rsid w:val="000B1E50"/>
    <w:rsid w:val="000B1E65"/>
    <w:rsid w:val="000B2B5B"/>
    <w:rsid w:val="000B2DCB"/>
    <w:rsid w:val="000B2E91"/>
    <w:rsid w:val="000B304F"/>
    <w:rsid w:val="000B30EE"/>
    <w:rsid w:val="000B3273"/>
    <w:rsid w:val="000B3705"/>
    <w:rsid w:val="000B45EB"/>
    <w:rsid w:val="000B4AB5"/>
    <w:rsid w:val="000B4F4B"/>
    <w:rsid w:val="000B5192"/>
    <w:rsid w:val="000B5856"/>
    <w:rsid w:val="000B58FA"/>
    <w:rsid w:val="000B5A76"/>
    <w:rsid w:val="000B5CE0"/>
    <w:rsid w:val="000B60E5"/>
    <w:rsid w:val="000B698F"/>
    <w:rsid w:val="000B6CAC"/>
    <w:rsid w:val="000B7612"/>
    <w:rsid w:val="000B78AE"/>
    <w:rsid w:val="000B7C97"/>
    <w:rsid w:val="000B7CE4"/>
    <w:rsid w:val="000B7D53"/>
    <w:rsid w:val="000B7FD4"/>
    <w:rsid w:val="000C09FF"/>
    <w:rsid w:val="000C0BE6"/>
    <w:rsid w:val="000C0FC5"/>
    <w:rsid w:val="000C18B2"/>
    <w:rsid w:val="000C229B"/>
    <w:rsid w:val="000C2D65"/>
    <w:rsid w:val="000C32F2"/>
    <w:rsid w:val="000C33CB"/>
    <w:rsid w:val="000C36FD"/>
    <w:rsid w:val="000C3912"/>
    <w:rsid w:val="000C3A8C"/>
    <w:rsid w:val="000C3BB4"/>
    <w:rsid w:val="000C3DF9"/>
    <w:rsid w:val="000C4276"/>
    <w:rsid w:val="000C4CF2"/>
    <w:rsid w:val="000C4F13"/>
    <w:rsid w:val="000C594D"/>
    <w:rsid w:val="000C5B17"/>
    <w:rsid w:val="000C6247"/>
    <w:rsid w:val="000C6713"/>
    <w:rsid w:val="000C6AC6"/>
    <w:rsid w:val="000C6B73"/>
    <w:rsid w:val="000C6C3E"/>
    <w:rsid w:val="000C727F"/>
    <w:rsid w:val="000C7AF4"/>
    <w:rsid w:val="000C7D7A"/>
    <w:rsid w:val="000D1BFC"/>
    <w:rsid w:val="000D1D5D"/>
    <w:rsid w:val="000D2028"/>
    <w:rsid w:val="000D25EE"/>
    <w:rsid w:val="000D25FE"/>
    <w:rsid w:val="000D260B"/>
    <w:rsid w:val="000D281A"/>
    <w:rsid w:val="000D2848"/>
    <w:rsid w:val="000D2C95"/>
    <w:rsid w:val="000D326A"/>
    <w:rsid w:val="000D3695"/>
    <w:rsid w:val="000D3A09"/>
    <w:rsid w:val="000D40AC"/>
    <w:rsid w:val="000D4130"/>
    <w:rsid w:val="000D4B4D"/>
    <w:rsid w:val="000D4EE4"/>
    <w:rsid w:val="000D50B6"/>
    <w:rsid w:val="000D51FB"/>
    <w:rsid w:val="000D5792"/>
    <w:rsid w:val="000D5F4F"/>
    <w:rsid w:val="000D62B5"/>
    <w:rsid w:val="000D62D9"/>
    <w:rsid w:val="000D63C8"/>
    <w:rsid w:val="000D6459"/>
    <w:rsid w:val="000D6800"/>
    <w:rsid w:val="000D6B29"/>
    <w:rsid w:val="000D6F47"/>
    <w:rsid w:val="000D7CC7"/>
    <w:rsid w:val="000E014D"/>
    <w:rsid w:val="000E0640"/>
    <w:rsid w:val="000E08A7"/>
    <w:rsid w:val="000E0A36"/>
    <w:rsid w:val="000E0D6C"/>
    <w:rsid w:val="000E0E1F"/>
    <w:rsid w:val="000E1316"/>
    <w:rsid w:val="000E135D"/>
    <w:rsid w:val="000E157B"/>
    <w:rsid w:val="000E17BE"/>
    <w:rsid w:val="000E19DA"/>
    <w:rsid w:val="000E21C2"/>
    <w:rsid w:val="000E2394"/>
    <w:rsid w:val="000E2442"/>
    <w:rsid w:val="000E2D5C"/>
    <w:rsid w:val="000E3224"/>
    <w:rsid w:val="000E42DF"/>
    <w:rsid w:val="000E47DD"/>
    <w:rsid w:val="000E5A01"/>
    <w:rsid w:val="000E659F"/>
    <w:rsid w:val="000E6CE3"/>
    <w:rsid w:val="000E72F6"/>
    <w:rsid w:val="000E73DA"/>
    <w:rsid w:val="000E7645"/>
    <w:rsid w:val="000E7844"/>
    <w:rsid w:val="000E7862"/>
    <w:rsid w:val="000F00BA"/>
    <w:rsid w:val="000F04F3"/>
    <w:rsid w:val="000F0868"/>
    <w:rsid w:val="000F0A4E"/>
    <w:rsid w:val="000F0FC3"/>
    <w:rsid w:val="000F248E"/>
    <w:rsid w:val="000F28B2"/>
    <w:rsid w:val="000F2980"/>
    <w:rsid w:val="000F316A"/>
    <w:rsid w:val="000F344E"/>
    <w:rsid w:val="000F399E"/>
    <w:rsid w:val="000F3C74"/>
    <w:rsid w:val="000F4AC1"/>
    <w:rsid w:val="000F4B9F"/>
    <w:rsid w:val="000F4BB8"/>
    <w:rsid w:val="000F4FA9"/>
    <w:rsid w:val="000F51F8"/>
    <w:rsid w:val="000F5371"/>
    <w:rsid w:val="000F53FB"/>
    <w:rsid w:val="000F566F"/>
    <w:rsid w:val="000F5731"/>
    <w:rsid w:val="000F60E7"/>
    <w:rsid w:val="000F64E0"/>
    <w:rsid w:val="000F67B4"/>
    <w:rsid w:val="000F6915"/>
    <w:rsid w:val="000F6F17"/>
    <w:rsid w:val="000F7127"/>
    <w:rsid w:val="000F7236"/>
    <w:rsid w:val="000F752B"/>
    <w:rsid w:val="000F7B54"/>
    <w:rsid w:val="000F7FD2"/>
    <w:rsid w:val="001000B3"/>
    <w:rsid w:val="00100274"/>
    <w:rsid w:val="00100D03"/>
    <w:rsid w:val="00100D9D"/>
    <w:rsid w:val="00100F8A"/>
    <w:rsid w:val="001012B9"/>
    <w:rsid w:val="00101B4A"/>
    <w:rsid w:val="00101BC7"/>
    <w:rsid w:val="00102576"/>
    <w:rsid w:val="00102BB4"/>
    <w:rsid w:val="00102F2B"/>
    <w:rsid w:val="001034F3"/>
    <w:rsid w:val="00103DF4"/>
    <w:rsid w:val="0010452E"/>
    <w:rsid w:val="00104720"/>
    <w:rsid w:val="001048AA"/>
    <w:rsid w:val="00104B59"/>
    <w:rsid w:val="001057D6"/>
    <w:rsid w:val="00105AE2"/>
    <w:rsid w:val="00105B31"/>
    <w:rsid w:val="00105DF9"/>
    <w:rsid w:val="00105E43"/>
    <w:rsid w:val="001060C6"/>
    <w:rsid w:val="001060C9"/>
    <w:rsid w:val="0010671A"/>
    <w:rsid w:val="00106744"/>
    <w:rsid w:val="00106951"/>
    <w:rsid w:val="00106B80"/>
    <w:rsid w:val="00106F4B"/>
    <w:rsid w:val="00107115"/>
    <w:rsid w:val="0010756A"/>
    <w:rsid w:val="00107E8F"/>
    <w:rsid w:val="001100FD"/>
    <w:rsid w:val="00110293"/>
    <w:rsid w:val="0011032E"/>
    <w:rsid w:val="00110804"/>
    <w:rsid w:val="00110999"/>
    <w:rsid w:val="00110D39"/>
    <w:rsid w:val="00110EF6"/>
    <w:rsid w:val="00110F6E"/>
    <w:rsid w:val="00111021"/>
    <w:rsid w:val="00111A3B"/>
    <w:rsid w:val="00111BA6"/>
    <w:rsid w:val="00111DCD"/>
    <w:rsid w:val="001121CD"/>
    <w:rsid w:val="001122AF"/>
    <w:rsid w:val="001128D2"/>
    <w:rsid w:val="00112B05"/>
    <w:rsid w:val="00112C8E"/>
    <w:rsid w:val="00112EBD"/>
    <w:rsid w:val="001130F9"/>
    <w:rsid w:val="0011348B"/>
    <w:rsid w:val="0011380A"/>
    <w:rsid w:val="00113C9D"/>
    <w:rsid w:val="00114D5B"/>
    <w:rsid w:val="0011513E"/>
    <w:rsid w:val="001157CA"/>
    <w:rsid w:val="00115982"/>
    <w:rsid w:val="00115A6B"/>
    <w:rsid w:val="00116AB7"/>
    <w:rsid w:val="00116C53"/>
    <w:rsid w:val="00117846"/>
    <w:rsid w:val="00117954"/>
    <w:rsid w:val="00117DDA"/>
    <w:rsid w:val="00117E4D"/>
    <w:rsid w:val="001203E7"/>
    <w:rsid w:val="001204DF"/>
    <w:rsid w:val="00120B57"/>
    <w:rsid w:val="001210BB"/>
    <w:rsid w:val="001212BD"/>
    <w:rsid w:val="00121799"/>
    <w:rsid w:val="001219AF"/>
    <w:rsid w:val="00121A5D"/>
    <w:rsid w:val="00121B82"/>
    <w:rsid w:val="00121F0F"/>
    <w:rsid w:val="00121F2B"/>
    <w:rsid w:val="001222FC"/>
    <w:rsid w:val="0012231C"/>
    <w:rsid w:val="00122C4E"/>
    <w:rsid w:val="00122E79"/>
    <w:rsid w:val="0012314D"/>
    <w:rsid w:val="001231BF"/>
    <w:rsid w:val="00123902"/>
    <w:rsid w:val="00123A9E"/>
    <w:rsid w:val="001243A7"/>
    <w:rsid w:val="001244C8"/>
    <w:rsid w:val="00124A51"/>
    <w:rsid w:val="00124CA1"/>
    <w:rsid w:val="00124CAE"/>
    <w:rsid w:val="001263AC"/>
    <w:rsid w:val="00126621"/>
    <w:rsid w:val="00126B1D"/>
    <w:rsid w:val="001270AF"/>
    <w:rsid w:val="00127ADE"/>
    <w:rsid w:val="00127B45"/>
    <w:rsid w:val="00127D2E"/>
    <w:rsid w:val="001301E9"/>
    <w:rsid w:val="00130AC8"/>
    <w:rsid w:val="00130D16"/>
    <w:rsid w:val="0013195F"/>
    <w:rsid w:val="00131D82"/>
    <w:rsid w:val="00131EF7"/>
    <w:rsid w:val="00132538"/>
    <w:rsid w:val="00132893"/>
    <w:rsid w:val="00132B22"/>
    <w:rsid w:val="00133104"/>
    <w:rsid w:val="00133A63"/>
    <w:rsid w:val="00133C09"/>
    <w:rsid w:val="00133D36"/>
    <w:rsid w:val="00133D89"/>
    <w:rsid w:val="00134532"/>
    <w:rsid w:val="0013464C"/>
    <w:rsid w:val="001347D6"/>
    <w:rsid w:val="00134B43"/>
    <w:rsid w:val="00134FAA"/>
    <w:rsid w:val="00135EA4"/>
    <w:rsid w:val="00136163"/>
    <w:rsid w:val="001363FE"/>
    <w:rsid w:val="00136B3E"/>
    <w:rsid w:val="00136EAC"/>
    <w:rsid w:val="0013729E"/>
    <w:rsid w:val="00137645"/>
    <w:rsid w:val="00137815"/>
    <w:rsid w:val="0014015A"/>
    <w:rsid w:val="0014026C"/>
    <w:rsid w:val="0014076C"/>
    <w:rsid w:val="00140A99"/>
    <w:rsid w:val="00140E99"/>
    <w:rsid w:val="0014128A"/>
    <w:rsid w:val="0014131C"/>
    <w:rsid w:val="00141BBE"/>
    <w:rsid w:val="00142472"/>
    <w:rsid w:val="001427AB"/>
    <w:rsid w:val="00142D6B"/>
    <w:rsid w:val="0014330E"/>
    <w:rsid w:val="001436AA"/>
    <w:rsid w:val="00143EF8"/>
    <w:rsid w:val="00143F67"/>
    <w:rsid w:val="00144795"/>
    <w:rsid w:val="001447F5"/>
    <w:rsid w:val="00144CDC"/>
    <w:rsid w:val="00145234"/>
    <w:rsid w:val="00145540"/>
    <w:rsid w:val="001456B0"/>
    <w:rsid w:val="00145D68"/>
    <w:rsid w:val="001462B4"/>
    <w:rsid w:val="0014685A"/>
    <w:rsid w:val="001476F1"/>
    <w:rsid w:val="00147E75"/>
    <w:rsid w:val="00150411"/>
    <w:rsid w:val="00150B7E"/>
    <w:rsid w:val="001511F7"/>
    <w:rsid w:val="00151235"/>
    <w:rsid w:val="0015160B"/>
    <w:rsid w:val="00151A09"/>
    <w:rsid w:val="00151DB7"/>
    <w:rsid w:val="00151EC0"/>
    <w:rsid w:val="00152236"/>
    <w:rsid w:val="001523E0"/>
    <w:rsid w:val="00152589"/>
    <w:rsid w:val="00152A0D"/>
    <w:rsid w:val="00152F5B"/>
    <w:rsid w:val="00153657"/>
    <w:rsid w:val="0015372E"/>
    <w:rsid w:val="00153FFF"/>
    <w:rsid w:val="001544FB"/>
    <w:rsid w:val="001547AB"/>
    <w:rsid w:val="00154BB4"/>
    <w:rsid w:val="00155CBC"/>
    <w:rsid w:val="001564F3"/>
    <w:rsid w:val="00156F8F"/>
    <w:rsid w:val="00157130"/>
    <w:rsid w:val="00157364"/>
    <w:rsid w:val="00157669"/>
    <w:rsid w:val="001576B1"/>
    <w:rsid w:val="0016047B"/>
    <w:rsid w:val="00160A4C"/>
    <w:rsid w:val="0016214F"/>
    <w:rsid w:val="001626E0"/>
    <w:rsid w:val="00162913"/>
    <w:rsid w:val="00163EFF"/>
    <w:rsid w:val="00163F66"/>
    <w:rsid w:val="0016458D"/>
    <w:rsid w:val="0016478E"/>
    <w:rsid w:val="00164EBE"/>
    <w:rsid w:val="001656FB"/>
    <w:rsid w:val="00165EC4"/>
    <w:rsid w:val="00166156"/>
    <w:rsid w:val="001661FB"/>
    <w:rsid w:val="0016687B"/>
    <w:rsid w:val="001671A0"/>
    <w:rsid w:val="001671CD"/>
    <w:rsid w:val="0016767F"/>
    <w:rsid w:val="001676AB"/>
    <w:rsid w:val="00167847"/>
    <w:rsid w:val="00167C47"/>
    <w:rsid w:val="00170A3A"/>
    <w:rsid w:val="00170EAD"/>
    <w:rsid w:val="00171B43"/>
    <w:rsid w:val="00172467"/>
    <w:rsid w:val="00172B98"/>
    <w:rsid w:val="00172CB5"/>
    <w:rsid w:val="001730C6"/>
    <w:rsid w:val="00173565"/>
    <w:rsid w:val="001739FE"/>
    <w:rsid w:val="00173B07"/>
    <w:rsid w:val="00173B5D"/>
    <w:rsid w:val="00173C7E"/>
    <w:rsid w:val="00174E41"/>
    <w:rsid w:val="001751CE"/>
    <w:rsid w:val="001751FA"/>
    <w:rsid w:val="001754C6"/>
    <w:rsid w:val="00175677"/>
    <w:rsid w:val="001763D6"/>
    <w:rsid w:val="0017663D"/>
    <w:rsid w:val="00176B70"/>
    <w:rsid w:val="00176E7C"/>
    <w:rsid w:val="001776D8"/>
    <w:rsid w:val="00177DFC"/>
    <w:rsid w:val="00180114"/>
    <w:rsid w:val="00180E96"/>
    <w:rsid w:val="00180EA4"/>
    <w:rsid w:val="00180FD1"/>
    <w:rsid w:val="001812E3"/>
    <w:rsid w:val="001813F2"/>
    <w:rsid w:val="001816B0"/>
    <w:rsid w:val="00181995"/>
    <w:rsid w:val="00181C10"/>
    <w:rsid w:val="00181D9C"/>
    <w:rsid w:val="00181F79"/>
    <w:rsid w:val="0018222A"/>
    <w:rsid w:val="001825C5"/>
    <w:rsid w:val="00182FA7"/>
    <w:rsid w:val="001835D1"/>
    <w:rsid w:val="001837FF"/>
    <w:rsid w:val="00183F0F"/>
    <w:rsid w:val="00183F81"/>
    <w:rsid w:val="00184A59"/>
    <w:rsid w:val="00184B0E"/>
    <w:rsid w:val="00184C31"/>
    <w:rsid w:val="00185281"/>
    <w:rsid w:val="001853C8"/>
    <w:rsid w:val="001859E8"/>
    <w:rsid w:val="00186612"/>
    <w:rsid w:val="00186D8A"/>
    <w:rsid w:val="0018752F"/>
    <w:rsid w:val="001879C7"/>
    <w:rsid w:val="001900F4"/>
    <w:rsid w:val="0019120F"/>
    <w:rsid w:val="00191B2B"/>
    <w:rsid w:val="00191C71"/>
    <w:rsid w:val="00191F09"/>
    <w:rsid w:val="0019263D"/>
    <w:rsid w:val="001929B8"/>
    <w:rsid w:val="00192F48"/>
    <w:rsid w:val="001933E8"/>
    <w:rsid w:val="001937BE"/>
    <w:rsid w:val="00193838"/>
    <w:rsid w:val="00193A60"/>
    <w:rsid w:val="00194602"/>
    <w:rsid w:val="00194AD8"/>
    <w:rsid w:val="00194AEB"/>
    <w:rsid w:val="00195170"/>
    <w:rsid w:val="00195222"/>
    <w:rsid w:val="00195393"/>
    <w:rsid w:val="00195452"/>
    <w:rsid w:val="00195531"/>
    <w:rsid w:val="00195740"/>
    <w:rsid w:val="00195A1D"/>
    <w:rsid w:val="0019678C"/>
    <w:rsid w:val="00196C6F"/>
    <w:rsid w:val="00196E04"/>
    <w:rsid w:val="001975D8"/>
    <w:rsid w:val="00197F13"/>
    <w:rsid w:val="001A0178"/>
    <w:rsid w:val="001A0F9D"/>
    <w:rsid w:val="001A10F6"/>
    <w:rsid w:val="001A178E"/>
    <w:rsid w:val="001A17EC"/>
    <w:rsid w:val="001A1C43"/>
    <w:rsid w:val="001A1D85"/>
    <w:rsid w:val="001A1DC8"/>
    <w:rsid w:val="001A2267"/>
    <w:rsid w:val="001A3107"/>
    <w:rsid w:val="001A3F1C"/>
    <w:rsid w:val="001A4191"/>
    <w:rsid w:val="001A43FA"/>
    <w:rsid w:val="001A47C5"/>
    <w:rsid w:val="001A521E"/>
    <w:rsid w:val="001A53D5"/>
    <w:rsid w:val="001A59FB"/>
    <w:rsid w:val="001A5E9E"/>
    <w:rsid w:val="001A6354"/>
    <w:rsid w:val="001A6366"/>
    <w:rsid w:val="001A66B9"/>
    <w:rsid w:val="001A6F17"/>
    <w:rsid w:val="001A6F80"/>
    <w:rsid w:val="001A7288"/>
    <w:rsid w:val="001A73CF"/>
    <w:rsid w:val="001A7703"/>
    <w:rsid w:val="001A792B"/>
    <w:rsid w:val="001A7AE8"/>
    <w:rsid w:val="001A7C83"/>
    <w:rsid w:val="001A7CD3"/>
    <w:rsid w:val="001A7FE5"/>
    <w:rsid w:val="001B00A9"/>
    <w:rsid w:val="001B07B2"/>
    <w:rsid w:val="001B0FA2"/>
    <w:rsid w:val="001B1B59"/>
    <w:rsid w:val="001B204E"/>
    <w:rsid w:val="001B212E"/>
    <w:rsid w:val="001B2372"/>
    <w:rsid w:val="001B2C35"/>
    <w:rsid w:val="001B2C81"/>
    <w:rsid w:val="001B3443"/>
    <w:rsid w:val="001B355E"/>
    <w:rsid w:val="001B4150"/>
    <w:rsid w:val="001B4690"/>
    <w:rsid w:val="001B4D20"/>
    <w:rsid w:val="001B4D9F"/>
    <w:rsid w:val="001B5AC3"/>
    <w:rsid w:val="001B6305"/>
    <w:rsid w:val="001B67ED"/>
    <w:rsid w:val="001B76BD"/>
    <w:rsid w:val="001B7F84"/>
    <w:rsid w:val="001C06ED"/>
    <w:rsid w:val="001C190B"/>
    <w:rsid w:val="001C1A5C"/>
    <w:rsid w:val="001C1A83"/>
    <w:rsid w:val="001C1D21"/>
    <w:rsid w:val="001C218F"/>
    <w:rsid w:val="001C2549"/>
    <w:rsid w:val="001C27FE"/>
    <w:rsid w:val="001C2A9B"/>
    <w:rsid w:val="001C2AE5"/>
    <w:rsid w:val="001C3310"/>
    <w:rsid w:val="001C3815"/>
    <w:rsid w:val="001C3DD6"/>
    <w:rsid w:val="001C4044"/>
    <w:rsid w:val="001C4299"/>
    <w:rsid w:val="001C4471"/>
    <w:rsid w:val="001C4518"/>
    <w:rsid w:val="001C4553"/>
    <w:rsid w:val="001C4687"/>
    <w:rsid w:val="001C4874"/>
    <w:rsid w:val="001C488A"/>
    <w:rsid w:val="001C49E3"/>
    <w:rsid w:val="001C4C66"/>
    <w:rsid w:val="001C5130"/>
    <w:rsid w:val="001C55C1"/>
    <w:rsid w:val="001C57CC"/>
    <w:rsid w:val="001C5F94"/>
    <w:rsid w:val="001C6080"/>
    <w:rsid w:val="001C6574"/>
    <w:rsid w:val="001C65F5"/>
    <w:rsid w:val="001C69D5"/>
    <w:rsid w:val="001C6E66"/>
    <w:rsid w:val="001C6E71"/>
    <w:rsid w:val="001C7E6F"/>
    <w:rsid w:val="001C7ED2"/>
    <w:rsid w:val="001C7FB9"/>
    <w:rsid w:val="001D0B3E"/>
    <w:rsid w:val="001D1069"/>
    <w:rsid w:val="001D10C5"/>
    <w:rsid w:val="001D1100"/>
    <w:rsid w:val="001D1189"/>
    <w:rsid w:val="001D1391"/>
    <w:rsid w:val="001D1A7E"/>
    <w:rsid w:val="001D1CAB"/>
    <w:rsid w:val="001D25D7"/>
    <w:rsid w:val="001D280D"/>
    <w:rsid w:val="001D3A5F"/>
    <w:rsid w:val="001D3FE7"/>
    <w:rsid w:val="001D45FF"/>
    <w:rsid w:val="001D47B8"/>
    <w:rsid w:val="001D4F2B"/>
    <w:rsid w:val="001D50B2"/>
    <w:rsid w:val="001D54CB"/>
    <w:rsid w:val="001D606D"/>
    <w:rsid w:val="001D6218"/>
    <w:rsid w:val="001D66A6"/>
    <w:rsid w:val="001D68F9"/>
    <w:rsid w:val="001D69A4"/>
    <w:rsid w:val="001D6F5B"/>
    <w:rsid w:val="001D71F4"/>
    <w:rsid w:val="001D7616"/>
    <w:rsid w:val="001D7645"/>
    <w:rsid w:val="001D7C17"/>
    <w:rsid w:val="001E072A"/>
    <w:rsid w:val="001E0EAB"/>
    <w:rsid w:val="001E0F2C"/>
    <w:rsid w:val="001E0FC9"/>
    <w:rsid w:val="001E183A"/>
    <w:rsid w:val="001E1B30"/>
    <w:rsid w:val="001E1C60"/>
    <w:rsid w:val="001E1E86"/>
    <w:rsid w:val="001E238E"/>
    <w:rsid w:val="001E2483"/>
    <w:rsid w:val="001E267E"/>
    <w:rsid w:val="001E2826"/>
    <w:rsid w:val="001E2B1E"/>
    <w:rsid w:val="001E2CFF"/>
    <w:rsid w:val="001E2DC0"/>
    <w:rsid w:val="001E2F24"/>
    <w:rsid w:val="001E30D4"/>
    <w:rsid w:val="001E34DF"/>
    <w:rsid w:val="001E39D0"/>
    <w:rsid w:val="001E3AC2"/>
    <w:rsid w:val="001E4108"/>
    <w:rsid w:val="001E42A2"/>
    <w:rsid w:val="001E447D"/>
    <w:rsid w:val="001E487F"/>
    <w:rsid w:val="001E4983"/>
    <w:rsid w:val="001E5122"/>
    <w:rsid w:val="001E52EB"/>
    <w:rsid w:val="001E5356"/>
    <w:rsid w:val="001E5C2F"/>
    <w:rsid w:val="001E5FFE"/>
    <w:rsid w:val="001E61D2"/>
    <w:rsid w:val="001E6246"/>
    <w:rsid w:val="001E62AE"/>
    <w:rsid w:val="001E6635"/>
    <w:rsid w:val="001E6969"/>
    <w:rsid w:val="001E6B27"/>
    <w:rsid w:val="001E72EC"/>
    <w:rsid w:val="001E740C"/>
    <w:rsid w:val="001E766D"/>
    <w:rsid w:val="001F04BE"/>
    <w:rsid w:val="001F05BA"/>
    <w:rsid w:val="001F0891"/>
    <w:rsid w:val="001F0B38"/>
    <w:rsid w:val="001F1235"/>
    <w:rsid w:val="001F138F"/>
    <w:rsid w:val="001F1960"/>
    <w:rsid w:val="001F1CB3"/>
    <w:rsid w:val="001F2CC6"/>
    <w:rsid w:val="001F38B5"/>
    <w:rsid w:val="001F3A62"/>
    <w:rsid w:val="001F3BEA"/>
    <w:rsid w:val="001F3EEF"/>
    <w:rsid w:val="001F4081"/>
    <w:rsid w:val="001F425A"/>
    <w:rsid w:val="001F44D4"/>
    <w:rsid w:val="001F547F"/>
    <w:rsid w:val="001F5812"/>
    <w:rsid w:val="001F5A70"/>
    <w:rsid w:val="001F72D0"/>
    <w:rsid w:val="001F7361"/>
    <w:rsid w:val="001F7BE6"/>
    <w:rsid w:val="00200551"/>
    <w:rsid w:val="0020055B"/>
    <w:rsid w:val="00200895"/>
    <w:rsid w:val="002009EE"/>
    <w:rsid w:val="00200B7E"/>
    <w:rsid w:val="00200B9B"/>
    <w:rsid w:val="00200BC8"/>
    <w:rsid w:val="00200C6D"/>
    <w:rsid w:val="00201007"/>
    <w:rsid w:val="002011B0"/>
    <w:rsid w:val="00201819"/>
    <w:rsid w:val="002018B8"/>
    <w:rsid w:val="00201F6E"/>
    <w:rsid w:val="00201FAB"/>
    <w:rsid w:val="00202791"/>
    <w:rsid w:val="0020289D"/>
    <w:rsid w:val="002028E8"/>
    <w:rsid w:val="0020298C"/>
    <w:rsid w:val="00202D65"/>
    <w:rsid w:val="00202E09"/>
    <w:rsid w:val="00203181"/>
    <w:rsid w:val="00203783"/>
    <w:rsid w:val="0020385F"/>
    <w:rsid w:val="002038EB"/>
    <w:rsid w:val="00203A67"/>
    <w:rsid w:val="00204647"/>
    <w:rsid w:val="0020573B"/>
    <w:rsid w:val="00205C82"/>
    <w:rsid w:val="00206259"/>
    <w:rsid w:val="002068A0"/>
    <w:rsid w:val="00206BAD"/>
    <w:rsid w:val="00206C10"/>
    <w:rsid w:val="00207021"/>
    <w:rsid w:val="0020709B"/>
    <w:rsid w:val="002072F2"/>
    <w:rsid w:val="0020732F"/>
    <w:rsid w:val="002077AE"/>
    <w:rsid w:val="00207D00"/>
    <w:rsid w:val="00207D03"/>
    <w:rsid w:val="00207E31"/>
    <w:rsid w:val="00207EFB"/>
    <w:rsid w:val="00207F07"/>
    <w:rsid w:val="0021028D"/>
    <w:rsid w:val="0021032A"/>
    <w:rsid w:val="00210364"/>
    <w:rsid w:val="002105C1"/>
    <w:rsid w:val="00210BBF"/>
    <w:rsid w:val="002116FD"/>
    <w:rsid w:val="002119AE"/>
    <w:rsid w:val="0021244E"/>
    <w:rsid w:val="00213EF5"/>
    <w:rsid w:val="002140B4"/>
    <w:rsid w:val="00214F76"/>
    <w:rsid w:val="0021529D"/>
    <w:rsid w:val="002166B0"/>
    <w:rsid w:val="0021672A"/>
    <w:rsid w:val="00216AD0"/>
    <w:rsid w:val="00216BF5"/>
    <w:rsid w:val="00216C45"/>
    <w:rsid w:val="00216E23"/>
    <w:rsid w:val="00217671"/>
    <w:rsid w:val="00217955"/>
    <w:rsid w:val="00217AE0"/>
    <w:rsid w:val="00217B09"/>
    <w:rsid w:val="00217E35"/>
    <w:rsid w:val="002200B9"/>
    <w:rsid w:val="002200C3"/>
    <w:rsid w:val="002202C8"/>
    <w:rsid w:val="00220669"/>
    <w:rsid w:val="0022088E"/>
    <w:rsid w:val="00220A7F"/>
    <w:rsid w:val="00222628"/>
    <w:rsid w:val="002228A5"/>
    <w:rsid w:val="00223B49"/>
    <w:rsid w:val="00223D5A"/>
    <w:rsid w:val="00223EAD"/>
    <w:rsid w:val="002240AA"/>
    <w:rsid w:val="00224CA5"/>
    <w:rsid w:val="00224DD4"/>
    <w:rsid w:val="00225604"/>
    <w:rsid w:val="00225771"/>
    <w:rsid w:val="00226381"/>
    <w:rsid w:val="0022709D"/>
    <w:rsid w:val="002275CF"/>
    <w:rsid w:val="002278A0"/>
    <w:rsid w:val="00227CF5"/>
    <w:rsid w:val="00230520"/>
    <w:rsid w:val="002309CC"/>
    <w:rsid w:val="00230A2D"/>
    <w:rsid w:val="00230B4C"/>
    <w:rsid w:val="00231488"/>
    <w:rsid w:val="00231BA9"/>
    <w:rsid w:val="0023209F"/>
    <w:rsid w:val="002324AB"/>
    <w:rsid w:val="002327C7"/>
    <w:rsid w:val="002329DF"/>
    <w:rsid w:val="00232EEC"/>
    <w:rsid w:val="00233000"/>
    <w:rsid w:val="00233C01"/>
    <w:rsid w:val="00233E4F"/>
    <w:rsid w:val="0023413C"/>
    <w:rsid w:val="002346F0"/>
    <w:rsid w:val="00234C64"/>
    <w:rsid w:val="00234E62"/>
    <w:rsid w:val="00234E93"/>
    <w:rsid w:val="0023518A"/>
    <w:rsid w:val="00235E3D"/>
    <w:rsid w:val="0023629D"/>
    <w:rsid w:val="00236517"/>
    <w:rsid w:val="00237255"/>
    <w:rsid w:val="00237514"/>
    <w:rsid w:val="0024027A"/>
    <w:rsid w:val="00240603"/>
    <w:rsid w:val="002407DC"/>
    <w:rsid w:val="00241417"/>
    <w:rsid w:val="0024143C"/>
    <w:rsid w:val="002422A2"/>
    <w:rsid w:val="002424AF"/>
    <w:rsid w:val="00242D27"/>
    <w:rsid w:val="0024338D"/>
    <w:rsid w:val="002434F0"/>
    <w:rsid w:val="00243605"/>
    <w:rsid w:val="002439DC"/>
    <w:rsid w:val="002441D2"/>
    <w:rsid w:val="002445C6"/>
    <w:rsid w:val="00244965"/>
    <w:rsid w:val="00244DC8"/>
    <w:rsid w:val="002458BA"/>
    <w:rsid w:val="00245A8B"/>
    <w:rsid w:val="00245CE9"/>
    <w:rsid w:val="00245F9C"/>
    <w:rsid w:val="0024603C"/>
    <w:rsid w:val="002460FE"/>
    <w:rsid w:val="0024636C"/>
    <w:rsid w:val="00246AE7"/>
    <w:rsid w:val="00246D5E"/>
    <w:rsid w:val="00246EB6"/>
    <w:rsid w:val="00246ED4"/>
    <w:rsid w:val="0024701D"/>
    <w:rsid w:val="00247292"/>
    <w:rsid w:val="00247925"/>
    <w:rsid w:val="00247966"/>
    <w:rsid w:val="002479CF"/>
    <w:rsid w:val="00247D84"/>
    <w:rsid w:val="00247DD6"/>
    <w:rsid w:val="002505F6"/>
    <w:rsid w:val="00250A3A"/>
    <w:rsid w:val="00250B50"/>
    <w:rsid w:val="00250CFF"/>
    <w:rsid w:val="00251006"/>
    <w:rsid w:val="00251642"/>
    <w:rsid w:val="002523D8"/>
    <w:rsid w:val="002524D5"/>
    <w:rsid w:val="002528F7"/>
    <w:rsid w:val="00252A90"/>
    <w:rsid w:val="00252EE4"/>
    <w:rsid w:val="0025351A"/>
    <w:rsid w:val="00253ABE"/>
    <w:rsid w:val="00253B1D"/>
    <w:rsid w:val="00253C65"/>
    <w:rsid w:val="0025433B"/>
    <w:rsid w:val="002545DA"/>
    <w:rsid w:val="00254656"/>
    <w:rsid w:val="00254DCF"/>
    <w:rsid w:val="0025534B"/>
    <w:rsid w:val="0025534D"/>
    <w:rsid w:val="00255357"/>
    <w:rsid w:val="00255BB7"/>
    <w:rsid w:val="002565E9"/>
    <w:rsid w:val="00256628"/>
    <w:rsid w:val="00256BB1"/>
    <w:rsid w:val="002570B4"/>
    <w:rsid w:val="00257538"/>
    <w:rsid w:val="00257541"/>
    <w:rsid w:val="002576B9"/>
    <w:rsid w:val="00257A39"/>
    <w:rsid w:val="00257A60"/>
    <w:rsid w:val="00257AC4"/>
    <w:rsid w:val="00257BBE"/>
    <w:rsid w:val="00257D99"/>
    <w:rsid w:val="00257F6A"/>
    <w:rsid w:val="00260065"/>
    <w:rsid w:val="00261538"/>
    <w:rsid w:val="00261E6B"/>
    <w:rsid w:val="00261EEF"/>
    <w:rsid w:val="00262430"/>
    <w:rsid w:val="002627E0"/>
    <w:rsid w:val="00262853"/>
    <w:rsid w:val="00262A1A"/>
    <w:rsid w:val="00262A50"/>
    <w:rsid w:val="00262A87"/>
    <w:rsid w:val="00262C44"/>
    <w:rsid w:val="00263092"/>
    <w:rsid w:val="00263532"/>
    <w:rsid w:val="002638F2"/>
    <w:rsid w:val="00263949"/>
    <w:rsid w:val="00263984"/>
    <w:rsid w:val="00264D26"/>
    <w:rsid w:val="00264D78"/>
    <w:rsid w:val="00264EA6"/>
    <w:rsid w:val="002650B5"/>
    <w:rsid w:val="00265163"/>
    <w:rsid w:val="00265C5C"/>
    <w:rsid w:val="00265E4C"/>
    <w:rsid w:val="00266047"/>
    <w:rsid w:val="00266741"/>
    <w:rsid w:val="00266D2A"/>
    <w:rsid w:val="002671A1"/>
    <w:rsid w:val="002674AD"/>
    <w:rsid w:val="00267642"/>
    <w:rsid w:val="00267AEA"/>
    <w:rsid w:val="00267C06"/>
    <w:rsid w:val="00267FDE"/>
    <w:rsid w:val="002700E6"/>
    <w:rsid w:val="0027021B"/>
    <w:rsid w:val="0027062F"/>
    <w:rsid w:val="002706F2"/>
    <w:rsid w:val="00270F13"/>
    <w:rsid w:val="00271291"/>
    <w:rsid w:val="00271BC1"/>
    <w:rsid w:val="00271E79"/>
    <w:rsid w:val="0027294B"/>
    <w:rsid w:val="002729AC"/>
    <w:rsid w:val="00272ECA"/>
    <w:rsid w:val="00273EB4"/>
    <w:rsid w:val="0027446B"/>
    <w:rsid w:val="0027460D"/>
    <w:rsid w:val="00274682"/>
    <w:rsid w:val="00275158"/>
    <w:rsid w:val="0027537A"/>
    <w:rsid w:val="002754EF"/>
    <w:rsid w:val="00275C5A"/>
    <w:rsid w:val="00275FCE"/>
    <w:rsid w:val="0027611B"/>
    <w:rsid w:val="0027657D"/>
    <w:rsid w:val="00276F38"/>
    <w:rsid w:val="00276F78"/>
    <w:rsid w:val="0027707E"/>
    <w:rsid w:val="00277AF0"/>
    <w:rsid w:val="00281014"/>
    <w:rsid w:val="0028130D"/>
    <w:rsid w:val="002815FB"/>
    <w:rsid w:val="00281A39"/>
    <w:rsid w:val="00281FF1"/>
    <w:rsid w:val="002822B2"/>
    <w:rsid w:val="00282631"/>
    <w:rsid w:val="00283A54"/>
    <w:rsid w:val="002848A5"/>
    <w:rsid w:val="002848F2"/>
    <w:rsid w:val="002850BC"/>
    <w:rsid w:val="00285683"/>
    <w:rsid w:val="00285BCE"/>
    <w:rsid w:val="00285C97"/>
    <w:rsid w:val="002864CE"/>
    <w:rsid w:val="0028665D"/>
    <w:rsid w:val="00286A4E"/>
    <w:rsid w:val="00286BA9"/>
    <w:rsid w:val="00286E1A"/>
    <w:rsid w:val="00286E67"/>
    <w:rsid w:val="00287A28"/>
    <w:rsid w:val="00287DA6"/>
    <w:rsid w:val="00290689"/>
    <w:rsid w:val="0029071C"/>
    <w:rsid w:val="00290806"/>
    <w:rsid w:val="00290C34"/>
    <w:rsid w:val="002910F5"/>
    <w:rsid w:val="00291741"/>
    <w:rsid w:val="00291755"/>
    <w:rsid w:val="00291960"/>
    <w:rsid w:val="00292233"/>
    <w:rsid w:val="00292344"/>
    <w:rsid w:val="00292929"/>
    <w:rsid w:val="002930FD"/>
    <w:rsid w:val="002937EA"/>
    <w:rsid w:val="00293D26"/>
    <w:rsid w:val="00293F6F"/>
    <w:rsid w:val="002941C3"/>
    <w:rsid w:val="002948DA"/>
    <w:rsid w:val="00294AFC"/>
    <w:rsid w:val="002954DD"/>
    <w:rsid w:val="00295559"/>
    <w:rsid w:val="0029616B"/>
    <w:rsid w:val="00296A53"/>
    <w:rsid w:val="00296C46"/>
    <w:rsid w:val="0029702B"/>
    <w:rsid w:val="00297093"/>
    <w:rsid w:val="002A091E"/>
    <w:rsid w:val="002A10CC"/>
    <w:rsid w:val="002A14AB"/>
    <w:rsid w:val="002A18B2"/>
    <w:rsid w:val="002A23EB"/>
    <w:rsid w:val="002A289B"/>
    <w:rsid w:val="002A2ADE"/>
    <w:rsid w:val="002A2B50"/>
    <w:rsid w:val="002A2CDB"/>
    <w:rsid w:val="002A2E73"/>
    <w:rsid w:val="002A2F50"/>
    <w:rsid w:val="002A302B"/>
    <w:rsid w:val="002A31FF"/>
    <w:rsid w:val="002A3682"/>
    <w:rsid w:val="002A3F0E"/>
    <w:rsid w:val="002A40E8"/>
    <w:rsid w:val="002A41E2"/>
    <w:rsid w:val="002A4581"/>
    <w:rsid w:val="002A483A"/>
    <w:rsid w:val="002A4D89"/>
    <w:rsid w:val="002A53D0"/>
    <w:rsid w:val="002A53F9"/>
    <w:rsid w:val="002A6090"/>
    <w:rsid w:val="002A6973"/>
    <w:rsid w:val="002A6D2F"/>
    <w:rsid w:val="002A7943"/>
    <w:rsid w:val="002A7C0B"/>
    <w:rsid w:val="002B01CD"/>
    <w:rsid w:val="002B0375"/>
    <w:rsid w:val="002B04E0"/>
    <w:rsid w:val="002B056A"/>
    <w:rsid w:val="002B05A1"/>
    <w:rsid w:val="002B05A4"/>
    <w:rsid w:val="002B069C"/>
    <w:rsid w:val="002B09A4"/>
    <w:rsid w:val="002B09CA"/>
    <w:rsid w:val="002B0D98"/>
    <w:rsid w:val="002B118D"/>
    <w:rsid w:val="002B1295"/>
    <w:rsid w:val="002B1C1F"/>
    <w:rsid w:val="002B1DE0"/>
    <w:rsid w:val="002B2156"/>
    <w:rsid w:val="002B2207"/>
    <w:rsid w:val="002B3AE5"/>
    <w:rsid w:val="002B432F"/>
    <w:rsid w:val="002B4340"/>
    <w:rsid w:val="002B4607"/>
    <w:rsid w:val="002B505F"/>
    <w:rsid w:val="002B589F"/>
    <w:rsid w:val="002B5C44"/>
    <w:rsid w:val="002B6124"/>
    <w:rsid w:val="002B62B3"/>
    <w:rsid w:val="002B64A4"/>
    <w:rsid w:val="002B66C3"/>
    <w:rsid w:val="002B6754"/>
    <w:rsid w:val="002B69D4"/>
    <w:rsid w:val="002B6A90"/>
    <w:rsid w:val="002B6CCE"/>
    <w:rsid w:val="002B6F0D"/>
    <w:rsid w:val="002B7492"/>
    <w:rsid w:val="002C0B4B"/>
    <w:rsid w:val="002C0B5C"/>
    <w:rsid w:val="002C0D5E"/>
    <w:rsid w:val="002C16F8"/>
    <w:rsid w:val="002C2050"/>
    <w:rsid w:val="002C2510"/>
    <w:rsid w:val="002C2775"/>
    <w:rsid w:val="002C27C1"/>
    <w:rsid w:val="002C343A"/>
    <w:rsid w:val="002C357B"/>
    <w:rsid w:val="002C36E3"/>
    <w:rsid w:val="002C3CCF"/>
    <w:rsid w:val="002C4A7F"/>
    <w:rsid w:val="002C4BE4"/>
    <w:rsid w:val="002C5099"/>
    <w:rsid w:val="002C5878"/>
    <w:rsid w:val="002C5889"/>
    <w:rsid w:val="002C59EE"/>
    <w:rsid w:val="002C6005"/>
    <w:rsid w:val="002C635E"/>
    <w:rsid w:val="002C654A"/>
    <w:rsid w:val="002C6712"/>
    <w:rsid w:val="002C6891"/>
    <w:rsid w:val="002C71CE"/>
    <w:rsid w:val="002C73BF"/>
    <w:rsid w:val="002C74F1"/>
    <w:rsid w:val="002C76DE"/>
    <w:rsid w:val="002C77C2"/>
    <w:rsid w:val="002C782C"/>
    <w:rsid w:val="002C7A3D"/>
    <w:rsid w:val="002C7AA3"/>
    <w:rsid w:val="002D002A"/>
    <w:rsid w:val="002D08F8"/>
    <w:rsid w:val="002D0A3B"/>
    <w:rsid w:val="002D0B0B"/>
    <w:rsid w:val="002D157A"/>
    <w:rsid w:val="002D15C9"/>
    <w:rsid w:val="002D1A78"/>
    <w:rsid w:val="002D1E8A"/>
    <w:rsid w:val="002D24F9"/>
    <w:rsid w:val="002D25C6"/>
    <w:rsid w:val="002D2E4B"/>
    <w:rsid w:val="002D30E6"/>
    <w:rsid w:val="002D3B18"/>
    <w:rsid w:val="002D4031"/>
    <w:rsid w:val="002D405D"/>
    <w:rsid w:val="002D4101"/>
    <w:rsid w:val="002D41ED"/>
    <w:rsid w:val="002D45CB"/>
    <w:rsid w:val="002D4644"/>
    <w:rsid w:val="002D4794"/>
    <w:rsid w:val="002D4F97"/>
    <w:rsid w:val="002D5356"/>
    <w:rsid w:val="002D53AB"/>
    <w:rsid w:val="002D543A"/>
    <w:rsid w:val="002D577C"/>
    <w:rsid w:val="002D57F6"/>
    <w:rsid w:val="002D5B19"/>
    <w:rsid w:val="002D60A8"/>
    <w:rsid w:val="002D6FAC"/>
    <w:rsid w:val="002D7260"/>
    <w:rsid w:val="002D74C0"/>
    <w:rsid w:val="002D74F5"/>
    <w:rsid w:val="002D7832"/>
    <w:rsid w:val="002D7C9D"/>
    <w:rsid w:val="002E02F2"/>
    <w:rsid w:val="002E038A"/>
    <w:rsid w:val="002E0522"/>
    <w:rsid w:val="002E07F7"/>
    <w:rsid w:val="002E08C2"/>
    <w:rsid w:val="002E09E0"/>
    <w:rsid w:val="002E0E05"/>
    <w:rsid w:val="002E1071"/>
    <w:rsid w:val="002E125E"/>
    <w:rsid w:val="002E14D7"/>
    <w:rsid w:val="002E15B9"/>
    <w:rsid w:val="002E1C6C"/>
    <w:rsid w:val="002E2158"/>
    <w:rsid w:val="002E2D1A"/>
    <w:rsid w:val="002E2ED8"/>
    <w:rsid w:val="002E3266"/>
    <w:rsid w:val="002E3530"/>
    <w:rsid w:val="002E3BDB"/>
    <w:rsid w:val="002E3EEC"/>
    <w:rsid w:val="002E3F26"/>
    <w:rsid w:val="002E45CE"/>
    <w:rsid w:val="002E4B1A"/>
    <w:rsid w:val="002E4C1B"/>
    <w:rsid w:val="002E4EEA"/>
    <w:rsid w:val="002E4F02"/>
    <w:rsid w:val="002E502E"/>
    <w:rsid w:val="002E5A03"/>
    <w:rsid w:val="002E5A17"/>
    <w:rsid w:val="002E5B30"/>
    <w:rsid w:val="002E5D2C"/>
    <w:rsid w:val="002E5DCA"/>
    <w:rsid w:val="002E6B5F"/>
    <w:rsid w:val="002E758B"/>
    <w:rsid w:val="002E7722"/>
    <w:rsid w:val="002F07BA"/>
    <w:rsid w:val="002F0BDA"/>
    <w:rsid w:val="002F0DA9"/>
    <w:rsid w:val="002F0EDE"/>
    <w:rsid w:val="002F1014"/>
    <w:rsid w:val="002F1302"/>
    <w:rsid w:val="002F158E"/>
    <w:rsid w:val="002F16A6"/>
    <w:rsid w:val="002F1E3B"/>
    <w:rsid w:val="002F2126"/>
    <w:rsid w:val="002F22B5"/>
    <w:rsid w:val="002F22E5"/>
    <w:rsid w:val="002F26AF"/>
    <w:rsid w:val="002F2AD8"/>
    <w:rsid w:val="002F2E7E"/>
    <w:rsid w:val="002F2F7C"/>
    <w:rsid w:val="002F30EA"/>
    <w:rsid w:val="002F3818"/>
    <w:rsid w:val="002F3982"/>
    <w:rsid w:val="002F3DD2"/>
    <w:rsid w:val="002F3EBF"/>
    <w:rsid w:val="002F4155"/>
    <w:rsid w:val="002F4396"/>
    <w:rsid w:val="002F4494"/>
    <w:rsid w:val="002F4811"/>
    <w:rsid w:val="002F48FF"/>
    <w:rsid w:val="002F5339"/>
    <w:rsid w:val="002F54EB"/>
    <w:rsid w:val="002F5874"/>
    <w:rsid w:val="002F5BF1"/>
    <w:rsid w:val="002F6012"/>
    <w:rsid w:val="002F6131"/>
    <w:rsid w:val="002F643C"/>
    <w:rsid w:val="002F675E"/>
    <w:rsid w:val="002F71C0"/>
    <w:rsid w:val="002F7259"/>
    <w:rsid w:val="002F72A6"/>
    <w:rsid w:val="002F72CE"/>
    <w:rsid w:val="002F74F1"/>
    <w:rsid w:val="002F7A89"/>
    <w:rsid w:val="00300351"/>
    <w:rsid w:val="0030069B"/>
    <w:rsid w:val="003008AA"/>
    <w:rsid w:val="00300A2C"/>
    <w:rsid w:val="00300A58"/>
    <w:rsid w:val="00300B40"/>
    <w:rsid w:val="00301017"/>
    <w:rsid w:val="0030155F"/>
    <w:rsid w:val="0030165D"/>
    <w:rsid w:val="00301DBD"/>
    <w:rsid w:val="003020E8"/>
    <w:rsid w:val="00302390"/>
    <w:rsid w:val="003028DD"/>
    <w:rsid w:val="003029AE"/>
    <w:rsid w:val="00302DCA"/>
    <w:rsid w:val="00302FD0"/>
    <w:rsid w:val="0030316D"/>
    <w:rsid w:val="003032AC"/>
    <w:rsid w:val="0030330E"/>
    <w:rsid w:val="0030339F"/>
    <w:rsid w:val="0030421A"/>
    <w:rsid w:val="003045A8"/>
    <w:rsid w:val="00304B1D"/>
    <w:rsid w:val="0030524F"/>
    <w:rsid w:val="00305501"/>
    <w:rsid w:val="003055DC"/>
    <w:rsid w:val="0030570A"/>
    <w:rsid w:val="0030587B"/>
    <w:rsid w:val="003058A4"/>
    <w:rsid w:val="00305A1D"/>
    <w:rsid w:val="00305B68"/>
    <w:rsid w:val="00305F43"/>
    <w:rsid w:val="00306D98"/>
    <w:rsid w:val="0030754E"/>
    <w:rsid w:val="0030786C"/>
    <w:rsid w:val="00307F0F"/>
    <w:rsid w:val="00307F7D"/>
    <w:rsid w:val="00307FDA"/>
    <w:rsid w:val="00310188"/>
    <w:rsid w:val="0031031A"/>
    <w:rsid w:val="0031036A"/>
    <w:rsid w:val="00310598"/>
    <w:rsid w:val="00310981"/>
    <w:rsid w:val="0031098C"/>
    <w:rsid w:val="0031109A"/>
    <w:rsid w:val="003110D0"/>
    <w:rsid w:val="003113E3"/>
    <w:rsid w:val="00311449"/>
    <w:rsid w:val="003115CB"/>
    <w:rsid w:val="00311D9B"/>
    <w:rsid w:val="003124D9"/>
    <w:rsid w:val="00312594"/>
    <w:rsid w:val="003127F4"/>
    <w:rsid w:val="003135A2"/>
    <w:rsid w:val="003136B3"/>
    <w:rsid w:val="00313C8F"/>
    <w:rsid w:val="00313DBE"/>
    <w:rsid w:val="00313E16"/>
    <w:rsid w:val="00314FA4"/>
    <w:rsid w:val="003153B5"/>
    <w:rsid w:val="00315498"/>
    <w:rsid w:val="00315931"/>
    <w:rsid w:val="003161FB"/>
    <w:rsid w:val="00316474"/>
    <w:rsid w:val="003164E3"/>
    <w:rsid w:val="00316694"/>
    <w:rsid w:val="00316DC9"/>
    <w:rsid w:val="003173A6"/>
    <w:rsid w:val="00317790"/>
    <w:rsid w:val="003178CA"/>
    <w:rsid w:val="00320190"/>
    <w:rsid w:val="00320AC1"/>
    <w:rsid w:val="00320D56"/>
    <w:rsid w:val="00320F78"/>
    <w:rsid w:val="00321A80"/>
    <w:rsid w:val="00322107"/>
    <w:rsid w:val="00322355"/>
    <w:rsid w:val="0032253A"/>
    <w:rsid w:val="00322846"/>
    <w:rsid w:val="003231BB"/>
    <w:rsid w:val="0032344B"/>
    <w:rsid w:val="00324828"/>
    <w:rsid w:val="00324865"/>
    <w:rsid w:val="00326097"/>
    <w:rsid w:val="00326427"/>
    <w:rsid w:val="00326DA2"/>
    <w:rsid w:val="00326DA7"/>
    <w:rsid w:val="003270E4"/>
    <w:rsid w:val="0033037A"/>
    <w:rsid w:val="00330632"/>
    <w:rsid w:val="00330989"/>
    <w:rsid w:val="00330DAA"/>
    <w:rsid w:val="00330F5C"/>
    <w:rsid w:val="00330FE7"/>
    <w:rsid w:val="00332C7B"/>
    <w:rsid w:val="00333D27"/>
    <w:rsid w:val="003341D6"/>
    <w:rsid w:val="003344C5"/>
    <w:rsid w:val="00334D63"/>
    <w:rsid w:val="00334EBC"/>
    <w:rsid w:val="003354CD"/>
    <w:rsid w:val="0033553D"/>
    <w:rsid w:val="003355D8"/>
    <w:rsid w:val="003359D7"/>
    <w:rsid w:val="00335F06"/>
    <w:rsid w:val="00335FBA"/>
    <w:rsid w:val="00336348"/>
    <w:rsid w:val="003366C9"/>
    <w:rsid w:val="00336A29"/>
    <w:rsid w:val="003371B0"/>
    <w:rsid w:val="00337472"/>
    <w:rsid w:val="003376C0"/>
    <w:rsid w:val="00340DF1"/>
    <w:rsid w:val="003410E0"/>
    <w:rsid w:val="00341258"/>
    <w:rsid w:val="003415B0"/>
    <w:rsid w:val="003416F5"/>
    <w:rsid w:val="00341784"/>
    <w:rsid w:val="003418F4"/>
    <w:rsid w:val="00341A49"/>
    <w:rsid w:val="00341C47"/>
    <w:rsid w:val="00341D6B"/>
    <w:rsid w:val="00342B5D"/>
    <w:rsid w:val="0034396E"/>
    <w:rsid w:val="00343A6F"/>
    <w:rsid w:val="003440F1"/>
    <w:rsid w:val="0034413E"/>
    <w:rsid w:val="003444B9"/>
    <w:rsid w:val="00344AFC"/>
    <w:rsid w:val="003452DB"/>
    <w:rsid w:val="00345370"/>
    <w:rsid w:val="0034671D"/>
    <w:rsid w:val="003470AE"/>
    <w:rsid w:val="00347543"/>
    <w:rsid w:val="003477A6"/>
    <w:rsid w:val="003478FF"/>
    <w:rsid w:val="00347B70"/>
    <w:rsid w:val="00350868"/>
    <w:rsid w:val="003517F9"/>
    <w:rsid w:val="00351A9A"/>
    <w:rsid w:val="00351BA9"/>
    <w:rsid w:val="00351C6A"/>
    <w:rsid w:val="00351E20"/>
    <w:rsid w:val="003524E5"/>
    <w:rsid w:val="003527B4"/>
    <w:rsid w:val="00352D1C"/>
    <w:rsid w:val="00353351"/>
    <w:rsid w:val="00353B07"/>
    <w:rsid w:val="00354929"/>
    <w:rsid w:val="00354CD2"/>
    <w:rsid w:val="00354F64"/>
    <w:rsid w:val="00355446"/>
    <w:rsid w:val="003559D6"/>
    <w:rsid w:val="00355AF8"/>
    <w:rsid w:val="00355C2E"/>
    <w:rsid w:val="003561F5"/>
    <w:rsid w:val="0035620E"/>
    <w:rsid w:val="0035635D"/>
    <w:rsid w:val="00356DE5"/>
    <w:rsid w:val="003573C9"/>
    <w:rsid w:val="003575BE"/>
    <w:rsid w:val="0035760E"/>
    <w:rsid w:val="003602C4"/>
    <w:rsid w:val="00360345"/>
    <w:rsid w:val="003607DA"/>
    <w:rsid w:val="00360B2B"/>
    <w:rsid w:val="00360B6C"/>
    <w:rsid w:val="0036172B"/>
    <w:rsid w:val="00361754"/>
    <w:rsid w:val="00361A05"/>
    <w:rsid w:val="00361A6B"/>
    <w:rsid w:val="00361FEF"/>
    <w:rsid w:val="00362145"/>
    <w:rsid w:val="003624C4"/>
    <w:rsid w:val="0036274D"/>
    <w:rsid w:val="003628D9"/>
    <w:rsid w:val="0036323E"/>
    <w:rsid w:val="003634AD"/>
    <w:rsid w:val="003639D0"/>
    <w:rsid w:val="00363B00"/>
    <w:rsid w:val="003649ED"/>
    <w:rsid w:val="00364ADC"/>
    <w:rsid w:val="003654AC"/>
    <w:rsid w:val="0036582C"/>
    <w:rsid w:val="00365C8F"/>
    <w:rsid w:val="0036655B"/>
    <w:rsid w:val="00366589"/>
    <w:rsid w:val="00366664"/>
    <w:rsid w:val="00366A4F"/>
    <w:rsid w:val="00366D9D"/>
    <w:rsid w:val="003679DF"/>
    <w:rsid w:val="0037042E"/>
    <w:rsid w:val="00370690"/>
    <w:rsid w:val="00370994"/>
    <w:rsid w:val="00370A89"/>
    <w:rsid w:val="003710CF"/>
    <w:rsid w:val="00371719"/>
    <w:rsid w:val="00371E2E"/>
    <w:rsid w:val="00372569"/>
    <w:rsid w:val="0037313B"/>
    <w:rsid w:val="0037345A"/>
    <w:rsid w:val="0037358A"/>
    <w:rsid w:val="0037392F"/>
    <w:rsid w:val="003739B8"/>
    <w:rsid w:val="00373BB6"/>
    <w:rsid w:val="00374018"/>
    <w:rsid w:val="00374958"/>
    <w:rsid w:val="00374A7A"/>
    <w:rsid w:val="003750F6"/>
    <w:rsid w:val="00375A5D"/>
    <w:rsid w:val="00375B25"/>
    <w:rsid w:val="00375C36"/>
    <w:rsid w:val="00375EFD"/>
    <w:rsid w:val="003760B8"/>
    <w:rsid w:val="003760C8"/>
    <w:rsid w:val="003760FC"/>
    <w:rsid w:val="0037676F"/>
    <w:rsid w:val="00377436"/>
    <w:rsid w:val="00380901"/>
    <w:rsid w:val="00381A37"/>
    <w:rsid w:val="003820DD"/>
    <w:rsid w:val="003820E0"/>
    <w:rsid w:val="003823EB"/>
    <w:rsid w:val="00382A85"/>
    <w:rsid w:val="00382AA9"/>
    <w:rsid w:val="00382E98"/>
    <w:rsid w:val="003831F1"/>
    <w:rsid w:val="00383610"/>
    <w:rsid w:val="0038365C"/>
    <w:rsid w:val="0038369B"/>
    <w:rsid w:val="00383B78"/>
    <w:rsid w:val="00383DDE"/>
    <w:rsid w:val="00384DE3"/>
    <w:rsid w:val="0038519E"/>
    <w:rsid w:val="00385A9D"/>
    <w:rsid w:val="00385F89"/>
    <w:rsid w:val="00386474"/>
    <w:rsid w:val="00386615"/>
    <w:rsid w:val="00386D08"/>
    <w:rsid w:val="00387121"/>
    <w:rsid w:val="003878D9"/>
    <w:rsid w:val="00387C9C"/>
    <w:rsid w:val="003901D7"/>
    <w:rsid w:val="003902B1"/>
    <w:rsid w:val="00390B8E"/>
    <w:rsid w:val="00391381"/>
    <w:rsid w:val="0039179C"/>
    <w:rsid w:val="003919AB"/>
    <w:rsid w:val="003926DF"/>
    <w:rsid w:val="0039344D"/>
    <w:rsid w:val="00393594"/>
    <w:rsid w:val="003938D0"/>
    <w:rsid w:val="00394730"/>
    <w:rsid w:val="00394F56"/>
    <w:rsid w:val="00395596"/>
    <w:rsid w:val="00396896"/>
    <w:rsid w:val="00396FD0"/>
    <w:rsid w:val="00397946"/>
    <w:rsid w:val="00397B48"/>
    <w:rsid w:val="003A026D"/>
    <w:rsid w:val="003A040E"/>
    <w:rsid w:val="003A0B2B"/>
    <w:rsid w:val="003A0F17"/>
    <w:rsid w:val="003A1A7A"/>
    <w:rsid w:val="003A1E45"/>
    <w:rsid w:val="003A20EE"/>
    <w:rsid w:val="003A2153"/>
    <w:rsid w:val="003A2392"/>
    <w:rsid w:val="003A270C"/>
    <w:rsid w:val="003A272C"/>
    <w:rsid w:val="003A2831"/>
    <w:rsid w:val="003A29BE"/>
    <w:rsid w:val="003A30A6"/>
    <w:rsid w:val="003A3105"/>
    <w:rsid w:val="003A328D"/>
    <w:rsid w:val="003A32CA"/>
    <w:rsid w:val="003A36C8"/>
    <w:rsid w:val="003A3CB6"/>
    <w:rsid w:val="003A3D14"/>
    <w:rsid w:val="003A3D2D"/>
    <w:rsid w:val="003A3ED1"/>
    <w:rsid w:val="003A40ED"/>
    <w:rsid w:val="003A44DB"/>
    <w:rsid w:val="003A4891"/>
    <w:rsid w:val="003A4B2D"/>
    <w:rsid w:val="003A4C14"/>
    <w:rsid w:val="003A4F21"/>
    <w:rsid w:val="003A5BA9"/>
    <w:rsid w:val="003A5DAC"/>
    <w:rsid w:val="003A5E25"/>
    <w:rsid w:val="003A6555"/>
    <w:rsid w:val="003A6AC6"/>
    <w:rsid w:val="003A6F15"/>
    <w:rsid w:val="003A7353"/>
    <w:rsid w:val="003A7DC7"/>
    <w:rsid w:val="003B00DF"/>
    <w:rsid w:val="003B01DC"/>
    <w:rsid w:val="003B02AF"/>
    <w:rsid w:val="003B05C3"/>
    <w:rsid w:val="003B0731"/>
    <w:rsid w:val="003B0938"/>
    <w:rsid w:val="003B1281"/>
    <w:rsid w:val="003B1A4F"/>
    <w:rsid w:val="003B26F4"/>
    <w:rsid w:val="003B2F69"/>
    <w:rsid w:val="003B3206"/>
    <w:rsid w:val="003B37B3"/>
    <w:rsid w:val="003B3971"/>
    <w:rsid w:val="003B4A5F"/>
    <w:rsid w:val="003B51D3"/>
    <w:rsid w:val="003B54B7"/>
    <w:rsid w:val="003B55D1"/>
    <w:rsid w:val="003B5692"/>
    <w:rsid w:val="003B5B61"/>
    <w:rsid w:val="003B6099"/>
    <w:rsid w:val="003B6891"/>
    <w:rsid w:val="003B6B36"/>
    <w:rsid w:val="003B76F8"/>
    <w:rsid w:val="003B774A"/>
    <w:rsid w:val="003C002D"/>
    <w:rsid w:val="003C084F"/>
    <w:rsid w:val="003C0D82"/>
    <w:rsid w:val="003C125B"/>
    <w:rsid w:val="003C1654"/>
    <w:rsid w:val="003C1994"/>
    <w:rsid w:val="003C2AE5"/>
    <w:rsid w:val="003C36AC"/>
    <w:rsid w:val="003C3DD9"/>
    <w:rsid w:val="003C3E31"/>
    <w:rsid w:val="003C431B"/>
    <w:rsid w:val="003C4724"/>
    <w:rsid w:val="003C5018"/>
    <w:rsid w:val="003C5020"/>
    <w:rsid w:val="003C533C"/>
    <w:rsid w:val="003C5542"/>
    <w:rsid w:val="003C6308"/>
    <w:rsid w:val="003C6D2D"/>
    <w:rsid w:val="003C706C"/>
    <w:rsid w:val="003C7411"/>
    <w:rsid w:val="003C7C15"/>
    <w:rsid w:val="003C7D19"/>
    <w:rsid w:val="003C7D2F"/>
    <w:rsid w:val="003D09B2"/>
    <w:rsid w:val="003D0C5A"/>
    <w:rsid w:val="003D0FFE"/>
    <w:rsid w:val="003D148A"/>
    <w:rsid w:val="003D1828"/>
    <w:rsid w:val="003D1DE4"/>
    <w:rsid w:val="003D1E9A"/>
    <w:rsid w:val="003D20E7"/>
    <w:rsid w:val="003D2422"/>
    <w:rsid w:val="003D2742"/>
    <w:rsid w:val="003D2BF7"/>
    <w:rsid w:val="003D35D6"/>
    <w:rsid w:val="003D36D9"/>
    <w:rsid w:val="003D39A1"/>
    <w:rsid w:val="003D3A3D"/>
    <w:rsid w:val="003D3FBF"/>
    <w:rsid w:val="003D49DF"/>
    <w:rsid w:val="003D4A30"/>
    <w:rsid w:val="003D4B31"/>
    <w:rsid w:val="003D4E48"/>
    <w:rsid w:val="003D5494"/>
    <w:rsid w:val="003D5646"/>
    <w:rsid w:val="003D65C9"/>
    <w:rsid w:val="003D6D78"/>
    <w:rsid w:val="003D6DE1"/>
    <w:rsid w:val="003D7452"/>
    <w:rsid w:val="003D79BB"/>
    <w:rsid w:val="003D7C98"/>
    <w:rsid w:val="003D7D9D"/>
    <w:rsid w:val="003D7F8E"/>
    <w:rsid w:val="003E0543"/>
    <w:rsid w:val="003E09AC"/>
    <w:rsid w:val="003E170A"/>
    <w:rsid w:val="003E18E3"/>
    <w:rsid w:val="003E2659"/>
    <w:rsid w:val="003E2C9D"/>
    <w:rsid w:val="003E45BF"/>
    <w:rsid w:val="003E54BF"/>
    <w:rsid w:val="003E54F6"/>
    <w:rsid w:val="003E5603"/>
    <w:rsid w:val="003E58AB"/>
    <w:rsid w:val="003E5A4B"/>
    <w:rsid w:val="003E5C45"/>
    <w:rsid w:val="003E605A"/>
    <w:rsid w:val="003E6490"/>
    <w:rsid w:val="003E6529"/>
    <w:rsid w:val="003E6827"/>
    <w:rsid w:val="003E6F30"/>
    <w:rsid w:val="003E70DB"/>
    <w:rsid w:val="003E7354"/>
    <w:rsid w:val="003E749E"/>
    <w:rsid w:val="003E7924"/>
    <w:rsid w:val="003E7A47"/>
    <w:rsid w:val="003E7EC0"/>
    <w:rsid w:val="003F059A"/>
    <w:rsid w:val="003F0AE4"/>
    <w:rsid w:val="003F0E65"/>
    <w:rsid w:val="003F10AE"/>
    <w:rsid w:val="003F1441"/>
    <w:rsid w:val="003F15DD"/>
    <w:rsid w:val="003F1998"/>
    <w:rsid w:val="003F1B67"/>
    <w:rsid w:val="003F1B83"/>
    <w:rsid w:val="003F1FAB"/>
    <w:rsid w:val="003F1FE3"/>
    <w:rsid w:val="003F25DC"/>
    <w:rsid w:val="003F25EC"/>
    <w:rsid w:val="003F3DF8"/>
    <w:rsid w:val="003F4156"/>
    <w:rsid w:val="003F4512"/>
    <w:rsid w:val="003F4EDC"/>
    <w:rsid w:val="003F5ADF"/>
    <w:rsid w:val="003F5E73"/>
    <w:rsid w:val="003F5F3E"/>
    <w:rsid w:val="003F6141"/>
    <w:rsid w:val="003F6301"/>
    <w:rsid w:val="003F720A"/>
    <w:rsid w:val="003F7537"/>
    <w:rsid w:val="003F75ED"/>
    <w:rsid w:val="003F7733"/>
    <w:rsid w:val="003F7A35"/>
    <w:rsid w:val="004000FC"/>
    <w:rsid w:val="004004E8"/>
    <w:rsid w:val="0040055B"/>
    <w:rsid w:val="00400B29"/>
    <w:rsid w:val="004010FA"/>
    <w:rsid w:val="00401847"/>
    <w:rsid w:val="00401865"/>
    <w:rsid w:val="00401E65"/>
    <w:rsid w:val="004020F2"/>
    <w:rsid w:val="0040250E"/>
    <w:rsid w:val="004025AE"/>
    <w:rsid w:val="00402812"/>
    <w:rsid w:val="004028F4"/>
    <w:rsid w:val="004035B4"/>
    <w:rsid w:val="00404462"/>
    <w:rsid w:val="0040452D"/>
    <w:rsid w:val="0040504B"/>
    <w:rsid w:val="004059F4"/>
    <w:rsid w:val="00405A33"/>
    <w:rsid w:val="00405AF4"/>
    <w:rsid w:val="00405D75"/>
    <w:rsid w:val="00405DCF"/>
    <w:rsid w:val="0040666F"/>
    <w:rsid w:val="004069FE"/>
    <w:rsid w:val="00406C63"/>
    <w:rsid w:val="00406EB2"/>
    <w:rsid w:val="00406F98"/>
    <w:rsid w:val="00407902"/>
    <w:rsid w:val="00407E34"/>
    <w:rsid w:val="00407FE5"/>
    <w:rsid w:val="004101B0"/>
    <w:rsid w:val="00410326"/>
    <w:rsid w:val="00410708"/>
    <w:rsid w:val="00410757"/>
    <w:rsid w:val="00410EC7"/>
    <w:rsid w:val="004110BF"/>
    <w:rsid w:val="004111F4"/>
    <w:rsid w:val="00411287"/>
    <w:rsid w:val="004113EA"/>
    <w:rsid w:val="004117DE"/>
    <w:rsid w:val="0041186A"/>
    <w:rsid w:val="00411AB2"/>
    <w:rsid w:val="00411B39"/>
    <w:rsid w:val="004122B1"/>
    <w:rsid w:val="004127A7"/>
    <w:rsid w:val="0041284B"/>
    <w:rsid w:val="00412DAA"/>
    <w:rsid w:val="00412E54"/>
    <w:rsid w:val="0041317C"/>
    <w:rsid w:val="004136B4"/>
    <w:rsid w:val="004136C5"/>
    <w:rsid w:val="004136FC"/>
    <w:rsid w:val="00413A1E"/>
    <w:rsid w:val="00414476"/>
    <w:rsid w:val="00414C2E"/>
    <w:rsid w:val="00414FCE"/>
    <w:rsid w:val="004151CF"/>
    <w:rsid w:val="0041547A"/>
    <w:rsid w:val="0041585D"/>
    <w:rsid w:val="00415D10"/>
    <w:rsid w:val="00415DDD"/>
    <w:rsid w:val="00416293"/>
    <w:rsid w:val="00416364"/>
    <w:rsid w:val="0041678B"/>
    <w:rsid w:val="0042040C"/>
    <w:rsid w:val="0042047F"/>
    <w:rsid w:val="00420AA6"/>
    <w:rsid w:val="00420B9F"/>
    <w:rsid w:val="00420C1B"/>
    <w:rsid w:val="004212B6"/>
    <w:rsid w:val="00421925"/>
    <w:rsid w:val="0042192C"/>
    <w:rsid w:val="00421AF2"/>
    <w:rsid w:val="00421E92"/>
    <w:rsid w:val="00422260"/>
    <w:rsid w:val="004227B7"/>
    <w:rsid w:val="0042292B"/>
    <w:rsid w:val="004233AD"/>
    <w:rsid w:val="00423EC2"/>
    <w:rsid w:val="0042401B"/>
    <w:rsid w:val="0042413F"/>
    <w:rsid w:val="004241F0"/>
    <w:rsid w:val="00424418"/>
    <w:rsid w:val="00424812"/>
    <w:rsid w:val="00424CDB"/>
    <w:rsid w:val="0042581F"/>
    <w:rsid w:val="00425974"/>
    <w:rsid w:val="00425B73"/>
    <w:rsid w:val="00425BDE"/>
    <w:rsid w:val="00425E94"/>
    <w:rsid w:val="00426159"/>
    <w:rsid w:val="004264E1"/>
    <w:rsid w:val="00427B53"/>
    <w:rsid w:val="004319F8"/>
    <w:rsid w:val="00431E55"/>
    <w:rsid w:val="004321F6"/>
    <w:rsid w:val="004322A1"/>
    <w:rsid w:val="00433044"/>
    <w:rsid w:val="00433121"/>
    <w:rsid w:val="00433764"/>
    <w:rsid w:val="00433A7A"/>
    <w:rsid w:val="00433EE8"/>
    <w:rsid w:val="00434088"/>
    <w:rsid w:val="00434E1B"/>
    <w:rsid w:val="00435DBC"/>
    <w:rsid w:val="0043621A"/>
    <w:rsid w:val="00436575"/>
    <w:rsid w:val="0043661A"/>
    <w:rsid w:val="00436698"/>
    <w:rsid w:val="00436D4D"/>
    <w:rsid w:val="004375B9"/>
    <w:rsid w:val="00437AEE"/>
    <w:rsid w:val="00437FF6"/>
    <w:rsid w:val="0044001C"/>
    <w:rsid w:val="00440EDD"/>
    <w:rsid w:val="0044149C"/>
    <w:rsid w:val="004417DA"/>
    <w:rsid w:val="004418DD"/>
    <w:rsid w:val="00441955"/>
    <w:rsid w:val="00441DD1"/>
    <w:rsid w:val="004428D0"/>
    <w:rsid w:val="004428D3"/>
    <w:rsid w:val="00443945"/>
    <w:rsid w:val="004439D1"/>
    <w:rsid w:val="00443B0B"/>
    <w:rsid w:val="00443CC1"/>
    <w:rsid w:val="00444185"/>
    <w:rsid w:val="004443A7"/>
    <w:rsid w:val="0044442C"/>
    <w:rsid w:val="004447E8"/>
    <w:rsid w:val="00444B2E"/>
    <w:rsid w:val="004451C7"/>
    <w:rsid w:val="00445404"/>
    <w:rsid w:val="00445941"/>
    <w:rsid w:val="004459E7"/>
    <w:rsid w:val="004464EB"/>
    <w:rsid w:val="004465B5"/>
    <w:rsid w:val="00446635"/>
    <w:rsid w:val="00447638"/>
    <w:rsid w:val="00447961"/>
    <w:rsid w:val="00447D26"/>
    <w:rsid w:val="00447DFC"/>
    <w:rsid w:val="00447EBE"/>
    <w:rsid w:val="00450001"/>
    <w:rsid w:val="0045005E"/>
    <w:rsid w:val="0045012C"/>
    <w:rsid w:val="0045040F"/>
    <w:rsid w:val="0045080B"/>
    <w:rsid w:val="00450B00"/>
    <w:rsid w:val="00451341"/>
    <w:rsid w:val="00451D2D"/>
    <w:rsid w:val="00452074"/>
    <w:rsid w:val="004522A0"/>
    <w:rsid w:val="00452CA3"/>
    <w:rsid w:val="00452FD1"/>
    <w:rsid w:val="0045398B"/>
    <w:rsid w:val="00454748"/>
    <w:rsid w:val="00454ACF"/>
    <w:rsid w:val="00454BC4"/>
    <w:rsid w:val="0045543B"/>
    <w:rsid w:val="00455482"/>
    <w:rsid w:val="00455901"/>
    <w:rsid w:val="00455B12"/>
    <w:rsid w:val="00455D45"/>
    <w:rsid w:val="00455FC9"/>
    <w:rsid w:val="004561A1"/>
    <w:rsid w:val="004568AE"/>
    <w:rsid w:val="00457A1B"/>
    <w:rsid w:val="00460214"/>
    <w:rsid w:val="0046054A"/>
    <w:rsid w:val="00460792"/>
    <w:rsid w:val="00460D1B"/>
    <w:rsid w:val="00460DEE"/>
    <w:rsid w:val="00461266"/>
    <w:rsid w:val="0046169A"/>
    <w:rsid w:val="00462672"/>
    <w:rsid w:val="00462E10"/>
    <w:rsid w:val="00462F03"/>
    <w:rsid w:val="00463082"/>
    <w:rsid w:val="00463882"/>
    <w:rsid w:val="00463CB5"/>
    <w:rsid w:val="00463F70"/>
    <w:rsid w:val="004641E8"/>
    <w:rsid w:val="004642F5"/>
    <w:rsid w:val="00464595"/>
    <w:rsid w:val="00464987"/>
    <w:rsid w:val="004653B1"/>
    <w:rsid w:val="004658B5"/>
    <w:rsid w:val="00465A3D"/>
    <w:rsid w:val="00465B86"/>
    <w:rsid w:val="00466509"/>
    <w:rsid w:val="00466857"/>
    <w:rsid w:val="00467FDA"/>
    <w:rsid w:val="00470235"/>
    <w:rsid w:val="0047070D"/>
    <w:rsid w:val="00470868"/>
    <w:rsid w:val="00470E83"/>
    <w:rsid w:val="00470FF9"/>
    <w:rsid w:val="004713F8"/>
    <w:rsid w:val="00471D69"/>
    <w:rsid w:val="00471EA5"/>
    <w:rsid w:val="00471F12"/>
    <w:rsid w:val="004721CA"/>
    <w:rsid w:val="0047268D"/>
    <w:rsid w:val="00472894"/>
    <w:rsid w:val="00472A79"/>
    <w:rsid w:val="00472C8C"/>
    <w:rsid w:val="00473A41"/>
    <w:rsid w:val="00473F19"/>
    <w:rsid w:val="004744AB"/>
    <w:rsid w:val="004744C7"/>
    <w:rsid w:val="00475B56"/>
    <w:rsid w:val="00475DE7"/>
    <w:rsid w:val="00475E22"/>
    <w:rsid w:val="0047614C"/>
    <w:rsid w:val="0047656D"/>
    <w:rsid w:val="00476FCA"/>
    <w:rsid w:val="004773B5"/>
    <w:rsid w:val="00477496"/>
    <w:rsid w:val="00477529"/>
    <w:rsid w:val="0048002C"/>
    <w:rsid w:val="0048055E"/>
    <w:rsid w:val="004805AB"/>
    <w:rsid w:val="0048088E"/>
    <w:rsid w:val="00480F2B"/>
    <w:rsid w:val="00481233"/>
    <w:rsid w:val="004815EE"/>
    <w:rsid w:val="00481F10"/>
    <w:rsid w:val="00482428"/>
    <w:rsid w:val="00482720"/>
    <w:rsid w:val="00482875"/>
    <w:rsid w:val="004835E0"/>
    <w:rsid w:val="004835E7"/>
    <w:rsid w:val="0048377A"/>
    <w:rsid w:val="00484D01"/>
    <w:rsid w:val="00484D3C"/>
    <w:rsid w:val="004859E1"/>
    <w:rsid w:val="00485E81"/>
    <w:rsid w:val="00486282"/>
    <w:rsid w:val="004867E2"/>
    <w:rsid w:val="004872F7"/>
    <w:rsid w:val="004876E8"/>
    <w:rsid w:val="004879C2"/>
    <w:rsid w:val="00487A3A"/>
    <w:rsid w:val="00487AB7"/>
    <w:rsid w:val="00487ED7"/>
    <w:rsid w:val="00487FC4"/>
    <w:rsid w:val="00490B17"/>
    <w:rsid w:val="00491B3A"/>
    <w:rsid w:val="00492119"/>
    <w:rsid w:val="0049278D"/>
    <w:rsid w:val="00492CFD"/>
    <w:rsid w:val="00493632"/>
    <w:rsid w:val="00494207"/>
    <w:rsid w:val="0049481A"/>
    <w:rsid w:val="00494DD5"/>
    <w:rsid w:val="00495250"/>
    <w:rsid w:val="0049599C"/>
    <w:rsid w:val="00495ACD"/>
    <w:rsid w:val="004962D2"/>
    <w:rsid w:val="00496602"/>
    <w:rsid w:val="004967EE"/>
    <w:rsid w:val="00496B10"/>
    <w:rsid w:val="00496B2E"/>
    <w:rsid w:val="00497C1C"/>
    <w:rsid w:val="004A01A9"/>
    <w:rsid w:val="004A0BA8"/>
    <w:rsid w:val="004A0DA1"/>
    <w:rsid w:val="004A1117"/>
    <w:rsid w:val="004A1336"/>
    <w:rsid w:val="004A13D6"/>
    <w:rsid w:val="004A2288"/>
    <w:rsid w:val="004A2922"/>
    <w:rsid w:val="004A2CD7"/>
    <w:rsid w:val="004A3013"/>
    <w:rsid w:val="004A3526"/>
    <w:rsid w:val="004A3808"/>
    <w:rsid w:val="004A4394"/>
    <w:rsid w:val="004A4AF6"/>
    <w:rsid w:val="004A52E9"/>
    <w:rsid w:val="004A6040"/>
    <w:rsid w:val="004A6416"/>
    <w:rsid w:val="004A642E"/>
    <w:rsid w:val="004A6492"/>
    <w:rsid w:val="004A6597"/>
    <w:rsid w:val="004A696A"/>
    <w:rsid w:val="004A6DFE"/>
    <w:rsid w:val="004A718F"/>
    <w:rsid w:val="004A7259"/>
    <w:rsid w:val="004A7512"/>
    <w:rsid w:val="004A7848"/>
    <w:rsid w:val="004A793B"/>
    <w:rsid w:val="004A7DC9"/>
    <w:rsid w:val="004B0168"/>
    <w:rsid w:val="004B01D7"/>
    <w:rsid w:val="004B042F"/>
    <w:rsid w:val="004B1A26"/>
    <w:rsid w:val="004B1B50"/>
    <w:rsid w:val="004B1CB4"/>
    <w:rsid w:val="004B24C4"/>
    <w:rsid w:val="004B293D"/>
    <w:rsid w:val="004B2AA1"/>
    <w:rsid w:val="004B2F18"/>
    <w:rsid w:val="004B33D9"/>
    <w:rsid w:val="004B36C1"/>
    <w:rsid w:val="004B3AF2"/>
    <w:rsid w:val="004B3DDB"/>
    <w:rsid w:val="004B3F44"/>
    <w:rsid w:val="004B42E2"/>
    <w:rsid w:val="004B4329"/>
    <w:rsid w:val="004B44FD"/>
    <w:rsid w:val="004B46F4"/>
    <w:rsid w:val="004B5CFC"/>
    <w:rsid w:val="004B5E19"/>
    <w:rsid w:val="004B636F"/>
    <w:rsid w:val="004B655F"/>
    <w:rsid w:val="004B6DFC"/>
    <w:rsid w:val="004B6F79"/>
    <w:rsid w:val="004B7508"/>
    <w:rsid w:val="004B774D"/>
    <w:rsid w:val="004B7844"/>
    <w:rsid w:val="004C0D77"/>
    <w:rsid w:val="004C14DF"/>
    <w:rsid w:val="004C16CE"/>
    <w:rsid w:val="004C1C40"/>
    <w:rsid w:val="004C2143"/>
    <w:rsid w:val="004C252D"/>
    <w:rsid w:val="004C2979"/>
    <w:rsid w:val="004C2A40"/>
    <w:rsid w:val="004C2AC2"/>
    <w:rsid w:val="004C2C43"/>
    <w:rsid w:val="004C2CE9"/>
    <w:rsid w:val="004C3107"/>
    <w:rsid w:val="004C320A"/>
    <w:rsid w:val="004C324F"/>
    <w:rsid w:val="004C3584"/>
    <w:rsid w:val="004C3B02"/>
    <w:rsid w:val="004C3B7E"/>
    <w:rsid w:val="004C409D"/>
    <w:rsid w:val="004C41C5"/>
    <w:rsid w:val="004C4AED"/>
    <w:rsid w:val="004C5200"/>
    <w:rsid w:val="004C5237"/>
    <w:rsid w:val="004C5AE2"/>
    <w:rsid w:val="004C65DF"/>
    <w:rsid w:val="004C6657"/>
    <w:rsid w:val="004C670C"/>
    <w:rsid w:val="004C6DDB"/>
    <w:rsid w:val="004C77A5"/>
    <w:rsid w:val="004C77B2"/>
    <w:rsid w:val="004D0152"/>
    <w:rsid w:val="004D03F9"/>
    <w:rsid w:val="004D0910"/>
    <w:rsid w:val="004D0DB5"/>
    <w:rsid w:val="004D12A3"/>
    <w:rsid w:val="004D12E5"/>
    <w:rsid w:val="004D173C"/>
    <w:rsid w:val="004D1C80"/>
    <w:rsid w:val="004D1D9A"/>
    <w:rsid w:val="004D23FA"/>
    <w:rsid w:val="004D2C2D"/>
    <w:rsid w:val="004D2F8A"/>
    <w:rsid w:val="004D3141"/>
    <w:rsid w:val="004D319B"/>
    <w:rsid w:val="004D3238"/>
    <w:rsid w:val="004D3310"/>
    <w:rsid w:val="004D3456"/>
    <w:rsid w:val="004D3627"/>
    <w:rsid w:val="004D4ABF"/>
    <w:rsid w:val="004D53F1"/>
    <w:rsid w:val="004D55F4"/>
    <w:rsid w:val="004D56CD"/>
    <w:rsid w:val="004D5AA1"/>
    <w:rsid w:val="004D5DDD"/>
    <w:rsid w:val="004D69B5"/>
    <w:rsid w:val="004D69F4"/>
    <w:rsid w:val="004D6ABB"/>
    <w:rsid w:val="004D6CCE"/>
    <w:rsid w:val="004D6DD5"/>
    <w:rsid w:val="004D7059"/>
    <w:rsid w:val="004D7227"/>
    <w:rsid w:val="004D78C4"/>
    <w:rsid w:val="004D78F6"/>
    <w:rsid w:val="004D7B5E"/>
    <w:rsid w:val="004D7F94"/>
    <w:rsid w:val="004E094A"/>
    <w:rsid w:val="004E095A"/>
    <w:rsid w:val="004E0E7F"/>
    <w:rsid w:val="004E0EB8"/>
    <w:rsid w:val="004E1647"/>
    <w:rsid w:val="004E18E9"/>
    <w:rsid w:val="004E1A0D"/>
    <w:rsid w:val="004E1A22"/>
    <w:rsid w:val="004E2ADC"/>
    <w:rsid w:val="004E2CCD"/>
    <w:rsid w:val="004E335C"/>
    <w:rsid w:val="004E347F"/>
    <w:rsid w:val="004E36B2"/>
    <w:rsid w:val="004E371A"/>
    <w:rsid w:val="004E37BA"/>
    <w:rsid w:val="004E3829"/>
    <w:rsid w:val="004E3896"/>
    <w:rsid w:val="004E39F7"/>
    <w:rsid w:val="004E3B7D"/>
    <w:rsid w:val="004E3C2F"/>
    <w:rsid w:val="004E3DE3"/>
    <w:rsid w:val="004E3E67"/>
    <w:rsid w:val="004E43B2"/>
    <w:rsid w:val="004E5432"/>
    <w:rsid w:val="004E5608"/>
    <w:rsid w:val="004E57BD"/>
    <w:rsid w:val="004E5CDE"/>
    <w:rsid w:val="004E6497"/>
    <w:rsid w:val="004E65FE"/>
    <w:rsid w:val="004E744C"/>
    <w:rsid w:val="004E7518"/>
    <w:rsid w:val="004E7EC6"/>
    <w:rsid w:val="004F0BAA"/>
    <w:rsid w:val="004F179E"/>
    <w:rsid w:val="004F1853"/>
    <w:rsid w:val="004F1D02"/>
    <w:rsid w:val="004F1F81"/>
    <w:rsid w:val="004F2679"/>
    <w:rsid w:val="004F2E1A"/>
    <w:rsid w:val="004F2EA6"/>
    <w:rsid w:val="004F2F21"/>
    <w:rsid w:val="004F3330"/>
    <w:rsid w:val="004F3932"/>
    <w:rsid w:val="004F39C1"/>
    <w:rsid w:val="004F3DE5"/>
    <w:rsid w:val="004F479B"/>
    <w:rsid w:val="004F4CC8"/>
    <w:rsid w:val="004F4D8C"/>
    <w:rsid w:val="004F4DC1"/>
    <w:rsid w:val="004F5658"/>
    <w:rsid w:val="004F5AE5"/>
    <w:rsid w:val="004F5AE8"/>
    <w:rsid w:val="004F5C8D"/>
    <w:rsid w:val="004F6913"/>
    <w:rsid w:val="004F6937"/>
    <w:rsid w:val="004F69E7"/>
    <w:rsid w:val="004F6D3A"/>
    <w:rsid w:val="004F7865"/>
    <w:rsid w:val="004F7A19"/>
    <w:rsid w:val="004F7BE1"/>
    <w:rsid w:val="004F7DA9"/>
    <w:rsid w:val="004F7F4E"/>
    <w:rsid w:val="0050071A"/>
    <w:rsid w:val="0050128D"/>
    <w:rsid w:val="0050174E"/>
    <w:rsid w:val="00501854"/>
    <w:rsid w:val="00501F6C"/>
    <w:rsid w:val="0050219B"/>
    <w:rsid w:val="00502406"/>
    <w:rsid w:val="005024A1"/>
    <w:rsid w:val="00503307"/>
    <w:rsid w:val="0050348C"/>
    <w:rsid w:val="00503501"/>
    <w:rsid w:val="005038BC"/>
    <w:rsid w:val="00503A32"/>
    <w:rsid w:val="00503C7A"/>
    <w:rsid w:val="00503D62"/>
    <w:rsid w:val="00503DDD"/>
    <w:rsid w:val="00503F17"/>
    <w:rsid w:val="00503F3A"/>
    <w:rsid w:val="0050408C"/>
    <w:rsid w:val="00504213"/>
    <w:rsid w:val="00504DFD"/>
    <w:rsid w:val="00505170"/>
    <w:rsid w:val="00505D00"/>
    <w:rsid w:val="00506319"/>
    <w:rsid w:val="00506466"/>
    <w:rsid w:val="005066C6"/>
    <w:rsid w:val="00506928"/>
    <w:rsid w:val="00506F1C"/>
    <w:rsid w:val="00507030"/>
    <w:rsid w:val="00507083"/>
    <w:rsid w:val="005073FB"/>
    <w:rsid w:val="005077EF"/>
    <w:rsid w:val="00507BEF"/>
    <w:rsid w:val="00507D69"/>
    <w:rsid w:val="005107A2"/>
    <w:rsid w:val="00510EC7"/>
    <w:rsid w:val="00511284"/>
    <w:rsid w:val="005119D7"/>
    <w:rsid w:val="00511AD5"/>
    <w:rsid w:val="00511DC7"/>
    <w:rsid w:val="00511E78"/>
    <w:rsid w:val="00511EE9"/>
    <w:rsid w:val="00511FAB"/>
    <w:rsid w:val="005128AC"/>
    <w:rsid w:val="00512DA6"/>
    <w:rsid w:val="0051348E"/>
    <w:rsid w:val="00514197"/>
    <w:rsid w:val="005142C5"/>
    <w:rsid w:val="005144BA"/>
    <w:rsid w:val="00514710"/>
    <w:rsid w:val="00514B0E"/>
    <w:rsid w:val="00514E1E"/>
    <w:rsid w:val="0051501B"/>
    <w:rsid w:val="005152B5"/>
    <w:rsid w:val="00515886"/>
    <w:rsid w:val="00515940"/>
    <w:rsid w:val="00515A00"/>
    <w:rsid w:val="00515ABF"/>
    <w:rsid w:val="005160C7"/>
    <w:rsid w:val="00516B83"/>
    <w:rsid w:val="00516CD0"/>
    <w:rsid w:val="00517302"/>
    <w:rsid w:val="0051770F"/>
    <w:rsid w:val="005177FC"/>
    <w:rsid w:val="0051797A"/>
    <w:rsid w:val="00517E7F"/>
    <w:rsid w:val="005203CD"/>
    <w:rsid w:val="00520A4C"/>
    <w:rsid w:val="00520B8D"/>
    <w:rsid w:val="00520FE6"/>
    <w:rsid w:val="005211D7"/>
    <w:rsid w:val="0052123C"/>
    <w:rsid w:val="00521319"/>
    <w:rsid w:val="005216D1"/>
    <w:rsid w:val="00521A91"/>
    <w:rsid w:val="00521FDE"/>
    <w:rsid w:val="00522BC8"/>
    <w:rsid w:val="0052348E"/>
    <w:rsid w:val="00523944"/>
    <w:rsid w:val="00523C28"/>
    <w:rsid w:val="00524833"/>
    <w:rsid w:val="00524C52"/>
    <w:rsid w:val="00524D4D"/>
    <w:rsid w:val="0052515C"/>
    <w:rsid w:val="005255B9"/>
    <w:rsid w:val="00525D7C"/>
    <w:rsid w:val="00525E28"/>
    <w:rsid w:val="00525F8F"/>
    <w:rsid w:val="0052600C"/>
    <w:rsid w:val="00526628"/>
    <w:rsid w:val="005268B7"/>
    <w:rsid w:val="0053023C"/>
    <w:rsid w:val="00530521"/>
    <w:rsid w:val="00530D29"/>
    <w:rsid w:val="00530F37"/>
    <w:rsid w:val="00530F65"/>
    <w:rsid w:val="00531245"/>
    <w:rsid w:val="005315E1"/>
    <w:rsid w:val="0053176B"/>
    <w:rsid w:val="005318BA"/>
    <w:rsid w:val="005319C7"/>
    <w:rsid w:val="00531D98"/>
    <w:rsid w:val="00532D8F"/>
    <w:rsid w:val="00533929"/>
    <w:rsid w:val="00533B5B"/>
    <w:rsid w:val="00533D8E"/>
    <w:rsid w:val="005340F0"/>
    <w:rsid w:val="005341B3"/>
    <w:rsid w:val="00534417"/>
    <w:rsid w:val="005345F5"/>
    <w:rsid w:val="00534C9D"/>
    <w:rsid w:val="00534D9A"/>
    <w:rsid w:val="0053604C"/>
    <w:rsid w:val="005360E7"/>
    <w:rsid w:val="00536A46"/>
    <w:rsid w:val="00536CF0"/>
    <w:rsid w:val="00536F42"/>
    <w:rsid w:val="0053708C"/>
    <w:rsid w:val="00537182"/>
    <w:rsid w:val="00537311"/>
    <w:rsid w:val="0054031C"/>
    <w:rsid w:val="0054179E"/>
    <w:rsid w:val="005417AE"/>
    <w:rsid w:val="0054183A"/>
    <w:rsid w:val="005419E6"/>
    <w:rsid w:val="00541CEE"/>
    <w:rsid w:val="00541EDD"/>
    <w:rsid w:val="00541FFF"/>
    <w:rsid w:val="00542743"/>
    <w:rsid w:val="00542C2D"/>
    <w:rsid w:val="00542CF4"/>
    <w:rsid w:val="00543484"/>
    <w:rsid w:val="00544B55"/>
    <w:rsid w:val="00544C70"/>
    <w:rsid w:val="00544CB3"/>
    <w:rsid w:val="00545246"/>
    <w:rsid w:val="00545E44"/>
    <w:rsid w:val="00545F9D"/>
    <w:rsid w:val="00546E6C"/>
    <w:rsid w:val="00547340"/>
    <w:rsid w:val="005474A5"/>
    <w:rsid w:val="005478BD"/>
    <w:rsid w:val="005479E3"/>
    <w:rsid w:val="00547ADA"/>
    <w:rsid w:val="005501EA"/>
    <w:rsid w:val="005503E3"/>
    <w:rsid w:val="00550596"/>
    <w:rsid w:val="005506B6"/>
    <w:rsid w:val="005509AD"/>
    <w:rsid w:val="00550A9D"/>
    <w:rsid w:val="00550C22"/>
    <w:rsid w:val="00550D67"/>
    <w:rsid w:val="00550EFB"/>
    <w:rsid w:val="00551371"/>
    <w:rsid w:val="00551634"/>
    <w:rsid w:val="00551649"/>
    <w:rsid w:val="00551985"/>
    <w:rsid w:val="00551C73"/>
    <w:rsid w:val="00551F76"/>
    <w:rsid w:val="00551FAF"/>
    <w:rsid w:val="005520BD"/>
    <w:rsid w:val="0055219A"/>
    <w:rsid w:val="00552827"/>
    <w:rsid w:val="00552BD3"/>
    <w:rsid w:val="00552EA2"/>
    <w:rsid w:val="005532A0"/>
    <w:rsid w:val="005532C0"/>
    <w:rsid w:val="005536B6"/>
    <w:rsid w:val="0055395F"/>
    <w:rsid w:val="00553F4C"/>
    <w:rsid w:val="00554B6C"/>
    <w:rsid w:val="00555109"/>
    <w:rsid w:val="005552AC"/>
    <w:rsid w:val="00555326"/>
    <w:rsid w:val="005559BD"/>
    <w:rsid w:val="00556728"/>
    <w:rsid w:val="0055679C"/>
    <w:rsid w:val="0055680B"/>
    <w:rsid w:val="00556B35"/>
    <w:rsid w:val="00556BE2"/>
    <w:rsid w:val="0055741A"/>
    <w:rsid w:val="00557574"/>
    <w:rsid w:val="005600F5"/>
    <w:rsid w:val="005605CD"/>
    <w:rsid w:val="00560C1F"/>
    <w:rsid w:val="005611B7"/>
    <w:rsid w:val="00561335"/>
    <w:rsid w:val="005618D4"/>
    <w:rsid w:val="00561B0D"/>
    <w:rsid w:val="00561B4D"/>
    <w:rsid w:val="00561E2D"/>
    <w:rsid w:val="00562736"/>
    <w:rsid w:val="00562AC7"/>
    <w:rsid w:val="00563998"/>
    <w:rsid w:val="00564562"/>
    <w:rsid w:val="00564867"/>
    <w:rsid w:val="00564AEA"/>
    <w:rsid w:val="005650D0"/>
    <w:rsid w:val="005651BA"/>
    <w:rsid w:val="00565890"/>
    <w:rsid w:val="00565891"/>
    <w:rsid w:val="005658B6"/>
    <w:rsid w:val="00565C79"/>
    <w:rsid w:val="00565DF0"/>
    <w:rsid w:val="00565F0D"/>
    <w:rsid w:val="005660DF"/>
    <w:rsid w:val="0056696F"/>
    <w:rsid w:val="00566B8C"/>
    <w:rsid w:val="00566C97"/>
    <w:rsid w:val="005670A1"/>
    <w:rsid w:val="005676D5"/>
    <w:rsid w:val="00567CAE"/>
    <w:rsid w:val="00567D6B"/>
    <w:rsid w:val="00570035"/>
    <w:rsid w:val="0057027B"/>
    <w:rsid w:val="00570587"/>
    <w:rsid w:val="0057149B"/>
    <w:rsid w:val="00571766"/>
    <w:rsid w:val="005717C8"/>
    <w:rsid w:val="005719A9"/>
    <w:rsid w:val="00572224"/>
    <w:rsid w:val="00572269"/>
    <w:rsid w:val="0057228C"/>
    <w:rsid w:val="0057244A"/>
    <w:rsid w:val="005725F1"/>
    <w:rsid w:val="00572F26"/>
    <w:rsid w:val="00573289"/>
    <w:rsid w:val="005734A7"/>
    <w:rsid w:val="00573D4A"/>
    <w:rsid w:val="00573F9E"/>
    <w:rsid w:val="005741B9"/>
    <w:rsid w:val="00574B61"/>
    <w:rsid w:val="005750C5"/>
    <w:rsid w:val="005752DE"/>
    <w:rsid w:val="005753D1"/>
    <w:rsid w:val="005753FE"/>
    <w:rsid w:val="00575BD8"/>
    <w:rsid w:val="00575D60"/>
    <w:rsid w:val="00575D8D"/>
    <w:rsid w:val="00576053"/>
    <w:rsid w:val="00576972"/>
    <w:rsid w:val="00577179"/>
    <w:rsid w:val="00577248"/>
    <w:rsid w:val="00577B73"/>
    <w:rsid w:val="005801A4"/>
    <w:rsid w:val="00580595"/>
    <w:rsid w:val="00581190"/>
    <w:rsid w:val="0058135F"/>
    <w:rsid w:val="00581383"/>
    <w:rsid w:val="005816A8"/>
    <w:rsid w:val="005820B2"/>
    <w:rsid w:val="00582BEE"/>
    <w:rsid w:val="00582F58"/>
    <w:rsid w:val="00583699"/>
    <w:rsid w:val="00583BAA"/>
    <w:rsid w:val="0058470E"/>
    <w:rsid w:val="00584F11"/>
    <w:rsid w:val="00585722"/>
    <w:rsid w:val="00585CDD"/>
    <w:rsid w:val="005864F8"/>
    <w:rsid w:val="00586558"/>
    <w:rsid w:val="0058667D"/>
    <w:rsid w:val="0058684F"/>
    <w:rsid w:val="00586CC0"/>
    <w:rsid w:val="00587058"/>
    <w:rsid w:val="00587207"/>
    <w:rsid w:val="00587992"/>
    <w:rsid w:val="005904C0"/>
    <w:rsid w:val="00590590"/>
    <w:rsid w:val="0059059E"/>
    <w:rsid w:val="00590991"/>
    <w:rsid w:val="00591029"/>
    <w:rsid w:val="0059141B"/>
    <w:rsid w:val="00591957"/>
    <w:rsid w:val="00592513"/>
    <w:rsid w:val="00592824"/>
    <w:rsid w:val="00592835"/>
    <w:rsid w:val="005928A9"/>
    <w:rsid w:val="005928D0"/>
    <w:rsid w:val="005930ED"/>
    <w:rsid w:val="00593E41"/>
    <w:rsid w:val="00594021"/>
    <w:rsid w:val="0059433E"/>
    <w:rsid w:val="00594506"/>
    <w:rsid w:val="00594507"/>
    <w:rsid w:val="0059470B"/>
    <w:rsid w:val="00594BCB"/>
    <w:rsid w:val="005952A9"/>
    <w:rsid w:val="005953DC"/>
    <w:rsid w:val="005954A4"/>
    <w:rsid w:val="00595805"/>
    <w:rsid w:val="005958AE"/>
    <w:rsid w:val="0059591F"/>
    <w:rsid w:val="00595BC8"/>
    <w:rsid w:val="0059618F"/>
    <w:rsid w:val="00596569"/>
    <w:rsid w:val="005967FB"/>
    <w:rsid w:val="00596F26"/>
    <w:rsid w:val="0059756F"/>
    <w:rsid w:val="00597600"/>
    <w:rsid w:val="00597BF9"/>
    <w:rsid w:val="005A0877"/>
    <w:rsid w:val="005A0C11"/>
    <w:rsid w:val="005A0D08"/>
    <w:rsid w:val="005A1794"/>
    <w:rsid w:val="005A1EE3"/>
    <w:rsid w:val="005A20DD"/>
    <w:rsid w:val="005A2604"/>
    <w:rsid w:val="005A279E"/>
    <w:rsid w:val="005A309A"/>
    <w:rsid w:val="005A373D"/>
    <w:rsid w:val="005A3F0C"/>
    <w:rsid w:val="005A41AE"/>
    <w:rsid w:val="005A46C8"/>
    <w:rsid w:val="005A4B5E"/>
    <w:rsid w:val="005A4BF2"/>
    <w:rsid w:val="005A4DE8"/>
    <w:rsid w:val="005A5221"/>
    <w:rsid w:val="005A5419"/>
    <w:rsid w:val="005A5EBD"/>
    <w:rsid w:val="005A62F8"/>
    <w:rsid w:val="005A67F7"/>
    <w:rsid w:val="005A69A9"/>
    <w:rsid w:val="005A6DB8"/>
    <w:rsid w:val="005A7453"/>
    <w:rsid w:val="005A7474"/>
    <w:rsid w:val="005A75CD"/>
    <w:rsid w:val="005A7F36"/>
    <w:rsid w:val="005B095B"/>
    <w:rsid w:val="005B0B58"/>
    <w:rsid w:val="005B16EC"/>
    <w:rsid w:val="005B1C40"/>
    <w:rsid w:val="005B1F5A"/>
    <w:rsid w:val="005B1FF0"/>
    <w:rsid w:val="005B3324"/>
    <w:rsid w:val="005B37C1"/>
    <w:rsid w:val="005B4E53"/>
    <w:rsid w:val="005B51BE"/>
    <w:rsid w:val="005B5857"/>
    <w:rsid w:val="005B590A"/>
    <w:rsid w:val="005B5AF0"/>
    <w:rsid w:val="005B6112"/>
    <w:rsid w:val="005B6455"/>
    <w:rsid w:val="005B6763"/>
    <w:rsid w:val="005B6AFD"/>
    <w:rsid w:val="005B6DB0"/>
    <w:rsid w:val="005B6FB5"/>
    <w:rsid w:val="005B707E"/>
    <w:rsid w:val="005B7418"/>
    <w:rsid w:val="005B74B1"/>
    <w:rsid w:val="005B7909"/>
    <w:rsid w:val="005B7A7C"/>
    <w:rsid w:val="005B7C57"/>
    <w:rsid w:val="005B7C6D"/>
    <w:rsid w:val="005C02B0"/>
    <w:rsid w:val="005C04D0"/>
    <w:rsid w:val="005C1449"/>
    <w:rsid w:val="005C19C4"/>
    <w:rsid w:val="005C1B83"/>
    <w:rsid w:val="005C1E5D"/>
    <w:rsid w:val="005C23A1"/>
    <w:rsid w:val="005C25FF"/>
    <w:rsid w:val="005C2D55"/>
    <w:rsid w:val="005C2E3D"/>
    <w:rsid w:val="005C346B"/>
    <w:rsid w:val="005C353F"/>
    <w:rsid w:val="005C3A5E"/>
    <w:rsid w:val="005C4589"/>
    <w:rsid w:val="005C4C1E"/>
    <w:rsid w:val="005C5024"/>
    <w:rsid w:val="005C5224"/>
    <w:rsid w:val="005C53F4"/>
    <w:rsid w:val="005C5776"/>
    <w:rsid w:val="005C5ABC"/>
    <w:rsid w:val="005C5AE2"/>
    <w:rsid w:val="005C5CEA"/>
    <w:rsid w:val="005C5FDD"/>
    <w:rsid w:val="005C66D2"/>
    <w:rsid w:val="005C6909"/>
    <w:rsid w:val="005C7536"/>
    <w:rsid w:val="005C773C"/>
    <w:rsid w:val="005D044D"/>
    <w:rsid w:val="005D0ABD"/>
    <w:rsid w:val="005D18AD"/>
    <w:rsid w:val="005D1D01"/>
    <w:rsid w:val="005D1D11"/>
    <w:rsid w:val="005D1F21"/>
    <w:rsid w:val="005D2002"/>
    <w:rsid w:val="005D214F"/>
    <w:rsid w:val="005D2571"/>
    <w:rsid w:val="005D26B4"/>
    <w:rsid w:val="005D3714"/>
    <w:rsid w:val="005D3A41"/>
    <w:rsid w:val="005D4656"/>
    <w:rsid w:val="005D4EB4"/>
    <w:rsid w:val="005D5CCC"/>
    <w:rsid w:val="005D5D87"/>
    <w:rsid w:val="005D707E"/>
    <w:rsid w:val="005D7310"/>
    <w:rsid w:val="005D7B2E"/>
    <w:rsid w:val="005E0069"/>
    <w:rsid w:val="005E07CC"/>
    <w:rsid w:val="005E0EE5"/>
    <w:rsid w:val="005E146E"/>
    <w:rsid w:val="005E1770"/>
    <w:rsid w:val="005E17BB"/>
    <w:rsid w:val="005E188B"/>
    <w:rsid w:val="005E18D9"/>
    <w:rsid w:val="005E1995"/>
    <w:rsid w:val="005E1B48"/>
    <w:rsid w:val="005E21A4"/>
    <w:rsid w:val="005E2690"/>
    <w:rsid w:val="005E28EF"/>
    <w:rsid w:val="005E3087"/>
    <w:rsid w:val="005E3178"/>
    <w:rsid w:val="005E332E"/>
    <w:rsid w:val="005E3E60"/>
    <w:rsid w:val="005E408A"/>
    <w:rsid w:val="005E413D"/>
    <w:rsid w:val="005E5306"/>
    <w:rsid w:val="005E5665"/>
    <w:rsid w:val="005E5689"/>
    <w:rsid w:val="005E5796"/>
    <w:rsid w:val="005E5797"/>
    <w:rsid w:val="005E5C7B"/>
    <w:rsid w:val="005E642F"/>
    <w:rsid w:val="005E6B23"/>
    <w:rsid w:val="005E6CBC"/>
    <w:rsid w:val="005E72FF"/>
    <w:rsid w:val="005E73C0"/>
    <w:rsid w:val="005E7783"/>
    <w:rsid w:val="005E7C02"/>
    <w:rsid w:val="005F07ED"/>
    <w:rsid w:val="005F17C9"/>
    <w:rsid w:val="005F1B4A"/>
    <w:rsid w:val="005F2706"/>
    <w:rsid w:val="005F2D10"/>
    <w:rsid w:val="005F2D35"/>
    <w:rsid w:val="005F2EDC"/>
    <w:rsid w:val="005F3313"/>
    <w:rsid w:val="005F36EF"/>
    <w:rsid w:val="005F3FB7"/>
    <w:rsid w:val="005F406A"/>
    <w:rsid w:val="005F448F"/>
    <w:rsid w:val="005F4628"/>
    <w:rsid w:val="005F4894"/>
    <w:rsid w:val="005F4EEA"/>
    <w:rsid w:val="005F4F8A"/>
    <w:rsid w:val="005F561C"/>
    <w:rsid w:val="005F6837"/>
    <w:rsid w:val="005F6A8F"/>
    <w:rsid w:val="005F6AB9"/>
    <w:rsid w:val="005F6BB7"/>
    <w:rsid w:val="005F701E"/>
    <w:rsid w:val="005F7470"/>
    <w:rsid w:val="005F7588"/>
    <w:rsid w:val="00600401"/>
    <w:rsid w:val="0060078A"/>
    <w:rsid w:val="006028D3"/>
    <w:rsid w:val="00602C9E"/>
    <w:rsid w:val="00602D39"/>
    <w:rsid w:val="00603017"/>
    <w:rsid w:val="006033CD"/>
    <w:rsid w:val="0060345A"/>
    <w:rsid w:val="006039C9"/>
    <w:rsid w:val="00603DB9"/>
    <w:rsid w:val="00604370"/>
    <w:rsid w:val="00604AD3"/>
    <w:rsid w:val="006052C5"/>
    <w:rsid w:val="00605625"/>
    <w:rsid w:val="006056BC"/>
    <w:rsid w:val="00606E30"/>
    <w:rsid w:val="00606FBA"/>
    <w:rsid w:val="00607669"/>
    <w:rsid w:val="006076F4"/>
    <w:rsid w:val="00607AFD"/>
    <w:rsid w:val="00610A78"/>
    <w:rsid w:val="006110AF"/>
    <w:rsid w:val="006113DA"/>
    <w:rsid w:val="006115C7"/>
    <w:rsid w:val="00611984"/>
    <w:rsid w:val="00611B12"/>
    <w:rsid w:val="00611E07"/>
    <w:rsid w:val="00612388"/>
    <w:rsid w:val="00612447"/>
    <w:rsid w:val="00612CCC"/>
    <w:rsid w:val="00612D45"/>
    <w:rsid w:val="00612E6F"/>
    <w:rsid w:val="00612F97"/>
    <w:rsid w:val="0061345D"/>
    <w:rsid w:val="00613585"/>
    <w:rsid w:val="00613EB9"/>
    <w:rsid w:val="00614547"/>
    <w:rsid w:val="0061468C"/>
    <w:rsid w:val="00615197"/>
    <w:rsid w:val="0061549B"/>
    <w:rsid w:val="00615D40"/>
    <w:rsid w:val="00616802"/>
    <w:rsid w:val="00616985"/>
    <w:rsid w:val="00616B03"/>
    <w:rsid w:val="006172EA"/>
    <w:rsid w:val="00617701"/>
    <w:rsid w:val="00617D4C"/>
    <w:rsid w:val="00617E12"/>
    <w:rsid w:val="006203CC"/>
    <w:rsid w:val="0062083B"/>
    <w:rsid w:val="00620C25"/>
    <w:rsid w:val="0062141E"/>
    <w:rsid w:val="00621477"/>
    <w:rsid w:val="00621558"/>
    <w:rsid w:val="00621935"/>
    <w:rsid w:val="00621939"/>
    <w:rsid w:val="00621ADA"/>
    <w:rsid w:val="00622105"/>
    <w:rsid w:val="00622438"/>
    <w:rsid w:val="006224C1"/>
    <w:rsid w:val="00622629"/>
    <w:rsid w:val="00622D64"/>
    <w:rsid w:val="00623C20"/>
    <w:rsid w:val="00623E5A"/>
    <w:rsid w:val="00623F7B"/>
    <w:rsid w:val="00624B6F"/>
    <w:rsid w:val="00624BD4"/>
    <w:rsid w:val="0062512F"/>
    <w:rsid w:val="0062575D"/>
    <w:rsid w:val="006258A1"/>
    <w:rsid w:val="00625E64"/>
    <w:rsid w:val="00626818"/>
    <w:rsid w:val="006268DA"/>
    <w:rsid w:val="0062699E"/>
    <w:rsid w:val="00626F42"/>
    <w:rsid w:val="00626F50"/>
    <w:rsid w:val="00627006"/>
    <w:rsid w:val="0062726F"/>
    <w:rsid w:val="00627507"/>
    <w:rsid w:val="006277F1"/>
    <w:rsid w:val="006278E7"/>
    <w:rsid w:val="00627993"/>
    <w:rsid w:val="00627D2B"/>
    <w:rsid w:val="00627E32"/>
    <w:rsid w:val="00627F33"/>
    <w:rsid w:val="0063064F"/>
    <w:rsid w:val="006307B4"/>
    <w:rsid w:val="00630D65"/>
    <w:rsid w:val="0063158F"/>
    <w:rsid w:val="0063165F"/>
    <w:rsid w:val="00631D6B"/>
    <w:rsid w:val="00632183"/>
    <w:rsid w:val="0063275B"/>
    <w:rsid w:val="006330A1"/>
    <w:rsid w:val="00633B70"/>
    <w:rsid w:val="00633D4A"/>
    <w:rsid w:val="0063430B"/>
    <w:rsid w:val="00634498"/>
    <w:rsid w:val="006344C0"/>
    <w:rsid w:val="0063479F"/>
    <w:rsid w:val="00634CF0"/>
    <w:rsid w:val="0063522C"/>
    <w:rsid w:val="006353F0"/>
    <w:rsid w:val="006357B5"/>
    <w:rsid w:val="0063598E"/>
    <w:rsid w:val="00635C39"/>
    <w:rsid w:val="00635F55"/>
    <w:rsid w:val="006364A1"/>
    <w:rsid w:val="006366DC"/>
    <w:rsid w:val="0063678E"/>
    <w:rsid w:val="006367FD"/>
    <w:rsid w:val="00636B12"/>
    <w:rsid w:val="00637BFD"/>
    <w:rsid w:val="00637C5C"/>
    <w:rsid w:val="00641C4E"/>
    <w:rsid w:val="00641E01"/>
    <w:rsid w:val="00641FB3"/>
    <w:rsid w:val="006422BB"/>
    <w:rsid w:val="00642D8E"/>
    <w:rsid w:val="00643050"/>
    <w:rsid w:val="00643BD0"/>
    <w:rsid w:val="006440B9"/>
    <w:rsid w:val="0064434C"/>
    <w:rsid w:val="006445D1"/>
    <w:rsid w:val="0064461A"/>
    <w:rsid w:val="006447B0"/>
    <w:rsid w:val="0064482D"/>
    <w:rsid w:val="00644A29"/>
    <w:rsid w:val="00644F2B"/>
    <w:rsid w:val="00645137"/>
    <w:rsid w:val="00645ADB"/>
    <w:rsid w:val="00645EFD"/>
    <w:rsid w:val="00645F05"/>
    <w:rsid w:val="0064648B"/>
    <w:rsid w:val="00646BB9"/>
    <w:rsid w:val="006471CC"/>
    <w:rsid w:val="006472FE"/>
    <w:rsid w:val="00647A29"/>
    <w:rsid w:val="00647AB8"/>
    <w:rsid w:val="006501B3"/>
    <w:rsid w:val="0065079F"/>
    <w:rsid w:val="00650C05"/>
    <w:rsid w:val="00651235"/>
    <w:rsid w:val="00651B22"/>
    <w:rsid w:val="00651C84"/>
    <w:rsid w:val="00651DCE"/>
    <w:rsid w:val="00651F73"/>
    <w:rsid w:val="00651FD9"/>
    <w:rsid w:val="006520A0"/>
    <w:rsid w:val="00652305"/>
    <w:rsid w:val="0065274F"/>
    <w:rsid w:val="00652863"/>
    <w:rsid w:val="00652A28"/>
    <w:rsid w:val="00652C88"/>
    <w:rsid w:val="0065300A"/>
    <w:rsid w:val="00653025"/>
    <w:rsid w:val="0065379F"/>
    <w:rsid w:val="00653873"/>
    <w:rsid w:val="006542B3"/>
    <w:rsid w:val="006543C1"/>
    <w:rsid w:val="00654B8E"/>
    <w:rsid w:val="0065525A"/>
    <w:rsid w:val="00655AF4"/>
    <w:rsid w:val="00655EFA"/>
    <w:rsid w:val="0065608D"/>
    <w:rsid w:val="00656188"/>
    <w:rsid w:val="00656717"/>
    <w:rsid w:val="00656748"/>
    <w:rsid w:val="006568F9"/>
    <w:rsid w:val="00656FC4"/>
    <w:rsid w:val="0065715A"/>
    <w:rsid w:val="006602BB"/>
    <w:rsid w:val="00660761"/>
    <w:rsid w:val="00660827"/>
    <w:rsid w:val="00660845"/>
    <w:rsid w:val="00660D6D"/>
    <w:rsid w:val="006610F1"/>
    <w:rsid w:val="006611B8"/>
    <w:rsid w:val="00661B11"/>
    <w:rsid w:val="00661C6B"/>
    <w:rsid w:val="00661ECB"/>
    <w:rsid w:val="006626D0"/>
    <w:rsid w:val="006627A5"/>
    <w:rsid w:val="0066280B"/>
    <w:rsid w:val="00662D3E"/>
    <w:rsid w:val="00662ED9"/>
    <w:rsid w:val="00662F4C"/>
    <w:rsid w:val="006630EC"/>
    <w:rsid w:val="0066339F"/>
    <w:rsid w:val="00663670"/>
    <w:rsid w:val="006636D4"/>
    <w:rsid w:val="00663777"/>
    <w:rsid w:val="00663966"/>
    <w:rsid w:val="00664977"/>
    <w:rsid w:val="00665542"/>
    <w:rsid w:val="00665758"/>
    <w:rsid w:val="006659DA"/>
    <w:rsid w:val="00665BA4"/>
    <w:rsid w:val="006660C3"/>
    <w:rsid w:val="00666563"/>
    <w:rsid w:val="006668C5"/>
    <w:rsid w:val="006670F4"/>
    <w:rsid w:val="006671D5"/>
    <w:rsid w:val="00667BE3"/>
    <w:rsid w:val="006701B6"/>
    <w:rsid w:val="0067054B"/>
    <w:rsid w:val="006709F7"/>
    <w:rsid w:val="00670A89"/>
    <w:rsid w:val="00671004"/>
    <w:rsid w:val="0067113E"/>
    <w:rsid w:val="006722D1"/>
    <w:rsid w:val="00672646"/>
    <w:rsid w:val="00672A74"/>
    <w:rsid w:val="00673376"/>
    <w:rsid w:val="006734BB"/>
    <w:rsid w:val="006734FC"/>
    <w:rsid w:val="00673794"/>
    <w:rsid w:val="00673F90"/>
    <w:rsid w:val="00673FE9"/>
    <w:rsid w:val="006742DB"/>
    <w:rsid w:val="006743D6"/>
    <w:rsid w:val="0067492A"/>
    <w:rsid w:val="00674E05"/>
    <w:rsid w:val="00674E42"/>
    <w:rsid w:val="006753FB"/>
    <w:rsid w:val="00675A99"/>
    <w:rsid w:val="00675AF4"/>
    <w:rsid w:val="00675EB7"/>
    <w:rsid w:val="00676563"/>
    <w:rsid w:val="00676876"/>
    <w:rsid w:val="0067690B"/>
    <w:rsid w:val="00676B5A"/>
    <w:rsid w:val="00677001"/>
    <w:rsid w:val="0067723A"/>
    <w:rsid w:val="00677770"/>
    <w:rsid w:val="00677F18"/>
    <w:rsid w:val="00680345"/>
    <w:rsid w:val="00680670"/>
    <w:rsid w:val="006806BC"/>
    <w:rsid w:val="006813F8"/>
    <w:rsid w:val="00682112"/>
    <w:rsid w:val="00682852"/>
    <w:rsid w:val="006828A0"/>
    <w:rsid w:val="00682AC1"/>
    <w:rsid w:val="00682BA6"/>
    <w:rsid w:val="00682BC1"/>
    <w:rsid w:val="00682D67"/>
    <w:rsid w:val="00682EC5"/>
    <w:rsid w:val="00682F49"/>
    <w:rsid w:val="0068351E"/>
    <w:rsid w:val="00683537"/>
    <w:rsid w:val="00683EFB"/>
    <w:rsid w:val="00684214"/>
    <w:rsid w:val="00684713"/>
    <w:rsid w:val="006850C6"/>
    <w:rsid w:val="0068560A"/>
    <w:rsid w:val="00685D8B"/>
    <w:rsid w:val="00686114"/>
    <w:rsid w:val="00686957"/>
    <w:rsid w:val="006869E3"/>
    <w:rsid w:val="0068715F"/>
    <w:rsid w:val="006872BA"/>
    <w:rsid w:val="00687BD0"/>
    <w:rsid w:val="006905DF"/>
    <w:rsid w:val="0069071B"/>
    <w:rsid w:val="00690795"/>
    <w:rsid w:val="00690907"/>
    <w:rsid w:val="00690E98"/>
    <w:rsid w:val="00690ED7"/>
    <w:rsid w:val="00691417"/>
    <w:rsid w:val="00691648"/>
    <w:rsid w:val="006917D7"/>
    <w:rsid w:val="00691962"/>
    <w:rsid w:val="00691A98"/>
    <w:rsid w:val="00691C39"/>
    <w:rsid w:val="00691F84"/>
    <w:rsid w:val="006921DE"/>
    <w:rsid w:val="00692C18"/>
    <w:rsid w:val="00692DE1"/>
    <w:rsid w:val="006931B6"/>
    <w:rsid w:val="006933C6"/>
    <w:rsid w:val="006934AB"/>
    <w:rsid w:val="006934F2"/>
    <w:rsid w:val="0069434C"/>
    <w:rsid w:val="006948F0"/>
    <w:rsid w:val="00694F44"/>
    <w:rsid w:val="0069566A"/>
    <w:rsid w:val="006957F9"/>
    <w:rsid w:val="006966ED"/>
    <w:rsid w:val="00696937"/>
    <w:rsid w:val="00696943"/>
    <w:rsid w:val="00696EF9"/>
    <w:rsid w:val="00696F51"/>
    <w:rsid w:val="00697179"/>
    <w:rsid w:val="006979A5"/>
    <w:rsid w:val="00697CFC"/>
    <w:rsid w:val="006A016F"/>
    <w:rsid w:val="006A0343"/>
    <w:rsid w:val="006A052D"/>
    <w:rsid w:val="006A0576"/>
    <w:rsid w:val="006A058C"/>
    <w:rsid w:val="006A0A33"/>
    <w:rsid w:val="006A0DF7"/>
    <w:rsid w:val="006A0F85"/>
    <w:rsid w:val="006A10C9"/>
    <w:rsid w:val="006A14DF"/>
    <w:rsid w:val="006A1625"/>
    <w:rsid w:val="006A16DA"/>
    <w:rsid w:val="006A1AF9"/>
    <w:rsid w:val="006A1BA1"/>
    <w:rsid w:val="006A1D48"/>
    <w:rsid w:val="006A231D"/>
    <w:rsid w:val="006A2655"/>
    <w:rsid w:val="006A2C35"/>
    <w:rsid w:val="006A2E6D"/>
    <w:rsid w:val="006A32BF"/>
    <w:rsid w:val="006A33FE"/>
    <w:rsid w:val="006A3465"/>
    <w:rsid w:val="006A3719"/>
    <w:rsid w:val="006A4321"/>
    <w:rsid w:val="006A43D9"/>
    <w:rsid w:val="006A47CA"/>
    <w:rsid w:val="006A4A00"/>
    <w:rsid w:val="006A4EDA"/>
    <w:rsid w:val="006A504B"/>
    <w:rsid w:val="006A50D6"/>
    <w:rsid w:val="006A5647"/>
    <w:rsid w:val="006A6035"/>
    <w:rsid w:val="006A6294"/>
    <w:rsid w:val="006A658E"/>
    <w:rsid w:val="006A6ACE"/>
    <w:rsid w:val="006A6B5C"/>
    <w:rsid w:val="006A6B99"/>
    <w:rsid w:val="006A6CC8"/>
    <w:rsid w:val="006A7E5F"/>
    <w:rsid w:val="006B0D67"/>
    <w:rsid w:val="006B1376"/>
    <w:rsid w:val="006B1575"/>
    <w:rsid w:val="006B1971"/>
    <w:rsid w:val="006B1A95"/>
    <w:rsid w:val="006B2035"/>
    <w:rsid w:val="006B22FA"/>
    <w:rsid w:val="006B261B"/>
    <w:rsid w:val="006B2C90"/>
    <w:rsid w:val="006B3212"/>
    <w:rsid w:val="006B359B"/>
    <w:rsid w:val="006B35E6"/>
    <w:rsid w:val="006B465A"/>
    <w:rsid w:val="006B4DB4"/>
    <w:rsid w:val="006B503F"/>
    <w:rsid w:val="006B51DE"/>
    <w:rsid w:val="006B5336"/>
    <w:rsid w:val="006B5339"/>
    <w:rsid w:val="006B56EE"/>
    <w:rsid w:val="006B5724"/>
    <w:rsid w:val="006B5CE1"/>
    <w:rsid w:val="006B5E7B"/>
    <w:rsid w:val="006B6DD0"/>
    <w:rsid w:val="006B6E5E"/>
    <w:rsid w:val="006B7229"/>
    <w:rsid w:val="006B77A4"/>
    <w:rsid w:val="006B7917"/>
    <w:rsid w:val="006C0399"/>
    <w:rsid w:val="006C0FBB"/>
    <w:rsid w:val="006C1547"/>
    <w:rsid w:val="006C1679"/>
    <w:rsid w:val="006C2A8E"/>
    <w:rsid w:val="006C3255"/>
    <w:rsid w:val="006C38DD"/>
    <w:rsid w:val="006C3F26"/>
    <w:rsid w:val="006C417D"/>
    <w:rsid w:val="006C429D"/>
    <w:rsid w:val="006C4CD3"/>
    <w:rsid w:val="006C4ED2"/>
    <w:rsid w:val="006C5019"/>
    <w:rsid w:val="006C55A3"/>
    <w:rsid w:val="006C55C6"/>
    <w:rsid w:val="006C57DB"/>
    <w:rsid w:val="006C5EAC"/>
    <w:rsid w:val="006C5F7F"/>
    <w:rsid w:val="006C6BE6"/>
    <w:rsid w:val="006C7343"/>
    <w:rsid w:val="006C735C"/>
    <w:rsid w:val="006C785B"/>
    <w:rsid w:val="006D049A"/>
    <w:rsid w:val="006D0D17"/>
    <w:rsid w:val="006D2FC7"/>
    <w:rsid w:val="006D3335"/>
    <w:rsid w:val="006D3825"/>
    <w:rsid w:val="006D3C7D"/>
    <w:rsid w:val="006D4659"/>
    <w:rsid w:val="006D4859"/>
    <w:rsid w:val="006D4D2C"/>
    <w:rsid w:val="006D5D5F"/>
    <w:rsid w:val="006D5F7A"/>
    <w:rsid w:val="006D68FB"/>
    <w:rsid w:val="006D72B1"/>
    <w:rsid w:val="006D73E4"/>
    <w:rsid w:val="006D73F8"/>
    <w:rsid w:val="006D764F"/>
    <w:rsid w:val="006E02D2"/>
    <w:rsid w:val="006E03E7"/>
    <w:rsid w:val="006E07A4"/>
    <w:rsid w:val="006E0923"/>
    <w:rsid w:val="006E10A0"/>
    <w:rsid w:val="006E1BEA"/>
    <w:rsid w:val="006E1D7C"/>
    <w:rsid w:val="006E1FEC"/>
    <w:rsid w:val="006E2173"/>
    <w:rsid w:val="006E2868"/>
    <w:rsid w:val="006E33E6"/>
    <w:rsid w:val="006E52B8"/>
    <w:rsid w:val="006E5511"/>
    <w:rsid w:val="006E5923"/>
    <w:rsid w:val="006E5A8F"/>
    <w:rsid w:val="006E5BBB"/>
    <w:rsid w:val="006E5C38"/>
    <w:rsid w:val="006E6105"/>
    <w:rsid w:val="006E6523"/>
    <w:rsid w:val="006E677C"/>
    <w:rsid w:val="006E6EAE"/>
    <w:rsid w:val="006E705C"/>
    <w:rsid w:val="006E772A"/>
    <w:rsid w:val="006F0BD0"/>
    <w:rsid w:val="006F166E"/>
    <w:rsid w:val="006F1736"/>
    <w:rsid w:val="006F18A8"/>
    <w:rsid w:val="006F1D20"/>
    <w:rsid w:val="006F21AB"/>
    <w:rsid w:val="006F21CD"/>
    <w:rsid w:val="006F25ED"/>
    <w:rsid w:val="006F306C"/>
    <w:rsid w:val="006F4772"/>
    <w:rsid w:val="006F574E"/>
    <w:rsid w:val="006F57E1"/>
    <w:rsid w:val="006F5FB5"/>
    <w:rsid w:val="006F601D"/>
    <w:rsid w:val="006F633F"/>
    <w:rsid w:val="006F63A5"/>
    <w:rsid w:val="006F65D5"/>
    <w:rsid w:val="006F6CFD"/>
    <w:rsid w:val="006F77E2"/>
    <w:rsid w:val="006F7CA3"/>
    <w:rsid w:val="00700357"/>
    <w:rsid w:val="007008E8"/>
    <w:rsid w:val="00700FBD"/>
    <w:rsid w:val="0070142B"/>
    <w:rsid w:val="00701C3C"/>
    <w:rsid w:val="007022A6"/>
    <w:rsid w:val="0070276E"/>
    <w:rsid w:val="00702C69"/>
    <w:rsid w:val="00702F8F"/>
    <w:rsid w:val="007031CE"/>
    <w:rsid w:val="00703373"/>
    <w:rsid w:val="007033C2"/>
    <w:rsid w:val="007033ED"/>
    <w:rsid w:val="007034F2"/>
    <w:rsid w:val="007047B2"/>
    <w:rsid w:val="00704E2D"/>
    <w:rsid w:val="00705610"/>
    <w:rsid w:val="00705A87"/>
    <w:rsid w:val="00705E65"/>
    <w:rsid w:val="007067CF"/>
    <w:rsid w:val="00706976"/>
    <w:rsid w:val="00706A3C"/>
    <w:rsid w:val="00706E6C"/>
    <w:rsid w:val="00707242"/>
    <w:rsid w:val="00707470"/>
    <w:rsid w:val="007077E7"/>
    <w:rsid w:val="007079FC"/>
    <w:rsid w:val="00707B08"/>
    <w:rsid w:val="00707DDD"/>
    <w:rsid w:val="00710360"/>
    <w:rsid w:val="007109BA"/>
    <w:rsid w:val="00711554"/>
    <w:rsid w:val="007117DD"/>
    <w:rsid w:val="007118AC"/>
    <w:rsid w:val="00711A36"/>
    <w:rsid w:val="007125D3"/>
    <w:rsid w:val="007126DF"/>
    <w:rsid w:val="007126E4"/>
    <w:rsid w:val="00712DCF"/>
    <w:rsid w:val="00712DD6"/>
    <w:rsid w:val="00713112"/>
    <w:rsid w:val="00713573"/>
    <w:rsid w:val="00713A40"/>
    <w:rsid w:val="00713FDA"/>
    <w:rsid w:val="0071439B"/>
    <w:rsid w:val="00714C26"/>
    <w:rsid w:val="0071529C"/>
    <w:rsid w:val="0071553E"/>
    <w:rsid w:val="00715BB7"/>
    <w:rsid w:val="00715CC1"/>
    <w:rsid w:val="00716204"/>
    <w:rsid w:val="00716493"/>
    <w:rsid w:val="00716EEC"/>
    <w:rsid w:val="007170C9"/>
    <w:rsid w:val="007170DA"/>
    <w:rsid w:val="007172AD"/>
    <w:rsid w:val="00717546"/>
    <w:rsid w:val="0071763D"/>
    <w:rsid w:val="00720260"/>
    <w:rsid w:val="0072076C"/>
    <w:rsid w:val="00720801"/>
    <w:rsid w:val="00720EA7"/>
    <w:rsid w:val="007211FC"/>
    <w:rsid w:val="007211FD"/>
    <w:rsid w:val="00721676"/>
    <w:rsid w:val="00722ACE"/>
    <w:rsid w:val="00722B1B"/>
    <w:rsid w:val="007234A3"/>
    <w:rsid w:val="00723763"/>
    <w:rsid w:val="00723980"/>
    <w:rsid w:val="00723D5E"/>
    <w:rsid w:val="00723D9C"/>
    <w:rsid w:val="0072416F"/>
    <w:rsid w:val="007249E7"/>
    <w:rsid w:val="0072525E"/>
    <w:rsid w:val="007260F6"/>
    <w:rsid w:val="007264B6"/>
    <w:rsid w:val="00726614"/>
    <w:rsid w:val="0072677C"/>
    <w:rsid w:val="0072677D"/>
    <w:rsid w:val="00726A13"/>
    <w:rsid w:val="00726BE9"/>
    <w:rsid w:val="00726C9D"/>
    <w:rsid w:val="00726E32"/>
    <w:rsid w:val="007279DB"/>
    <w:rsid w:val="00727C94"/>
    <w:rsid w:val="007302C9"/>
    <w:rsid w:val="0073069D"/>
    <w:rsid w:val="007309B5"/>
    <w:rsid w:val="007316A4"/>
    <w:rsid w:val="00731954"/>
    <w:rsid w:val="00731B0A"/>
    <w:rsid w:val="00731EAE"/>
    <w:rsid w:val="00732137"/>
    <w:rsid w:val="007325AB"/>
    <w:rsid w:val="007328BE"/>
    <w:rsid w:val="00733073"/>
    <w:rsid w:val="007338C4"/>
    <w:rsid w:val="00734326"/>
    <w:rsid w:val="00734713"/>
    <w:rsid w:val="007349EC"/>
    <w:rsid w:val="00735033"/>
    <w:rsid w:val="00735328"/>
    <w:rsid w:val="00735B49"/>
    <w:rsid w:val="00735B76"/>
    <w:rsid w:val="007361D4"/>
    <w:rsid w:val="0073631C"/>
    <w:rsid w:val="007366FE"/>
    <w:rsid w:val="00736844"/>
    <w:rsid w:val="0073685B"/>
    <w:rsid w:val="007368CC"/>
    <w:rsid w:val="0073777B"/>
    <w:rsid w:val="007378C5"/>
    <w:rsid w:val="00737FB6"/>
    <w:rsid w:val="00740A72"/>
    <w:rsid w:val="0074181A"/>
    <w:rsid w:val="00741CE9"/>
    <w:rsid w:val="00741D88"/>
    <w:rsid w:val="00741DBF"/>
    <w:rsid w:val="00741E89"/>
    <w:rsid w:val="00742029"/>
    <w:rsid w:val="0074203E"/>
    <w:rsid w:val="0074238C"/>
    <w:rsid w:val="007428EE"/>
    <w:rsid w:val="007429A3"/>
    <w:rsid w:val="0074366C"/>
    <w:rsid w:val="00743AC9"/>
    <w:rsid w:val="007440CE"/>
    <w:rsid w:val="00744660"/>
    <w:rsid w:val="007449BF"/>
    <w:rsid w:val="00744DBC"/>
    <w:rsid w:val="00745876"/>
    <w:rsid w:val="00745DE9"/>
    <w:rsid w:val="007463FE"/>
    <w:rsid w:val="00746BC0"/>
    <w:rsid w:val="00747919"/>
    <w:rsid w:val="0074792B"/>
    <w:rsid w:val="007502B3"/>
    <w:rsid w:val="0075051F"/>
    <w:rsid w:val="00750BC0"/>
    <w:rsid w:val="007510B4"/>
    <w:rsid w:val="007516CE"/>
    <w:rsid w:val="00751F8E"/>
    <w:rsid w:val="00751FA6"/>
    <w:rsid w:val="00752142"/>
    <w:rsid w:val="007523F9"/>
    <w:rsid w:val="0075244C"/>
    <w:rsid w:val="00752B96"/>
    <w:rsid w:val="0075357E"/>
    <w:rsid w:val="00753B29"/>
    <w:rsid w:val="00754005"/>
    <w:rsid w:val="00754054"/>
    <w:rsid w:val="00754CC5"/>
    <w:rsid w:val="00755841"/>
    <w:rsid w:val="00756BFE"/>
    <w:rsid w:val="00756FA3"/>
    <w:rsid w:val="007573E8"/>
    <w:rsid w:val="0075769B"/>
    <w:rsid w:val="00757B27"/>
    <w:rsid w:val="007601AB"/>
    <w:rsid w:val="00760996"/>
    <w:rsid w:val="00760ADF"/>
    <w:rsid w:val="00760C4E"/>
    <w:rsid w:val="00760F9E"/>
    <w:rsid w:val="007616E6"/>
    <w:rsid w:val="0076173A"/>
    <w:rsid w:val="00761773"/>
    <w:rsid w:val="00761D27"/>
    <w:rsid w:val="00761E34"/>
    <w:rsid w:val="00761FCA"/>
    <w:rsid w:val="007627BE"/>
    <w:rsid w:val="007628E1"/>
    <w:rsid w:val="00762C35"/>
    <w:rsid w:val="00762E71"/>
    <w:rsid w:val="007631E1"/>
    <w:rsid w:val="00763DFE"/>
    <w:rsid w:val="007642A6"/>
    <w:rsid w:val="00764595"/>
    <w:rsid w:val="00764867"/>
    <w:rsid w:val="00764F03"/>
    <w:rsid w:val="007653FF"/>
    <w:rsid w:val="00765415"/>
    <w:rsid w:val="007654B1"/>
    <w:rsid w:val="007654CD"/>
    <w:rsid w:val="007655E7"/>
    <w:rsid w:val="007659E0"/>
    <w:rsid w:val="00765A3D"/>
    <w:rsid w:val="00765B1A"/>
    <w:rsid w:val="00765DC1"/>
    <w:rsid w:val="007668AE"/>
    <w:rsid w:val="007668CF"/>
    <w:rsid w:val="007670D7"/>
    <w:rsid w:val="0076753A"/>
    <w:rsid w:val="00767827"/>
    <w:rsid w:val="00767A65"/>
    <w:rsid w:val="00767AAC"/>
    <w:rsid w:val="0077066B"/>
    <w:rsid w:val="007708E7"/>
    <w:rsid w:val="00770B0A"/>
    <w:rsid w:val="00770DCE"/>
    <w:rsid w:val="00771253"/>
    <w:rsid w:val="00771D6B"/>
    <w:rsid w:val="00772B4F"/>
    <w:rsid w:val="007745C5"/>
    <w:rsid w:val="007754EC"/>
    <w:rsid w:val="0077555A"/>
    <w:rsid w:val="00775F01"/>
    <w:rsid w:val="0077636F"/>
    <w:rsid w:val="00776974"/>
    <w:rsid w:val="00776A29"/>
    <w:rsid w:val="00776EE5"/>
    <w:rsid w:val="00776F7E"/>
    <w:rsid w:val="00776FD2"/>
    <w:rsid w:val="007772F9"/>
    <w:rsid w:val="00777335"/>
    <w:rsid w:val="0077734E"/>
    <w:rsid w:val="0077780B"/>
    <w:rsid w:val="00777999"/>
    <w:rsid w:val="007779A9"/>
    <w:rsid w:val="00777C39"/>
    <w:rsid w:val="0078066B"/>
    <w:rsid w:val="007815B7"/>
    <w:rsid w:val="00781715"/>
    <w:rsid w:val="007819AD"/>
    <w:rsid w:val="007821EB"/>
    <w:rsid w:val="00782333"/>
    <w:rsid w:val="007823FB"/>
    <w:rsid w:val="007832F9"/>
    <w:rsid w:val="0078334D"/>
    <w:rsid w:val="00783469"/>
    <w:rsid w:val="00784337"/>
    <w:rsid w:val="007843F2"/>
    <w:rsid w:val="007846FA"/>
    <w:rsid w:val="00784995"/>
    <w:rsid w:val="007850A3"/>
    <w:rsid w:val="007850D7"/>
    <w:rsid w:val="00785247"/>
    <w:rsid w:val="00785A9F"/>
    <w:rsid w:val="007875A8"/>
    <w:rsid w:val="007875E9"/>
    <w:rsid w:val="00787643"/>
    <w:rsid w:val="00787B5E"/>
    <w:rsid w:val="00787EA1"/>
    <w:rsid w:val="00790663"/>
    <w:rsid w:val="00790756"/>
    <w:rsid w:val="00790BCD"/>
    <w:rsid w:val="00790C1A"/>
    <w:rsid w:val="00791362"/>
    <w:rsid w:val="00791560"/>
    <w:rsid w:val="00791665"/>
    <w:rsid w:val="00791A4B"/>
    <w:rsid w:val="00791C83"/>
    <w:rsid w:val="00791DBE"/>
    <w:rsid w:val="0079214C"/>
    <w:rsid w:val="007925DF"/>
    <w:rsid w:val="0079307E"/>
    <w:rsid w:val="0079316D"/>
    <w:rsid w:val="007933D6"/>
    <w:rsid w:val="007936EF"/>
    <w:rsid w:val="0079390E"/>
    <w:rsid w:val="007941BA"/>
    <w:rsid w:val="007942D1"/>
    <w:rsid w:val="0079435F"/>
    <w:rsid w:val="00794CD8"/>
    <w:rsid w:val="00794DD9"/>
    <w:rsid w:val="0079502D"/>
    <w:rsid w:val="0079578C"/>
    <w:rsid w:val="00795851"/>
    <w:rsid w:val="00795ABE"/>
    <w:rsid w:val="00795E3E"/>
    <w:rsid w:val="007961BB"/>
    <w:rsid w:val="007961D3"/>
    <w:rsid w:val="00796976"/>
    <w:rsid w:val="00796EE0"/>
    <w:rsid w:val="0079733B"/>
    <w:rsid w:val="00797C3D"/>
    <w:rsid w:val="00797DA8"/>
    <w:rsid w:val="007A0332"/>
    <w:rsid w:val="007A08AA"/>
    <w:rsid w:val="007A0A12"/>
    <w:rsid w:val="007A1025"/>
    <w:rsid w:val="007A116F"/>
    <w:rsid w:val="007A132D"/>
    <w:rsid w:val="007A1345"/>
    <w:rsid w:val="007A1941"/>
    <w:rsid w:val="007A1B8C"/>
    <w:rsid w:val="007A1DE5"/>
    <w:rsid w:val="007A1F1F"/>
    <w:rsid w:val="007A27C4"/>
    <w:rsid w:val="007A2B37"/>
    <w:rsid w:val="007A2DDB"/>
    <w:rsid w:val="007A2E6A"/>
    <w:rsid w:val="007A3507"/>
    <w:rsid w:val="007A3565"/>
    <w:rsid w:val="007A3F3F"/>
    <w:rsid w:val="007A4045"/>
    <w:rsid w:val="007A4861"/>
    <w:rsid w:val="007A4D25"/>
    <w:rsid w:val="007A4E85"/>
    <w:rsid w:val="007A546B"/>
    <w:rsid w:val="007A57DB"/>
    <w:rsid w:val="007A5A84"/>
    <w:rsid w:val="007A5BBB"/>
    <w:rsid w:val="007A5DA7"/>
    <w:rsid w:val="007A617E"/>
    <w:rsid w:val="007A6992"/>
    <w:rsid w:val="007A6CAA"/>
    <w:rsid w:val="007A6D23"/>
    <w:rsid w:val="007A6E37"/>
    <w:rsid w:val="007A70BA"/>
    <w:rsid w:val="007A74DD"/>
    <w:rsid w:val="007A7623"/>
    <w:rsid w:val="007A77DA"/>
    <w:rsid w:val="007A7EBC"/>
    <w:rsid w:val="007B0716"/>
    <w:rsid w:val="007B07EE"/>
    <w:rsid w:val="007B0C0A"/>
    <w:rsid w:val="007B0D68"/>
    <w:rsid w:val="007B10FB"/>
    <w:rsid w:val="007B1ECF"/>
    <w:rsid w:val="007B251D"/>
    <w:rsid w:val="007B2B69"/>
    <w:rsid w:val="007B3533"/>
    <w:rsid w:val="007B4419"/>
    <w:rsid w:val="007B4637"/>
    <w:rsid w:val="007B469B"/>
    <w:rsid w:val="007B4D76"/>
    <w:rsid w:val="007B4F58"/>
    <w:rsid w:val="007B513E"/>
    <w:rsid w:val="007B528D"/>
    <w:rsid w:val="007B57FF"/>
    <w:rsid w:val="007B5B22"/>
    <w:rsid w:val="007B63CA"/>
    <w:rsid w:val="007B6A64"/>
    <w:rsid w:val="007B77D1"/>
    <w:rsid w:val="007B7C86"/>
    <w:rsid w:val="007C0510"/>
    <w:rsid w:val="007C0641"/>
    <w:rsid w:val="007C07C7"/>
    <w:rsid w:val="007C1448"/>
    <w:rsid w:val="007C1606"/>
    <w:rsid w:val="007C1C84"/>
    <w:rsid w:val="007C1CD9"/>
    <w:rsid w:val="007C1D13"/>
    <w:rsid w:val="007C1DF3"/>
    <w:rsid w:val="007C21E1"/>
    <w:rsid w:val="007C2CA6"/>
    <w:rsid w:val="007C2D3A"/>
    <w:rsid w:val="007C32EF"/>
    <w:rsid w:val="007C3597"/>
    <w:rsid w:val="007C3598"/>
    <w:rsid w:val="007C361D"/>
    <w:rsid w:val="007C38B9"/>
    <w:rsid w:val="007C39A6"/>
    <w:rsid w:val="007C3B07"/>
    <w:rsid w:val="007C42C2"/>
    <w:rsid w:val="007C48EB"/>
    <w:rsid w:val="007C49BB"/>
    <w:rsid w:val="007C4B84"/>
    <w:rsid w:val="007C5D89"/>
    <w:rsid w:val="007C5DA2"/>
    <w:rsid w:val="007C60BF"/>
    <w:rsid w:val="007C61D1"/>
    <w:rsid w:val="007C62F9"/>
    <w:rsid w:val="007C65D8"/>
    <w:rsid w:val="007C6CBB"/>
    <w:rsid w:val="007C6D2C"/>
    <w:rsid w:val="007C6DF3"/>
    <w:rsid w:val="007C6EB0"/>
    <w:rsid w:val="007C70FF"/>
    <w:rsid w:val="007C7367"/>
    <w:rsid w:val="007C7716"/>
    <w:rsid w:val="007C7C25"/>
    <w:rsid w:val="007C7CB7"/>
    <w:rsid w:val="007D004F"/>
    <w:rsid w:val="007D035F"/>
    <w:rsid w:val="007D0403"/>
    <w:rsid w:val="007D0427"/>
    <w:rsid w:val="007D06B2"/>
    <w:rsid w:val="007D07B0"/>
    <w:rsid w:val="007D0B38"/>
    <w:rsid w:val="007D123C"/>
    <w:rsid w:val="007D1605"/>
    <w:rsid w:val="007D1696"/>
    <w:rsid w:val="007D17A6"/>
    <w:rsid w:val="007D28D8"/>
    <w:rsid w:val="007D37F7"/>
    <w:rsid w:val="007D425A"/>
    <w:rsid w:val="007D46DF"/>
    <w:rsid w:val="007D4B8E"/>
    <w:rsid w:val="007D5440"/>
    <w:rsid w:val="007D6436"/>
    <w:rsid w:val="007D649B"/>
    <w:rsid w:val="007D64C0"/>
    <w:rsid w:val="007D65EE"/>
    <w:rsid w:val="007D69EB"/>
    <w:rsid w:val="007D6FE6"/>
    <w:rsid w:val="007D705A"/>
    <w:rsid w:val="007D78AB"/>
    <w:rsid w:val="007E0103"/>
    <w:rsid w:val="007E0503"/>
    <w:rsid w:val="007E0F4F"/>
    <w:rsid w:val="007E128F"/>
    <w:rsid w:val="007E16A0"/>
    <w:rsid w:val="007E2085"/>
    <w:rsid w:val="007E2A66"/>
    <w:rsid w:val="007E3098"/>
    <w:rsid w:val="007E30D9"/>
    <w:rsid w:val="007E35C2"/>
    <w:rsid w:val="007E391B"/>
    <w:rsid w:val="007E395C"/>
    <w:rsid w:val="007E3E11"/>
    <w:rsid w:val="007E3F3A"/>
    <w:rsid w:val="007E473C"/>
    <w:rsid w:val="007E524A"/>
    <w:rsid w:val="007E547F"/>
    <w:rsid w:val="007E579F"/>
    <w:rsid w:val="007E5FDB"/>
    <w:rsid w:val="007E6687"/>
    <w:rsid w:val="007E669B"/>
    <w:rsid w:val="007E6754"/>
    <w:rsid w:val="007E6991"/>
    <w:rsid w:val="007E6A33"/>
    <w:rsid w:val="007E6EA1"/>
    <w:rsid w:val="007E71E9"/>
    <w:rsid w:val="007E7386"/>
    <w:rsid w:val="007F0036"/>
    <w:rsid w:val="007F0550"/>
    <w:rsid w:val="007F1017"/>
    <w:rsid w:val="007F2991"/>
    <w:rsid w:val="007F2D7C"/>
    <w:rsid w:val="007F2DDE"/>
    <w:rsid w:val="007F3404"/>
    <w:rsid w:val="007F39C0"/>
    <w:rsid w:val="007F3BB7"/>
    <w:rsid w:val="007F3BDD"/>
    <w:rsid w:val="007F4472"/>
    <w:rsid w:val="007F4A3F"/>
    <w:rsid w:val="007F4A61"/>
    <w:rsid w:val="007F507A"/>
    <w:rsid w:val="007F5255"/>
    <w:rsid w:val="007F56CC"/>
    <w:rsid w:val="007F5FCA"/>
    <w:rsid w:val="007F6102"/>
    <w:rsid w:val="007F61C2"/>
    <w:rsid w:val="007F6D00"/>
    <w:rsid w:val="007F7549"/>
    <w:rsid w:val="007F76EA"/>
    <w:rsid w:val="00800853"/>
    <w:rsid w:val="00800A0F"/>
    <w:rsid w:val="00800A3B"/>
    <w:rsid w:val="00800C1B"/>
    <w:rsid w:val="00801729"/>
    <w:rsid w:val="00801BCA"/>
    <w:rsid w:val="00801CD1"/>
    <w:rsid w:val="00801E7B"/>
    <w:rsid w:val="008020BC"/>
    <w:rsid w:val="008023F3"/>
    <w:rsid w:val="0080256B"/>
    <w:rsid w:val="00802A7E"/>
    <w:rsid w:val="00802AF6"/>
    <w:rsid w:val="00802DCF"/>
    <w:rsid w:val="00803A37"/>
    <w:rsid w:val="00803E9D"/>
    <w:rsid w:val="00804674"/>
    <w:rsid w:val="00804832"/>
    <w:rsid w:val="00805142"/>
    <w:rsid w:val="0080566B"/>
    <w:rsid w:val="0080569B"/>
    <w:rsid w:val="00805FCE"/>
    <w:rsid w:val="00806875"/>
    <w:rsid w:val="00806B80"/>
    <w:rsid w:val="00806D0B"/>
    <w:rsid w:val="00806F70"/>
    <w:rsid w:val="008076C2"/>
    <w:rsid w:val="00807979"/>
    <w:rsid w:val="00807A8B"/>
    <w:rsid w:val="0081037B"/>
    <w:rsid w:val="00810786"/>
    <w:rsid w:val="00810F3E"/>
    <w:rsid w:val="00810F49"/>
    <w:rsid w:val="00810FA7"/>
    <w:rsid w:val="008111A1"/>
    <w:rsid w:val="00811383"/>
    <w:rsid w:val="00811E1B"/>
    <w:rsid w:val="00812149"/>
    <w:rsid w:val="00812750"/>
    <w:rsid w:val="00812CAC"/>
    <w:rsid w:val="00812E7B"/>
    <w:rsid w:val="008134D9"/>
    <w:rsid w:val="0081385B"/>
    <w:rsid w:val="0081395E"/>
    <w:rsid w:val="008140FA"/>
    <w:rsid w:val="00815499"/>
    <w:rsid w:val="00815753"/>
    <w:rsid w:val="00815C84"/>
    <w:rsid w:val="00816050"/>
    <w:rsid w:val="008160D8"/>
    <w:rsid w:val="0081612B"/>
    <w:rsid w:val="008161AB"/>
    <w:rsid w:val="00816361"/>
    <w:rsid w:val="00816679"/>
    <w:rsid w:val="008166EF"/>
    <w:rsid w:val="0081697C"/>
    <w:rsid w:val="00816A9B"/>
    <w:rsid w:val="00816FEF"/>
    <w:rsid w:val="008170F8"/>
    <w:rsid w:val="0081712A"/>
    <w:rsid w:val="008178FF"/>
    <w:rsid w:val="00817CC1"/>
    <w:rsid w:val="00820A8C"/>
    <w:rsid w:val="00820ED5"/>
    <w:rsid w:val="008215FB"/>
    <w:rsid w:val="008217D5"/>
    <w:rsid w:val="00821947"/>
    <w:rsid w:val="008220CC"/>
    <w:rsid w:val="00822BB4"/>
    <w:rsid w:val="00823035"/>
    <w:rsid w:val="00823174"/>
    <w:rsid w:val="008231E7"/>
    <w:rsid w:val="00823AC7"/>
    <w:rsid w:val="00823CED"/>
    <w:rsid w:val="00823F99"/>
    <w:rsid w:val="0082404C"/>
    <w:rsid w:val="00824367"/>
    <w:rsid w:val="008252D6"/>
    <w:rsid w:val="00825316"/>
    <w:rsid w:val="00825751"/>
    <w:rsid w:val="008264EB"/>
    <w:rsid w:val="00826593"/>
    <w:rsid w:val="008268CE"/>
    <w:rsid w:val="00826D06"/>
    <w:rsid w:val="00826EF7"/>
    <w:rsid w:val="00826F7A"/>
    <w:rsid w:val="0082737A"/>
    <w:rsid w:val="008274B3"/>
    <w:rsid w:val="00827883"/>
    <w:rsid w:val="0082790D"/>
    <w:rsid w:val="00827C23"/>
    <w:rsid w:val="0083053A"/>
    <w:rsid w:val="0083073C"/>
    <w:rsid w:val="00830A8D"/>
    <w:rsid w:val="00830EEA"/>
    <w:rsid w:val="00830FAC"/>
    <w:rsid w:val="008310EB"/>
    <w:rsid w:val="0083137B"/>
    <w:rsid w:val="0083219E"/>
    <w:rsid w:val="00832FC7"/>
    <w:rsid w:val="0083314B"/>
    <w:rsid w:val="00833238"/>
    <w:rsid w:val="0083391C"/>
    <w:rsid w:val="0083397E"/>
    <w:rsid w:val="00833B05"/>
    <w:rsid w:val="00834004"/>
    <w:rsid w:val="00834347"/>
    <w:rsid w:val="00834425"/>
    <w:rsid w:val="00834685"/>
    <w:rsid w:val="00834CA5"/>
    <w:rsid w:val="008350AD"/>
    <w:rsid w:val="00835707"/>
    <w:rsid w:val="00835FC1"/>
    <w:rsid w:val="00836188"/>
    <w:rsid w:val="008362B4"/>
    <w:rsid w:val="008364C0"/>
    <w:rsid w:val="00837240"/>
    <w:rsid w:val="008376DC"/>
    <w:rsid w:val="00837DB3"/>
    <w:rsid w:val="0084000F"/>
    <w:rsid w:val="00840CA2"/>
    <w:rsid w:val="00840D94"/>
    <w:rsid w:val="00840E92"/>
    <w:rsid w:val="0084107C"/>
    <w:rsid w:val="00841AB4"/>
    <w:rsid w:val="0084244D"/>
    <w:rsid w:val="00842A73"/>
    <w:rsid w:val="00843725"/>
    <w:rsid w:val="0084374F"/>
    <w:rsid w:val="00843835"/>
    <w:rsid w:val="008439C1"/>
    <w:rsid w:val="00844A22"/>
    <w:rsid w:val="00844BD5"/>
    <w:rsid w:val="00844DEE"/>
    <w:rsid w:val="00845025"/>
    <w:rsid w:val="00845895"/>
    <w:rsid w:val="008458D7"/>
    <w:rsid w:val="00845E79"/>
    <w:rsid w:val="008468DB"/>
    <w:rsid w:val="00846AEE"/>
    <w:rsid w:val="00846E76"/>
    <w:rsid w:val="00847427"/>
    <w:rsid w:val="0084769C"/>
    <w:rsid w:val="008476B4"/>
    <w:rsid w:val="00847703"/>
    <w:rsid w:val="00847B92"/>
    <w:rsid w:val="00847BB2"/>
    <w:rsid w:val="00847C96"/>
    <w:rsid w:val="00847DF5"/>
    <w:rsid w:val="0085016E"/>
    <w:rsid w:val="0085023D"/>
    <w:rsid w:val="00850632"/>
    <w:rsid w:val="008507F8"/>
    <w:rsid w:val="008508AF"/>
    <w:rsid w:val="00850E3E"/>
    <w:rsid w:val="00852415"/>
    <w:rsid w:val="00852B5A"/>
    <w:rsid w:val="0085309D"/>
    <w:rsid w:val="00853374"/>
    <w:rsid w:val="0085361C"/>
    <w:rsid w:val="00853782"/>
    <w:rsid w:val="0085432E"/>
    <w:rsid w:val="00854B3B"/>
    <w:rsid w:val="00854CFC"/>
    <w:rsid w:val="00855336"/>
    <w:rsid w:val="008553DC"/>
    <w:rsid w:val="008553E2"/>
    <w:rsid w:val="00855836"/>
    <w:rsid w:val="00855851"/>
    <w:rsid w:val="00855A72"/>
    <w:rsid w:val="00855C27"/>
    <w:rsid w:val="00855F5F"/>
    <w:rsid w:val="008566DB"/>
    <w:rsid w:val="00856897"/>
    <w:rsid w:val="00856BAC"/>
    <w:rsid w:val="00856E9A"/>
    <w:rsid w:val="008577C1"/>
    <w:rsid w:val="00857A31"/>
    <w:rsid w:val="00857C89"/>
    <w:rsid w:val="00857F3E"/>
    <w:rsid w:val="00860295"/>
    <w:rsid w:val="0086075D"/>
    <w:rsid w:val="008609A8"/>
    <w:rsid w:val="00860B0B"/>
    <w:rsid w:val="00860F80"/>
    <w:rsid w:val="008612C6"/>
    <w:rsid w:val="00861542"/>
    <w:rsid w:val="00861750"/>
    <w:rsid w:val="008617E3"/>
    <w:rsid w:val="00861ADE"/>
    <w:rsid w:val="00861D17"/>
    <w:rsid w:val="00862502"/>
    <w:rsid w:val="00862746"/>
    <w:rsid w:val="00862B69"/>
    <w:rsid w:val="00862CC1"/>
    <w:rsid w:val="00862D87"/>
    <w:rsid w:val="00863127"/>
    <w:rsid w:val="00863380"/>
    <w:rsid w:val="008635A4"/>
    <w:rsid w:val="008636F2"/>
    <w:rsid w:val="00863AED"/>
    <w:rsid w:val="00863CA8"/>
    <w:rsid w:val="00864229"/>
    <w:rsid w:val="008642A7"/>
    <w:rsid w:val="008648D3"/>
    <w:rsid w:val="00865EA7"/>
    <w:rsid w:val="00866009"/>
    <w:rsid w:val="00866050"/>
    <w:rsid w:val="008660D4"/>
    <w:rsid w:val="008662C0"/>
    <w:rsid w:val="0086661F"/>
    <w:rsid w:val="00866B3A"/>
    <w:rsid w:val="00866DF0"/>
    <w:rsid w:val="0086762D"/>
    <w:rsid w:val="00867862"/>
    <w:rsid w:val="008678F5"/>
    <w:rsid w:val="00867EE3"/>
    <w:rsid w:val="008700C6"/>
    <w:rsid w:val="00870211"/>
    <w:rsid w:val="00870BB1"/>
    <w:rsid w:val="008713CD"/>
    <w:rsid w:val="00871679"/>
    <w:rsid w:val="00871AD2"/>
    <w:rsid w:val="00871C47"/>
    <w:rsid w:val="00871FA9"/>
    <w:rsid w:val="00872048"/>
    <w:rsid w:val="0087218F"/>
    <w:rsid w:val="008723FC"/>
    <w:rsid w:val="008724ED"/>
    <w:rsid w:val="00872633"/>
    <w:rsid w:val="008726EC"/>
    <w:rsid w:val="008728E9"/>
    <w:rsid w:val="00872F4D"/>
    <w:rsid w:val="008731E5"/>
    <w:rsid w:val="008734C0"/>
    <w:rsid w:val="0087376C"/>
    <w:rsid w:val="00873C7C"/>
    <w:rsid w:val="008743D4"/>
    <w:rsid w:val="0087448E"/>
    <w:rsid w:val="00874B40"/>
    <w:rsid w:val="00874E8E"/>
    <w:rsid w:val="0087512F"/>
    <w:rsid w:val="00875AA3"/>
    <w:rsid w:val="00875E7F"/>
    <w:rsid w:val="00876047"/>
    <w:rsid w:val="00876D71"/>
    <w:rsid w:val="0087706D"/>
    <w:rsid w:val="00880BF0"/>
    <w:rsid w:val="00880C5A"/>
    <w:rsid w:val="0088136B"/>
    <w:rsid w:val="008813C3"/>
    <w:rsid w:val="00881752"/>
    <w:rsid w:val="00881B48"/>
    <w:rsid w:val="00882184"/>
    <w:rsid w:val="00882600"/>
    <w:rsid w:val="00882797"/>
    <w:rsid w:val="00882874"/>
    <w:rsid w:val="00882E3C"/>
    <w:rsid w:val="0088306C"/>
    <w:rsid w:val="0088308A"/>
    <w:rsid w:val="00883527"/>
    <w:rsid w:val="00883787"/>
    <w:rsid w:val="008841FB"/>
    <w:rsid w:val="00884346"/>
    <w:rsid w:val="00884EBF"/>
    <w:rsid w:val="00885183"/>
    <w:rsid w:val="008852A2"/>
    <w:rsid w:val="008855E2"/>
    <w:rsid w:val="008855E4"/>
    <w:rsid w:val="00885902"/>
    <w:rsid w:val="00885FF8"/>
    <w:rsid w:val="00886C5C"/>
    <w:rsid w:val="00886CD2"/>
    <w:rsid w:val="00886EDC"/>
    <w:rsid w:val="00887811"/>
    <w:rsid w:val="00887BFA"/>
    <w:rsid w:val="00887C37"/>
    <w:rsid w:val="00887D7D"/>
    <w:rsid w:val="008902A3"/>
    <w:rsid w:val="008906B1"/>
    <w:rsid w:val="0089100C"/>
    <w:rsid w:val="008914AE"/>
    <w:rsid w:val="0089199F"/>
    <w:rsid w:val="008919C2"/>
    <w:rsid w:val="00891E63"/>
    <w:rsid w:val="00891E6F"/>
    <w:rsid w:val="00891FF3"/>
    <w:rsid w:val="00892212"/>
    <w:rsid w:val="008924F2"/>
    <w:rsid w:val="0089275D"/>
    <w:rsid w:val="00892A12"/>
    <w:rsid w:val="00892A36"/>
    <w:rsid w:val="00892FF7"/>
    <w:rsid w:val="0089304E"/>
    <w:rsid w:val="00893239"/>
    <w:rsid w:val="008936CF"/>
    <w:rsid w:val="00893BD5"/>
    <w:rsid w:val="0089420E"/>
    <w:rsid w:val="00894489"/>
    <w:rsid w:val="008944B8"/>
    <w:rsid w:val="008948C2"/>
    <w:rsid w:val="00894CD6"/>
    <w:rsid w:val="008963A5"/>
    <w:rsid w:val="0089645C"/>
    <w:rsid w:val="00896D5D"/>
    <w:rsid w:val="0089731F"/>
    <w:rsid w:val="008978E1"/>
    <w:rsid w:val="008978FD"/>
    <w:rsid w:val="0089799A"/>
    <w:rsid w:val="008A06F8"/>
    <w:rsid w:val="008A0D62"/>
    <w:rsid w:val="008A10AE"/>
    <w:rsid w:val="008A16E5"/>
    <w:rsid w:val="008A1D2B"/>
    <w:rsid w:val="008A2365"/>
    <w:rsid w:val="008A23A2"/>
    <w:rsid w:val="008A2568"/>
    <w:rsid w:val="008A2A4A"/>
    <w:rsid w:val="008A3158"/>
    <w:rsid w:val="008A3197"/>
    <w:rsid w:val="008A3363"/>
    <w:rsid w:val="008A3371"/>
    <w:rsid w:val="008A33EC"/>
    <w:rsid w:val="008A3C3E"/>
    <w:rsid w:val="008A3D79"/>
    <w:rsid w:val="008A3FBA"/>
    <w:rsid w:val="008A3FF4"/>
    <w:rsid w:val="008A40D5"/>
    <w:rsid w:val="008A46EC"/>
    <w:rsid w:val="008A4C95"/>
    <w:rsid w:val="008A5D2A"/>
    <w:rsid w:val="008A6038"/>
    <w:rsid w:val="008A6890"/>
    <w:rsid w:val="008A6B36"/>
    <w:rsid w:val="008A6C7B"/>
    <w:rsid w:val="008A6DF3"/>
    <w:rsid w:val="008A6E5D"/>
    <w:rsid w:val="008A7103"/>
    <w:rsid w:val="008A71DC"/>
    <w:rsid w:val="008A7408"/>
    <w:rsid w:val="008A79DE"/>
    <w:rsid w:val="008A7A48"/>
    <w:rsid w:val="008A7E79"/>
    <w:rsid w:val="008B01E2"/>
    <w:rsid w:val="008B0E22"/>
    <w:rsid w:val="008B0F69"/>
    <w:rsid w:val="008B12C9"/>
    <w:rsid w:val="008B1757"/>
    <w:rsid w:val="008B1C33"/>
    <w:rsid w:val="008B200C"/>
    <w:rsid w:val="008B284C"/>
    <w:rsid w:val="008B2FAF"/>
    <w:rsid w:val="008B397A"/>
    <w:rsid w:val="008B3A37"/>
    <w:rsid w:val="008B3AB8"/>
    <w:rsid w:val="008B3F47"/>
    <w:rsid w:val="008B403B"/>
    <w:rsid w:val="008B405C"/>
    <w:rsid w:val="008B454D"/>
    <w:rsid w:val="008B4B6F"/>
    <w:rsid w:val="008B5256"/>
    <w:rsid w:val="008B5517"/>
    <w:rsid w:val="008B57B4"/>
    <w:rsid w:val="008B5A21"/>
    <w:rsid w:val="008B688D"/>
    <w:rsid w:val="008B688F"/>
    <w:rsid w:val="008B6D03"/>
    <w:rsid w:val="008B70A0"/>
    <w:rsid w:val="008B7992"/>
    <w:rsid w:val="008B7B07"/>
    <w:rsid w:val="008B7CCE"/>
    <w:rsid w:val="008B7D7E"/>
    <w:rsid w:val="008C0632"/>
    <w:rsid w:val="008C0F50"/>
    <w:rsid w:val="008C0FC8"/>
    <w:rsid w:val="008C1067"/>
    <w:rsid w:val="008C1455"/>
    <w:rsid w:val="008C1B08"/>
    <w:rsid w:val="008C24B9"/>
    <w:rsid w:val="008C2942"/>
    <w:rsid w:val="008C2A50"/>
    <w:rsid w:val="008C2F09"/>
    <w:rsid w:val="008C42B9"/>
    <w:rsid w:val="008C5071"/>
    <w:rsid w:val="008C5610"/>
    <w:rsid w:val="008C5739"/>
    <w:rsid w:val="008C5D02"/>
    <w:rsid w:val="008C5E58"/>
    <w:rsid w:val="008C6A23"/>
    <w:rsid w:val="008C6A37"/>
    <w:rsid w:val="008C6AD5"/>
    <w:rsid w:val="008C7282"/>
    <w:rsid w:val="008C7415"/>
    <w:rsid w:val="008C7BCD"/>
    <w:rsid w:val="008C7E67"/>
    <w:rsid w:val="008C7ECB"/>
    <w:rsid w:val="008D0023"/>
    <w:rsid w:val="008D0985"/>
    <w:rsid w:val="008D0A0C"/>
    <w:rsid w:val="008D0A99"/>
    <w:rsid w:val="008D0C3C"/>
    <w:rsid w:val="008D1059"/>
    <w:rsid w:val="008D1613"/>
    <w:rsid w:val="008D1B15"/>
    <w:rsid w:val="008D1C83"/>
    <w:rsid w:val="008D21CB"/>
    <w:rsid w:val="008D2B6C"/>
    <w:rsid w:val="008D2D15"/>
    <w:rsid w:val="008D2EFC"/>
    <w:rsid w:val="008D2FDB"/>
    <w:rsid w:val="008D3413"/>
    <w:rsid w:val="008D3497"/>
    <w:rsid w:val="008D37AC"/>
    <w:rsid w:val="008D3957"/>
    <w:rsid w:val="008D3B86"/>
    <w:rsid w:val="008D3E76"/>
    <w:rsid w:val="008D3FE0"/>
    <w:rsid w:val="008D43FD"/>
    <w:rsid w:val="008D4755"/>
    <w:rsid w:val="008D4C3D"/>
    <w:rsid w:val="008D5337"/>
    <w:rsid w:val="008D61F1"/>
    <w:rsid w:val="008D698A"/>
    <w:rsid w:val="008D6C9E"/>
    <w:rsid w:val="008D737D"/>
    <w:rsid w:val="008D743C"/>
    <w:rsid w:val="008D7633"/>
    <w:rsid w:val="008D7AFC"/>
    <w:rsid w:val="008D7D49"/>
    <w:rsid w:val="008D7D5D"/>
    <w:rsid w:val="008E01A5"/>
    <w:rsid w:val="008E08F0"/>
    <w:rsid w:val="008E0D3C"/>
    <w:rsid w:val="008E1496"/>
    <w:rsid w:val="008E1520"/>
    <w:rsid w:val="008E1A0B"/>
    <w:rsid w:val="008E1B9E"/>
    <w:rsid w:val="008E2339"/>
    <w:rsid w:val="008E23B5"/>
    <w:rsid w:val="008E2A8F"/>
    <w:rsid w:val="008E2E5A"/>
    <w:rsid w:val="008E3000"/>
    <w:rsid w:val="008E3126"/>
    <w:rsid w:val="008E4C75"/>
    <w:rsid w:val="008E4F8F"/>
    <w:rsid w:val="008E4F9C"/>
    <w:rsid w:val="008E520B"/>
    <w:rsid w:val="008E5297"/>
    <w:rsid w:val="008E5558"/>
    <w:rsid w:val="008E55AB"/>
    <w:rsid w:val="008E58C4"/>
    <w:rsid w:val="008E590C"/>
    <w:rsid w:val="008E662D"/>
    <w:rsid w:val="008E6B4A"/>
    <w:rsid w:val="008E6C11"/>
    <w:rsid w:val="008E71F4"/>
    <w:rsid w:val="008F017E"/>
    <w:rsid w:val="008F120A"/>
    <w:rsid w:val="008F125B"/>
    <w:rsid w:val="008F1333"/>
    <w:rsid w:val="008F1517"/>
    <w:rsid w:val="008F1BBE"/>
    <w:rsid w:val="008F1EDB"/>
    <w:rsid w:val="008F22DF"/>
    <w:rsid w:val="008F26A2"/>
    <w:rsid w:val="008F27E0"/>
    <w:rsid w:val="008F2A10"/>
    <w:rsid w:val="008F2C2E"/>
    <w:rsid w:val="008F2C98"/>
    <w:rsid w:val="008F3177"/>
    <w:rsid w:val="008F3265"/>
    <w:rsid w:val="008F3A9D"/>
    <w:rsid w:val="008F3B0A"/>
    <w:rsid w:val="008F44F2"/>
    <w:rsid w:val="008F48EB"/>
    <w:rsid w:val="008F4F0B"/>
    <w:rsid w:val="008F5014"/>
    <w:rsid w:val="008F5219"/>
    <w:rsid w:val="008F5580"/>
    <w:rsid w:val="008F6567"/>
    <w:rsid w:val="008F6674"/>
    <w:rsid w:val="008F6758"/>
    <w:rsid w:val="008F6975"/>
    <w:rsid w:val="008F69FA"/>
    <w:rsid w:val="008F7B57"/>
    <w:rsid w:val="00900772"/>
    <w:rsid w:val="00900AB0"/>
    <w:rsid w:val="00900F16"/>
    <w:rsid w:val="00901F0D"/>
    <w:rsid w:val="00902025"/>
    <w:rsid w:val="0090377C"/>
    <w:rsid w:val="0090413A"/>
    <w:rsid w:val="009046C4"/>
    <w:rsid w:val="00904B6B"/>
    <w:rsid w:val="00904C8C"/>
    <w:rsid w:val="00904CEE"/>
    <w:rsid w:val="009050B2"/>
    <w:rsid w:val="0090609A"/>
    <w:rsid w:val="009061AF"/>
    <w:rsid w:val="00906279"/>
    <w:rsid w:val="009062A5"/>
    <w:rsid w:val="00906526"/>
    <w:rsid w:val="00906C5C"/>
    <w:rsid w:val="009074EF"/>
    <w:rsid w:val="00907699"/>
    <w:rsid w:val="00907D0C"/>
    <w:rsid w:val="00910FA7"/>
    <w:rsid w:val="00911272"/>
    <w:rsid w:val="00911339"/>
    <w:rsid w:val="0091155B"/>
    <w:rsid w:val="00911824"/>
    <w:rsid w:val="00911D59"/>
    <w:rsid w:val="00911EEB"/>
    <w:rsid w:val="009135D6"/>
    <w:rsid w:val="00913AA9"/>
    <w:rsid w:val="00913D06"/>
    <w:rsid w:val="00913EE6"/>
    <w:rsid w:val="00914A29"/>
    <w:rsid w:val="00914C77"/>
    <w:rsid w:val="009156F8"/>
    <w:rsid w:val="00915FBB"/>
    <w:rsid w:val="00916268"/>
    <w:rsid w:val="00916338"/>
    <w:rsid w:val="00916BF8"/>
    <w:rsid w:val="009176D2"/>
    <w:rsid w:val="00920097"/>
    <w:rsid w:val="0092080F"/>
    <w:rsid w:val="009208DA"/>
    <w:rsid w:val="0092090A"/>
    <w:rsid w:val="00920D4E"/>
    <w:rsid w:val="009218AC"/>
    <w:rsid w:val="0092195A"/>
    <w:rsid w:val="009219F2"/>
    <w:rsid w:val="00921ACB"/>
    <w:rsid w:val="00921C72"/>
    <w:rsid w:val="00921EDA"/>
    <w:rsid w:val="00921F4D"/>
    <w:rsid w:val="009222EB"/>
    <w:rsid w:val="00922402"/>
    <w:rsid w:val="0092253F"/>
    <w:rsid w:val="00922EB1"/>
    <w:rsid w:val="009231F3"/>
    <w:rsid w:val="009234C1"/>
    <w:rsid w:val="0092369B"/>
    <w:rsid w:val="00923B6C"/>
    <w:rsid w:val="00923C56"/>
    <w:rsid w:val="00923F13"/>
    <w:rsid w:val="00924B97"/>
    <w:rsid w:val="00924E0C"/>
    <w:rsid w:val="009252F0"/>
    <w:rsid w:val="009256B2"/>
    <w:rsid w:val="00925B49"/>
    <w:rsid w:val="00926345"/>
    <w:rsid w:val="00926730"/>
    <w:rsid w:val="00926C86"/>
    <w:rsid w:val="00926DDC"/>
    <w:rsid w:val="00927C76"/>
    <w:rsid w:val="00930048"/>
    <w:rsid w:val="00930481"/>
    <w:rsid w:val="0093072C"/>
    <w:rsid w:val="00930A7E"/>
    <w:rsid w:val="00931FEC"/>
    <w:rsid w:val="00932157"/>
    <w:rsid w:val="00933548"/>
    <w:rsid w:val="00934780"/>
    <w:rsid w:val="0093480A"/>
    <w:rsid w:val="00934988"/>
    <w:rsid w:val="0093517F"/>
    <w:rsid w:val="00935554"/>
    <w:rsid w:val="00935A6E"/>
    <w:rsid w:val="00935E43"/>
    <w:rsid w:val="00935ED7"/>
    <w:rsid w:val="009361F0"/>
    <w:rsid w:val="00936269"/>
    <w:rsid w:val="00936407"/>
    <w:rsid w:val="009366B1"/>
    <w:rsid w:val="00937089"/>
    <w:rsid w:val="00937A72"/>
    <w:rsid w:val="00937D81"/>
    <w:rsid w:val="009400EF"/>
    <w:rsid w:val="00940330"/>
    <w:rsid w:val="00940863"/>
    <w:rsid w:val="00940DC7"/>
    <w:rsid w:val="009412CB"/>
    <w:rsid w:val="009418CA"/>
    <w:rsid w:val="00941C58"/>
    <w:rsid w:val="00941DA7"/>
    <w:rsid w:val="00941DF6"/>
    <w:rsid w:val="009425A4"/>
    <w:rsid w:val="00943118"/>
    <w:rsid w:val="009437D8"/>
    <w:rsid w:val="00944F8A"/>
    <w:rsid w:val="00944F95"/>
    <w:rsid w:val="00944FF2"/>
    <w:rsid w:val="009453A6"/>
    <w:rsid w:val="009453A7"/>
    <w:rsid w:val="0094547B"/>
    <w:rsid w:val="009462B4"/>
    <w:rsid w:val="00946ECC"/>
    <w:rsid w:val="0094730D"/>
    <w:rsid w:val="0094785B"/>
    <w:rsid w:val="0095050E"/>
    <w:rsid w:val="0095102A"/>
    <w:rsid w:val="009510A2"/>
    <w:rsid w:val="00951430"/>
    <w:rsid w:val="00951E22"/>
    <w:rsid w:val="00951F76"/>
    <w:rsid w:val="009523CB"/>
    <w:rsid w:val="00952451"/>
    <w:rsid w:val="00952C34"/>
    <w:rsid w:val="00953257"/>
    <w:rsid w:val="009534A5"/>
    <w:rsid w:val="00953CB6"/>
    <w:rsid w:val="00954149"/>
    <w:rsid w:val="00954341"/>
    <w:rsid w:val="0095474C"/>
    <w:rsid w:val="00954A7B"/>
    <w:rsid w:val="00954AE0"/>
    <w:rsid w:val="00955472"/>
    <w:rsid w:val="00955FEE"/>
    <w:rsid w:val="009567E3"/>
    <w:rsid w:val="0095777A"/>
    <w:rsid w:val="00957C4E"/>
    <w:rsid w:val="00957CE2"/>
    <w:rsid w:val="00957D92"/>
    <w:rsid w:val="0096083C"/>
    <w:rsid w:val="00960919"/>
    <w:rsid w:val="00960EE4"/>
    <w:rsid w:val="009617C3"/>
    <w:rsid w:val="009617DC"/>
    <w:rsid w:val="009617F4"/>
    <w:rsid w:val="00961BD8"/>
    <w:rsid w:val="00961D1B"/>
    <w:rsid w:val="009621A5"/>
    <w:rsid w:val="00962512"/>
    <w:rsid w:val="00962CB9"/>
    <w:rsid w:val="00962D70"/>
    <w:rsid w:val="009636A2"/>
    <w:rsid w:val="009639F6"/>
    <w:rsid w:val="00963EF4"/>
    <w:rsid w:val="00964070"/>
    <w:rsid w:val="00964091"/>
    <w:rsid w:val="00964312"/>
    <w:rsid w:val="009646DB"/>
    <w:rsid w:val="0096477F"/>
    <w:rsid w:val="00964A6E"/>
    <w:rsid w:val="00964F29"/>
    <w:rsid w:val="009653CC"/>
    <w:rsid w:val="0096567C"/>
    <w:rsid w:val="00965B8A"/>
    <w:rsid w:val="00965E81"/>
    <w:rsid w:val="00966AF5"/>
    <w:rsid w:val="009676E8"/>
    <w:rsid w:val="00967A9B"/>
    <w:rsid w:val="00967FAF"/>
    <w:rsid w:val="00970040"/>
    <w:rsid w:val="00970081"/>
    <w:rsid w:val="0097071F"/>
    <w:rsid w:val="0097095B"/>
    <w:rsid w:val="00970C82"/>
    <w:rsid w:val="009717AC"/>
    <w:rsid w:val="00971CEB"/>
    <w:rsid w:val="00971FA2"/>
    <w:rsid w:val="00972059"/>
    <w:rsid w:val="0097218E"/>
    <w:rsid w:val="00972A3A"/>
    <w:rsid w:val="00972CF6"/>
    <w:rsid w:val="00973463"/>
    <w:rsid w:val="009739B7"/>
    <w:rsid w:val="00973BDA"/>
    <w:rsid w:val="00973FC9"/>
    <w:rsid w:val="00974511"/>
    <w:rsid w:val="00974658"/>
    <w:rsid w:val="009751C1"/>
    <w:rsid w:val="00975DEA"/>
    <w:rsid w:val="00976BC9"/>
    <w:rsid w:val="009771D1"/>
    <w:rsid w:val="00977260"/>
    <w:rsid w:val="00980981"/>
    <w:rsid w:val="009809C7"/>
    <w:rsid w:val="00980F34"/>
    <w:rsid w:val="009811F1"/>
    <w:rsid w:val="009815A7"/>
    <w:rsid w:val="00981B1A"/>
    <w:rsid w:val="0098262F"/>
    <w:rsid w:val="009826C7"/>
    <w:rsid w:val="00983539"/>
    <w:rsid w:val="00983693"/>
    <w:rsid w:val="00983906"/>
    <w:rsid w:val="009839CF"/>
    <w:rsid w:val="00983BDF"/>
    <w:rsid w:val="00983E57"/>
    <w:rsid w:val="0098425B"/>
    <w:rsid w:val="00984ADE"/>
    <w:rsid w:val="0098500D"/>
    <w:rsid w:val="00985379"/>
    <w:rsid w:val="00985DE2"/>
    <w:rsid w:val="00985EFC"/>
    <w:rsid w:val="0098601B"/>
    <w:rsid w:val="009863F4"/>
    <w:rsid w:val="0098675D"/>
    <w:rsid w:val="00986844"/>
    <w:rsid w:val="00986925"/>
    <w:rsid w:val="00986C9D"/>
    <w:rsid w:val="00987019"/>
    <w:rsid w:val="00987174"/>
    <w:rsid w:val="009875EE"/>
    <w:rsid w:val="00987BA4"/>
    <w:rsid w:val="00987C36"/>
    <w:rsid w:val="00987C9B"/>
    <w:rsid w:val="00987D9B"/>
    <w:rsid w:val="00987E41"/>
    <w:rsid w:val="00991BE1"/>
    <w:rsid w:val="00991F96"/>
    <w:rsid w:val="00992017"/>
    <w:rsid w:val="009920CC"/>
    <w:rsid w:val="00992192"/>
    <w:rsid w:val="009926E0"/>
    <w:rsid w:val="009929AF"/>
    <w:rsid w:val="009933C3"/>
    <w:rsid w:val="00993EE1"/>
    <w:rsid w:val="0099451E"/>
    <w:rsid w:val="0099454D"/>
    <w:rsid w:val="009957E9"/>
    <w:rsid w:val="009957ED"/>
    <w:rsid w:val="00995C89"/>
    <w:rsid w:val="00995D76"/>
    <w:rsid w:val="00995E5C"/>
    <w:rsid w:val="00996ADE"/>
    <w:rsid w:val="00996B1A"/>
    <w:rsid w:val="00996B1C"/>
    <w:rsid w:val="00997ADB"/>
    <w:rsid w:val="00997BDA"/>
    <w:rsid w:val="009A0094"/>
    <w:rsid w:val="009A06AE"/>
    <w:rsid w:val="009A1150"/>
    <w:rsid w:val="009A15CE"/>
    <w:rsid w:val="009A18F6"/>
    <w:rsid w:val="009A2106"/>
    <w:rsid w:val="009A23F1"/>
    <w:rsid w:val="009A29BF"/>
    <w:rsid w:val="009A2B3B"/>
    <w:rsid w:val="009A2C47"/>
    <w:rsid w:val="009A2DCC"/>
    <w:rsid w:val="009A2ED3"/>
    <w:rsid w:val="009A2F02"/>
    <w:rsid w:val="009A35D6"/>
    <w:rsid w:val="009A376F"/>
    <w:rsid w:val="009A3ED7"/>
    <w:rsid w:val="009A3F25"/>
    <w:rsid w:val="009A4446"/>
    <w:rsid w:val="009A4988"/>
    <w:rsid w:val="009A4B6E"/>
    <w:rsid w:val="009A4E6B"/>
    <w:rsid w:val="009A4F91"/>
    <w:rsid w:val="009A57B9"/>
    <w:rsid w:val="009A598A"/>
    <w:rsid w:val="009A5ABC"/>
    <w:rsid w:val="009A5F38"/>
    <w:rsid w:val="009A669D"/>
    <w:rsid w:val="009A6AC3"/>
    <w:rsid w:val="009A6C58"/>
    <w:rsid w:val="009A727B"/>
    <w:rsid w:val="009A7452"/>
    <w:rsid w:val="009A7F10"/>
    <w:rsid w:val="009B012B"/>
    <w:rsid w:val="009B0642"/>
    <w:rsid w:val="009B06CA"/>
    <w:rsid w:val="009B0BE4"/>
    <w:rsid w:val="009B0E76"/>
    <w:rsid w:val="009B0EAB"/>
    <w:rsid w:val="009B1080"/>
    <w:rsid w:val="009B14C9"/>
    <w:rsid w:val="009B2483"/>
    <w:rsid w:val="009B2909"/>
    <w:rsid w:val="009B3401"/>
    <w:rsid w:val="009B3704"/>
    <w:rsid w:val="009B3E26"/>
    <w:rsid w:val="009B3FD4"/>
    <w:rsid w:val="009B41D1"/>
    <w:rsid w:val="009B47FA"/>
    <w:rsid w:val="009B4C83"/>
    <w:rsid w:val="009B515B"/>
    <w:rsid w:val="009B58EA"/>
    <w:rsid w:val="009B6AF5"/>
    <w:rsid w:val="009B7687"/>
    <w:rsid w:val="009B79C9"/>
    <w:rsid w:val="009B7CC5"/>
    <w:rsid w:val="009C0178"/>
    <w:rsid w:val="009C0D70"/>
    <w:rsid w:val="009C11A0"/>
    <w:rsid w:val="009C1271"/>
    <w:rsid w:val="009C131D"/>
    <w:rsid w:val="009C1BB6"/>
    <w:rsid w:val="009C1D71"/>
    <w:rsid w:val="009C20D3"/>
    <w:rsid w:val="009C2113"/>
    <w:rsid w:val="009C25AD"/>
    <w:rsid w:val="009C306B"/>
    <w:rsid w:val="009C3508"/>
    <w:rsid w:val="009C3706"/>
    <w:rsid w:val="009C3A3A"/>
    <w:rsid w:val="009C3D56"/>
    <w:rsid w:val="009C426B"/>
    <w:rsid w:val="009C431C"/>
    <w:rsid w:val="009C49A3"/>
    <w:rsid w:val="009C4D67"/>
    <w:rsid w:val="009C523C"/>
    <w:rsid w:val="009C532A"/>
    <w:rsid w:val="009C53FE"/>
    <w:rsid w:val="009C5BC0"/>
    <w:rsid w:val="009C6425"/>
    <w:rsid w:val="009C69DC"/>
    <w:rsid w:val="009C6CEA"/>
    <w:rsid w:val="009C716B"/>
    <w:rsid w:val="009C71C1"/>
    <w:rsid w:val="009C7564"/>
    <w:rsid w:val="009C7B85"/>
    <w:rsid w:val="009C7F00"/>
    <w:rsid w:val="009C7FAC"/>
    <w:rsid w:val="009D0254"/>
    <w:rsid w:val="009D07EA"/>
    <w:rsid w:val="009D0CBE"/>
    <w:rsid w:val="009D15E4"/>
    <w:rsid w:val="009D184B"/>
    <w:rsid w:val="009D184D"/>
    <w:rsid w:val="009D1A64"/>
    <w:rsid w:val="009D1F1C"/>
    <w:rsid w:val="009D2139"/>
    <w:rsid w:val="009D2331"/>
    <w:rsid w:val="009D2A43"/>
    <w:rsid w:val="009D31B2"/>
    <w:rsid w:val="009D3E61"/>
    <w:rsid w:val="009D414B"/>
    <w:rsid w:val="009D442E"/>
    <w:rsid w:val="009D45C6"/>
    <w:rsid w:val="009D4C6A"/>
    <w:rsid w:val="009D4E07"/>
    <w:rsid w:val="009D52DC"/>
    <w:rsid w:val="009D5506"/>
    <w:rsid w:val="009D553D"/>
    <w:rsid w:val="009D5B91"/>
    <w:rsid w:val="009D5DDD"/>
    <w:rsid w:val="009D6692"/>
    <w:rsid w:val="009D6C64"/>
    <w:rsid w:val="009D7467"/>
    <w:rsid w:val="009D792E"/>
    <w:rsid w:val="009D7ABD"/>
    <w:rsid w:val="009D7D18"/>
    <w:rsid w:val="009E03E7"/>
    <w:rsid w:val="009E07D0"/>
    <w:rsid w:val="009E08E5"/>
    <w:rsid w:val="009E0C90"/>
    <w:rsid w:val="009E0DFE"/>
    <w:rsid w:val="009E128D"/>
    <w:rsid w:val="009E1856"/>
    <w:rsid w:val="009E1A61"/>
    <w:rsid w:val="009E31A2"/>
    <w:rsid w:val="009E31F6"/>
    <w:rsid w:val="009E332C"/>
    <w:rsid w:val="009E376F"/>
    <w:rsid w:val="009E3810"/>
    <w:rsid w:val="009E3F62"/>
    <w:rsid w:val="009E486A"/>
    <w:rsid w:val="009E4C07"/>
    <w:rsid w:val="009E545A"/>
    <w:rsid w:val="009E56FC"/>
    <w:rsid w:val="009E5902"/>
    <w:rsid w:val="009E5DA2"/>
    <w:rsid w:val="009E6479"/>
    <w:rsid w:val="009E65D9"/>
    <w:rsid w:val="009E67EA"/>
    <w:rsid w:val="009E6E89"/>
    <w:rsid w:val="009E7013"/>
    <w:rsid w:val="009E710C"/>
    <w:rsid w:val="009E777F"/>
    <w:rsid w:val="009E7826"/>
    <w:rsid w:val="009E78A8"/>
    <w:rsid w:val="009E7AB6"/>
    <w:rsid w:val="009E7CA3"/>
    <w:rsid w:val="009E7DE5"/>
    <w:rsid w:val="009F0106"/>
    <w:rsid w:val="009F0173"/>
    <w:rsid w:val="009F0326"/>
    <w:rsid w:val="009F0724"/>
    <w:rsid w:val="009F0A76"/>
    <w:rsid w:val="009F14FA"/>
    <w:rsid w:val="009F1538"/>
    <w:rsid w:val="009F1FF1"/>
    <w:rsid w:val="009F2695"/>
    <w:rsid w:val="009F27CE"/>
    <w:rsid w:val="009F2DB1"/>
    <w:rsid w:val="009F2F84"/>
    <w:rsid w:val="009F4373"/>
    <w:rsid w:val="009F44BD"/>
    <w:rsid w:val="009F495F"/>
    <w:rsid w:val="009F5038"/>
    <w:rsid w:val="009F5667"/>
    <w:rsid w:val="009F5B83"/>
    <w:rsid w:val="009F5BE4"/>
    <w:rsid w:val="009F6120"/>
    <w:rsid w:val="009F66B9"/>
    <w:rsid w:val="009F6CD5"/>
    <w:rsid w:val="009F7907"/>
    <w:rsid w:val="009F79B0"/>
    <w:rsid w:val="009F7ABD"/>
    <w:rsid w:val="009F7E9E"/>
    <w:rsid w:val="00A00415"/>
    <w:rsid w:val="00A006C4"/>
    <w:rsid w:val="00A007B3"/>
    <w:rsid w:val="00A00B0A"/>
    <w:rsid w:val="00A00D76"/>
    <w:rsid w:val="00A01184"/>
    <w:rsid w:val="00A01449"/>
    <w:rsid w:val="00A01901"/>
    <w:rsid w:val="00A0265C"/>
    <w:rsid w:val="00A02862"/>
    <w:rsid w:val="00A031BC"/>
    <w:rsid w:val="00A037C2"/>
    <w:rsid w:val="00A037FA"/>
    <w:rsid w:val="00A03AE9"/>
    <w:rsid w:val="00A03CD4"/>
    <w:rsid w:val="00A03D43"/>
    <w:rsid w:val="00A0401C"/>
    <w:rsid w:val="00A04380"/>
    <w:rsid w:val="00A04585"/>
    <w:rsid w:val="00A04786"/>
    <w:rsid w:val="00A047C2"/>
    <w:rsid w:val="00A04A9B"/>
    <w:rsid w:val="00A05472"/>
    <w:rsid w:val="00A0554E"/>
    <w:rsid w:val="00A05C32"/>
    <w:rsid w:val="00A05F71"/>
    <w:rsid w:val="00A06135"/>
    <w:rsid w:val="00A0653F"/>
    <w:rsid w:val="00A066C0"/>
    <w:rsid w:val="00A06700"/>
    <w:rsid w:val="00A06706"/>
    <w:rsid w:val="00A06D8A"/>
    <w:rsid w:val="00A07873"/>
    <w:rsid w:val="00A07948"/>
    <w:rsid w:val="00A07AE6"/>
    <w:rsid w:val="00A07D58"/>
    <w:rsid w:val="00A07D82"/>
    <w:rsid w:val="00A07EAA"/>
    <w:rsid w:val="00A07EFF"/>
    <w:rsid w:val="00A07FC6"/>
    <w:rsid w:val="00A108B3"/>
    <w:rsid w:val="00A108F2"/>
    <w:rsid w:val="00A10B96"/>
    <w:rsid w:val="00A11119"/>
    <w:rsid w:val="00A11883"/>
    <w:rsid w:val="00A11CD0"/>
    <w:rsid w:val="00A11F95"/>
    <w:rsid w:val="00A12142"/>
    <w:rsid w:val="00A12194"/>
    <w:rsid w:val="00A12876"/>
    <w:rsid w:val="00A131BC"/>
    <w:rsid w:val="00A13948"/>
    <w:rsid w:val="00A13F45"/>
    <w:rsid w:val="00A14221"/>
    <w:rsid w:val="00A14429"/>
    <w:rsid w:val="00A1492F"/>
    <w:rsid w:val="00A14A7B"/>
    <w:rsid w:val="00A14C5F"/>
    <w:rsid w:val="00A153D2"/>
    <w:rsid w:val="00A1548A"/>
    <w:rsid w:val="00A1555B"/>
    <w:rsid w:val="00A155C5"/>
    <w:rsid w:val="00A15CE7"/>
    <w:rsid w:val="00A16301"/>
    <w:rsid w:val="00A16AD8"/>
    <w:rsid w:val="00A174EF"/>
    <w:rsid w:val="00A2021E"/>
    <w:rsid w:val="00A203BA"/>
    <w:rsid w:val="00A20444"/>
    <w:rsid w:val="00A21C95"/>
    <w:rsid w:val="00A21CF3"/>
    <w:rsid w:val="00A22BB1"/>
    <w:rsid w:val="00A22D53"/>
    <w:rsid w:val="00A23028"/>
    <w:rsid w:val="00A237D1"/>
    <w:rsid w:val="00A24813"/>
    <w:rsid w:val="00A24CC6"/>
    <w:rsid w:val="00A24F3E"/>
    <w:rsid w:val="00A252D6"/>
    <w:rsid w:val="00A25372"/>
    <w:rsid w:val="00A25722"/>
    <w:rsid w:val="00A258FD"/>
    <w:rsid w:val="00A25AC5"/>
    <w:rsid w:val="00A25F64"/>
    <w:rsid w:val="00A2618F"/>
    <w:rsid w:val="00A2624A"/>
    <w:rsid w:val="00A2636C"/>
    <w:rsid w:val="00A2637D"/>
    <w:rsid w:val="00A268AF"/>
    <w:rsid w:val="00A2695A"/>
    <w:rsid w:val="00A26D6D"/>
    <w:rsid w:val="00A2712E"/>
    <w:rsid w:val="00A27511"/>
    <w:rsid w:val="00A27AEC"/>
    <w:rsid w:val="00A27FB2"/>
    <w:rsid w:val="00A303AE"/>
    <w:rsid w:val="00A30481"/>
    <w:rsid w:val="00A308EB"/>
    <w:rsid w:val="00A30AF6"/>
    <w:rsid w:val="00A3120D"/>
    <w:rsid w:val="00A3148A"/>
    <w:rsid w:val="00A3153C"/>
    <w:rsid w:val="00A31956"/>
    <w:rsid w:val="00A31F00"/>
    <w:rsid w:val="00A320DB"/>
    <w:rsid w:val="00A3496C"/>
    <w:rsid w:val="00A349B0"/>
    <w:rsid w:val="00A34A73"/>
    <w:rsid w:val="00A34FBA"/>
    <w:rsid w:val="00A35098"/>
    <w:rsid w:val="00A35202"/>
    <w:rsid w:val="00A356F1"/>
    <w:rsid w:val="00A35D16"/>
    <w:rsid w:val="00A3684C"/>
    <w:rsid w:val="00A37BCD"/>
    <w:rsid w:val="00A37E8A"/>
    <w:rsid w:val="00A4008A"/>
    <w:rsid w:val="00A4074C"/>
    <w:rsid w:val="00A40A9A"/>
    <w:rsid w:val="00A40D2E"/>
    <w:rsid w:val="00A4138F"/>
    <w:rsid w:val="00A41689"/>
    <w:rsid w:val="00A41795"/>
    <w:rsid w:val="00A417E9"/>
    <w:rsid w:val="00A41927"/>
    <w:rsid w:val="00A4218F"/>
    <w:rsid w:val="00A42294"/>
    <w:rsid w:val="00A42592"/>
    <w:rsid w:val="00A42A32"/>
    <w:rsid w:val="00A4321D"/>
    <w:rsid w:val="00A434F6"/>
    <w:rsid w:val="00A438D4"/>
    <w:rsid w:val="00A43C59"/>
    <w:rsid w:val="00A445C8"/>
    <w:rsid w:val="00A44827"/>
    <w:rsid w:val="00A45716"/>
    <w:rsid w:val="00A459AE"/>
    <w:rsid w:val="00A46706"/>
    <w:rsid w:val="00A46912"/>
    <w:rsid w:val="00A46A43"/>
    <w:rsid w:val="00A47601"/>
    <w:rsid w:val="00A4764D"/>
    <w:rsid w:val="00A47744"/>
    <w:rsid w:val="00A47938"/>
    <w:rsid w:val="00A47DA9"/>
    <w:rsid w:val="00A47F46"/>
    <w:rsid w:val="00A47FA1"/>
    <w:rsid w:val="00A5035E"/>
    <w:rsid w:val="00A503DC"/>
    <w:rsid w:val="00A50ECD"/>
    <w:rsid w:val="00A50F53"/>
    <w:rsid w:val="00A50FF7"/>
    <w:rsid w:val="00A5171F"/>
    <w:rsid w:val="00A518F3"/>
    <w:rsid w:val="00A519B0"/>
    <w:rsid w:val="00A51EF8"/>
    <w:rsid w:val="00A52729"/>
    <w:rsid w:val="00A534B8"/>
    <w:rsid w:val="00A53675"/>
    <w:rsid w:val="00A539B4"/>
    <w:rsid w:val="00A54508"/>
    <w:rsid w:val="00A5498E"/>
    <w:rsid w:val="00A5539B"/>
    <w:rsid w:val="00A55515"/>
    <w:rsid w:val="00A55ABA"/>
    <w:rsid w:val="00A56453"/>
    <w:rsid w:val="00A564D7"/>
    <w:rsid w:val="00A56B6A"/>
    <w:rsid w:val="00A573D3"/>
    <w:rsid w:val="00A578DC"/>
    <w:rsid w:val="00A57D25"/>
    <w:rsid w:val="00A6087D"/>
    <w:rsid w:val="00A60D11"/>
    <w:rsid w:val="00A61D04"/>
    <w:rsid w:val="00A61D18"/>
    <w:rsid w:val="00A61E4A"/>
    <w:rsid w:val="00A61E4C"/>
    <w:rsid w:val="00A6305D"/>
    <w:rsid w:val="00A632C0"/>
    <w:rsid w:val="00A6350D"/>
    <w:rsid w:val="00A640E2"/>
    <w:rsid w:val="00A645CF"/>
    <w:rsid w:val="00A64D03"/>
    <w:rsid w:val="00A64D65"/>
    <w:rsid w:val="00A654A4"/>
    <w:rsid w:val="00A661F9"/>
    <w:rsid w:val="00A6693A"/>
    <w:rsid w:val="00A66A32"/>
    <w:rsid w:val="00A6725B"/>
    <w:rsid w:val="00A67931"/>
    <w:rsid w:val="00A67E1E"/>
    <w:rsid w:val="00A67FCA"/>
    <w:rsid w:val="00A702E2"/>
    <w:rsid w:val="00A70605"/>
    <w:rsid w:val="00A70E66"/>
    <w:rsid w:val="00A70FB1"/>
    <w:rsid w:val="00A7108E"/>
    <w:rsid w:val="00A71771"/>
    <w:rsid w:val="00A71C34"/>
    <w:rsid w:val="00A71F5E"/>
    <w:rsid w:val="00A7209C"/>
    <w:rsid w:val="00A727E6"/>
    <w:rsid w:val="00A73029"/>
    <w:rsid w:val="00A7307F"/>
    <w:rsid w:val="00A73134"/>
    <w:rsid w:val="00A7365A"/>
    <w:rsid w:val="00A743BA"/>
    <w:rsid w:val="00A74DF0"/>
    <w:rsid w:val="00A751A4"/>
    <w:rsid w:val="00A752A9"/>
    <w:rsid w:val="00A75341"/>
    <w:rsid w:val="00A75695"/>
    <w:rsid w:val="00A76001"/>
    <w:rsid w:val="00A7613C"/>
    <w:rsid w:val="00A76233"/>
    <w:rsid w:val="00A76DCC"/>
    <w:rsid w:val="00A77714"/>
    <w:rsid w:val="00A777B2"/>
    <w:rsid w:val="00A77B54"/>
    <w:rsid w:val="00A80167"/>
    <w:rsid w:val="00A80363"/>
    <w:rsid w:val="00A80AC5"/>
    <w:rsid w:val="00A80CB8"/>
    <w:rsid w:val="00A80D9B"/>
    <w:rsid w:val="00A80F5A"/>
    <w:rsid w:val="00A813B9"/>
    <w:rsid w:val="00A814A1"/>
    <w:rsid w:val="00A8175A"/>
    <w:rsid w:val="00A8179D"/>
    <w:rsid w:val="00A81FF4"/>
    <w:rsid w:val="00A8225A"/>
    <w:rsid w:val="00A825D4"/>
    <w:rsid w:val="00A828F6"/>
    <w:rsid w:val="00A82B73"/>
    <w:rsid w:val="00A82E10"/>
    <w:rsid w:val="00A832DE"/>
    <w:rsid w:val="00A83550"/>
    <w:rsid w:val="00A83B50"/>
    <w:rsid w:val="00A83FCC"/>
    <w:rsid w:val="00A84087"/>
    <w:rsid w:val="00A8558F"/>
    <w:rsid w:val="00A85C53"/>
    <w:rsid w:val="00A86A01"/>
    <w:rsid w:val="00A86AA9"/>
    <w:rsid w:val="00A86E8B"/>
    <w:rsid w:val="00A87111"/>
    <w:rsid w:val="00A87164"/>
    <w:rsid w:val="00A871A9"/>
    <w:rsid w:val="00A874B6"/>
    <w:rsid w:val="00A87E73"/>
    <w:rsid w:val="00A87FC5"/>
    <w:rsid w:val="00A90056"/>
    <w:rsid w:val="00A9031B"/>
    <w:rsid w:val="00A90413"/>
    <w:rsid w:val="00A909F6"/>
    <w:rsid w:val="00A911E1"/>
    <w:rsid w:val="00A91363"/>
    <w:rsid w:val="00A913FE"/>
    <w:rsid w:val="00A914A4"/>
    <w:rsid w:val="00A9188D"/>
    <w:rsid w:val="00A91BD2"/>
    <w:rsid w:val="00A92058"/>
    <w:rsid w:val="00A92E12"/>
    <w:rsid w:val="00A92E80"/>
    <w:rsid w:val="00A93072"/>
    <w:rsid w:val="00A932BC"/>
    <w:rsid w:val="00A938BD"/>
    <w:rsid w:val="00A93953"/>
    <w:rsid w:val="00A93F62"/>
    <w:rsid w:val="00A9490B"/>
    <w:rsid w:val="00A94E64"/>
    <w:rsid w:val="00A95156"/>
    <w:rsid w:val="00A9545F"/>
    <w:rsid w:val="00A9547E"/>
    <w:rsid w:val="00A95746"/>
    <w:rsid w:val="00A9574A"/>
    <w:rsid w:val="00A959D8"/>
    <w:rsid w:val="00A95D62"/>
    <w:rsid w:val="00A96012"/>
    <w:rsid w:val="00A960A0"/>
    <w:rsid w:val="00A96198"/>
    <w:rsid w:val="00A96BC7"/>
    <w:rsid w:val="00A97702"/>
    <w:rsid w:val="00A9777F"/>
    <w:rsid w:val="00A97C29"/>
    <w:rsid w:val="00A97F4D"/>
    <w:rsid w:val="00AA0262"/>
    <w:rsid w:val="00AA0C74"/>
    <w:rsid w:val="00AA113D"/>
    <w:rsid w:val="00AA12EC"/>
    <w:rsid w:val="00AA12F7"/>
    <w:rsid w:val="00AA22CF"/>
    <w:rsid w:val="00AA23AC"/>
    <w:rsid w:val="00AA28FF"/>
    <w:rsid w:val="00AA31DE"/>
    <w:rsid w:val="00AA3388"/>
    <w:rsid w:val="00AA4FAC"/>
    <w:rsid w:val="00AA51C0"/>
    <w:rsid w:val="00AA55FE"/>
    <w:rsid w:val="00AA5B1A"/>
    <w:rsid w:val="00AA5C55"/>
    <w:rsid w:val="00AA613D"/>
    <w:rsid w:val="00AA62AE"/>
    <w:rsid w:val="00AA6B78"/>
    <w:rsid w:val="00AA6BD5"/>
    <w:rsid w:val="00AA6BD8"/>
    <w:rsid w:val="00AA6C7D"/>
    <w:rsid w:val="00AA6CC1"/>
    <w:rsid w:val="00AA7040"/>
    <w:rsid w:val="00AA712E"/>
    <w:rsid w:val="00AA7FD6"/>
    <w:rsid w:val="00AB0036"/>
    <w:rsid w:val="00AB042A"/>
    <w:rsid w:val="00AB06B2"/>
    <w:rsid w:val="00AB06CD"/>
    <w:rsid w:val="00AB0A6F"/>
    <w:rsid w:val="00AB11AD"/>
    <w:rsid w:val="00AB1364"/>
    <w:rsid w:val="00AB143D"/>
    <w:rsid w:val="00AB195F"/>
    <w:rsid w:val="00AB19EF"/>
    <w:rsid w:val="00AB1A11"/>
    <w:rsid w:val="00AB1CA3"/>
    <w:rsid w:val="00AB20AA"/>
    <w:rsid w:val="00AB2495"/>
    <w:rsid w:val="00AB26ED"/>
    <w:rsid w:val="00AB2761"/>
    <w:rsid w:val="00AB2C5C"/>
    <w:rsid w:val="00AB2D34"/>
    <w:rsid w:val="00AB2E7D"/>
    <w:rsid w:val="00AB303C"/>
    <w:rsid w:val="00AB3430"/>
    <w:rsid w:val="00AB37B9"/>
    <w:rsid w:val="00AB3A60"/>
    <w:rsid w:val="00AB4046"/>
    <w:rsid w:val="00AB4AD1"/>
    <w:rsid w:val="00AB4D9D"/>
    <w:rsid w:val="00AB5465"/>
    <w:rsid w:val="00AB5E07"/>
    <w:rsid w:val="00AB5EC3"/>
    <w:rsid w:val="00AB5EC4"/>
    <w:rsid w:val="00AB5FF5"/>
    <w:rsid w:val="00AB63C3"/>
    <w:rsid w:val="00AB655E"/>
    <w:rsid w:val="00AB6898"/>
    <w:rsid w:val="00AB7CFA"/>
    <w:rsid w:val="00AB7D24"/>
    <w:rsid w:val="00AC0714"/>
    <w:rsid w:val="00AC1272"/>
    <w:rsid w:val="00AC235A"/>
    <w:rsid w:val="00AC238E"/>
    <w:rsid w:val="00AC2825"/>
    <w:rsid w:val="00AC2921"/>
    <w:rsid w:val="00AC29CD"/>
    <w:rsid w:val="00AC2AE0"/>
    <w:rsid w:val="00AC2E9C"/>
    <w:rsid w:val="00AC324D"/>
    <w:rsid w:val="00AC3CE3"/>
    <w:rsid w:val="00AC4055"/>
    <w:rsid w:val="00AC4674"/>
    <w:rsid w:val="00AC5B42"/>
    <w:rsid w:val="00AC5B48"/>
    <w:rsid w:val="00AC5E40"/>
    <w:rsid w:val="00AC606D"/>
    <w:rsid w:val="00AC649F"/>
    <w:rsid w:val="00AC668C"/>
    <w:rsid w:val="00AC679D"/>
    <w:rsid w:val="00AC6BFA"/>
    <w:rsid w:val="00AC6E9B"/>
    <w:rsid w:val="00AC7712"/>
    <w:rsid w:val="00AD0495"/>
    <w:rsid w:val="00AD0F16"/>
    <w:rsid w:val="00AD0F62"/>
    <w:rsid w:val="00AD1225"/>
    <w:rsid w:val="00AD13DE"/>
    <w:rsid w:val="00AD1450"/>
    <w:rsid w:val="00AD15E8"/>
    <w:rsid w:val="00AD1C21"/>
    <w:rsid w:val="00AD1F31"/>
    <w:rsid w:val="00AD20E4"/>
    <w:rsid w:val="00AD2687"/>
    <w:rsid w:val="00AD2AF9"/>
    <w:rsid w:val="00AD356D"/>
    <w:rsid w:val="00AD36BD"/>
    <w:rsid w:val="00AD36C3"/>
    <w:rsid w:val="00AD393D"/>
    <w:rsid w:val="00AD4CC2"/>
    <w:rsid w:val="00AD5A45"/>
    <w:rsid w:val="00AD6502"/>
    <w:rsid w:val="00AD68BB"/>
    <w:rsid w:val="00AD6EAA"/>
    <w:rsid w:val="00AD6F01"/>
    <w:rsid w:val="00AD6FE8"/>
    <w:rsid w:val="00AD783E"/>
    <w:rsid w:val="00AE0695"/>
    <w:rsid w:val="00AE0A20"/>
    <w:rsid w:val="00AE0CDD"/>
    <w:rsid w:val="00AE1114"/>
    <w:rsid w:val="00AE12C8"/>
    <w:rsid w:val="00AE1FF1"/>
    <w:rsid w:val="00AE22E1"/>
    <w:rsid w:val="00AE232C"/>
    <w:rsid w:val="00AE309D"/>
    <w:rsid w:val="00AE35DF"/>
    <w:rsid w:val="00AE365A"/>
    <w:rsid w:val="00AE3929"/>
    <w:rsid w:val="00AE3D92"/>
    <w:rsid w:val="00AE3E7E"/>
    <w:rsid w:val="00AE42F5"/>
    <w:rsid w:val="00AE4E05"/>
    <w:rsid w:val="00AE4E92"/>
    <w:rsid w:val="00AE51C2"/>
    <w:rsid w:val="00AE54BF"/>
    <w:rsid w:val="00AE5C46"/>
    <w:rsid w:val="00AE5E64"/>
    <w:rsid w:val="00AE5EB1"/>
    <w:rsid w:val="00AE6506"/>
    <w:rsid w:val="00AE7C08"/>
    <w:rsid w:val="00AE7E53"/>
    <w:rsid w:val="00AF0449"/>
    <w:rsid w:val="00AF1315"/>
    <w:rsid w:val="00AF1756"/>
    <w:rsid w:val="00AF17C5"/>
    <w:rsid w:val="00AF19BF"/>
    <w:rsid w:val="00AF1A9B"/>
    <w:rsid w:val="00AF1DD5"/>
    <w:rsid w:val="00AF2008"/>
    <w:rsid w:val="00AF25E3"/>
    <w:rsid w:val="00AF2903"/>
    <w:rsid w:val="00AF2BCB"/>
    <w:rsid w:val="00AF2C81"/>
    <w:rsid w:val="00AF2DC3"/>
    <w:rsid w:val="00AF2DE1"/>
    <w:rsid w:val="00AF2EE4"/>
    <w:rsid w:val="00AF32B1"/>
    <w:rsid w:val="00AF36F1"/>
    <w:rsid w:val="00AF3F24"/>
    <w:rsid w:val="00AF51A8"/>
    <w:rsid w:val="00AF5EA2"/>
    <w:rsid w:val="00AF5F68"/>
    <w:rsid w:val="00AF6B3B"/>
    <w:rsid w:val="00AF6B9D"/>
    <w:rsid w:val="00AF6D4C"/>
    <w:rsid w:val="00AF7663"/>
    <w:rsid w:val="00AF77B3"/>
    <w:rsid w:val="00B00AC7"/>
    <w:rsid w:val="00B00CD3"/>
    <w:rsid w:val="00B02446"/>
    <w:rsid w:val="00B029E3"/>
    <w:rsid w:val="00B031C9"/>
    <w:rsid w:val="00B033E5"/>
    <w:rsid w:val="00B03471"/>
    <w:rsid w:val="00B037F7"/>
    <w:rsid w:val="00B03A63"/>
    <w:rsid w:val="00B03C5A"/>
    <w:rsid w:val="00B04157"/>
    <w:rsid w:val="00B054B9"/>
    <w:rsid w:val="00B057F6"/>
    <w:rsid w:val="00B05817"/>
    <w:rsid w:val="00B05C89"/>
    <w:rsid w:val="00B05FEA"/>
    <w:rsid w:val="00B0633D"/>
    <w:rsid w:val="00B0686E"/>
    <w:rsid w:val="00B068CA"/>
    <w:rsid w:val="00B0693D"/>
    <w:rsid w:val="00B06A83"/>
    <w:rsid w:val="00B07B19"/>
    <w:rsid w:val="00B07F45"/>
    <w:rsid w:val="00B10082"/>
    <w:rsid w:val="00B101E2"/>
    <w:rsid w:val="00B10276"/>
    <w:rsid w:val="00B11A0D"/>
    <w:rsid w:val="00B1266F"/>
    <w:rsid w:val="00B129A4"/>
    <w:rsid w:val="00B12A7B"/>
    <w:rsid w:val="00B12ADC"/>
    <w:rsid w:val="00B12C72"/>
    <w:rsid w:val="00B12CD8"/>
    <w:rsid w:val="00B13825"/>
    <w:rsid w:val="00B13C29"/>
    <w:rsid w:val="00B14155"/>
    <w:rsid w:val="00B14991"/>
    <w:rsid w:val="00B14BD9"/>
    <w:rsid w:val="00B14F17"/>
    <w:rsid w:val="00B1507D"/>
    <w:rsid w:val="00B15865"/>
    <w:rsid w:val="00B16659"/>
    <w:rsid w:val="00B16B90"/>
    <w:rsid w:val="00B1724B"/>
    <w:rsid w:val="00B17298"/>
    <w:rsid w:val="00B1791B"/>
    <w:rsid w:val="00B17B56"/>
    <w:rsid w:val="00B17BDB"/>
    <w:rsid w:val="00B201A4"/>
    <w:rsid w:val="00B201D1"/>
    <w:rsid w:val="00B2093C"/>
    <w:rsid w:val="00B211DC"/>
    <w:rsid w:val="00B2120C"/>
    <w:rsid w:val="00B213A6"/>
    <w:rsid w:val="00B2160F"/>
    <w:rsid w:val="00B21A5E"/>
    <w:rsid w:val="00B21D54"/>
    <w:rsid w:val="00B21EC6"/>
    <w:rsid w:val="00B221AF"/>
    <w:rsid w:val="00B224C2"/>
    <w:rsid w:val="00B227B3"/>
    <w:rsid w:val="00B22BC3"/>
    <w:rsid w:val="00B22C3D"/>
    <w:rsid w:val="00B235B0"/>
    <w:rsid w:val="00B2369A"/>
    <w:rsid w:val="00B2382E"/>
    <w:rsid w:val="00B23AF9"/>
    <w:rsid w:val="00B241FE"/>
    <w:rsid w:val="00B24241"/>
    <w:rsid w:val="00B24371"/>
    <w:rsid w:val="00B2455A"/>
    <w:rsid w:val="00B246D7"/>
    <w:rsid w:val="00B24A69"/>
    <w:rsid w:val="00B24DF6"/>
    <w:rsid w:val="00B2547A"/>
    <w:rsid w:val="00B2557A"/>
    <w:rsid w:val="00B25629"/>
    <w:rsid w:val="00B2583E"/>
    <w:rsid w:val="00B25C10"/>
    <w:rsid w:val="00B26545"/>
    <w:rsid w:val="00B27A61"/>
    <w:rsid w:val="00B27D05"/>
    <w:rsid w:val="00B300B2"/>
    <w:rsid w:val="00B30B17"/>
    <w:rsid w:val="00B30BA5"/>
    <w:rsid w:val="00B30DA7"/>
    <w:rsid w:val="00B31006"/>
    <w:rsid w:val="00B318C1"/>
    <w:rsid w:val="00B31ECD"/>
    <w:rsid w:val="00B32AC5"/>
    <w:rsid w:val="00B330B3"/>
    <w:rsid w:val="00B33866"/>
    <w:rsid w:val="00B33BEE"/>
    <w:rsid w:val="00B33D67"/>
    <w:rsid w:val="00B33DB3"/>
    <w:rsid w:val="00B3431C"/>
    <w:rsid w:val="00B349E9"/>
    <w:rsid w:val="00B34FB7"/>
    <w:rsid w:val="00B34FE2"/>
    <w:rsid w:val="00B35166"/>
    <w:rsid w:val="00B357D8"/>
    <w:rsid w:val="00B359D8"/>
    <w:rsid w:val="00B35D56"/>
    <w:rsid w:val="00B360F4"/>
    <w:rsid w:val="00B36280"/>
    <w:rsid w:val="00B3645E"/>
    <w:rsid w:val="00B3660A"/>
    <w:rsid w:val="00B369BC"/>
    <w:rsid w:val="00B36A00"/>
    <w:rsid w:val="00B36BAE"/>
    <w:rsid w:val="00B36DB9"/>
    <w:rsid w:val="00B37437"/>
    <w:rsid w:val="00B37704"/>
    <w:rsid w:val="00B3792B"/>
    <w:rsid w:val="00B37BFC"/>
    <w:rsid w:val="00B37D20"/>
    <w:rsid w:val="00B40193"/>
    <w:rsid w:val="00B40200"/>
    <w:rsid w:val="00B40358"/>
    <w:rsid w:val="00B40829"/>
    <w:rsid w:val="00B40DA6"/>
    <w:rsid w:val="00B41095"/>
    <w:rsid w:val="00B4119F"/>
    <w:rsid w:val="00B4148E"/>
    <w:rsid w:val="00B41614"/>
    <w:rsid w:val="00B4207E"/>
    <w:rsid w:val="00B42851"/>
    <w:rsid w:val="00B42F80"/>
    <w:rsid w:val="00B431DA"/>
    <w:rsid w:val="00B435CB"/>
    <w:rsid w:val="00B4364B"/>
    <w:rsid w:val="00B439A0"/>
    <w:rsid w:val="00B43B6D"/>
    <w:rsid w:val="00B44261"/>
    <w:rsid w:val="00B44BF8"/>
    <w:rsid w:val="00B45086"/>
    <w:rsid w:val="00B45116"/>
    <w:rsid w:val="00B4527B"/>
    <w:rsid w:val="00B453A8"/>
    <w:rsid w:val="00B465EC"/>
    <w:rsid w:val="00B46EA8"/>
    <w:rsid w:val="00B47223"/>
    <w:rsid w:val="00B4761C"/>
    <w:rsid w:val="00B47949"/>
    <w:rsid w:val="00B47CC5"/>
    <w:rsid w:val="00B47FBE"/>
    <w:rsid w:val="00B505C8"/>
    <w:rsid w:val="00B5067F"/>
    <w:rsid w:val="00B5069B"/>
    <w:rsid w:val="00B50DB8"/>
    <w:rsid w:val="00B51562"/>
    <w:rsid w:val="00B517F3"/>
    <w:rsid w:val="00B519CF"/>
    <w:rsid w:val="00B51A55"/>
    <w:rsid w:val="00B51CFE"/>
    <w:rsid w:val="00B5314D"/>
    <w:rsid w:val="00B53654"/>
    <w:rsid w:val="00B53905"/>
    <w:rsid w:val="00B545C1"/>
    <w:rsid w:val="00B54665"/>
    <w:rsid w:val="00B5469F"/>
    <w:rsid w:val="00B546D0"/>
    <w:rsid w:val="00B546DB"/>
    <w:rsid w:val="00B54B5B"/>
    <w:rsid w:val="00B5562E"/>
    <w:rsid w:val="00B55862"/>
    <w:rsid w:val="00B559FC"/>
    <w:rsid w:val="00B55B13"/>
    <w:rsid w:val="00B55D48"/>
    <w:rsid w:val="00B55D65"/>
    <w:rsid w:val="00B55DB2"/>
    <w:rsid w:val="00B56305"/>
    <w:rsid w:val="00B5662D"/>
    <w:rsid w:val="00B56792"/>
    <w:rsid w:val="00B57000"/>
    <w:rsid w:val="00B60939"/>
    <w:rsid w:val="00B60AFD"/>
    <w:rsid w:val="00B60C6B"/>
    <w:rsid w:val="00B60E66"/>
    <w:rsid w:val="00B610EB"/>
    <w:rsid w:val="00B6113B"/>
    <w:rsid w:val="00B61174"/>
    <w:rsid w:val="00B612FA"/>
    <w:rsid w:val="00B625DF"/>
    <w:rsid w:val="00B62715"/>
    <w:rsid w:val="00B63446"/>
    <w:rsid w:val="00B637E0"/>
    <w:rsid w:val="00B63C2D"/>
    <w:rsid w:val="00B643BA"/>
    <w:rsid w:val="00B6488D"/>
    <w:rsid w:val="00B64B3A"/>
    <w:rsid w:val="00B65283"/>
    <w:rsid w:val="00B65611"/>
    <w:rsid w:val="00B656E6"/>
    <w:rsid w:val="00B658ED"/>
    <w:rsid w:val="00B65C43"/>
    <w:rsid w:val="00B65E78"/>
    <w:rsid w:val="00B66CB3"/>
    <w:rsid w:val="00B6792F"/>
    <w:rsid w:val="00B7094C"/>
    <w:rsid w:val="00B709D3"/>
    <w:rsid w:val="00B70E8E"/>
    <w:rsid w:val="00B7136F"/>
    <w:rsid w:val="00B7147B"/>
    <w:rsid w:val="00B71BE2"/>
    <w:rsid w:val="00B71DC6"/>
    <w:rsid w:val="00B72397"/>
    <w:rsid w:val="00B72A5A"/>
    <w:rsid w:val="00B72CC7"/>
    <w:rsid w:val="00B72DDF"/>
    <w:rsid w:val="00B73B07"/>
    <w:rsid w:val="00B73C40"/>
    <w:rsid w:val="00B745B2"/>
    <w:rsid w:val="00B74FAE"/>
    <w:rsid w:val="00B7529C"/>
    <w:rsid w:val="00B75B22"/>
    <w:rsid w:val="00B75D52"/>
    <w:rsid w:val="00B75DB5"/>
    <w:rsid w:val="00B761A6"/>
    <w:rsid w:val="00B76434"/>
    <w:rsid w:val="00B76C92"/>
    <w:rsid w:val="00B76D20"/>
    <w:rsid w:val="00B76DFB"/>
    <w:rsid w:val="00B777C2"/>
    <w:rsid w:val="00B77AB6"/>
    <w:rsid w:val="00B77D4F"/>
    <w:rsid w:val="00B77E6E"/>
    <w:rsid w:val="00B8030A"/>
    <w:rsid w:val="00B80EFD"/>
    <w:rsid w:val="00B818A4"/>
    <w:rsid w:val="00B821FF"/>
    <w:rsid w:val="00B8224F"/>
    <w:rsid w:val="00B82EA8"/>
    <w:rsid w:val="00B83739"/>
    <w:rsid w:val="00B837CD"/>
    <w:rsid w:val="00B84117"/>
    <w:rsid w:val="00B858F0"/>
    <w:rsid w:val="00B85AA2"/>
    <w:rsid w:val="00B85E35"/>
    <w:rsid w:val="00B85FBB"/>
    <w:rsid w:val="00B8607C"/>
    <w:rsid w:val="00B86314"/>
    <w:rsid w:val="00B8640D"/>
    <w:rsid w:val="00B8649C"/>
    <w:rsid w:val="00B86632"/>
    <w:rsid w:val="00B8695D"/>
    <w:rsid w:val="00B8720F"/>
    <w:rsid w:val="00B87900"/>
    <w:rsid w:val="00B87F0A"/>
    <w:rsid w:val="00B90228"/>
    <w:rsid w:val="00B90405"/>
    <w:rsid w:val="00B9049A"/>
    <w:rsid w:val="00B9060E"/>
    <w:rsid w:val="00B907C2"/>
    <w:rsid w:val="00B90E66"/>
    <w:rsid w:val="00B91B5F"/>
    <w:rsid w:val="00B91D7D"/>
    <w:rsid w:val="00B924CE"/>
    <w:rsid w:val="00B92BED"/>
    <w:rsid w:val="00B92D0B"/>
    <w:rsid w:val="00B9348A"/>
    <w:rsid w:val="00B94489"/>
    <w:rsid w:val="00B94945"/>
    <w:rsid w:val="00B94DD6"/>
    <w:rsid w:val="00B952CE"/>
    <w:rsid w:val="00B95679"/>
    <w:rsid w:val="00B95C5B"/>
    <w:rsid w:val="00B961AC"/>
    <w:rsid w:val="00B961FF"/>
    <w:rsid w:val="00B96A49"/>
    <w:rsid w:val="00B96A93"/>
    <w:rsid w:val="00B96BE8"/>
    <w:rsid w:val="00B9708B"/>
    <w:rsid w:val="00B9716E"/>
    <w:rsid w:val="00B97239"/>
    <w:rsid w:val="00B97AF3"/>
    <w:rsid w:val="00B97C6A"/>
    <w:rsid w:val="00B97E9B"/>
    <w:rsid w:val="00BA09ED"/>
    <w:rsid w:val="00BA0A1A"/>
    <w:rsid w:val="00BA0AA4"/>
    <w:rsid w:val="00BA0D3B"/>
    <w:rsid w:val="00BA12F6"/>
    <w:rsid w:val="00BA1338"/>
    <w:rsid w:val="00BA1BB7"/>
    <w:rsid w:val="00BA1BF9"/>
    <w:rsid w:val="00BA21F4"/>
    <w:rsid w:val="00BA2C1D"/>
    <w:rsid w:val="00BA2D41"/>
    <w:rsid w:val="00BA2FF2"/>
    <w:rsid w:val="00BA31CD"/>
    <w:rsid w:val="00BA322D"/>
    <w:rsid w:val="00BA38A3"/>
    <w:rsid w:val="00BA3A2F"/>
    <w:rsid w:val="00BA501A"/>
    <w:rsid w:val="00BA63FA"/>
    <w:rsid w:val="00BA6726"/>
    <w:rsid w:val="00BB00B3"/>
    <w:rsid w:val="00BB0170"/>
    <w:rsid w:val="00BB08C0"/>
    <w:rsid w:val="00BB0BDD"/>
    <w:rsid w:val="00BB0C83"/>
    <w:rsid w:val="00BB176C"/>
    <w:rsid w:val="00BB1851"/>
    <w:rsid w:val="00BB19CC"/>
    <w:rsid w:val="00BB1D5D"/>
    <w:rsid w:val="00BB20BC"/>
    <w:rsid w:val="00BB2307"/>
    <w:rsid w:val="00BB2334"/>
    <w:rsid w:val="00BB2473"/>
    <w:rsid w:val="00BB2A73"/>
    <w:rsid w:val="00BB32E9"/>
    <w:rsid w:val="00BB3A45"/>
    <w:rsid w:val="00BB3F3B"/>
    <w:rsid w:val="00BB3FED"/>
    <w:rsid w:val="00BB40C4"/>
    <w:rsid w:val="00BB4543"/>
    <w:rsid w:val="00BB49A1"/>
    <w:rsid w:val="00BB4ACC"/>
    <w:rsid w:val="00BB5179"/>
    <w:rsid w:val="00BB5789"/>
    <w:rsid w:val="00BB6AFE"/>
    <w:rsid w:val="00BB6C88"/>
    <w:rsid w:val="00BB703E"/>
    <w:rsid w:val="00BB7137"/>
    <w:rsid w:val="00BB732D"/>
    <w:rsid w:val="00BB7405"/>
    <w:rsid w:val="00BB769E"/>
    <w:rsid w:val="00BB787F"/>
    <w:rsid w:val="00BB797D"/>
    <w:rsid w:val="00BB7BDE"/>
    <w:rsid w:val="00BC013C"/>
    <w:rsid w:val="00BC09B4"/>
    <w:rsid w:val="00BC0AF4"/>
    <w:rsid w:val="00BC0ED7"/>
    <w:rsid w:val="00BC15B1"/>
    <w:rsid w:val="00BC1D89"/>
    <w:rsid w:val="00BC1FCE"/>
    <w:rsid w:val="00BC2306"/>
    <w:rsid w:val="00BC2BB5"/>
    <w:rsid w:val="00BC3631"/>
    <w:rsid w:val="00BC3783"/>
    <w:rsid w:val="00BC406A"/>
    <w:rsid w:val="00BC4427"/>
    <w:rsid w:val="00BC4EBC"/>
    <w:rsid w:val="00BC544F"/>
    <w:rsid w:val="00BC591F"/>
    <w:rsid w:val="00BC5B23"/>
    <w:rsid w:val="00BC6728"/>
    <w:rsid w:val="00BC779A"/>
    <w:rsid w:val="00BC790B"/>
    <w:rsid w:val="00BC79BC"/>
    <w:rsid w:val="00BC7D6D"/>
    <w:rsid w:val="00BD0EAE"/>
    <w:rsid w:val="00BD11A4"/>
    <w:rsid w:val="00BD1274"/>
    <w:rsid w:val="00BD148D"/>
    <w:rsid w:val="00BD17E0"/>
    <w:rsid w:val="00BD1CDA"/>
    <w:rsid w:val="00BD2108"/>
    <w:rsid w:val="00BD2160"/>
    <w:rsid w:val="00BD24E5"/>
    <w:rsid w:val="00BD28D0"/>
    <w:rsid w:val="00BD2CA8"/>
    <w:rsid w:val="00BD3A13"/>
    <w:rsid w:val="00BD3D57"/>
    <w:rsid w:val="00BD49D5"/>
    <w:rsid w:val="00BD5012"/>
    <w:rsid w:val="00BD54B8"/>
    <w:rsid w:val="00BD5CF8"/>
    <w:rsid w:val="00BD6631"/>
    <w:rsid w:val="00BD68A3"/>
    <w:rsid w:val="00BD6938"/>
    <w:rsid w:val="00BD6CF3"/>
    <w:rsid w:val="00BD6ED3"/>
    <w:rsid w:val="00BD7F72"/>
    <w:rsid w:val="00BE09AB"/>
    <w:rsid w:val="00BE0A3B"/>
    <w:rsid w:val="00BE0BEF"/>
    <w:rsid w:val="00BE0ECA"/>
    <w:rsid w:val="00BE12CE"/>
    <w:rsid w:val="00BE1369"/>
    <w:rsid w:val="00BE1AFB"/>
    <w:rsid w:val="00BE2180"/>
    <w:rsid w:val="00BE21F2"/>
    <w:rsid w:val="00BE33F4"/>
    <w:rsid w:val="00BE3438"/>
    <w:rsid w:val="00BE3513"/>
    <w:rsid w:val="00BE3C08"/>
    <w:rsid w:val="00BE4275"/>
    <w:rsid w:val="00BE4941"/>
    <w:rsid w:val="00BE4CDB"/>
    <w:rsid w:val="00BE4FFF"/>
    <w:rsid w:val="00BE5420"/>
    <w:rsid w:val="00BE6159"/>
    <w:rsid w:val="00BE72B8"/>
    <w:rsid w:val="00BE75C2"/>
    <w:rsid w:val="00BE7BE3"/>
    <w:rsid w:val="00BF03EA"/>
    <w:rsid w:val="00BF06AE"/>
    <w:rsid w:val="00BF09FB"/>
    <w:rsid w:val="00BF0E26"/>
    <w:rsid w:val="00BF0F95"/>
    <w:rsid w:val="00BF1306"/>
    <w:rsid w:val="00BF14E0"/>
    <w:rsid w:val="00BF2141"/>
    <w:rsid w:val="00BF2433"/>
    <w:rsid w:val="00BF2A4F"/>
    <w:rsid w:val="00BF2E6E"/>
    <w:rsid w:val="00BF2FC1"/>
    <w:rsid w:val="00BF359B"/>
    <w:rsid w:val="00BF3B98"/>
    <w:rsid w:val="00BF3C36"/>
    <w:rsid w:val="00BF406C"/>
    <w:rsid w:val="00BF46D7"/>
    <w:rsid w:val="00BF49E2"/>
    <w:rsid w:val="00BF4C09"/>
    <w:rsid w:val="00BF4D76"/>
    <w:rsid w:val="00BF53C5"/>
    <w:rsid w:val="00BF53D2"/>
    <w:rsid w:val="00BF54FF"/>
    <w:rsid w:val="00BF59E2"/>
    <w:rsid w:val="00BF5D29"/>
    <w:rsid w:val="00BF6025"/>
    <w:rsid w:val="00BF61C9"/>
    <w:rsid w:val="00BF6AC4"/>
    <w:rsid w:val="00BF6C94"/>
    <w:rsid w:val="00BF6D9D"/>
    <w:rsid w:val="00BF71F6"/>
    <w:rsid w:val="00BF7367"/>
    <w:rsid w:val="00BF7E23"/>
    <w:rsid w:val="00C001DD"/>
    <w:rsid w:val="00C00424"/>
    <w:rsid w:val="00C00BB0"/>
    <w:rsid w:val="00C00D13"/>
    <w:rsid w:val="00C01679"/>
    <w:rsid w:val="00C02E5A"/>
    <w:rsid w:val="00C03059"/>
    <w:rsid w:val="00C03422"/>
    <w:rsid w:val="00C03A6A"/>
    <w:rsid w:val="00C03DEF"/>
    <w:rsid w:val="00C03EC8"/>
    <w:rsid w:val="00C03EEC"/>
    <w:rsid w:val="00C0457A"/>
    <w:rsid w:val="00C04E01"/>
    <w:rsid w:val="00C057F6"/>
    <w:rsid w:val="00C05929"/>
    <w:rsid w:val="00C05AF0"/>
    <w:rsid w:val="00C05C93"/>
    <w:rsid w:val="00C05FD8"/>
    <w:rsid w:val="00C066C3"/>
    <w:rsid w:val="00C075C7"/>
    <w:rsid w:val="00C07727"/>
    <w:rsid w:val="00C07912"/>
    <w:rsid w:val="00C07C71"/>
    <w:rsid w:val="00C07F46"/>
    <w:rsid w:val="00C1057E"/>
    <w:rsid w:val="00C10B4D"/>
    <w:rsid w:val="00C1168C"/>
    <w:rsid w:val="00C1179F"/>
    <w:rsid w:val="00C11AE8"/>
    <w:rsid w:val="00C11B84"/>
    <w:rsid w:val="00C127B9"/>
    <w:rsid w:val="00C128FA"/>
    <w:rsid w:val="00C12966"/>
    <w:rsid w:val="00C129DA"/>
    <w:rsid w:val="00C12C14"/>
    <w:rsid w:val="00C12C6C"/>
    <w:rsid w:val="00C12C94"/>
    <w:rsid w:val="00C1354C"/>
    <w:rsid w:val="00C13A0C"/>
    <w:rsid w:val="00C13CDA"/>
    <w:rsid w:val="00C13CF0"/>
    <w:rsid w:val="00C13F50"/>
    <w:rsid w:val="00C14070"/>
    <w:rsid w:val="00C14542"/>
    <w:rsid w:val="00C14C2D"/>
    <w:rsid w:val="00C14E03"/>
    <w:rsid w:val="00C14E5A"/>
    <w:rsid w:val="00C15AAB"/>
    <w:rsid w:val="00C15CB7"/>
    <w:rsid w:val="00C15F04"/>
    <w:rsid w:val="00C15FCB"/>
    <w:rsid w:val="00C1612A"/>
    <w:rsid w:val="00C16176"/>
    <w:rsid w:val="00C16271"/>
    <w:rsid w:val="00C16AE0"/>
    <w:rsid w:val="00C171D2"/>
    <w:rsid w:val="00C1723B"/>
    <w:rsid w:val="00C179B3"/>
    <w:rsid w:val="00C17E3F"/>
    <w:rsid w:val="00C200AA"/>
    <w:rsid w:val="00C20DCE"/>
    <w:rsid w:val="00C20ED2"/>
    <w:rsid w:val="00C2103E"/>
    <w:rsid w:val="00C21882"/>
    <w:rsid w:val="00C228F3"/>
    <w:rsid w:val="00C23164"/>
    <w:rsid w:val="00C23200"/>
    <w:rsid w:val="00C237ED"/>
    <w:rsid w:val="00C23803"/>
    <w:rsid w:val="00C24381"/>
    <w:rsid w:val="00C245C7"/>
    <w:rsid w:val="00C24632"/>
    <w:rsid w:val="00C2464B"/>
    <w:rsid w:val="00C24902"/>
    <w:rsid w:val="00C24A09"/>
    <w:rsid w:val="00C24A50"/>
    <w:rsid w:val="00C24CBC"/>
    <w:rsid w:val="00C25064"/>
    <w:rsid w:val="00C25418"/>
    <w:rsid w:val="00C25B5F"/>
    <w:rsid w:val="00C25D9C"/>
    <w:rsid w:val="00C269AA"/>
    <w:rsid w:val="00C26A1A"/>
    <w:rsid w:val="00C26DA4"/>
    <w:rsid w:val="00C27729"/>
    <w:rsid w:val="00C2778B"/>
    <w:rsid w:val="00C27D1B"/>
    <w:rsid w:val="00C3025F"/>
    <w:rsid w:val="00C304F8"/>
    <w:rsid w:val="00C309A7"/>
    <w:rsid w:val="00C31649"/>
    <w:rsid w:val="00C31971"/>
    <w:rsid w:val="00C31A75"/>
    <w:rsid w:val="00C31CC4"/>
    <w:rsid w:val="00C32D7C"/>
    <w:rsid w:val="00C32F52"/>
    <w:rsid w:val="00C337BD"/>
    <w:rsid w:val="00C33FDC"/>
    <w:rsid w:val="00C3429F"/>
    <w:rsid w:val="00C3434C"/>
    <w:rsid w:val="00C346D6"/>
    <w:rsid w:val="00C351F7"/>
    <w:rsid w:val="00C355D9"/>
    <w:rsid w:val="00C3585F"/>
    <w:rsid w:val="00C359E8"/>
    <w:rsid w:val="00C35DA0"/>
    <w:rsid w:val="00C36072"/>
    <w:rsid w:val="00C3646E"/>
    <w:rsid w:val="00C36643"/>
    <w:rsid w:val="00C36EB9"/>
    <w:rsid w:val="00C37B8E"/>
    <w:rsid w:val="00C37DA1"/>
    <w:rsid w:val="00C40131"/>
    <w:rsid w:val="00C40385"/>
    <w:rsid w:val="00C40A17"/>
    <w:rsid w:val="00C40BEB"/>
    <w:rsid w:val="00C40C0E"/>
    <w:rsid w:val="00C41082"/>
    <w:rsid w:val="00C41768"/>
    <w:rsid w:val="00C42EA0"/>
    <w:rsid w:val="00C4342F"/>
    <w:rsid w:val="00C442A7"/>
    <w:rsid w:val="00C44326"/>
    <w:rsid w:val="00C44763"/>
    <w:rsid w:val="00C4498D"/>
    <w:rsid w:val="00C44A3B"/>
    <w:rsid w:val="00C44EF2"/>
    <w:rsid w:val="00C459C3"/>
    <w:rsid w:val="00C46654"/>
    <w:rsid w:val="00C471DF"/>
    <w:rsid w:val="00C475AA"/>
    <w:rsid w:val="00C4794B"/>
    <w:rsid w:val="00C47ACF"/>
    <w:rsid w:val="00C50398"/>
    <w:rsid w:val="00C505EC"/>
    <w:rsid w:val="00C50D59"/>
    <w:rsid w:val="00C51732"/>
    <w:rsid w:val="00C517BF"/>
    <w:rsid w:val="00C51ECA"/>
    <w:rsid w:val="00C520E3"/>
    <w:rsid w:val="00C5279A"/>
    <w:rsid w:val="00C527C7"/>
    <w:rsid w:val="00C53210"/>
    <w:rsid w:val="00C53C61"/>
    <w:rsid w:val="00C53C98"/>
    <w:rsid w:val="00C53E69"/>
    <w:rsid w:val="00C53F65"/>
    <w:rsid w:val="00C53FFF"/>
    <w:rsid w:val="00C55FB6"/>
    <w:rsid w:val="00C56FCF"/>
    <w:rsid w:val="00C572F6"/>
    <w:rsid w:val="00C5737A"/>
    <w:rsid w:val="00C5761C"/>
    <w:rsid w:val="00C57A2B"/>
    <w:rsid w:val="00C57A4F"/>
    <w:rsid w:val="00C57B2F"/>
    <w:rsid w:val="00C57B6C"/>
    <w:rsid w:val="00C57BA9"/>
    <w:rsid w:val="00C57D72"/>
    <w:rsid w:val="00C57F0D"/>
    <w:rsid w:val="00C60259"/>
    <w:rsid w:val="00C603D5"/>
    <w:rsid w:val="00C608C1"/>
    <w:rsid w:val="00C610CD"/>
    <w:rsid w:val="00C61438"/>
    <w:rsid w:val="00C61995"/>
    <w:rsid w:val="00C61A59"/>
    <w:rsid w:val="00C61AA1"/>
    <w:rsid w:val="00C61BAC"/>
    <w:rsid w:val="00C61C56"/>
    <w:rsid w:val="00C61D56"/>
    <w:rsid w:val="00C61F73"/>
    <w:rsid w:val="00C6213B"/>
    <w:rsid w:val="00C62150"/>
    <w:rsid w:val="00C626DB"/>
    <w:rsid w:val="00C627F5"/>
    <w:rsid w:val="00C628A6"/>
    <w:rsid w:val="00C62EA2"/>
    <w:rsid w:val="00C635B3"/>
    <w:rsid w:val="00C64294"/>
    <w:rsid w:val="00C64344"/>
    <w:rsid w:val="00C65108"/>
    <w:rsid w:val="00C65576"/>
    <w:rsid w:val="00C65611"/>
    <w:rsid w:val="00C656B2"/>
    <w:rsid w:val="00C65CF4"/>
    <w:rsid w:val="00C66075"/>
    <w:rsid w:val="00C66165"/>
    <w:rsid w:val="00C66908"/>
    <w:rsid w:val="00C66A68"/>
    <w:rsid w:val="00C676DB"/>
    <w:rsid w:val="00C6775F"/>
    <w:rsid w:val="00C67941"/>
    <w:rsid w:val="00C679D3"/>
    <w:rsid w:val="00C67D52"/>
    <w:rsid w:val="00C67D99"/>
    <w:rsid w:val="00C67EE2"/>
    <w:rsid w:val="00C7060A"/>
    <w:rsid w:val="00C70AC4"/>
    <w:rsid w:val="00C70DAD"/>
    <w:rsid w:val="00C70FBF"/>
    <w:rsid w:val="00C71205"/>
    <w:rsid w:val="00C7151A"/>
    <w:rsid w:val="00C717E3"/>
    <w:rsid w:val="00C71A44"/>
    <w:rsid w:val="00C71F60"/>
    <w:rsid w:val="00C72055"/>
    <w:rsid w:val="00C7206A"/>
    <w:rsid w:val="00C7221A"/>
    <w:rsid w:val="00C72241"/>
    <w:rsid w:val="00C7236D"/>
    <w:rsid w:val="00C7305B"/>
    <w:rsid w:val="00C750C8"/>
    <w:rsid w:val="00C7560F"/>
    <w:rsid w:val="00C756A5"/>
    <w:rsid w:val="00C759A3"/>
    <w:rsid w:val="00C76414"/>
    <w:rsid w:val="00C7690E"/>
    <w:rsid w:val="00C771E6"/>
    <w:rsid w:val="00C77332"/>
    <w:rsid w:val="00C77A9D"/>
    <w:rsid w:val="00C77F93"/>
    <w:rsid w:val="00C80A0E"/>
    <w:rsid w:val="00C80FBB"/>
    <w:rsid w:val="00C810AC"/>
    <w:rsid w:val="00C8213F"/>
    <w:rsid w:val="00C8294E"/>
    <w:rsid w:val="00C8303F"/>
    <w:rsid w:val="00C84482"/>
    <w:rsid w:val="00C84B06"/>
    <w:rsid w:val="00C85154"/>
    <w:rsid w:val="00C85A70"/>
    <w:rsid w:val="00C862D6"/>
    <w:rsid w:val="00C86846"/>
    <w:rsid w:val="00C868CB"/>
    <w:rsid w:val="00C86B20"/>
    <w:rsid w:val="00C870F1"/>
    <w:rsid w:val="00C871FD"/>
    <w:rsid w:val="00C8797A"/>
    <w:rsid w:val="00C87B7D"/>
    <w:rsid w:val="00C900B8"/>
    <w:rsid w:val="00C90197"/>
    <w:rsid w:val="00C902BB"/>
    <w:rsid w:val="00C90341"/>
    <w:rsid w:val="00C90922"/>
    <w:rsid w:val="00C90C71"/>
    <w:rsid w:val="00C90E45"/>
    <w:rsid w:val="00C90F64"/>
    <w:rsid w:val="00C9125E"/>
    <w:rsid w:val="00C91F3E"/>
    <w:rsid w:val="00C91FD1"/>
    <w:rsid w:val="00C92BF1"/>
    <w:rsid w:val="00C931CF"/>
    <w:rsid w:val="00C93415"/>
    <w:rsid w:val="00C93892"/>
    <w:rsid w:val="00C938CF"/>
    <w:rsid w:val="00C93D89"/>
    <w:rsid w:val="00C94053"/>
    <w:rsid w:val="00C9433B"/>
    <w:rsid w:val="00C9624D"/>
    <w:rsid w:val="00C96262"/>
    <w:rsid w:val="00C969DA"/>
    <w:rsid w:val="00C96C8D"/>
    <w:rsid w:val="00C96CC1"/>
    <w:rsid w:val="00C97539"/>
    <w:rsid w:val="00C97B22"/>
    <w:rsid w:val="00CA0907"/>
    <w:rsid w:val="00CA0A9E"/>
    <w:rsid w:val="00CA0BEF"/>
    <w:rsid w:val="00CA1547"/>
    <w:rsid w:val="00CA1C4A"/>
    <w:rsid w:val="00CA1C82"/>
    <w:rsid w:val="00CA24AA"/>
    <w:rsid w:val="00CA2C77"/>
    <w:rsid w:val="00CA3059"/>
    <w:rsid w:val="00CA3902"/>
    <w:rsid w:val="00CA444F"/>
    <w:rsid w:val="00CA4C18"/>
    <w:rsid w:val="00CA4F2F"/>
    <w:rsid w:val="00CA5245"/>
    <w:rsid w:val="00CA567F"/>
    <w:rsid w:val="00CA573B"/>
    <w:rsid w:val="00CA593A"/>
    <w:rsid w:val="00CA6336"/>
    <w:rsid w:val="00CA64D5"/>
    <w:rsid w:val="00CA71F4"/>
    <w:rsid w:val="00CA765D"/>
    <w:rsid w:val="00CA77CD"/>
    <w:rsid w:val="00CA7B09"/>
    <w:rsid w:val="00CA7E56"/>
    <w:rsid w:val="00CB0112"/>
    <w:rsid w:val="00CB1066"/>
    <w:rsid w:val="00CB1223"/>
    <w:rsid w:val="00CB12A5"/>
    <w:rsid w:val="00CB1345"/>
    <w:rsid w:val="00CB15A3"/>
    <w:rsid w:val="00CB1CAC"/>
    <w:rsid w:val="00CB1FDF"/>
    <w:rsid w:val="00CB20E4"/>
    <w:rsid w:val="00CB21EE"/>
    <w:rsid w:val="00CB2209"/>
    <w:rsid w:val="00CB2658"/>
    <w:rsid w:val="00CB279C"/>
    <w:rsid w:val="00CB2F2A"/>
    <w:rsid w:val="00CB30A1"/>
    <w:rsid w:val="00CB3352"/>
    <w:rsid w:val="00CB3420"/>
    <w:rsid w:val="00CB34A0"/>
    <w:rsid w:val="00CB3FC6"/>
    <w:rsid w:val="00CB4324"/>
    <w:rsid w:val="00CB436E"/>
    <w:rsid w:val="00CB4522"/>
    <w:rsid w:val="00CB45AD"/>
    <w:rsid w:val="00CB4D6C"/>
    <w:rsid w:val="00CB5B1A"/>
    <w:rsid w:val="00CB5ECA"/>
    <w:rsid w:val="00CB6B22"/>
    <w:rsid w:val="00CB6F29"/>
    <w:rsid w:val="00CB7F5F"/>
    <w:rsid w:val="00CC0D8A"/>
    <w:rsid w:val="00CC0EA8"/>
    <w:rsid w:val="00CC10A0"/>
    <w:rsid w:val="00CC116A"/>
    <w:rsid w:val="00CC1B39"/>
    <w:rsid w:val="00CC1BFA"/>
    <w:rsid w:val="00CC1F87"/>
    <w:rsid w:val="00CC2540"/>
    <w:rsid w:val="00CC2576"/>
    <w:rsid w:val="00CC26FD"/>
    <w:rsid w:val="00CC2A95"/>
    <w:rsid w:val="00CC2DBE"/>
    <w:rsid w:val="00CC2E9F"/>
    <w:rsid w:val="00CC34AB"/>
    <w:rsid w:val="00CC35EA"/>
    <w:rsid w:val="00CC3848"/>
    <w:rsid w:val="00CC4445"/>
    <w:rsid w:val="00CC44F4"/>
    <w:rsid w:val="00CC5ED7"/>
    <w:rsid w:val="00CC6399"/>
    <w:rsid w:val="00CC6D5E"/>
    <w:rsid w:val="00CC739C"/>
    <w:rsid w:val="00CC77DF"/>
    <w:rsid w:val="00CC77E6"/>
    <w:rsid w:val="00CC7C23"/>
    <w:rsid w:val="00CC7C8D"/>
    <w:rsid w:val="00CC7F12"/>
    <w:rsid w:val="00CD0200"/>
    <w:rsid w:val="00CD0245"/>
    <w:rsid w:val="00CD0758"/>
    <w:rsid w:val="00CD1068"/>
    <w:rsid w:val="00CD1963"/>
    <w:rsid w:val="00CD26F7"/>
    <w:rsid w:val="00CD2B14"/>
    <w:rsid w:val="00CD3B68"/>
    <w:rsid w:val="00CD3C97"/>
    <w:rsid w:val="00CD3F77"/>
    <w:rsid w:val="00CD4C8A"/>
    <w:rsid w:val="00CD5076"/>
    <w:rsid w:val="00CD5E98"/>
    <w:rsid w:val="00CD5FED"/>
    <w:rsid w:val="00CD638E"/>
    <w:rsid w:val="00CD6ADC"/>
    <w:rsid w:val="00CD7193"/>
    <w:rsid w:val="00CD7639"/>
    <w:rsid w:val="00CD793D"/>
    <w:rsid w:val="00CE0233"/>
    <w:rsid w:val="00CE09FB"/>
    <w:rsid w:val="00CE1158"/>
    <w:rsid w:val="00CE1554"/>
    <w:rsid w:val="00CE237C"/>
    <w:rsid w:val="00CE35E6"/>
    <w:rsid w:val="00CE38C8"/>
    <w:rsid w:val="00CE3971"/>
    <w:rsid w:val="00CE3BB4"/>
    <w:rsid w:val="00CE3EC4"/>
    <w:rsid w:val="00CE3FB5"/>
    <w:rsid w:val="00CE41F5"/>
    <w:rsid w:val="00CE4422"/>
    <w:rsid w:val="00CE4859"/>
    <w:rsid w:val="00CE4873"/>
    <w:rsid w:val="00CE524F"/>
    <w:rsid w:val="00CE52F7"/>
    <w:rsid w:val="00CE58CC"/>
    <w:rsid w:val="00CE5904"/>
    <w:rsid w:val="00CE5A20"/>
    <w:rsid w:val="00CE5A7F"/>
    <w:rsid w:val="00CE625D"/>
    <w:rsid w:val="00CE6274"/>
    <w:rsid w:val="00CE6490"/>
    <w:rsid w:val="00CE67ED"/>
    <w:rsid w:val="00CE6DE4"/>
    <w:rsid w:val="00CE77B6"/>
    <w:rsid w:val="00CE7937"/>
    <w:rsid w:val="00CE7D6F"/>
    <w:rsid w:val="00CF04A4"/>
    <w:rsid w:val="00CF0BCD"/>
    <w:rsid w:val="00CF0E2D"/>
    <w:rsid w:val="00CF0EC8"/>
    <w:rsid w:val="00CF15C3"/>
    <w:rsid w:val="00CF1CDA"/>
    <w:rsid w:val="00CF29F5"/>
    <w:rsid w:val="00CF2B8D"/>
    <w:rsid w:val="00CF3215"/>
    <w:rsid w:val="00CF32CF"/>
    <w:rsid w:val="00CF3A1B"/>
    <w:rsid w:val="00CF456B"/>
    <w:rsid w:val="00CF48C7"/>
    <w:rsid w:val="00CF4AB9"/>
    <w:rsid w:val="00CF5306"/>
    <w:rsid w:val="00CF5A22"/>
    <w:rsid w:val="00CF61ED"/>
    <w:rsid w:val="00CF71B3"/>
    <w:rsid w:val="00CF7993"/>
    <w:rsid w:val="00CF7B94"/>
    <w:rsid w:val="00D0001C"/>
    <w:rsid w:val="00D005DF"/>
    <w:rsid w:val="00D006C7"/>
    <w:rsid w:val="00D00A56"/>
    <w:rsid w:val="00D00AA4"/>
    <w:rsid w:val="00D01270"/>
    <w:rsid w:val="00D012DE"/>
    <w:rsid w:val="00D01A4C"/>
    <w:rsid w:val="00D0262E"/>
    <w:rsid w:val="00D02DCC"/>
    <w:rsid w:val="00D03498"/>
    <w:rsid w:val="00D03679"/>
    <w:rsid w:val="00D03E67"/>
    <w:rsid w:val="00D04DBB"/>
    <w:rsid w:val="00D053B2"/>
    <w:rsid w:val="00D056DE"/>
    <w:rsid w:val="00D05E3D"/>
    <w:rsid w:val="00D06139"/>
    <w:rsid w:val="00D06925"/>
    <w:rsid w:val="00D06C3E"/>
    <w:rsid w:val="00D06DA3"/>
    <w:rsid w:val="00D1025B"/>
    <w:rsid w:val="00D10C03"/>
    <w:rsid w:val="00D10F15"/>
    <w:rsid w:val="00D11044"/>
    <w:rsid w:val="00D110BD"/>
    <w:rsid w:val="00D11CA1"/>
    <w:rsid w:val="00D120F0"/>
    <w:rsid w:val="00D12916"/>
    <w:rsid w:val="00D13397"/>
    <w:rsid w:val="00D13675"/>
    <w:rsid w:val="00D137CB"/>
    <w:rsid w:val="00D13997"/>
    <w:rsid w:val="00D13D12"/>
    <w:rsid w:val="00D141E1"/>
    <w:rsid w:val="00D14659"/>
    <w:rsid w:val="00D152F7"/>
    <w:rsid w:val="00D15314"/>
    <w:rsid w:val="00D1570E"/>
    <w:rsid w:val="00D15B48"/>
    <w:rsid w:val="00D160AE"/>
    <w:rsid w:val="00D16A52"/>
    <w:rsid w:val="00D16BE4"/>
    <w:rsid w:val="00D171ED"/>
    <w:rsid w:val="00D178C7"/>
    <w:rsid w:val="00D17D6C"/>
    <w:rsid w:val="00D17E20"/>
    <w:rsid w:val="00D20124"/>
    <w:rsid w:val="00D20568"/>
    <w:rsid w:val="00D205A1"/>
    <w:rsid w:val="00D20683"/>
    <w:rsid w:val="00D209D2"/>
    <w:rsid w:val="00D20A47"/>
    <w:rsid w:val="00D20AED"/>
    <w:rsid w:val="00D211CE"/>
    <w:rsid w:val="00D2155B"/>
    <w:rsid w:val="00D2256B"/>
    <w:rsid w:val="00D2273C"/>
    <w:rsid w:val="00D2292F"/>
    <w:rsid w:val="00D22A3C"/>
    <w:rsid w:val="00D234F1"/>
    <w:rsid w:val="00D237C9"/>
    <w:rsid w:val="00D23D11"/>
    <w:rsid w:val="00D23E21"/>
    <w:rsid w:val="00D242C1"/>
    <w:rsid w:val="00D244B6"/>
    <w:rsid w:val="00D244CA"/>
    <w:rsid w:val="00D24928"/>
    <w:rsid w:val="00D24B8C"/>
    <w:rsid w:val="00D24BD0"/>
    <w:rsid w:val="00D24ED0"/>
    <w:rsid w:val="00D25712"/>
    <w:rsid w:val="00D25917"/>
    <w:rsid w:val="00D259E9"/>
    <w:rsid w:val="00D25B9F"/>
    <w:rsid w:val="00D25C62"/>
    <w:rsid w:val="00D26BC3"/>
    <w:rsid w:val="00D2754D"/>
    <w:rsid w:val="00D277EB"/>
    <w:rsid w:val="00D27939"/>
    <w:rsid w:val="00D27B27"/>
    <w:rsid w:val="00D27F8C"/>
    <w:rsid w:val="00D303E1"/>
    <w:rsid w:val="00D308A7"/>
    <w:rsid w:val="00D30B2B"/>
    <w:rsid w:val="00D30C38"/>
    <w:rsid w:val="00D30D5B"/>
    <w:rsid w:val="00D31493"/>
    <w:rsid w:val="00D31810"/>
    <w:rsid w:val="00D32250"/>
    <w:rsid w:val="00D32F3D"/>
    <w:rsid w:val="00D32F85"/>
    <w:rsid w:val="00D336D0"/>
    <w:rsid w:val="00D33965"/>
    <w:rsid w:val="00D3397F"/>
    <w:rsid w:val="00D33BE9"/>
    <w:rsid w:val="00D33C39"/>
    <w:rsid w:val="00D33F93"/>
    <w:rsid w:val="00D33FB1"/>
    <w:rsid w:val="00D34082"/>
    <w:rsid w:val="00D340E8"/>
    <w:rsid w:val="00D34353"/>
    <w:rsid w:val="00D34911"/>
    <w:rsid w:val="00D34CAA"/>
    <w:rsid w:val="00D352E1"/>
    <w:rsid w:val="00D357FF"/>
    <w:rsid w:val="00D35EA5"/>
    <w:rsid w:val="00D35F17"/>
    <w:rsid w:val="00D361A7"/>
    <w:rsid w:val="00D361B4"/>
    <w:rsid w:val="00D3623F"/>
    <w:rsid w:val="00D363F2"/>
    <w:rsid w:val="00D365E4"/>
    <w:rsid w:val="00D36D37"/>
    <w:rsid w:val="00D3709D"/>
    <w:rsid w:val="00D37105"/>
    <w:rsid w:val="00D37293"/>
    <w:rsid w:val="00D37607"/>
    <w:rsid w:val="00D37A9F"/>
    <w:rsid w:val="00D37D98"/>
    <w:rsid w:val="00D40FE7"/>
    <w:rsid w:val="00D41D6D"/>
    <w:rsid w:val="00D421F7"/>
    <w:rsid w:val="00D424C7"/>
    <w:rsid w:val="00D42EF0"/>
    <w:rsid w:val="00D431B0"/>
    <w:rsid w:val="00D43A0B"/>
    <w:rsid w:val="00D43B2A"/>
    <w:rsid w:val="00D43CF1"/>
    <w:rsid w:val="00D43D83"/>
    <w:rsid w:val="00D43ED2"/>
    <w:rsid w:val="00D442EC"/>
    <w:rsid w:val="00D4431C"/>
    <w:rsid w:val="00D445C9"/>
    <w:rsid w:val="00D4514B"/>
    <w:rsid w:val="00D45238"/>
    <w:rsid w:val="00D4598B"/>
    <w:rsid w:val="00D459BA"/>
    <w:rsid w:val="00D45ED4"/>
    <w:rsid w:val="00D465D5"/>
    <w:rsid w:val="00D46E2F"/>
    <w:rsid w:val="00D46F9F"/>
    <w:rsid w:val="00D47575"/>
    <w:rsid w:val="00D475E9"/>
    <w:rsid w:val="00D478CE"/>
    <w:rsid w:val="00D47BCD"/>
    <w:rsid w:val="00D47D6E"/>
    <w:rsid w:val="00D47DD6"/>
    <w:rsid w:val="00D50073"/>
    <w:rsid w:val="00D50075"/>
    <w:rsid w:val="00D5080E"/>
    <w:rsid w:val="00D50B0F"/>
    <w:rsid w:val="00D50E1D"/>
    <w:rsid w:val="00D50F85"/>
    <w:rsid w:val="00D51046"/>
    <w:rsid w:val="00D510DB"/>
    <w:rsid w:val="00D5243B"/>
    <w:rsid w:val="00D528F4"/>
    <w:rsid w:val="00D52AE1"/>
    <w:rsid w:val="00D52E0A"/>
    <w:rsid w:val="00D530CF"/>
    <w:rsid w:val="00D533EC"/>
    <w:rsid w:val="00D5372A"/>
    <w:rsid w:val="00D53AF3"/>
    <w:rsid w:val="00D5450E"/>
    <w:rsid w:val="00D54D43"/>
    <w:rsid w:val="00D55247"/>
    <w:rsid w:val="00D5586B"/>
    <w:rsid w:val="00D55A7B"/>
    <w:rsid w:val="00D56017"/>
    <w:rsid w:val="00D56431"/>
    <w:rsid w:val="00D56672"/>
    <w:rsid w:val="00D56A95"/>
    <w:rsid w:val="00D57224"/>
    <w:rsid w:val="00D57375"/>
    <w:rsid w:val="00D5794D"/>
    <w:rsid w:val="00D57F18"/>
    <w:rsid w:val="00D57FBE"/>
    <w:rsid w:val="00D60376"/>
    <w:rsid w:val="00D6076E"/>
    <w:rsid w:val="00D62DFE"/>
    <w:rsid w:val="00D632F8"/>
    <w:rsid w:val="00D634AC"/>
    <w:rsid w:val="00D63815"/>
    <w:rsid w:val="00D64881"/>
    <w:rsid w:val="00D649EC"/>
    <w:rsid w:val="00D64E1D"/>
    <w:rsid w:val="00D66D30"/>
    <w:rsid w:val="00D671A3"/>
    <w:rsid w:val="00D67215"/>
    <w:rsid w:val="00D674B1"/>
    <w:rsid w:val="00D67815"/>
    <w:rsid w:val="00D67BC2"/>
    <w:rsid w:val="00D7005E"/>
    <w:rsid w:val="00D7081F"/>
    <w:rsid w:val="00D708D9"/>
    <w:rsid w:val="00D70A92"/>
    <w:rsid w:val="00D70F16"/>
    <w:rsid w:val="00D723B0"/>
    <w:rsid w:val="00D72617"/>
    <w:rsid w:val="00D72F57"/>
    <w:rsid w:val="00D73368"/>
    <w:rsid w:val="00D7410C"/>
    <w:rsid w:val="00D74C36"/>
    <w:rsid w:val="00D751EB"/>
    <w:rsid w:val="00D754B8"/>
    <w:rsid w:val="00D756E2"/>
    <w:rsid w:val="00D75875"/>
    <w:rsid w:val="00D76018"/>
    <w:rsid w:val="00D763DA"/>
    <w:rsid w:val="00D76812"/>
    <w:rsid w:val="00D76A44"/>
    <w:rsid w:val="00D76D18"/>
    <w:rsid w:val="00D770B4"/>
    <w:rsid w:val="00D80316"/>
    <w:rsid w:val="00D805A3"/>
    <w:rsid w:val="00D807D5"/>
    <w:rsid w:val="00D810EB"/>
    <w:rsid w:val="00D8133B"/>
    <w:rsid w:val="00D815DF"/>
    <w:rsid w:val="00D815EF"/>
    <w:rsid w:val="00D81949"/>
    <w:rsid w:val="00D81A3E"/>
    <w:rsid w:val="00D81F26"/>
    <w:rsid w:val="00D822E2"/>
    <w:rsid w:val="00D834B4"/>
    <w:rsid w:val="00D83A02"/>
    <w:rsid w:val="00D83BEF"/>
    <w:rsid w:val="00D843F2"/>
    <w:rsid w:val="00D84E03"/>
    <w:rsid w:val="00D84E4E"/>
    <w:rsid w:val="00D858CC"/>
    <w:rsid w:val="00D85960"/>
    <w:rsid w:val="00D86206"/>
    <w:rsid w:val="00D86231"/>
    <w:rsid w:val="00D86A47"/>
    <w:rsid w:val="00D86EF0"/>
    <w:rsid w:val="00D8723D"/>
    <w:rsid w:val="00D87927"/>
    <w:rsid w:val="00D87DB5"/>
    <w:rsid w:val="00D87F17"/>
    <w:rsid w:val="00D87FEB"/>
    <w:rsid w:val="00D90693"/>
    <w:rsid w:val="00D90D64"/>
    <w:rsid w:val="00D912AB"/>
    <w:rsid w:val="00D91923"/>
    <w:rsid w:val="00D91942"/>
    <w:rsid w:val="00D91BB3"/>
    <w:rsid w:val="00D91EEF"/>
    <w:rsid w:val="00D9256A"/>
    <w:rsid w:val="00D925B3"/>
    <w:rsid w:val="00D928FA"/>
    <w:rsid w:val="00D92A8E"/>
    <w:rsid w:val="00D92D58"/>
    <w:rsid w:val="00D92D9D"/>
    <w:rsid w:val="00D93554"/>
    <w:rsid w:val="00D9362A"/>
    <w:rsid w:val="00D93753"/>
    <w:rsid w:val="00D93ED6"/>
    <w:rsid w:val="00D9503E"/>
    <w:rsid w:val="00D95196"/>
    <w:rsid w:val="00D96418"/>
    <w:rsid w:val="00D966FA"/>
    <w:rsid w:val="00D96E9F"/>
    <w:rsid w:val="00D96F1E"/>
    <w:rsid w:val="00D9769D"/>
    <w:rsid w:val="00DA017C"/>
    <w:rsid w:val="00DA0234"/>
    <w:rsid w:val="00DA0B1D"/>
    <w:rsid w:val="00DA0D2A"/>
    <w:rsid w:val="00DA15AF"/>
    <w:rsid w:val="00DA1C2C"/>
    <w:rsid w:val="00DA273D"/>
    <w:rsid w:val="00DA3167"/>
    <w:rsid w:val="00DA33BF"/>
    <w:rsid w:val="00DA3669"/>
    <w:rsid w:val="00DA36C3"/>
    <w:rsid w:val="00DA482C"/>
    <w:rsid w:val="00DA4958"/>
    <w:rsid w:val="00DA4ABE"/>
    <w:rsid w:val="00DA4DC3"/>
    <w:rsid w:val="00DA593B"/>
    <w:rsid w:val="00DA5DED"/>
    <w:rsid w:val="00DA615B"/>
    <w:rsid w:val="00DA6204"/>
    <w:rsid w:val="00DA7176"/>
    <w:rsid w:val="00DA7417"/>
    <w:rsid w:val="00DA77A5"/>
    <w:rsid w:val="00DB015D"/>
    <w:rsid w:val="00DB03C3"/>
    <w:rsid w:val="00DB0707"/>
    <w:rsid w:val="00DB0C19"/>
    <w:rsid w:val="00DB0C49"/>
    <w:rsid w:val="00DB0E36"/>
    <w:rsid w:val="00DB0E78"/>
    <w:rsid w:val="00DB18B9"/>
    <w:rsid w:val="00DB1DFC"/>
    <w:rsid w:val="00DB2028"/>
    <w:rsid w:val="00DB2177"/>
    <w:rsid w:val="00DB2396"/>
    <w:rsid w:val="00DB2723"/>
    <w:rsid w:val="00DB28F1"/>
    <w:rsid w:val="00DB292C"/>
    <w:rsid w:val="00DB3404"/>
    <w:rsid w:val="00DB34BC"/>
    <w:rsid w:val="00DB355C"/>
    <w:rsid w:val="00DB3609"/>
    <w:rsid w:val="00DB3DBF"/>
    <w:rsid w:val="00DB40F8"/>
    <w:rsid w:val="00DB484F"/>
    <w:rsid w:val="00DB4ADB"/>
    <w:rsid w:val="00DB4C3D"/>
    <w:rsid w:val="00DB56A8"/>
    <w:rsid w:val="00DB6188"/>
    <w:rsid w:val="00DB6FBC"/>
    <w:rsid w:val="00DB7279"/>
    <w:rsid w:val="00DB73CA"/>
    <w:rsid w:val="00DC04F6"/>
    <w:rsid w:val="00DC0590"/>
    <w:rsid w:val="00DC0690"/>
    <w:rsid w:val="00DC0754"/>
    <w:rsid w:val="00DC0871"/>
    <w:rsid w:val="00DC0D7F"/>
    <w:rsid w:val="00DC1446"/>
    <w:rsid w:val="00DC190A"/>
    <w:rsid w:val="00DC1D65"/>
    <w:rsid w:val="00DC29CD"/>
    <w:rsid w:val="00DC2DA3"/>
    <w:rsid w:val="00DC2E33"/>
    <w:rsid w:val="00DC2F98"/>
    <w:rsid w:val="00DC32FF"/>
    <w:rsid w:val="00DC3559"/>
    <w:rsid w:val="00DC3B9E"/>
    <w:rsid w:val="00DC3C57"/>
    <w:rsid w:val="00DC4360"/>
    <w:rsid w:val="00DC4C59"/>
    <w:rsid w:val="00DC4FFA"/>
    <w:rsid w:val="00DC5052"/>
    <w:rsid w:val="00DC5501"/>
    <w:rsid w:val="00DC5782"/>
    <w:rsid w:val="00DC5A58"/>
    <w:rsid w:val="00DC5C35"/>
    <w:rsid w:val="00DC5DE4"/>
    <w:rsid w:val="00DC6509"/>
    <w:rsid w:val="00DC6A62"/>
    <w:rsid w:val="00DC6F86"/>
    <w:rsid w:val="00DC7154"/>
    <w:rsid w:val="00DC7775"/>
    <w:rsid w:val="00DC779C"/>
    <w:rsid w:val="00DC7E8A"/>
    <w:rsid w:val="00DD0253"/>
    <w:rsid w:val="00DD0BD6"/>
    <w:rsid w:val="00DD0F78"/>
    <w:rsid w:val="00DD1B45"/>
    <w:rsid w:val="00DD1BC4"/>
    <w:rsid w:val="00DD20AF"/>
    <w:rsid w:val="00DD2225"/>
    <w:rsid w:val="00DD26CF"/>
    <w:rsid w:val="00DD273C"/>
    <w:rsid w:val="00DD36D2"/>
    <w:rsid w:val="00DD3C83"/>
    <w:rsid w:val="00DD3EE9"/>
    <w:rsid w:val="00DD3F28"/>
    <w:rsid w:val="00DD3FEB"/>
    <w:rsid w:val="00DD4187"/>
    <w:rsid w:val="00DD43E2"/>
    <w:rsid w:val="00DD4446"/>
    <w:rsid w:val="00DD4537"/>
    <w:rsid w:val="00DD4E15"/>
    <w:rsid w:val="00DD4FF5"/>
    <w:rsid w:val="00DD562C"/>
    <w:rsid w:val="00DD6193"/>
    <w:rsid w:val="00DD6890"/>
    <w:rsid w:val="00DD6D7B"/>
    <w:rsid w:val="00DD7212"/>
    <w:rsid w:val="00DD7856"/>
    <w:rsid w:val="00DE011F"/>
    <w:rsid w:val="00DE0229"/>
    <w:rsid w:val="00DE0A34"/>
    <w:rsid w:val="00DE10E3"/>
    <w:rsid w:val="00DE1DBE"/>
    <w:rsid w:val="00DE2304"/>
    <w:rsid w:val="00DE2603"/>
    <w:rsid w:val="00DE2729"/>
    <w:rsid w:val="00DE30C4"/>
    <w:rsid w:val="00DE3138"/>
    <w:rsid w:val="00DE3179"/>
    <w:rsid w:val="00DE31D5"/>
    <w:rsid w:val="00DE3295"/>
    <w:rsid w:val="00DE354B"/>
    <w:rsid w:val="00DE37F8"/>
    <w:rsid w:val="00DE39C0"/>
    <w:rsid w:val="00DE3BCA"/>
    <w:rsid w:val="00DE402C"/>
    <w:rsid w:val="00DE40E6"/>
    <w:rsid w:val="00DE4163"/>
    <w:rsid w:val="00DE4273"/>
    <w:rsid w:val="00DE4601"/>
    <w:rsid w:val="00DE4880"/>
    <w:rsid w:val="00DE4EA5"/>
    <w:rsid w:val="00DE4F80"/>
    <w:rsid w:val="00DE4FCB"/>
    <w:rsid w:val="00DE51CE"/>
    <w:rsid w:val="00DE52CF"/>
    <w:rsid w:val="00DE5436"/>
    <w:rsid w:val="00DE5D07"/>
    <w:rsid w:val="00DE61B7"/>
    <w:rsid w:val="00DE6798"/>
    <w:rsid w:val="00DE6A8E"/>
    <w:rsid w:val="00DE6E23"/>
    <w:rsid w:val="00DE6E7E"/>
    <w:rsid w:val="00DE70AA"/>
    <w:rsid w:val="00DE72A7"/>
    <w:rsid w:val="00DE76AF"/>
    <w:rsid w:val="00DE7832"/>
    <w:rsid w:val="00DE7952"/>
    <w:rsid w:val="00DE7C64"/>
    <w:rsid w:val="00DE7C7B"/>
    <w:rsid w:val="00DF09B0"/>
    <w:rsid w:val="00DF09B8"/>
    <w:rsid w:val="00DF0FB9"/>
    <w:rsid w:val="00DF1267"/>
    <w:rsid w:val="00DF155F"/>
    <w:rsid w:val="00DF1750"/>
    <w:rsid w:val="00DF18FC"/>
    <w:rsid w:val="00DF1B0A"/>
    <w:rsid w:val="00DF1C07"/>
    <w:rsid w:val="00DF1D0F"/>
    <w:rsid w:val="00DF4766"/>
    <w:rsid w:val="00DF4F25"/>
    <w:rsid w:val="00DF5C1D"/>
    <w:rsid w:val="00DF5D2B"/>
    <w:rsid w:val="00DF60A4"/>
    <w:rsid w:val="00DF613C"/>
    <w:rsid w:val="00DF6341"/>
    <w:rsid w:val="00DF6736"/>
    <w:rsid w:val="00DF6A62"/>
    <w:rsid w:val="00DF6BFF"/>
    <w:rsid w:val="00DF7D1B"/>
    <w:rsid w:val="00DF7DE0"/>
    <w:rsid w:val="00E004B7"/>
    <w:rsid w:val="00E00874"/>
    <w:rsid w:val="00E00E8E"/>
    <w:rsid w:val="00E00F77"/>
    <w:rsid w:val="00E01253"/>
    <w:rsid w:val="00E01EDA"/>
    <w:rsid w:val="00E029F7"/>
    <w:rsid w:val="00E02C96"/>
    <w:rsid w:val="00E03B80"/>
    <w:rsid w:val="00E043CE"/>
    <w:rsid w:val="00E04911"/>
    <w:rsid w:val="00E0492D"/>
    <w:rsid w:val="00E0521D"/>
    <w:rsid w:val="00E05469"/>
    <w:rsid w:val="00E0554B"/>
    <w:rsid w:val="00E05630"/>
    <w:rsid w:val="00E06254"/>
    <w:rsid w:val="00E0625C"/>
    <w:rsid w:val="00E065DE"/>
    <w:rsid w:val="00E06B54"/>
    <w:rsid w:val="00E06DBB"/>
    <w:rsid w:val="00E07266"/>
    <w:rsid w:val="00E07725"/>
    <w:rsid w:val="00E07C75"/>
    <w:rsid w:val="00E07EE4"/>
    <w:rsid w:val="00E10149"/>
    <w:rsid w:val="00E104C4"/>
    <w:rsid w:val="00E10902"/>
    <w:rsid w:val="00E10CC6"/>
    <w:rsid w:val="00E10F24"/>
    <w:rsid w:val="00E11340"/>
    <w:rsid w:val="00E11D5B"/>
    <w:rsid w:val="00E1210B"/>
    <w:rsid w:val="00E122A1"/>
    <w:rsid w:val="00E12604"/>
    <w:rsid w:val="00E12EC4"/>
    <w:rsid w:val="00E13427"/>
    <w:rsid w:val="00E13619"/>
    <w:rsid w:val="00E13ADD"/>
    <w:rsid w:val="00E142AC"/>
    <w:rsid w:val="00E144D4"/>
    <w:rsid w:val="00E1453A"/>
    <w:rsid w:val="00E147A6"/>
    <w:rsid w:val="00E147C8"/>
    <w:rsid w:val="00E14D6B"/>
    <w:rsid w:val="00E14E1D"/>
    <w:rsid w:val="00E14EBA"/>
    <w:rsid w:val="00E1525E"/>
    <w:rsid w:val="00E154E6"/>
    <w:rsid w:val="00E157FD"/>
    <w:rsid w:val="00E158CA"/>
    <w:rsid w:val="00E1605F"/>
    <w:rsid w:val="00E16372"/>
    <w:rsid w:val="00E163CA"/>
    <w:rsid w:val="00E163DC"/>
    <w:rsid w:val="00E168F9"/>
    <w:rsid w:val="00E16AD8"/>
    <w:rsid w:val="00E16EA9"/>
    <w:rsid w:val="00E17C29"/>
    <w:rsid w:val="00E17FFA"/>
    <w:rsid w:val="00E20B3B"/>
    <w:rsid w:val="00E20E4D"/>
    <w:rsid w:val="00E20ED6"/>
    <w:rsid w:val="00E20EE4"/>
    <w:rsid w:val="00E21308"/>
    <w:rsid w:val="00E21358"/>
    <w:rsid w:val="00E21685"/>
    <w:rsid w:val="00E2249B"/>
    <w:rsid w:val="00E227A5"/>
    <w:rsid w:val="00E22A0D"/>
    <w:rsid w:val="00E22F00"/>
    <w:rsid w:val="00E24144"/>
    <w:rsid w:val="00E241F3"/>
    <w:rsid w:val="00E244F6"/>
    <w:rsid w:val="00E245C8"/>
    <w:rsid w:val="00E24C5D"/>
    <w:rsid w:val="00E24CD6"/>
    <w:rsid w:val="00E256D4"/>
    <w:rsid w:val="00E258DB"/>
    <w:rsid w:val="00E25E25"/>
    <w:rsid w:val="00E25E8D"/>
    <w:rsid w:val="00E25F80"/>
    <w:rsid w:val="00E260F9"/>
    <w:rsid w:val="00E27697"/>
    <w:rsid w:val="00E2771E"/>
    <w:rsid w:val="00E2775F"/>
    <w:rsid w:val="00E27AFB"/>
    <w:rsid w:val="00E27BEB"/>
    <w:rsid w:val="00E27CBE"/>
    <w:rsid w:val="00E27F80"/>
    <w:rsid w:val="00E30037"/>
    <w:rsid w:val="00E3018C"/>
    <w:rsid w:val="00E303BF"/>
    <w:rsid w:val="00E3042D"/>
    <w:rsid w:val="00E30650"/>
    <w:rsid w:val="00E3092F"/>
    <w:rsid w:val="00E30F0D"/>
    <w:rsid w:val="00E311EF"/>
    <w:rsid w:val="00E3120A"/>
    <w:rsid w:val="00E317DB"/>
    <w:rsid w:val="00E32180"/>
    <w:rsid w:val="00E3234D"/>
    <w:rsid w:val="00E32C1B"/>
    <w:rsid w:val="00E3370A"/>
    <w:rsid w:val="00E33718"/>
    <w:rsid w:val="00E337F6"/>
    <w:rsid w:val="00E33D5C"/>
    <w:rsid w:val="00E344FB"/>
    <w:rsid w:val="00E34714"/>
    <w:rsid w:val="00E34948"/>
    <w:rsid w:val="00E35300"/>
    <w:rsid w:val="00E35A56"/>
    <w:rsid w:val="00E35B45"/>
    <w:rsid w:val="00E360B7"/>
    <w:rsid w:val="00E36159"/>
    <w:rsid w:val="00E36AB4"/>
    <w:rsid w:val="00E36CCC"/>
    <w:rsid w:val="00E36DFA"/>
    <w:rsid w:val="00E373BA"/>
    <w:rsid w:val="00E37569"/>
    <w:rsid w:val="00E40081"/>
    <w:rsid w:val="00E401B2"/>
    <w:rsid w:val="00E40740"/>
    <w:rsid w:val="00E40758"/>
    <w:rsid w:val="00E40AA0"/>
    <w:rsid w:val="00E4168A"/>
    <w:rsid w:val="00E41935"/>
    <w:rsid w:val="00E41E30"/>
    <w:rsid w:val="00E41FFA"/>
    <w:rsid w:val="00E42B08"/>
    <w:rsid w:val="00E42D39"/>
    <w:rsid w:val="00E42F73"/>
    <w:rsid w:val="00E438CA"/>
    <w:rsid w:val="00E43D70"/>
    <w:rsid w:val="00E4438A"/>
    <w:rsid w:val="00E443A8"/>
    <w:rsid w:val="00E448E8"/>
    <w:rsid w:val="00E44A22"/>
    <w:rsid w:val="00E44CCA"/>
    <w:rsid w:val="00E452FC"/>
    <w:rsid w:val="00E45546"/>
    <w:rsid w:val="00E456FC"/>
    <w:rsid w:val="00E459A3"/>
    <w:rsid w:val="00E4610E"/>
    <w:rsid w:val="00E46348"/>
    <w:rsid w:val="00E466F3"/>
    <w:rsid w:val="00E46828"/>
    <w:rsid w:val="00E476FC"/>
    <w:rsid w:val="00E47AD5"/>
    <w:rsid w:val="00E47B2C"/>
    <w:rsid w:val="00E47D24"/>
    <w:rsid w:val="00E503E3"/>
    <w:rsid w:val="00E50502"/>
    <w:rsid w:val="00E5075E"/>
    <w:rsid w:val="00E507DA"/>
    <w:rsid w:val="00E507E7"/>
    <w:rsid w:val="00E51560"/>
    <w:rsid w:val="00E51821"/>
    <w:rsid w:val="00E51974"/>
    <w:rsid w:val="00E51E4F"/>
    <w:rsid w:val="00E524DB"/>
    <w:rsid w:val="00E52A23"/>
    <w:rsid w:val="00E52BD7"/>
    <w:rsid w:val="00E531A0"/>
    <w:rsid w:val="00E533F2"/>
    <w:rsid w:val="00E537AC"/>
    <w:rsid w:val="00E53EE7"/>
    <w:rsid w:val="00E53FC8"/>
    <w:rsid w:val="00E54347"/>
    <w:rsid w:val="00E54405"/>
    <w:rsid w:val="00E547E7"/>
    <w:rsid w:val="00E54D21"/>
    <w:rsid w:val="00E551D0"/>
    <w:rsid w:val="00E55424"/>
    <w:rsid w:val="00E558D4"/>
    <w:rsid w:val="00E55915"/>
    <w:rsid w:val="00E5594D"/>
    <w:rsid w:val="00E55989"/>
    <w:rsid w:val="00E55BB5"/>
    <w:rsid w:val="00E55CBC"/>
    <w:rsid w:val="00E56A5D"/>
    <w:rsid w:val="00E56AE9"/>
    <w:rsid w:val="00E56B04"/>
    <w:rsid w:val="00E56B36"/>
    <w:rsid w:val="00E56C64"/>
    <w:rsid w:val="00E57156"/>
    <w:rsid w:val="00E571A6"/>
    <w:rsid w:val="00E57390"/>
    <w:rsid w:val="00E57F54"/>
    <w:rsid w:val="00E57FA7"/>
    <w:rsid w:val="00E60B2C"/>
    <w:rsid w:val="00E60EF9"/>
    <w:rsid w:val="00E611DF"/>
    <w:rsid w:val="00E61385"/>
    <w:rsid w:val="00E61938"/>
    <w:rsid w:val="00E61A94"/>
    <w:rsid w:val="00E623E7"/>
    <w:rsid w:val="00E62E2D"/>
    <w:rsid w:val="00E634E5"/>
    <w:rsid w:val="00E63B3F"/>
    <w:rsid w:val="00E63CFB"/>
    <w:rsid w:val="00E6435C"/>
    <w:rsid w:val="00E64490"/>
    <w:rsid w:val="00E646B1"/>
    <w:rsid w:val="00E6485A"/>
    <w:rsid w:val="00E64CA7"/>
    <w:rsid w:val="00E65268"/>
    <w:rsid w:val="00E654AF"/>
    <w:rsid w:val="00E65E42"/>
    <w:rsid w:val="00E65E79"/>
    <w:rsid w:val="00E661A3"/>
    <w:rsid w:val="00E66399"/>
    <w:rsid w:val="00E66BA2"/>
    <w:rsid w:val="00E672F1"/>
    <w:rsid w:val="00E673B5"/>
    <w:rsid w:val="00E67416"/>
    <w:rsid w:val="00E67894"/>
    <w:rsid w:val="00E67D6A"/>
    <w:rsid w:val="00E70164"/>
    <w:rsid w:val="00E70724"/>
    <w:rsid w:val="00E70954"/>
    <w:rsid w:val="00E709A7"/>
    <w:rsid w:val="00E70B4D"/>
    <w:rsid w:val="00E70E93"/>
    <w:rsid w:val="00E714F6"/>
    <w:rsid w:val="00E718B6"/>
    <w:rsid w:val="00E71B2B"/>
    <w:rsid w:val="00E71F4F"/>
    <w:rsid w:val="00E72353"/>
    <w:rsid w:val="00E723BA"/>
    <w:rsid w:val="00E73277"/>
    <w:rsid w:val="00E73581"/>
    <w:rsid w:val="00E73653"/>
    <w:rsid w:val="00E73827"/>
    <w:rsid w:val="00E73B76"/>
    <w:rsid w:val="00E74097"/>
    <w:rsid w:val="00E74146"/>
    <w:rsid w:val="00E748B6"/>
    <w:rsid w:val="00E75834"/>
    <w:rsid w:val="00E759E2"/>
    <w:rsid w:val="00E75AC9"/>
    <w:rsid w:val="00E75FA0"/>
    <w:rsid w:val="00E7640D"/>
    <w:rsid w:val="00E76539"/>
    <w:rsid w:val="00E76943"/>
    <w:rsid w:val="00E76B8E"/>
    <w:rsid w:val="00E7707F"/>
    <w:rsid w:val="00E77D80"/>
    <w:rsid w:val="00E803A4"/>
    <w:rsid w:val="00E80828"/>
    <w:rsid w:val="00E80BFD"/>
    <w:rsid w:val="00E812D3"/>
    <w:rsid w:val="00E8130A"/>
    <w:rsid w:val="00E81602"/>
    <w:rsid w:val="00E818BF"/>
    <w:rsid w:val="00E81DBB"/>
    <w:rsid w:val="00E82092"/>
    <w:rsid w:val="00E82177"/>
    <w:rsid w:val="00E833F7"/>
    <w:rsid w:val="00E83509"/>
    <w:rsid w:val="00E83BDF"/>
    <w:rsid w:val="00E84BD6"/>
    <w:rsid w:val="00E84E9F"/>
    <w:rsid w:val="00E85C9A"/>
    <w:rsid w:val="00E85D48"/>
    <w:rsid w:val="00E85E7B"/>
    <w:rsid w:val="00E86250"/>
    <w:rsid w:val="00E86E51"/>
    <w:rsid w:val="00E86FCC"/>
    <w:rsid w:val="00E870E2"/>
    <w:rsid w:val="00E87A1D"/>
    <w:rsid w:val="00E90724"/>
    <w:rsid w:val="00E9094A"/>
    <w:rsid w:val="00E90BAA"/>
    <w:rsid w:val="00E912B6"/>
    <w:rsid w:val="00E91644"/>
    <w:rsid w:val="00E919CB"/>
    <w:rsid w:val="00E91AD9"/>
    <w:rsid w:val="00E91B13"/>
    <w:rsid w:val="00E91D35"/>
    <w:rsid w:val="00E91E91"/>
    <w:rsid w:val="00E91FDD"/>
    <w:rsid w:val="00E92272"/>
    <w:rsid w:val="00E926A5"/>
    <w:rsid w:val="00E92D36"/>
    <w:rsid w:val="00E92ED0"/>
    <w:rsid w:val="00E931E6"/>
    <w:rsid w:val="00E933E9"/>
    <w:rsid w:val="00E93B5A"/>
    <w:rsid w:val="00E93BEE"/>
    <w:rsid w:val="00E93C03"/>
    <w:rsid w:val="00E93D7E"/>
    <w:rsid w:val="00E94047"/>
    <w:rsid w:val="00E9406E"/>
    <w:rsid w:val="00E9478C"/>
    <w:rsid w:val="00E94A87"/>
    <w:rsid w:val="00E95234"/>
    <w:rsid w:val="00E95CF9"/>
    <w:rsid w:val="00E95F39"/>
    <w:rsid w:val="00E962CC"/>
    <w:rsid w:val="00E96668"/>
    <w:rsid w:val="00E972A3"/>
    <w:rsid w:val="00E9766D"/>
    <w:rsid w:val="00E97E57"/>
    <w:rsid w:val="00EA1212"/>
    <w:rsid w:val="00EA1702"/>
    <w:rsid w:val="00EA17C3"/>
    <w:rsid w:val="00EA1D15"/>
    <w:rsid w:val="00EA2086"/>
    <w:rsid w:val="00EA2721"/>
    <w:rsid w:val="00EA29E7"/>
    <w:rsid w:val="00EA2A5D"/>
    <w:rsid w:val="00EA2B5F"/>
    <w:rsid w:val="00EA2C06"/>
    <w:rsid w:val="00EA2CAA"/>
    <w:rsid w:val="00EA329E"/>
    <w:rsid w:val="00EA3864"/>
    <w:rsid w:val="00EA3ADC"/>
    <w:rsid w:val="00EA3C63"/>
    <w:rsid w:val="00EA3EA6"/>
    <w:rsid w:val="00EA40F9"/>
    <w:rsid w:val="00EA4107"/>
    <w:rsid w:val="00EA55D8"/>
    <w:rsid w:val="00EA5750"/>
    <w:rsid w:val="00EA5D34"/>
    <w:rsid w:val="00EA5D70"/>
    <w:rsid w:val="00EA5F67"/>
    <w:rsid w:val="00EA5FF5"/>
    <w:rsid w:val="00EA6C5B"/>
    <w:rsid w:val="00EA6CDE"/>
    <w:rsid w:val="00EA6DC5"/>
    <w:rsid w:val="00EA6F4E"/>
    <w:rsid w:val="00EA6F8C"/>
    <w:rsid w:val="00EA7694"/>
    <w:rsid w:val="00EA77CF"/>
    <w:rsid w:val="00EA7F1C"/>
    <w:rsid w:val="00EA7FB6"/>
    <w:rsid w:val="00EB0666"/>
    <w:rsid w:val="00EB0971"/>
    <w:rsid w:val="00EB15B6"/>
    <w:rsid w:val="00EB1878"/>
    <w:rsid w:val="00EB1A50"/>
    <w:rsid w:val="00EB2859"/>
    <w:rsid w:val="00EB359D"/>
    <w:rsid w:val="00EB3744"/>
    <w:rsid w:val="00EB3B94"/>
    <w:rsid w:val="00EB3D06"/>
    <w:rsid w:val="00EB45D2"/>
    <w:rsid w:val="00EB4916"/>
    <w:rsid w:val="00EB4A91"/>
    <w:rsid w:val="00EB4EC4"/>
    <w:rsid w:val="00EB549D"/>
    <w:rsid w:val="00EB5550"/>
    <w:rsid w:val="00EB5700"/>
    <w:rsid w:val="00EB5872"/>
    <w:rsid w:val="00EB69EC"/>
    <w:rsid w:val="00EB6AA9"/>
    <w:rsid w:val="00EB70C8"/>
    <w:rsid w:val="00EB75DF"/>
    <w:rsid w:val="00EB784C"/>
    <w:rsid w:val="00EC00C9"/>
    <w:rsid w:val="00EC0261"/>
    <w:rsid w:val="00EC04E7"/>
    <w:rsid w:val="00EC0575"/>
    <w:rsid w:val="00EC0DD9"/>
    <w:rsid w:val="00EC13CF"/>
    <w:rsid w:val="00EC171A"/>
    <w:rsid w:val="00EC17C9"/>
    <w:rsid w:val="00EC2649"/>
    <w:rsid w:val="00EC2A2C"/>
    <w:rsid w:val="00EC30E9"/>
    <w:rsid w:val="00EC31ED"/>
    <w:rsid w:val="00EC37BC"/>
    <w:rsid w:val="00EC44E8"/>
    <w:rsid w:val="00EC4CEE"/>
    <w:rsid w:val="00EC5836"/>
    <w:rsid w:val="00EC58A3"/>
    <w:rsid w:val="00EC5E9A"/>
    <w:rsid w:val="00EC608F"/>
    <w:rsid w:val="00EC6289"/>
    <w:rsid w:val="00EC688C"/>
    <w:rsid w:val="00EC7921"/>
    <w:rsid w:val="00EC7B6A"/>
    <w:rsid w:val="00EC7BEE"/>
    <w:rsid w:val="00EC7CE9"/>
    <w:rsid w:val="00ED068E"/>
    <w:rsid w:val="00ED0714"/>
    <w:rsid w:val="00ED0CBB"/>
    <w:rsid w:val="00ED0FE1"/>
    <w:rsid w:val="00ED12E3"/>
    <w:rsid w:val="00ED1670"/>
    <w:rsid w:val="00ED1899"/>
    <w:rsid w:val="00ED190D"/>
    <w:rsid w:val="00ED1A98"/>
    <w:rsid w:val="00ED1EBE"/>
    <w:rsid w:val="00ED2135"/>
    <w:rsid w:val="00ED3565"/>
    <w:rsid w:val="00ED3742"/>
    <w:rsid w:val="00ED388F"/>
    <w:rsid w:val="00ED3A9C"/>
    <w:rsid w:val="00ED3EBD"/>
    <w:rsid w:val="00ED3FE6"/>
    <w:rsid w:val="00ED42A3"/>
    <w:rsid w:val="00ED44B8"/>
    <w:rsid w:val="00ED4872"/>
    <w:rsid w:val="00ED4B04"/>
    <w:rsid w:val="00ED502A"/>
    <w:rsid w:val="00ED54EA"/>
    <w:rsid w:val="00ED56BB"/>
    <w:rsid w:val="00ED57EA"/>
    <w:rsid w:val="00ED5BD4"/>
    <w:rsid w:val="00ED64A4"/>
    <w:rsid w:val="00ED6BB5"/>
    <w:rsid w:val="00ED6CC7"/>
    <w:rsid w:val="00ED713C"/>
    <w:rsid w:val="00EE0648"/>
    <w:rsid w:val="00EE07A5"/>
    <w:rsid w:val="00EE07D3"/>
    <w:rsid w:val="00EE14C8"/>
    <w:rsid w:val="00EE14E6"/>
    <w:rsid w:val="00EE15BC"/>
    <w:rsid w:val="00EE1996"/>
    <w:rsid w:val="00EE1C01"/>
    <w:rsid w:val="00EE1C67"/>
    <w:rsid w:val="00EE22AF"/>
    <w:rsid w:val="00EE240A"/>
    <w:rsid w:val="00EE248A"/>
    <w:rsid w:val="00EE25DC"/>
    <w:rsid w:val="00EE275B"/>
    <w:rsid w:val="00EE28EF"/>
    <w:rsid w:val="00EE2BB0"/>
    <w:rsid w:val="00EE2D28"/>
    <w:rsid w:val="00EE2EE7"/>
    <w:rsid w:val="00EE349B"/>
    <w:rsid w:val="00EE37FB"/>
    <w:rsid w:val="00EE4605"/>
    <w:rsid w:val="00EE46AC"/>
    <w:rsid w:val="00EE4906"/>
    <w:rsid w:val="00EE4953"/>
    <w:rsid w:val="00EE4BF8"/>
    <w:rsid w:val="00EE58F7"/>
    <w:rsid w:val="00EE658C"/>
    <w:rsid w:val="00EE6D3E"/>
    <w:rsid w:val="00EE6E7C"/>
    <w:rsid w:val="00EE7269"/>
    <w:rsid w:val="00EE7434"/>
    <w:rsid w:val="00EF0024"/>
    <w:rsid w:val="00EF0171"/>
    <w:rsid w:val="00EF063C"/>
    <w:rsid w:val="00EF0C68"/>
    <w:rsid w:val="00EF1B25"/>
    <w:rsid w:val="00EF1DA0"/>
    <w:rsid w:val="00EF239C"/>
    <w:rsid w:val="00EF2C96"/>
    <w:rsid w:val="00EF2D92"/>
    <w:rsid w:val="00EF2D9C"/>
    <w:rsid w:val="00EF310D"/>
    <w:rsid w:val="00EF38AA"/>
    <w:rsid w:val="00EF3B6F"/>
    <w:rsid w:val="00EF44A0"/>
    <w:rsid w:val="00EF4747"/>
    <w:rsid w:val="00EF4BF8"/>
    <w:rsid w:val="00EF53E0"/>
    <w:rsid w:val="00EF5BD6"/>
    <w:rsid w:val="00EF5E5A"/>
    <w:rsid w:val="00EF5EEF"/>
    <w:rsid w:val="00EF5FAF"/>
    <w:rsid w:val="00EF607E"/>
    <w:rsid w:val="00EF6359"/>
    <w:rsid w:val="00EF682F"/>
    <w:rsid w:val="00EF7711"/>
    <w:rsid w:val="00EF7C56"/>
    <w:rsid w:val="00EF7E4E"/>
    <w:rsid w:val="00F00BA5"/>
    <w:rsid w:val="00F010B4"/>
    <w:rsid w:val="00F01131"/>
    <w:rsid w:val="00F0221A"/>
    <w:rsid w:val="00F02253"/>
    <w:rsid w:val="00F024E2"/>
    <w:rsid w:val="00F0251B"/>
    <w:rsid w:val="00F027C5"/>
    <w:rsid w:val="00F02B7E"/>
    <w:rsid w:val="00F02BD2"/>
    <w:rsid w:val="00F02BF2"/>
    <w:rsid w:val="00F0322B"/>
    <w:rsid w:val="00F03633"/>
    <w:rsid w:val="00F0384D"/>
    <w:rsid w:val="00F03979"/>
    <w:rsid w:val="00F03C2E"/>
    <w:rsid w:val="00F040D3"/>
    <w:rsid w:val="00F04208"/>
    <w:rsid w:val="00F04A66"/>
    <w:rsid w:val="00F04B4B"/>
    <w:rsid w:val="00F04E01"/>
    <w:rsid w:val="00F0516C"/>
    <w:rsid w:val="00F052E7"/>
    <w:rsid w:val="00F057DB"/>
    <w:rsid w:val="00F05B66"/>
    <w:rsid w:val="00F0622B"/>
    <w:rsid w:val="00F067A2"/>
    <w:rsid w:val="00F068E2"/>
    <w:rsid w:val="00F0711E"/>
    <w:rsid w:val="00F0724B"/>
    <w:rsid w:val="00F07858"/>
    <w:rsid w:val="00F07919"/>
    <w:rsid w:val="00F07B9E"/>
    <w:rsid w:val="00F10FD2"/>
    <w:rsid w:val="00F1116F"/>
    <w:rsid w:val="00F11E36"/>
    <w:rsid w:val="00F11F6C"/>
    <w:rsid w:val="00F12152"/>
    <w:rsid w:val="00F1263A"/>
    <w:rsid w:val="00F12FF7"/>
    <w:rsid w:val="00F139C5"/>
    <w:rsid w:val="00F14053"/>
    <w:rsid w:val="00F14162"/>
    <w:rsid w:val="00F14D49"/>
    <w:rsid w:val="00F159F6"/>
    <w:rsid w:val="00F15A97"/>
    <w:rsid w:val="00F15B77"/>
    <w:rsid w:val="00F15EBA"/>
    <w:rsid w:val="00F168C7"/>
    <w:rsid w:val="00F16F36"/>
    <w:rsid w:val="00F1749D"/>
    <w:rsid w:val="00F178F8"/>
    <w:rsid w:val="00F179C9"/>
    <w:rsid w:val="00F17A80"/>
    <w:rsid w:val="00F17AA4"/>
    <w:rsid w:val="00F21236"/>
    <w:rsid w:val="00F21BB5"/>
    <w:rsid w:val="00F21E6D"/>
    <w:rsid w:val="00F22803"/>
    <w:rsid w:val="00F22DC5"/>
    <w:rsid w:val="00F22EAD"/>
    <w:rsid w:val="00F23185"/>
    <w:rsid w:val="00F231AE"/>
    <w:rsid w:val="00F239DF"/>
    <w:rsid w:val="00F23E80"/>
    <w:rsid w:val="00F24235"/>
    <w:rsid w:val="00F244A7"/>
    <w:rsid w:val="00F24594"/>
    <w:rsid w:val="00F24837"/>
    <w:rsid w:val="00F24BE7"/>
    <w:rsid w:val="00F24C57"/>
    <w:rsid w:val="00F24CE2"/>
    <w:rsid w:val="00F24D48"/>
    <w:rsid w:val="00F2575F"/>
    <w:rsid w:val="00F25891"/>
    <w:rsid w:val="00F25967"/>
    <w:rsid w:val="00F2650F"/>
    <w:rsid w:val="00F26DF3"/>
    <w:rsid w:val="00F26EC6"/>
    <w:rsid w:val="00F27279"/>
    <w:rsid w:val="00F272B3"/>
    <w:rsid w:val="00F27565"/>
    <w:rsid w:val="00F2778B"/>
    <w:rsid w:val="00F27E94"/>
    <w:rsid w:val="00F3021B"/>
    <w:rsid w:val="00F306CD"/>
    <w:rsid w:val="00F30BFD"/>
    <w:rsid w:val="00F30D06"/>
    <w:rsid w:val="00F30D51"/>
    <w:rsid w:val="00F310D4"/>
    <w:rsid w:val="00F3131C"/>
    <w:rsid w:val="00F3193B"/>
    <w:rsid w:val="00F31D5A"/>
    <w:rsid w:val="00F31F7C"/>
    <w:rsid w:val="00F321E3"/>
    <w:rsid w:val="00F32AE2"/>
    <w:rsid w:val="00F32DB7"/>
    <w:rsid w:val="00F33621"/>
    <w:rsid w:val="00F33975"/>
    <w:rsid w:val="00F33DE9"/>
    <w:rsid w:val="00F33ED8"/>
    <w:rsid w:val="00F34239"/>
    <w:rsid w:val="00F34FE8"/>
    <w:rsid w:val="00F35870"/>
    <w:rsid w:val="00F35E6D"/>
    <w:rsid w:val="00F3619A"/>
    <w:rsid w:val="00F36CCB"/>
    <w:rsid w:val="00F403CD"/>
    <w:rsid w:val="00F40575"/>
    <w:rsid w:val="00F40749"/>
    <w:rsid w:val="00F408DA"/>
    <w:rsid w:val="00F40906"/>
    <w:rsid w:val="00F40A01"/>
    <w:rsid w:val="00F40AAA"/>
    <w:rsid w:val="00F40BA7"/>
    <w:rsid w:val="00F40CCB"/>
    <w:rsid w:val="00F40E3A"/>
    <w:rsid w:val="00F40F9D"/>
    <w:rsid w:val="00F41ACD"/>
    <w:rsid w:val="00F41D10"/>
    <w:rsid w:val="00F4204D"/>
    <w:rsid w:val="00F42376"/>
    <w:rsid w:val="00F42747"/>
    <w:rsid w:val="00F42E6D"/>
    <w:rsid w:val="00F430E2"/>
    <w:rsid w:val="00F43608"/>
    <w:rsid w:val="00F438B7"/>
    <w:rsid w:val="00F43C17"/>
    <w:rsid w:val="00F43DBA"/>
    <w:rsid w:val="00F443A9"/>
    <w:rsid w:val="00F44AE5"/>
    <w:rsid w:val="00F44DBE"/>
    <w:rsid w:val="00F44E2A"/>
    <w:rsid w:val="00F45002"/>
    <w:rsid w:val="00F451E5"/>
    <w:rsid w:val="00F4527E"/>
    <w:rsid w:val="00F4597B"/>
    <w:rsid w:val="00F464E5"/>
    <w:rsid w:val="00F468AA"/>
    <w:rsid w:val="00F46ACE"/>
    <w:rsid w:val="00F46CB6"/>
    <w:rsid w:val="00F47223"/>
    <w:rsid w:val="00F4756D"/>
    <w:rsid w:val="00F47A7A"/>
    <w:rsid w:val="00F47DE8"/>
    <w:rsid w:val="00F500DE"/>
    <w:rsid w:val="00F50196"/>
    <w:rsid w:val="00F50302"/>
    <w:rsid w:val="00F5031D"/>
    <w:rsid w:val="00F514F5"/>
    <w:rsid w:val="00F5172F"/>
    <w:rsid w:val="00F51881"/>
    <w:rsid w:val="00F51EB4"/>
    <w:rsid w:val="00F52023"/>
    <w:rsid w:val="00F52111"/>
    <w:rsid w:val="00F52239"/>
    <w:rsid w:val="00F525C9"/>
    <w:rsid w:val="00F52971"/>
    <w:rsid w:val="00F52C7A"/>
    <w:rsid w:val="00F52E58"/>
    <w:rsid w:val="00F5303F"/>
    <w:rsid w:val="00F53944"/>
    <w:rsid w:val="00F53FF3"/>
    <w:rsid w:val="00F542C1"/>
    <w:rsid w:val="00F54736"/>
    <w:rsid w:val="00F54822"/>
    <w:rsid w:val="00F54BE6"/>
    <w:rsid w:val="00F550E3"/>
    <w:rsid w:val="00F5551D"/>
    <w:rsid w:val="00F55E73"/>
    <w:rsid w:val="00F55EDA"/>
    <w:rsid w:val="00F56B86"/>
    <w:rsid w:val="00F56C80"/>
    <w:rsid w:val="00F5712F"/>
    <w:rsid w:val="00F578CC"/>
    <w:rsid w:val="00F57B13"/>
    <w:rsid w:val="00F57E9A"/>
    <w:rsid w:val="00F60092"/>
    <w:rsid w:val="00F60666"/>
    <w:rsid w:val="00F60930"/>
    <w:rsid w:val="00F60A68"/>
    <w:rsid w:val="00F61162"/>
    <w:rsid w:val="00F61C18"/>
    <w:rsid w:val="00F628DD"/>
    <w:rsid w:val="00F63B2A"/>
    <w:rsid w:val="00F63C4C"/>
    <w:rsid w:val="00F64538"/>
    <w:rsid w:val="00F64979"/>
    <w:rsid w:val="00F64A9C"/>
    <w:rsid w:val="00F6515F"/>
    <w:rsid w:val="00F65327"/>
    <w:rsid w:val="00F65A60"/>
    <w:rsid w:val="00F65E1B"/>
    <w:rsid w:val="00F65F4B"/>
    <w:rsid w:val="00F668E3"/>
    <w:rsid w:val="00F66963"/>
    <w:rsid w:val="00F66AE5"/>
    <w:rsid w:val="00F67036"/>
    <w:rsid w:val="00F670BE"/>
    <w:rsid w:val="00F673A3"/>
    <w:rsid w:val="00F67796"/>
    <w:rsid w:val="00F67A69"/>
    <w:rsid w:val="00F707EA"/>
    <w:rsid w:val="00F70821"/>
    <w:rsid w:val="00F708DD"/>
    <w:rsid w:val="00F70BFF"/>
    <w:rsid w:val="00F70C9D"/>
    <w:rsid w:val="00F70E6E"/>
    <w:rsid w:val="00F7155B"/>
    <w:rsid w:val="00F717DF"/>
    <w:rsid w:val="00F71FD4"/>
    <w:rsid w:val="00F71FE3"/>
    <w:rsid w:val="00F72015"/>
    <w:rsid w:val="00F7267A"/>
    <w:rsid w:val="00F7334E"/>
    <w:rsid w:val="00F73E08"/>
    <w:rsid w:val="00F73E16"/>
    <w:rsid w:val="00F74CD9"/>
    <w:rsid w:val="00F7532C"/>
    <w:rsid w:val="00F7575A"/>
    <w:rsid w:val="00F75BB3"/>
    <w:rsid w:val="00F75D38"/>
    <w:rsid w:val="00F76260"/>
    <w:rsid w:val="00F76386"/>
    <w:rsid w:val="00F768CE"/>
    <w:rsid w:val="00F76F33"/>
    <w:rsid w:val="00F7733A"/>
    <w:rsid w:val="00F77D1A"/>
    <w:rsid w:val="00F803BE"/>
    <w:rsid w:val="00F8045A"/>
    <w:rsid w:val="00F80739"/>
    <w:rsid w:val="00F8080D"/>
    <w:rsid w:val="00F80A7B"/>
    <w:rsid w:val="00F80E5D"/>
    <w:rsid w:val="00F81C06"/>
    <w:rsid w:val="00F81E78"/>
    <w:rsid w:val="00F8236F"/>
    <w:rsid w:val="00F82894"/>
    <w:rsid w:val="00F82CA3"/>
    <w:rsid w:val="00F82E85"/>
    <w:rsid w:val="00F82FAA"/>
    <w:rsid w:val="00F8356C"/>
    <w:rsid w:val="00F83916"/>
    <w:rsid w:val="00F839E4"/>
    <w:rsid w:val="00F84333"/>
    <w:rsid w:val="00F84799"/>
    <w:rsid w:val="00F84D4A"/>
    <w:rsid w:val="00F851CE"/>
    <w:rsid w:val="00F855C5"/>
    <w:rsid w:val="00F85852"/>
    <w:rsid w:val="00F869B7"/>
    <w:rsid w:val="00F86D1C"/>
    <w:rsid w:val="00F86DB3"/>
    <w:rsid w:val="00F871A7"/>
    <w:rsid w:val="00F87358"/>
    <w:rsid w:val="00F87637"/>
    <w:rsid w:val="00F87AD2"/>
    <w:rsid w:val="00F90626"/>
    <w:rsid w:val="00F91143"/>
    <w:rsid w:val="00F91219"/>
    <w:rsid w:val="00F912DC"/>
    <w:rsid w:val="00F915D0"/>
    <w:rsid w:val="00F9171F"/>
    <w:rsid w:val="00F91B1F"/>
    <w:rsid w:val="00F91FF1"/>
    <w:rsid w:val="00F92444"/>
    <w:rsid w:val="00F93062"/>
    <w:rsid w:val="00F9393E"/>
    <w:rsid w:val="00F93C57"/>
    <w:rsid w:val="00F93DEE"/>
    <w:rsid w:val="00F94880"/>
    <w:rsid w:val="00F949E6"/>
    <w:rsid w:val="00F94D2F"/>
    <w:rsid w:val="00F955E7"/>
    <w:rsid w:val="00F956DB"/>
    <w:rsid w:val="00F957C5"/>
    <w:rsid w:val="00F959A7"/>
    <w:rsid w:val="00F95A6A"/>
    <w:rsid w:val="00F95F28"/>
    <w:rsid w:val="00F960F9"/>
    <w:rsid w:val="00F96123"/>
    <w:rsid w:val="00F969B4"/>
    <w:rsid w:val="00F96F53"/>
    <w:rsid w:val="00F96FD0"/>
    <w:rsid w:val="00F97254"/>
    <w:rsid w:val="00F97439"/>
    <w:rsid w:val="00F9768D"/>
    <w:rsid w:val="00F97A78"/>
    <w:rsid w:val="00F97C59"/>
    <w:rsid w:val="00F97EC6"/>
    <w:rsid w:val="00FA0530"/>
    <w:rsid w:val="00FA0713"/>
    <w:rsid w:val="00FA0874"/>
    <w:rsid w:val="00FA0B20"/>
    <w:rsid w:val="00FA10C5"/>
    <w:rsid w:val="00FA13D9"/>
    <w:rsid w:val="00FA16F3"/>
    <w:rsid w:val="00FA24E7"/>
    <w:rsid w:val="00FA2B57"/>
    <w:rsid w:val="00FA2C70"/>
    <w:rsid w:val="00FA355E"/>
    <w:rsid w:val="00FA3BDF"/>
    <w:rsid w:val="00FA4B57"/>
    <w:rsid w:val="00FA4C11"/>
    <w:rsid w:val="00FA4F6F"/>
    <w:rsid w:val="00FA501A"/>
    <w:rsid w:val="00FA506A"/>
    <w:rsid w:val="00FA5264"/>
    <w:rsid w:val="00FA5EE6"/>
    <w:rsid w:val="00FA6378"/>
    <w:rsid w:val="00FA71A5"/>
    <w:rsid w:val="00FA7205"/>
    <w:rsid w:val="00FA7956"/>
    <w:rsid w:val="00FA7ACF"/>
    <w:rsid w:val="00FA7C6B"/>
    <w:rsid w:val="00FB0824"/>
    <w:rsid w:val="00FB1712"/>
    <w:rsid w:val="00FB1934"/>
    <w:rsid w:val="00FB252C"/>
    <w:rsid w:val="00FB2AC5"/>
    <w:rsid w:val="00FB2B8F"/>
    <w:rsid w:val="00FB2FCB"/>
    <w:rsid w:val="00FB300D"/>
    <w:rsid w:val="00FB32EC"/>
    <w:rsid w:val="00FB35CF"/>
    <w:rsid w:val="00FB36B6"/>
    <w:rsid w:val="00FB420F"/>
    <w:rsid w:val="00FB4369"/>
    <w:rsid w:val="00FB44D0"/>
    <w:rsid w:val="00FB4C9C"/>
    <w:rsid w:val="00FB523B"/>
    <w:rsid w:val="00FB5E17"/>
    <w:rsid w:val="00FB5F47"/>
    <w:rsid w:val="00FB65B3"/>
    <w:rsid w:val="00FB6A30"/>
    <w:rsid w:val="00FB728C"/>
    <w:rsid w:val="00FB76A5"/>
    <w:rsid w:val="00FB7AE3"/>
    <w:rsid w:val="00FB7B19"/>
    <w:rsid w:val="00FB7C55"/>
    <w:rsid w:val="00FB7D17"/>
    <w:rsid w:val="00FB7E0A"/>
    <w:rsid w:val="00FC010C"/>
    <w:rsid w:val="00FC0B2A"/>
    <w:rsid w:val="00FC1074"/>
    <w:rsid w:val="00FC1719"/>
    <w:rsid w:val="00FC1884"/>
    <w:rsid w:val="00FC19B1"/>
    <w:rsid w:val="00FC2521"/>
    <w:rsid w:val="00FC2654"/>
    <w:rsid w:val="00FC27C5"/>
    <w:rsid w:val="00FC371D"/>
    <w:rsid w:val="00FC37E8"/>
    <w:rsid w:val="00FC3FA7"/>
    <w:rsid w:val="00FC41D0"/>
    <w:rsid w:val="00FC5279"/>
    <w:rsid w:val="00FC570F"/>
    <w:rsid w:val="00FC5783"/>
    <w:rsid w:val="00FC5788"/>
    <w:rsid w:val="00FC5A7C"/>
    <w:rsid w:val="00FC5E18"/>
    <w:rsid w:val="00FC5F0B"/>
    <w:rsid w:val="00FC5FA1"/>
    <w:rsid w:val="00FC60CC"/>
    <w:rsid w:val="00FC63A8"/>
    <w:rsid w:val="00FC68A8"/>
    <w:rsid w:val="00FC69D4"/>
    <w:rsid w:val="00FC6C09"/>
    <w:rsid w:val="00FC6C45"/>
    <w:rsid w:val="00FC7010"/>
    <w:rsid w:val="00FC7593"/>
    <w:rsid w:val="00FC75D9"/>
    <w:rsid w:val="00FC7826"/>
    <w:rsid w:val="00FD0545"/>
    <w:rsid w:val="00FD05FF"/>
    <w:rsid w:val="00FD08FE"/>
    <w:rsid w:val="00FD0D5D"/>
    <w:rsid w:val="00FD0F66"/>
    <w:rsid w:val="00FD117E"/>
    <w:rsid w:val="00FD13A8"/>
    <w:rsid w:val="00FD157D"/>
    <w:rsid w:val="00FD203B"/>
    <w:rsid w:val="00FD2100"/>
    <w:rsid w:val="00FD2959"/>
    <w:rsid w:val="00FD2D6D"/>
    <w:rsid w:val="00FD2E81"/>
    <w:rsid w:val="00FD3FAF"/>
    <w:rsid w:val="00FD4158"/>
    <w:rsid w:val="00FD436C"/>
    <w:rsid w:val="00FD43D0"/>
    <w:rsid w:val="00FD446D"/>
    <w:rsid w:val="00FD46F2"/>
    <w:rsid w:val="00FD4855"/>
    <w:rsid w:val="00FD4C32"/>
    <w:rsid w:val="00FD4D16"/>
    <w:rsid w:val="00FD4F2C"/>
    <w:rsid w:val="00FD53B3"/>
    <w:rsid w:val="00FD5409"/>
    <w:rsid w:val="00FD5A53"/>
    <w:rsid w:val="00FD5E02"/>
    <w:rsid w:val="00FD5F84"/>
    <w:rsid w:val="00FD6394"/>
    <w:rsid w:val="00FD659D"/>
    <w:rsid w:val="00FD6CF0"/>
    <w:rsid w:val="00FD709F"/>
    <w:rsid w:val="00FD7846"/>
    <w:rsid w:val="00FD7D03"/>
    <w:rsid w:val="00FE011D"/>
    <w:rsid w:val="00FE031C"/>
    <w:rsid w:val="00FE0BF7"/>
    <w:rsid w:val="00FE0CD1"/>
    <w:rsid w:val="00FE0E6C"/>
    <w:rsid w:val="00FE18D5"/>
    <w:rsid w:val="00FE1CDC"/>
    <w:rsid w:val="00FE1E3A"/>
    <w:rsid w:val="00FE1FCC"/>
    <w:rsid w:val="00FE253C"/>
    <w:rsid w:val="00FE2B76"/>
    <w:rsid w:val="00FE2DE2"/>
    <w:rsid w:val="00FE2E4F"/>
    <w:rsid w:val="00FE2FC9"/>
    <w:rsid w:val="00FE380F"/>
    <w:rsid w:val="00FE39FD"/>
    <w:rsid w:val="00FE3E81"/>
    <w:rsid w:val="00FE3EBE"/>
    <w:rsid w:val="00FE40F3"/>
    <w:rsid w:val="00FE4757"/>
    <w:rsid w:val="00FE6422"/>
    <w:rsid w:val="00FE65DB"/>
    <w:rsid w:val="00FE6772"/>
    <w:rsid w:val="00FE70C3"/>
    <w:rsid w:val="00FE781A"/>
    <w:rsid w:val="00FE7A7C"/>
    <w:rsid w:val="00FE7BA1"/>
    <w:rsid w:val="00FF0016"/>
    <w:rsid w:val="00FF0A3B"/>
    <w:rsid w:val="00FF0DB8"/>
    <w:rsid w:val="00FF1A8B"/>
    <w:rsid w:val="00FF1D94"/>
    <w:rsid w:val="00FF1E05"/>
    <w:rsid w:val="00FF1FF2"/>
    <w:rsid w:val="00FF2AD9"/>
    <w:rsid w:val="00FF2CFD"/>
    <w:rsid w:val="00FF359F"/>
    <w:rsid w:val="00FF3687"/>
    <w:rsid w:val="00FF3A19"/>
    <w:rsid w:val="00FF3DCF"/>
    <w:rsid w:val="00FF4738"/>
    <w:rsid w:val="00FF492C"/>
    <w:rsid w:val="00FF4A21"/>
    <w:rsid w:val="00FF4CDB"/>
    <w:rsid w:val="00FF5AA3"/>
    <w:rsid w:val="00FF5AD8"/>
    <w:rsid w:val="00FF5F98"/>
    <w:rsid w:val="00FF6039"/>
    <w:rsid w:val="00FF6040"/>
    <w:rsid w:val="00FF65EE"/>
    <w:rsid w:val="00FF7499"/>
    <w:rsid w:val="00FF7A94"/>
    <w:rsid w:val="00FF7D6F"/>
    <w:rsid w:val="06418514"/>
    <w:rsid w:val="083DD862"/>
    <w:rsid w:val="1CCDBC87"/>
    <w:rsid w:val="223EE490"/>
    <w:rsid w:val="2D32A1E3"/>
    <w:rsid w:val="45341A54"/>
    <w:rsid w:val="471930EF"/>
    <w:rsid w:val="521FA387"/>
    <w:rsid w:val="5E55F586"/>
    <w:rsid w:val="5E82561D"/>
    <w:rsid w:val="69084997"/>
    <w:rsid w:val="74FD6B9D"/>
    <w:rsid w:val="781AC0FD"/>
    <w:rsid w:val="7A0706DC"/>
    <w:rsid w:val="7E3C78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C5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A85C53"/>
    <w:pPr>
      <w:numPr>
        <w:numId w:val="32"/>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A85C5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A85C53"/>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A85C53"/>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A85C53"/>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A85C5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A85C53"/>
    <w:pPr>
      <w:keepNext/>
    </w:pPr>
    <w:rPr>
      <w:rFonts w:ascii="Arial Narrow" w:eastAsiaTheme="majorEastAsia" w:hAnsi="Arial Narrow"/>
      <w:b/>
      <w:szCs w:val="24"/>
      <w:lang w:val="en-US"/>
    </w:rPr>
  </w:style>
  <w:style w:type="paragraph" w:customStyle="1" w:styleId="2-SectionHeading">
    <w:name w:val="2-Section Heading"/>
    <w:next w:val="3-BodyText"/>
    <w:qFormat/>
    <w:rsid w:val="00A85C53"/>
    <w:pPr>
      <w:keepNext/>
      <w:numPr>
        <w:numId w:val="34"/>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A85C5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85C5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A85C5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A85C53"/>
    <w:rPr>
      <w:rFonts w:ascii="Arial Narrow" w:eastAsiaTheme="majorEastAsia" w:hAnsi="Arial Narrow" w:cstheme="majorBidi"/>
      <w:b/>
      <w:bCs/>
      <w:szCs w:val="24"/>
    </w:rPr>
  </w:style>
  <w:style w:type="paragraph" w:customStyle="1" w:styleId="3-BodyText">
    <w:name w:val="3-Body Text"/>
    <w:link w:val="3-BodyTextChar"/>
    <w:qFormat/>
    <w:rsid w:val="00A85C53"/>
    <w:pPr>
      <w:numPr>
        <w:ilvl w:val="1"/>
        <w:numId w:val="34"/>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A85C53"/>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A85C53"/>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85C53"/>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A85C53"/>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A85C53"/>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A85C53"/>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A85C53"/>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A85C53"/>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A85C5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85C53"/>
    <w:rPr>
      <w:rFonts w:ascii="Arial Narrow" w:hAnsi="Arial Narrow" w:cs="Arial"/>
      <w:snapToGrid w:val="0"/>
      <w:sz w:val="18"/>
      <w:szCs w:val="22"/>
    </w:rPr>
  </w:style>
  <w:style w:type="paragraph" w:styleId="FootnoteText">
    <w:name w:val="footnote text"/>
    <w:basedOn w:val="Normal"/>
    <w:link w:val="FootnoteTextChar"/>
    <w:unhideWhenUsed/>
    <w:rsid w:val="001C2549"/>
    <w:rPr>
      <w:sz w:val="20"/>
      <w:szCs w:val="20"/>
    </w:rPr>
  </w:style>
  <w:style w:type="character" w:customStyle="1" w:styleId="FootnoteTextChar">
    <w:name w:val="Footnote Text Char"/>
    <w:basedOn w:val="DefaultParagraphFont"/>
    <w:link w:val="FootnoteText"/>
    <w:rsid w:val="001C2549"/>
    <w:rPr>
      <w:rFonts w:ascii="Calibri" w:hAnsi="Calibri" w:cs="Arial"/>
    </w:rPr>
  </w:style>
  <w:style w:type="character" w:styleId="FootnoteReference">
    <w:name w:val="footnote reference"/>
    <w:basedOn w:val="DefaultParagraphFont"/>
    <w:semiHidden/>
    <w:unhideWhenUsed/>
    <w:rsid w:val="001C2549"/>
    <w:rPr>
      <w:vertAlign w:val="superscript"/>
    </w:rPr>
  </w:style>
  <w:style w:type="paragraph" w:customStyle="1" w:styleId="KMC16-Tablecontent">
    <w:name w:val="KMC16 - Table content"/>
    <w:basedOn w:val="Normal"/>
    <w:link w:val="KMC16-TablecontentChar"/>
    <w:qFormat/>
    <w:rsid w:val="00A438D4"/>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A438D4"/>
    <w:rPr>
      <w:rFonts w:ascii="Arial Narrow" w:hAnsi="Arial Narrow" w:cs="Arial"/>
      <w:color w:val="000000"/>
      <w:szCs w:val="24"/>
      <w:lang w:val="en-GB" w:eastAsia="en-GB"/>
    </w:rPr>
  </w:style>
  <w:style w:type="character" w:customStyle="1" w:styleId="anchor-text">
    <w:name w:val="anchor-text"/>
    <w:basedOn w:val="DefaultParagraphFont"/>
    <w:rsid w:val="00386615"/>
  </w:style>
  <w:style w:type="paragraph" w:customStyle="1" w:styleId="KMC16-Caption">
    <w:name w:val="KMC16 - Caption"/>
    <w:basedOn w:val="Normal"/>
    <w:rsid w:val="00E20B3B"/>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16-Text">
    <w:name w:val="KMC16 - Text"/>
    <w:basedOn w:val="Normal"/>
    <w:link w:val="KMC16-TextChar"/>
    <w:rsid w:val="00E20B3B"/>
    <w:pPr>
      <w:spacing w:before="120" w:after="240" w:line="360" w:lineRule="auto"/>
    </w:pPr>
    <w:rPr>
      <w:rFonts w:ascii="Arial" w:hAnsi="Arial" w:cs="Times New Roman"/>
      <w:color w:val="000000" w:themeColor="text1"/>
      <w:lang w:eastAsia="en-GB"/>
    </w:rPr>
  </w:style>
  <w:style w:type="character" w:customStyle="1" w:styleId="KMC16-TextChar">
    <w:name w:val="KMC16 - Text Char"/>
    <w:basedOn w:val="DefaultParagraphFont"/>
    <w:link w:val="KMC16-Text"/>
    <w:rsid w:val="00E20B3B"/>
    <w:rPr>
      <w:rFonts w:ascii="Arial" w:hAnsi="Arial"/>
      <w:color w:val="000000" w:themeColor="text1"/>
      <w:sz w:val="24"/>
      <w:szCs w:val="24"/>
      <w:lang w:eastAsia="en-GB"/>
    </w:rPr>
  </w:style>
  <w:style w:type="paragraph" w:customStyle="1" w:styleId="KMC16ES-tabletext">
    <w:name w:val="KMC16 ES - table text"/>
    <w:basedOn w:val="Normal"/>
    <w:rsid w:val="00E20B3B"/>
    <w:pPr>
      <w:keepNext/>
      <w:spacing w:after="40"/>
      <w:jc w:val="left"/>
    </w:pPr>
    <w:rPr>
      <w:rFonts w:ascii="Arial Narrow" w:hAnsi="Arial Narrow" w:cs="Times New Roman"/>
      <w:color w:val="000000" w:themeColor="text1"/>
      <w:sz w:val="20"/>
      <w:szCs w:val="20"/>
      <w:lang w:eastAsia="en-GB"/>
    </w:rPr>
  </w:style>
  <w:style w:type="character" w:styleId="Strong">
    <w:name w:val="Strong"/>
    <w:basedOn w:val="DefaultParagraphFont"/>
    <w:uiPriority w:val="22"/>
    <w:qFormat/>
    <w:rsid w:val="007815B7"/>
    <w:rPr>
      <w:b/>
      <w:bCs/>
    </w:rPr>
  </w:style>
  <w:style w:type="character" w:styleId="PlaceholderText">
    <w:name w:val="Placeholder Text"/>
    <w:basedOn w:val="DefaultParagraphFont"/>
    <w:uiPriority w:val="99"/>
    <w:semiHidden/>
    <w:rsid w:val="005F448F"/>
    <w:rPr>
      <w:color w:val="808080"/>
    </w:rPr>
  </w:style>
  <w:style w:type="character" w:styleId="UnresolvedMention">
    <w:name w:val="Unresolved Mention"/>
    <w:basedOn w:val="DefaultParagraphFont"/>
    <w:uiPriority w:val="99"/>
    <w:unhideWhenUsed/>
    <w:rsid w:val="00191F09"/>
    <w:rPr>
      <w:color w:val="605E5C"/>
      <w:shd w:val="clear" w:color="auto" w:fill="E1DFDD"/>
    </w:rPr>
  </w:style>
  <w:style w:type="character" w:styleId="Mention">
    <w:name w:val="Mention"/>
    <w:basedOn w:val="DefaultParagraphFont"/>
    <w:uiPriority w:val="99"/>
    <w:unhideWhenUsed/>
    <w:rsid w:val="00191F09"/>
    <w:rPr>
      <w:color w:val="2B579A"/>
      <w:shd w:val="clear" w:color="auto" w:fill="E1DFDD"/>
    </w:rPr>
  </w:style>
  <w:style w:type="paragraph" w:customStyle="1" w:styleId="3Bodytext">
    <w:name w:val="3. Body text"/>
    <w:basedOn w:val="ListParagraph"/>
    <w:link w:val="3BodytextChar"/>
    <w:rsid w:val="004A696A"/>
    <w:pPr>
      <w:numPr>
        <w:numId w:val="0"/>
      </w:numPr>
      <w:spacing w:before="120"/>
      <w:jc w:val="both"/>
    </w:pPr>
    <w:rPr>
      <w:rFonts w:eastAsiaTheme="minorHAnsi" w:cstheme="minorBidi"/>
      <w:snapToGrid/>
      <w:szCs w:val="22"/>
    </w:rPr>
  </w:style>
  <w:style w:type="character" w:customStyle="1" w:styleId="3BodytextChar">
    <w:name w:val="3. Body text Char"/>
    <w:basedOn w:val="ListParagraphChar"/>
    <w:link w:val="3Bodytext"/>
    <w:rsid w:val="004A696A"/>
    <w:rPr>
      <w:rFonts w:asciiTheme="minorHAnsi" w:eastAsiaTheme="minorHAnsi" w:hAnsiTheme="minorHAnsi"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16/j.jclinepi.2024.111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atecreated xmlns="7f856f8d-13b3-495a-9a4b-41f8182eda4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E111B-779D-4CD5-80D1-C66825A64104}">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7CB51CFB-09D0-4817-8BA2-3A699875DDB4}">
  <ds:schemaRefs>
    <ds:schemaRef ds:uri="http://schemas.microsoft.com/sharepoint/v3/contenttype/forms"/>
  </ds:schemaRefs>
</ds:datastoreItem>
</file>

<file path=customXml/itemProps4.xml><?xml version="1.0" encoding="utf-8"?>
<ds:datastoreItem xmlns:ds="http://schemas.openxmlformats.org/officeDocument/2006/customXml" ds:itemID="{C40CEFB1-B81F-4E1D-83C5-70CDE9A05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991a7b-ea93-4169-b28c-c36ff3e5b0d1}" enabled="0" method="" siteId="{3f991a7b-ea93-4169-b28c-c36ff3e5b0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13244</Words>
  <Characters>74305</Characters>
  <Application>Microsoft Office Word</Application>
  <DocSecurity>0</DocSecurity>
  <Lines>1651</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86700</CharactersWithSpaces>
  <SharedDoc>false</SharedDoc>
  <HLinks>
    <vt:vector size="24" baseType="variant">
      <vt:variant>
        <vt:i4>2490428</vt:i4>
      </vt:variant>
      <vt:variant>
        <vt:i4>0</vt:i4>
      </vt:variant>
      <vt:variant>
        <vt:i4>0</vt:i4>
      </vt:variant>
      <vt:variant>
        <vt:i4>5</vt:i4>
      </vt:variant>
      <vt:variant>
        <vt:lpwstr>https://doi.org/10.1016/j.jclinepi.2024.111487</vt:lpwstr>
      </vt:variant>
      <vt:variant>
        <vt:lpwstr/>
      </vt:variant>
      <vt:variant>
        <vt:i4>6553688</vt:i4>
      </vt:variant>
      <vt:variant>
        <vt:i4>6</vt:i4>
      </vt:variant>
      <vt:variant>
        <vt:i4>0</vt:i4>
      </vt:variant>
      <vt:variant>
        <vt:i4>5</vt:i4>
      </vt:variant>
      <vt:variant>
        <vt:lpwstr>mailto:Soumya.Sudarshan@health.gov.au</vt:lpwstr>
      </vt:variant>
      <vt:variant>
        <vt:lpwstr/>
      </vt:variant>
      <vt:variant>
        <vt:i4>6553688</vt:i4>
      </vt:variant>
      <vt:variant>
        <vt:i4>3</vt:i4>
      </vt:variant>
      <vt:variant>
        <vt:i4>0</vt:i4>
      </vt:variant>
      <vt:variant>
        <vt:i4>5</vt:i4>
      </vt:variant>
      <vt:variant>
        <vt:lpwstr>mailto:Soumya.Sudarshan@health.gov.au</vt:lpwstr>
      </vt:variant>
      <vt:variant>
        <vt:lpwstr/>
      </vt:variant>
      <vt:variant>
        <vt:i4>6553688</vt:i4>
      </vt:variant>
      <vt:variant>
        <vt:i4>0</vt:i4>
      </vt:variant>
      <vt:variant>
        <vt:i4>0</vt:i4>
      </vt:variant>
      <vt:variant>
        <vt:i4>5</vt:i4>
      </vt:variant>
      <vt:variant>
        <vt:lpwstr>mailto:Soumya.Sudarshan@health.gov.au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2026-07-07T00:50:00Z</dcterms:created>
  <dcterms:modified xsi:type="dcterms:W3CDTF">2026-07-07T00:50:00Z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46f1d3ab,1737498d,384c0cbd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55e6f37e,7d20e6d4,aada567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2026-04-02T05:30:32Z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8ad13bfd-3877-472c-9fbb-f77419e31334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docLang">
    <vt:lpwstr>en</vt:lpwstr>
  </property>
  <property fmtid="{D5CDD505-2E9C-101B-9397-08002B2CF9AE}" pid="18" name="ContentTypeId">
    <vt:lpwstr>0x0101007FED174C5281F747A8037A05221D6DBD</vt:lpwstr>
  </property>
  <property fmtid="{D5CDD505-2E9C-101B-9397-08002B2CF9AE}" pid="19" name="Order">
    <vt:r8>59769900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