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41D03471" w:rsidR="00B60939" w:rsidRPr="0098262F" w:rsidRDefault="00BE0E59" w:rsidP="00750703">
      <w:pPr>
        <w:pStyle w:val="1-MainHeading"/>
      </w:pPr>
      <w:bookmarkStart w:id="0" w:name="_Toc219197444"/>
      <w:r>
        <w:t>5.07</w:t>
      </w:r>
      <w:r w:rsidR="00163F66" w:rsidRPr="0098262F">
        <w:tab/>
      </w:r>
      <w:r w:rsidR="00DE5649">
        <w:t>ROMIDEPSIN</w:t>
      </w:r>
      <w:r w:rsidR="00163F66" w:rsidRPr="0098262F">
        <w:t>,</w:t>
      </w:r>
      <w:r w:rsidR="00163F66" w:rsidRPr="0098262F">
        <w:br/>
      </w:r>
      <w:r w:rsidR="00F2684D">
        <w:t>P</w:t>
      </w:r>
      <w:r w:rsidR="00AE5419">
        <w:t>owder for injection</w:t>
      </w:r>
      <w:r w:rsidR="00163F66" w:rsidRPr="0098262F">
        <w:t>,</w:t>
      </w:r>
      <w:r w:rsidR="00163F66" w:rsidRPr="0098262F">
        <w:br/>
      </w:r>
      <w:r w:rsidR="00AE5419">
        <w:t>10</w:t>
      </w:r>
      <w:r w:rsidR="009F3A52">
        <w:t xml:space="preserve"> </w:t>
      </w:r>
      <w:r w:rsidR="00AE5419">
        <w:t>mg</w:t>
      </w:r>
      <w:r w:rsidR="00163F66" w:rsidRPr="0098262F">
        <w:t>,</w:t>
      </w:r>
      <w:r w:rsidR="00163F66" w:rsidRPr="0098262F">
        <w:br/>
      </w:r>
      <w:r w:rsidR="00716015">
        <w:t>ROMIDEPSIN</w:t>
      </w:r>
      <w:r w:rsidR="00750703">
        <w:noBreakHyphen/>
      </w:r>
      <w:r w:rsidR="00716015">
        <w:t>REACH</w:t>
      </w:r>
      <w:r w:rsidR="00B60939" w:rsidRPr="0098262F">
        <w:rPr>
          <w:vertAlign w:val="superscript"/>
        </w:rPr>
        <w:t>®</w:t>
      </w:r>
      <w:r w:rsidR="004A6040" w:rsidRPr="0098262F">
        <w:t>,</w:t>
      </w:r>
      <w:r w:rsidR="004A6040" w:rsidRPr="0098262F">
        <w:br/>
      </w:r>
      <w:r w:rsidR="00D51742">
        <w:t>Reach Pharmaceuticals Pty Ltd</w:t>
      </w:r>
      <w:r w:rsidR="00D51742" w:rsidRPr="0098262F">
        <w:t>.</w:t>
      </w:r>
      <w:bookmarkEnd w:id="0"/>
      <w:r w:rsidR="00D51742" w:rsidRPr="0098262F">
        <w:t xml:space="preserve"> </w:t>
      </w:r>
    </w:p>
    <w:p w14:paraId="11C00795" w14:textId="3DFB6D23" w:rsidR="00B50DB8" w:rsidRPr="0033393E" w:rsidRDefault="00B50DB8" w:rsidP="00750703">
      <w:pPr>
        <w:pStyle w:val="2-SectionHeading"/>
        <w:spacing w:before="160" w:after="160"/>
        <w:rPr>
          <w:rFonts w:cstheme="minorHAnsi"/>
        </w:rPr>
      </w:pPr>
      <w:bookmarkStart w:id="1" w:name="_Toc219197446"/>
      <w:r w:rsidRPr="0033393E">
        <w:rPr>
          <w:rFonts w:cstheme="minorHAnsi"/>
        </w:rPr>
        <w:t xml:space="preserve">Purpose of </w:t>
      </w:r>
      <w:r w:rsidR="00CD7193" w:rsidRPr="0033393E">
        <w:rPr>
          <w:rFonts w:cstheme="minorHAnsi"/>
        </w:rPr>
        <w:t>s</w:t>
      </w:r>
      <w:r w:rsidR="00BB3A45" w:rsidRPr="0033393E">
        <w:rPr>
          <w:rFonts w:cstheme="minorHAnsi"/>
        </w:rPr>
        <w:t>ubmission</w:t>
      </w:r>
      <w:bookmarkEnd w:id="1"/>
    </w:p>
    <w:p w14:paraId="19414AA1" w14:textId="619F6079" w:rsidR="002C2775" w:rsidRPr="0033393E" w:rsidRDefault="007170DA" w:rsidP="00750703">
      <w:pPr>
        <w:pStyle w:val="3-BodyText"/>
        <w:spacing w:before="160" w:after="160"/>
        <w:ind w:left="720"/>
        <w:rPr>
          <w:rFonts w:cstheme="minorHAnsi"/>
        </w:rPr>
      </w:pPr>
      <w:r w:rsidRPr="0033393E">
        <w:rPr>
          <w:rFonts w:cstheme="minorHAnsi"/>
        </w:rPr>
        <w:t xml:space="preserve">The </w:t>
      </w:r>
      <w:r w:rsidR="00F73E08" w:rsidRPr="0033393E">
        <w:rPr>
          <w:rFonts w:cstheme="minorHAnsi"/>
        </w:rPr>
        <w:t xml:space="preserve">Category </w:t>
      </w:r>
      <w:r w:rsidR="00DE5649" w:rsidRPr="0033393E">
        <w:rPr>
          <w:rFonts w:cstheme="minorHAnsi"/>
        </w:rPr>
        <w:t>2</w:t>
      </w:r>
      <w:r w:rsidR="00F73E08" w:rsidRPr="0033393E">
        <w:rPr>
          <w:rFonts w:cstheme="minorHAnsi"/>
        </w:rPr>
        <w:t xml:space="preserve"> </w:t>
      </w:r>
      <w:r w:rsidRPr="0033393E">
        <w:rPr>
          <w:rFonts w:cstheme="minorHAnsi"/>
        </w:rPr>
        <w:t xml:space="preserve">submission requested </w:t>
      </w:r>
      <w:r w:rsidR="008B1757" w:rsidRPr="0033393E">
        <w:rPr>
          <w:rFonts w:cstheme="minorHAnsi"/>
        </w:rPr>
        <w:t xml:space="preserve">Section 100 listing for </w:t>
      </w:r>
      <w:r w:rsidR="00DE5649" w:rsidRPr="0033393E">
        <w:rPr>
          <w:rFonts w:cstheme="minorHAnsi"/>
        </w:rPr>
        <w:t>romidepsin</w:t>
      </w:r>
      <w:r w:rsidR="008B1757" w:rsidRPr="0033393E">
        <w:rPr>
          <w:rFonts w:cstheme="minorHAnsi"/>
        </w:rPr>
        <w:t xml:space="preserve"> for </w:t>
      </w:r>
      <w:r w:rsidR="0050174E" w:rsidRPr="0033393E">
        <w:rPr>
          <w:rFonts w:cstheme="minorHAnsi"/>
        </w:rPr>
        <w:t xml:space="preserve">the </w:t>
      </w:r>
      <w:r w:rsidR="008B1757" w:rsidRPr="0033393E">
        <w:rPr>
          <w:rFonts w:cstheme="minorHAnsi"/>
        </w:rPr>
        <w:t xml:space="preserve">treatment of </w:t>
      </w:r>
      <w:r w:rsidR="00DE5649" w:rsidRPr="0033393E">
        <w:rPr>
          <w:rFonts w:cstheme="minorHAnsi"/>
        </w:rPr>
        <w:t>adult patients with relapsed or refractory (R/R) peripheral T</w:t>
      </w:r>
      <w:r w:rsidR="00750703">
        <w:rPr>
          <w:rFonts w:cstheme="minorHAnsi"/>
        </w:rPr>
        <w:noBreakHyphen/>
      </w:r>
      <w:r w:rsidR="00DE5649" w:rsidRPr="0033393E">
        <w:rPr>
          <w:rFonts w:cstheme="minorHAnsi"/>
        </w:rPr>
        <w:t>cell lymphoma (PTCL) following at least one prior systemic therapy.</w:t>
      </w:r>
    </w:p>
    <w:p w14:paraId="4E9FBCB5" w14:textId="11A5028F" w:rsidR="00C2778B" w:rsidRPr="0033393E" w:rsidRDefault="005750C5" w:rsidP="00750703">
      <w:pPr>
        <w:pStyle w:val="3-BodyText"/>
        <w:spacing w:before="160" w:after="160"/>
        <w:ind w:left="720"/>
        <w:rPr>
          <w:rFonts w:cstheme="minorHAnsi"/>
        </w:rPr>
      </w:pPr>
      <w:r w:rsidRPr="0033393E">
        <w:rPr>
          <w:rFonts w:cstheme="minorHAnsi"/>
        </w:rPr>
        <w:t xml:space="preserve">Listing was requested </w:t>
      </w:r>
      <w:proofErr w:type="gramStart"/>
      <w:r w:rsidRPr="0033393E">
        <w:rPr>
          <w:rFonts w:cstheme="minorHAnsi"/>
        </w:rPr>
        <w:t>on the basis of</w:t>
      </w:r>
      <w:proofErr w:type="gramEnd"/>
      <w:r w:rsidRPr="0033393E">
        <w:rPr>
          <w:rFonts w:cstheme="minorHAnsi"/>
        </w:rPr>
        <w:t xml:space="preserve"> a cost</w:t>
      </w:r>
      <w:r w:rsidR="00750703">
        <w:rPr>
          <w:rFonts w:cstheme="minorHAnsi"/>
        </w:rPr>
        <w:noBreakHyphen/>
      </w:r>
      <w:r w:rsidRPr="0033393E">
        <w:rPr>
          <w:rFonts w:cstheme="minorHAnsi"/>
        </w:rPr>
        <w:t>minimisation</w:t>
      </w:r>
      <w:r w:rsidR="001D71F4" w:rsidRPr="0033393E">
        <w:rPr>
          <w:rFonts w:cstheme="minorHAnsi"/>
        </w:rPr>
        <w:t xml:space="preserve"> approach</w:t>
      </w:r>
      <w:r w:rsidR="00256D26">
        <w:rPr>
          <w:rFonts w:cstheme="minorHAnsi"/>
        </w:rPr>
        <w:t xml:space="preserve"> (CMA)</w:t>
      </w:r>
      <w:r w:rsidR="00DE5649" w:rsidRPr="0033393E">
        <w:rPr>
          <w:rFonts w:cstheme="minorHAnsi"/>
        </w:rPr>
        <w:t xml:space="preserve"> </w:t>
      </w:r>
      <w:r w:rsidRPr="0033393E">
        <w:rPr>
          <w:rFonts w:cstheme="minorHAnsi"/>
        </w:rPr>
        <w:t xml:space="preserve">versus </w:t>
      </w:r>
      <w:r w:rsidR="00DE5649" w:rsidRPr="0033393E">
        <w:rPr>
          <w:rFonts w:cstheme="minorHAnsi"/>
        </w:rPr>
        <w:t>pralatrexate.</w:t>
      </w:r>
    </w:p>
    <w:p w14:paraId="3718DE61" w14:textId="603FA014" w:rsidR="008B1757" w:rsidRPr="0098262F" w:rsidRDefault="00696EF9" w:rsidP="00750703">
      <w:pPr>
        <w:pStyle w:val="TableFigureHeading"/>
        <w:rPr>
          <w:rStyle w:val="CommentReference"/>
          <w:b/>
          <w:szCs w:val="24"/>
        </w:rPr>
      </w:pPr>
      <w:r w:rsidRPr="0098262F">
        <w:t xml:space="preserve">Table </w:t>
      </w:r>
      <w:fldSimple w:instr=" SEQ Table \* ARABIC ">
        <w:r w:rsidR="000B22F7">
          <w:rPr>
            <w:noProof/>
          </w:rPr>
          <w:t>1</w:t>
        </w:r>
      </w:fldSimple>
      <w:r w:rsidRPr="0098262F">
        <w:t>:</w:t>
      </w:r>
      <w:r w:rsidR="00BC591F" w:rsidRPr="0098262F">
        <w:rPr>
          <w:rStyle w:val="CommentReference"/>
          <w:b/>
          <w:szCs w:val="24"/>
        </w:rPr>
        <w:t xml:space="preserve"> </w:t>
      </w:r>
      <w:r w:rsidR="008B1757" w:rsidRPr="0098262F">
        <w:rPr>
          <w:rStyle w:val="CommentReference"/>
          <w:b/>
          <w:szCs w:val="24"/>
        </w:rPr>
        <w:t>Key components of the clinical issue addressed by the submission</w:t>
      </w:r>
      <w:r w:rsidR="007170DA" w:rsidRPr="0098262F">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666"/>
        <w:gridCol w:w="7351"/>
      </w:tblGrid>
      <w:tr w:rsidR="00B617ED" w:rsidRPr="0098262F" w14:paraId="569F5103" w14:textId="77777777" w:rsidTr="00FD448D">
        <w:trPr>
          <w:cantSplit/>
          <w:tblHeader/>
        </w:trPr>
        <w:tc>
          <w:tcPr>
            <w:tcW w:w="924" w:type="pct"/>
          </w:tcPr>
          <w:p w14:paraId="501803FB" w14:textId="19456102" w:rsidR="008B1757" w:rsidRPr="0098262F" w:rsidRDefault="008B1757" w:rsidP="00750703">
            <w:pPr>
              <w:pStyle w:val="In-tableHeading"/>
              <w:rPr>
                <w:szCs w:val="20"/>
              </w:rPr>
            </w:pPr>
            <w:r w:rsidRPr="0098262F">
              <w:t>Component</w:t>
            </w:r>
          </w:p>
        </w:tc>
        <w:tc>
          <w:tcPr>
            <w:tcW w:w="4076" w:type="pct"/>
          </w:tcPr>
          <w:p w14:paraId="445D9EBB" w14:textId="77777777" w:rsidR="008B1757" w:rsidRPr="0098262F" w:rsidRDefault="008B1757" w:rsidP="00750703">
            <w:pPr>
              <w:pStyle w:val="In-tableHeading"/>
            </w:pPr>
            <w:r w:rsidRPr="0098262F">
              <w:t>Description</w:t>
            </w:r>
          </w:p>
        </w:tc>
      </w:tr>
      <w:tr w:rsidR="00B617ED" w:rsidRPr="0098262F" w14:paraId="2EB546E2" w14:textId="77777777" w:rsidTr="00FD448D">
        <w:trPr>
          <w:cantSplit/>
        </w:trPr>
        <w:tc>
          <w:tcPr>
            <w:tcW w:w="924" w:type="pct"/>
          </w:tcPr>
          <w:p w14:paraId="38F3BB34" w14:textId="77777777" w:rsidR="008B1757" w:rsidRPr="00FC5A37" w:rsidRDefault="008B1757" w:rsidP="00750703">
            <w:pPr>
              <w:pStyle w:val="Tabletext"/>
            </w:pPr>
            <w:r w:rsidRPr="00FC5A37">
              <w:t>Population</w:t>
            </w:r>
          </w:p>
        </w:tc>
        <w:tc>
          <w:tcPr>
            <w:tcW w:w="4076" w:type="pct"/>
          </w:tcPr>
          <w:p w14:paraId="79618EEE" w14:textId="5C9A53FC" w:rsidR="00233C01" w:rsidRPr="00FC5A37" w:rsidRDefault="00DE5649" w:rsidP="00750703">
            <w:pPr>
              <w:pStyle w:val="Tabletext"/>
            </w:pPr>
            <w:r w:rsidRPr="00FC5A37">
              <w:t>Adults with relapsed or refractory PTCL (including AITL, ALCL, PTCL</w:t>
            </w:r>
            <w:r w:rsidR="00750703">
              <w:noBreakHyphen/>
            </w:r>
            <w:r w:rsidRPr="00FC5A37">
              <w:t xml:space="preserve">NOS) who have received ≥1 prior systemic therapy. </w:t>
            </w:r>
          </w:p>
        </w:tc>
      </w:tr>
      <w:tr w:rsidR="00B617ED" w:rsidRPr="0098262F" w14:paraId="0CA523AF" w14:textId="77777777" w:rsidTr="00FD448D">
        <w:trPr>
          <w:cantSplit/>
        </w:trPr>
        <w:tc>
          <w:tcPr>
            <w:tcW w:w="924" w:type="pct"/>
          </w:tcPr>
          <w:p w14:paraId="7B6D20D8" w14:textId="77777777" w:rsidR="008B1757" w:rsidRPr="00FC5A37" w:rsidRDefault="008B1757" w:rsidP="00750703">
            <w:pPr>
              <w:pStyle w:val="Tabletext"/>
            </w:pPr>
            <w:r w:rsidRPr="00FC5A37">
              <w:t>Intervention</w:t>
            </w:r>
          </w:p>
        </w:tc>
        <w:tc>
          <w:tcPr>
            <w:tcW w:w="4076" w:type="pct"/>
          </w:tcPr>
          <w:p w14:paraId="2491E905" w14:textId="15410D78" w:rsidR="00233C01" w:rsidRPr="00FC5A37" w:rsidRDefault="00DE5649" w:rsidP="00750703">
            <w:pPr>
              <w:pStyle w:val="Tabletext"/>
            </w:pPr>
            <w:r w:rsidRPr="00FC5A37">
              <w:t xml:space="preserve">Romidepsin, a histone deacetylase inhibitor, administered at 14 mg/m² </w:t>
            </w:r>
            <w:r w:rsidR="00EB3DDE">
              <w:t>intravenously (</w:t>
            </w:r>
            <w:r w:rsidRPr="00FC5A37">
              <w:t>IV</w:t>
            </w:r>
            <w:r w:rsidR="00EB3DDE">
              <w:t>)</w:t>
            </w:r>
            <w:r w:rsidRPr="00FC5A37">
              <w:t xml:space="preserve"> on Days 1, 8 and 15 of a 28</w:t>
            </w:r>
            <w:r w:rsidR="00750703">
              <w:noBreakHyphen/>
            </w:r>
            <w:r w:rsidRPr="00FC5A37">
              <w:t>day cycle, until disease progression or unacceptable toxicity.</w:t>
            </w:r>
          </w:p>
        </w:tc>
      </w:tr>
      <w:tr w:rsidR="00B617ED" w:rsidRPr="0098262F" w14:paraId="0F81EBE4" w14:textId="77777777" w:rsidTr="00FD448D">
        <w:trPr>
          <w:cantSplit/>
        </w:trPr>
        <w:tc>
          <w:tcPr>
            <w:tcW w:w="924" w:type="pct"/>
          </w:tcPr>
          <w:p w14:paraId="3656B343" w14:textId="77777777" w:rsidR="008B1757" w:rsidRPr="00FC5A37" w:rsidRDefault="008B1757" w:rsidP="00750703">
            <w:pPr>
              <w:pStyle w:val="Tabletext"/>
            </w:pPr>
            <w:r w:rsidRPr="00FC5A37">
              <w:t>Comparator</w:t>
            </w:r>
          </w:p>
        </w:tc>
        <w:tc>
          <w:tcPr>
            <w:tcW w:w="4076" w:type="pct"/>
          </w:tcPr>
          <w:p w14:paraId="3727DE24" w14:textId="708741EB" w:rsidR="00233C01" w:rsidRPr="00FC5A37" w:rsidRDefault="00DE5649" w:rsidP="00750703">
            <w:pPr>
              <w:pStyle w:val="Tabletext"/>
            </w:pPr>
            <w:r w:rsidRPr="00FC5A37">
              <w:t>Pralatrexate</w:t>
            </w:r>
            <w:r w:rsidR="007151CF">
              <w:t xml:space="preserve"> </w:t>
            </w:r>
            <w:r w:rsidR="00976450" w:rsidRPr="00FC5A37">
              <w:t>30</w:t>
            </w:r>
            <w:r w:rsidR="00BE4559">
              <w:t xml:space="preserve"> </w:t>
            </w:r>
            <w:r w:rsidR="00976450" w:rsidRPr="00FC5A37">
              <w:t>mg/m</w:t>
            </w:r>
            <w:r w:rsidR="00976450" w:rsidRPr="00BE4559">
              <w:rPr>
                <w:vertAlign w:val="superscript"/>
              </w:rPr>
              <w:t>2</w:t>
            </w:r>
            <w:r w:rsidR="00976450" w:rsidRPr="00FC5A37">
              <w:t xml:space="preserve"> </w:t>
            </w:r>
            <w:r w:rsidR="00534328" w:rsidRPr="00C074C4">
              <w:t xml:space="preserve">administered </w:t>
            </w:r>
            <w:r w:rsidR="001E242D" w:rsidRPr="00C074C4">
              <w:t xml:space="preserve">IV </w:t>
            </w:r>
            <w:r w:rsidR="000B1045" w:rsidRPr="00C074C4">
              <w:t xml:space="preserve">once </w:t>
            </w:r>
            <w:r w:rsidR="00976450" w:rsidRPr="00C074C4">
              <w:t>weekly for 6 weeks, followed by one week rest</w:t>
            </w:r>
            <w:r w:rsidR="00064D8F" w:rsidRPr="00C074C4">
              <w:t xml:space="preserve"> period</w:t>
            </w:r>
            <w:r w:rsidR="008E05E8" w:rsidRPr="00C074C4">
              <w:t xml:space="preserve"> (</w:t>
            </w:r>
            <w:r w:rsidR="002541AE" w:rsidRPr="00C074C4">
              <w:t>7</w:t>
            </w:r>
            <w:r w:rsidR="00750703">
              <w:noBreakHyphen/>
            </w:r>
            <w:r w:rsidR="002541AE" w:rsidRPr="00C074C4">
              <w:t>week</w:t>
            </w:r>
            <w:r w:rsidR="008E05E8" w:rsidRPr="00C074C4">
              <w:t xml:space="preserve"> treatment cycle</w:t>
            </w:r>
            <w:r w:rsidR="003D1FC3" w:rsidRPr="00C074C4">
              <w:t>). The</w:t>
            </w:r>
            <w:r w:rsidR="00976450" w:rsidRPr="00C074C4">
              <w:t xml:space="preserve"> cycle repeated until progression or toxicity.</w:t>
            </w:r>
          </w:p>
        </w:tc>
      </w:tr>
      <w:tr w:rsidR="00B617ED" w:rsidRPr="0098262F" w14:paraId="02F86F0D" w14:textId="77777777" w:rsidTr="00FD448D">
        <w:trPr>
          <w:cantSplit/>
        </w:trPr>
        <w:tc>
          <w:tcPr>
            <w:tcW w:w="924" w:type="pct"/>
          </w:tcPr>
          <w:p w14:paraId="06433105" w14:textId="77777777" w:rsidR="008B1757" w:rsidRPr="00FC5A37" w:rsidRDefault="008B1757" w:rsidP="00750703">
            <w:pPr>
              <w:pStyle w:val="Tabletext"/>
            </w:pPr>
            <w:r w:rsidRPr="00FC5A37">
              <w:t>Outcomes</w:t>
            </w:r>
          </w:p>
        </w:tc>
        <w:tc>
          <w:tcPr>
            <w:tcW w:w="4076" w:type="pct"/>
          </w:tcPr>
          <w:p w14:paraId="5ABC4037" w14:textId="6FA1223A" w:rsidR="00233C01" w:rsidRPr="00FC5A37" w:rsidRDefault="00DE5649" w:rsidP="00750703">
            <w:pPr>
              <w:pStyle w:val="Tabletext"/>
            </w:pPr>
            <w:r w:rsidRPr="00FC5A37">
              <w:t>Overall response rate, compete response/partial response rates, duration of response, overall survival</w:t>
            </w:r>
            <w:r w:rsidR="00C83A7C">
              <w:t>.</w:t>
            </w:r>
            <w:r w:rsidRPr="00FC5A37">
              <w:t xml:space="preserve"> </w:t>
            </w:r>
          </w:p>
        </w:tc>
      </w:tr>
      <w:tr w:rsidR="00B617ED" w:rsidRPr="0098262F" w14:paraId="22223890" w14:textId="77777777" w:rsidTr="00FD448D">
        <w:trPr>
          <w:cantSplit/>
        </w:trPr>
        <w:tc>
          <w:tcPr>
            <w:tcW w:w="924" w:type="pct"/>
          </w:tcPr>
          <w:p w14:paraId="0FC8FCE0" w14:textId="77777777" w:rsidR="008B1757" w:rsidRPr="00FC5A37" w:rsidRDefault="008B1757" w:rsidP="00750703">
            <w:pPr>
              <w:pStyle w:val="Tabletext"/>
            </w:pPr>
            <w:r w:rsidRPr="00FC5A37">
              <w:t>Clinical claim</w:t>
            </w:r>
          </w:p>
        </w:tc>
        <w:tc>
          <w:tcPr>
            <w:tcW w:w="4076" w:type="pct"/>
          </w:tcPr>
          <w:p w14:paraId="4AE6C75F" w14:textId="665C6C23" w:rsidR="00277611" w:rsidRDefault="00277611" w:rsidP="00750703">
            <w:pPr>
              <w:pStyle w:val="Tabletext"/>
            </w:pPr>
            <w:r>
              <w:t>For the treatment of patients with relapsed or refractory PTCL who have received at least one prior systemic therapy, treatment with romidepsin compared to pralatrexate is associated with:</w:t>
            </w:r>
          </w:p>
          <w:p w14:paraId="127B6B9E" w14:textId="5736A633" w:rsidR="00277611" w:rsidRDefault="00277611" w:rsidP="00750703">
            <w:pPr>
              <w:pStyle w:val="Tabletext"/>
            </w:pPr>
            <w:r>
              <w:t>•</w:t>
            </w:r>
            <w:r>
              <w:tab/>
              <w:t>Non</w:t>
            </w:r>
            <w:r w:rsidR="00750703">
              <w:noBreakHyphen/>
            </w:r>
            <w:r>
              <w:t xml:space="preserve">inferior effectiveness and </w:t>
            </w:r>
          </w:p>
          <w:p w14:paraId="2C99C4DE" w14:textId="2CADB62B" w:rsidR="00277611" w:rsidRPr="00FC5A37" w:rsidRDefault="00277611" w:rsidP="00750703">
            <w:pPr>
              <w:pStyle w:val="Tabletext"/>
            </w:pPr>
            <w:r>
              <w:t>•</w:t>
            </w:r>
            <w:r>
              <w:tab/>
              <w:t>Different, but non</w:t>
            </w:r>
            <w:r w:rsidR="00750703">
              <w:noBreakHyphen/>
            </w:r>
            <w:r>
              <w:t>inferior safety.</w:t>
            </w:r>
          </w:p>
        </w:tc>
      </w:tr>
    </w:tbl>
    <w:p w14:paraId="527CA7F0" w14:textId="3C3E7201" w:rsidR="004E43B2" w:rsidRDefault="008B1757" w:rsidP="00750703">
      <w:pPr>
        <w:pStyle w:val="FooterTableFigure"/>
      </w:pPr>
      <w:r w:rsidRPr="0098262F">
        <w:t>Source: Table</w:t>
      </w:r>
      <w:r w:rsidR="007771A9">
        <w:t xml:space="preserve"> ES.1 pp10</w:t>
      </w:r>
      <w:r w:rsidR="00750703">
        <w:noBreakHyphen/>
      </w:r>
      <w:r w:rsidR="007771A9">
        <w:t>11</w:t>
      </w:r>
      <w:r w:rsidR="00277611">
        <w:t xml:space="preserve"> and Table 1</w:t>
      </w:r>
      <w:r w:rsidR="00750703">
        <w:noBreakHyphen/>
      </w:r>
      <w:r w:rsidR="00277611">
        <w:t>1, p23</w:t>
      </w:r>
      <w:r w:rsidRPr="0098262F">
        <w:t xml:space="preserve"> of the submission.</w:t>
      </w:r>
    </w:p>
    <w:p w14:paraId="16695BBD" w14:textId="6E2B31A3" w:rsidR="00D74261" w:rsidRPr="0098262F" w:rsidRDefault="00D74261" w:rsidP="00750703">
      <w:pPr>
        <w:pStyle w:val="FooterTableFigure"/>
        <w:spacing w:before="160" w:after="160"/>
        <w:rPr>
          <w:sz w:val="20"/>
        </w:rPr>
      </w:pPr>
      <w:r>
        <w:t>PTCL =</w:t>
      </w:r>
      <w:r w:rsidRPr="00D74261">
        <w:rPr>
          <w:color w:val="000000" w:themeColor="text1"/>
        </w:rPr>
        <w:t xml:space="preserve"> </w:t>
      </w:r>
      <w:r w:rsidRPr="00C067F6">
        <w:rPr>
          <w:color w:val="000000" w:themeColor="text1"/>
        </w:rPr>
        <w:t>peripheral T</w:t>
      </w:r>
      <w:r w:rsidR="00750703">
        <w:rPr>
          <w:color w:val="000000" w:themeColor="text1"/>
        </w:rPr>
        <w:noBreakHyphen/>
      </w:r>
      <w:r w:rsidRPr="00C067F6">
        <w:rPr>
          <w:color w:val="000000" w:themeColor="text1"/>
        </w:rPr>
        <w:t>cell lymphoma</w:t>
      </w:r>
      <w:r>
        <w:rPr>
          <w:color w:val="000000" w:themeColor="text1"/>
        </w:rPr>
        <w:t xml:space="preserve">; </w:t>
      </w:r>
      <w:r w:rsidR="0007237D">
        <w:rPr>
          <w:color w:val="000000" w:themeColor="text1"/>
        </w:rPr>
        <w:t xml:space="preserve">AITL </w:t>
      </w:r>
      <w:r w:rsidR="00A22726">
        <w:rPr>
          <w:color w:val="000000" w:themeColor="text1"/>
        </w:rPr>
        <w:t>=</w:t>
      </w:r>
      <w:r>
        <w:rPr>
          <w:color w:val="000000" w:themeColor="text1"/>
        </w:rPr>
        <w:t xml:space="preserve"> </w:t>
      </w:r>
      <w:r w:rsidR="00BF59A4">
        <w:rPr>
          <w:color w:val="000000" w:themeColor="text1"/>
        </w:rPr>
        <w:t>a</w:t>
      </w:r>
      <w:r w:rsidR="00BF59A4" w:rsidRPr="00C067F6">
        <w:rPr>
          <w:color w:val="000000" w:themeColor="text1"/>
        </w:rPr>
        <w:t>ngioimmunoblastic T</w:t>
      </w:r>
      <w:r w:rsidR="00750703">
        <w:rPr>
          <w:color w:val="000000" w:themeColor="text1"/>
        </w:rPr>
        <w:noBreakHyphen/>
      </w:r>
      <w:r w:rsidR="00BF59A4" w:rsidRPr="00C067F6">
        <w:rPr>
          <w:color w:val="000000" w:themeColor="text1"/>
        </w:rPr>
        <w:t>cell lymphoma</w:t>
      </w:r>
      <w:r w:rsidR="00BF59A4">
        <w:rPr>
          <w:color w:val="000000" w:themeColor="text1"/>
        </w:rPr>
        <w:t xml:space="preserve">; </w:t>
      </w:r>
      <w:r w:rsidR="00A22726">
        <w:rPr>
          <w:color w:val="000000" w:themeColor="text1"/>
        </w:rPr>
        <w:t>ALCL = a</w:t>
      </w:r>
      <w:r w:rsidR="00A22726" w:rsidRPr="00C067F6">
        <w:rPr>
          <w:color w:val="000000" w:themeColor="text1"/>
        </w:rPr>
        <w:t>naplastic large cell lymphoma</w:t>
      </w:r>
      <w:r w:rsidR="00A22726">
        <w:rPr>
          <w:color w:val="000000" w:themeColor="text1"/>
        </w:rPr>
        <w:t>; PTCL</w:t>
      </w:r>
      <w:r w:rsidR="00750703">
        <w:rPr>
          <w:color w:val="000000" w:themeColor="text1"/>
        </w:rPr>
        <w:noBreakHyphen/>
      </w:r>
      <w:r w:rsidR="00A22726">
        <w:rPr>
          <w:color w:val="000000" w:themeColor="text1"/>
        </w:rPr>
        <w:t>NOS = peripheral T</w:t>
      </w:r>
      <w:r w:rsidR="00750703">
        <w:rPr>
          <w:color w:val="000000" w:themeColor="text1"/>
        </w:rPr>
        <w:noBreakHyphen/>
      </w:r>
      <w:r w:rsidR="00A22726">
        <w:rPr>
          <w:color w:val="000000" w:themeColor="text1"/>
        </w:rPr>
        <w:t>cell lymphoma not</w:t>
      </w:r>
      <w:r w:rsidR="00750703">
        <w:rPr>
          <w:color w:val="000000" w:themeColor="text1"/>
        </w:rPr>
        <w:noBreakHyphen/>
      </w:r>
      <w:r w:rsidR="00A22726">
        <w:rPr>
          <w:color w:val="000000" w:themeColor="text1"/>
        </w:rPr>
        <w:t>otherwise</w:t>
      </w:r>
      <w:r w:rsidR="00750703">
        <w:rPr>
          <w:color w:val="000000" w:themeColor="text1"/>
        </w:rPr>
        <w:noBreakHyphen/>
      </w:r>
      <w:r w:rsidR="00A22726">
        <w:rPr>
          <w:color w:val="000000" w:themeColor="text1"/>
        </w:rPr>
        <w:t>specified.</w:t>
      </w:r>
    </w:p>
    <w:p w14:paraId="6B4AB6C2" w14:textId="7F01D731" w:rsidR="005C25FF" w:rsidRPr="0098262F" w:rsidRDefault="005C25FF" w:rsidP="00750703">
      <w:pPr>
        <w:pStyle w:val="2-SectionHeading"/>
        <w:spacing w:before="160" w:after="160"/>
      </w:pPr>
      <w:bookmarkStart w:id="2" w:name="_Toc219197447"/>
      <w:r w:rsidRPr="0098262F">
        <w:t>Background</w:t>
      </w:r>
      <w:bookmarkEnd w:id="2"/>
    </w:p>
    <w:p w14:paraId="2C521D6D" w14:textId="78CF03EE" w:rsidR="005C25FF" w:rsidRPr="0098262F" w:rsidRDefault="005C25FF" w:rsidP="00750703">
      <w:pPr>
        <w:pStyle w:val="4-SubsectionHeading"/>
        <w:spacing w:before="160" w:after="160"/>
      </w:pPr>
      <w:bookmarkStart w:id="3" w:name="_Toc22897638"/>
      <w:bookmarkStart w:id="4" w:name="_Toc219197448"/>
      <w:r w:rsidRPr="0098262F">
        <w:t>Registration status</w:t>
      </w:r>
      <w:bookmarkEnd w:id="3"/>
      <w:bookmarkEnd w:id="4"/>
    </w:p>
    <w:p w14:paraId="07DE5ED1" w14:textId="7384C008" w:rsidR="002B6B64" w:rsidRPr="00286CAC" w:rsidRDefault="00303D5F" w:rsidP="00750703">
      <w:pPr>
        <w:pStyle w:val="3-BodyText"/>
        <w:spacing w:before="160" w:after="160"/>
        <w:ind w:left="720"/>
      </w:pPr>
      <w:r w:rsidRPr="00286CAC">
        <w:t xml:space="preserve">Romidepsin was registered in Australia in 2013 for the treatment of patients with PTCL who have received at least one prior systemic therapy. </w:t>
      </w:r>
      <w:r w:rsidR="00CF1E77" w:rsidRPr="00286CAC">
        <w:t>Romidepsin was marketed under the trade name Istodax</w:t>
      </w:r>
      <w:r w:rsidR="00004EA7" w:rsidRPr="00916A75">
        <w:rPr>
          <w:rFonts w:cstheme="minorHAnsi"/>
        </w:rPr>
        <w:t>®</w:t>
      </w:r>
      <w:r w:rsidR="00CF1E77" w:rsidRPr="00286CAC">
        <w:t xml:space="preserve"> by Celgene until 2019, when Celgene was acquired by Bristol</w:t>
      </w:r>
      <w:r w:rsidR="00750703">
        <w:noBreakHyphen/>
      </w:r>
      <w:r w:rsidR="00CF1E77" w:rsidRPr="00286CAC">
        <w:t>Myers Squibb</w:t>
      </w:r>
      <w:r w:rsidR="008A2E38" w:rsidRPr="00286CAC">
        <w:t xml:space="preserve">. </w:t>
      </w:r>
    </w:p>
    <w:p w14:paraId="23836F14" w14:textId="7FC36B1F" w:rsidR="002F2FEA" w:rsidRPr="00286CAC" w:rsidRDefault="007771A9" w:rsidP="00750703">
      <w:pPr>
        <w:pStyle w:val="3-BodyText"/>
        <w:spacing w:before="160" w:after="160"/>
        <w:ind w:left="720"/>
      </w:pPr>
      <w:r w:rsidRPr="00286CAC">
        <w:t>Romidepsin as the generic</w:t>
      </w:r>
      <w:r w:rsidR="00446BA2">
        <w:t xml:space="preserve"> brand</w:t>
      </w:r>
      <w:r w:rsidRPr="00286CAC">
        <w:t>, ROMIDE</w:t>
      </w:r>
      <w:r w:rsidR="00840705" w:rsidRPr="00286CAC">
        <w:t>P</w:t>
      </w:r>
      <w:r w:rsidRPr="00286CAC">
        <w:t>SIN</w:t>
      </w:r>
      <w:r w:rsidR="00750703">
        <w:noBreakHyphen/>
      </w:r>
      <w:r w:rsidRPr="00286CAC">
        <w:t>REACH</w:t>
      </w:r>
      <w:r w:rsidR="00D5507D" w:rsidRPr="00916A75">
        <w:rPr>
          <w:rFonts w:cstheme="minorHAnsi"/>
        </w:rPr>
        <w:t>®</w:t>
      </w:r>
      <w:r w:rsidRPr="00286CAC">
        <w:t xml:space="preserve"> was</w:t>
      </w:r>
      <w:r w:rsidR="005C25FF" w:rsidRPr="00286CAC">
        <w:t xml:space="preserve"> registered </w:t>
      </w:r>
      <w:r w:rsidR="00840705" w:rsidRPr="00286CAC">
        <w:t>by the TGA i</w:t>
      </w:r>
      <w:r w:rsidR="005C25FF" w:rsidRPr="00286CAC">
        <w:t>n</w:t>
      </w:r>
      <w:r w:rsidR="00840705" w:rsidRPr="00286CAC">
        <w:t xml:space="preserve"> </w:t>
      </w:r>
      <w:r w:rsidRPr="00286CAC">
        <w:t>2022</w:t>
      </w:r>
      <w:r w:rsidR="005C25FF" w:rsidRPr="00286CAC">
        <w:t xml:space="preserve"> for </w:t>
      </w:r>
      <w:r w:rsidRPr="00286CAC">
        <w:t xml:space="preserve">the </w:t>
      </w:r>
      <w:r w:rsidR="00D01F3E">
        <w:t>same indication</w:t>
      </w:r>
      <w:r w:rsidRPr="00286CAC">
        <w:t xml:space="preserve">. </w:t>
      </w:r>
    </w:p>
    <w:p w14:paraId="0E5A2C5B" w14:textId="77575EDF" w:rsidR="0065425F" w:rsidRPr="00286CAC" w:rsidRDefault="00007B5C" w:rsidP="00750703">
      <w:pPr>
        <w:pStyle w:val="3-BodyText"/>
        <w:ind w:left="720"/>
        <w:rPr>
          <w:rFonts w:cstheme="minorHAnsi"/>
        </w:rPr>
      </w:pPr>
      <w:r>
        <w:rPr>
          <w:rFonts w:cstheme="minorHAnsi"/>
          <w:color w:val="000000" w:themeColor="text1"/>
        </w:rPr>
        <w:lastRenderedPageBreak/>
        <w:t xml:space="preserve">Romidepsin received accelerated approval for PTCL </w:t>
      </w:r>
      <w:r w:rsidR="005F2A32">
        <w:rPr>
          <w:rFonts w:cstheme="minorHAnsi"/>
          <w:color w:val="000000" w:themeColor="text1"/>
        </w:rPr>
        <w:t xml:space="preserve">in patients who had received at least one prior systemic therapy </w:t>
      </w:r>
      <w:r w:rsidR="00C92C8A">
        <w:rPr>
          <w:rFonts w:cstheme="minorHAnsi"/>
          <w:color w:val="000000" w:themeColor="text1"/>
        </w:rPr>
        <w:t xml:space="preserve">by the Food and Drug Administration (FDA) </w:t>
      </w:r>
      <w:r w:rsidR="002C7A20">
        <w:rPr>
          <w:rFonts w:cstheme="minorHAnsi"/>
          <w:color w:val="000000" w:themeColor="text1"/>
        </w:rPr>
        <w:t>in</w:t>
      </w:r>
      <w:r w:rsidR="00C92C8A">
        <w:rPr>
          <w:rFonts w:cstheme="minorHAnsi"/>
          <w:color w:val="000000" w:themeColor="text1"/>
        </w:rPr>
        <w:t xml:space="preserve"> </w:t>
      </w:r>
      <w:r w:rsidR="005F2A32">
        <w:rPr>
          <w:rFonts w:cstheme="minorHAnsi"/>
          <w:color w:val="000000" w:themeColor="text1"/>
        </w:rPr>
        <w:t>2011</w:t>
      </w:r>
      <w:r w:rsidR="0073366F">
        <w:rPr>
          <w:rFonts w:cstheme="minorHAnsi"/>
          <w:color w:val="000000" w:themeColor="text1"/>
        </w:rPr>
        <w:t>, undertaking a co</w:t>
      </w:r>
      <w:r w:rsidR="005A1191">
        <w:rPr>
          <w:rFonts w:cstheme="minorHAnsi"/>
          <w:color w:val="000000" w:themeColor="text1"/>
        </w:rPr>
        <w:t>n</w:t>
      </w:r>
      <w:r w:rsidR="0073366F">
        <w:rPr>
          <w:rFonts w:cstheme="minorHAnsi"/>
          <w:color w:val="000000" w:themeColor="text1"/>
        </w:rPr>
        <w:t>firmatory post</w:t>
      </w:r>
      <w:r w:rsidR="00750703">
        <w:rPr>
          <w:rFonts w:cstheme="minorHAnsi"/>
          <w:color w:val="000000" w:themeColor="text1"/>
        </w:rPr>
        <w:noBreakHyphen/>
      </w:r>
      <w:r w:rsidR="0073366F">
        <w:rPr>
          <w:rFonts w:cstheme="minorHAnsi"/>
          <w:color w:val="000000" w:themeColor="text1"/>
        </w:rPr>
        <w:t>marketing trial (</w:t>
      </w:r>
      <w:r w:rsidR="00D93235">
        <w:rPr>
          <w:rFonts w:cstheme="minorHAnsi"/>
          <w:color w:val="000000" w:themeColor="text1"/>
        </w:rPr>
        <w:t>Bachy</w:t>
      </w:r>
      <w:r w:rsidR="00392B42">
        <w:rPr>
          <w:rFonts w:cstheme="minorHAnsi"/>
          <w:color w:val="000000" w:themeColor="text1"/>
        </w:rPr>
        <w:t>.,</w:t>
      </w:r>
      <w:r w:rsidR="00C64078">
        <w:rPr>
          <w:rFonts w:cstheme="minorHAnsi"/>
          <w:color w:val="000000" w:themeColor="text1"/>
        </w:rPr>
        <w:t xml:space="preserve"> et al</w:t>
      </w:r>
      <w:r w:rsidR="0096438C">
        <w:rPr>
          <w:rStyle w:val="FootnoteReference"/>
          <w:rFonts w:cstheme="minorHAnsi"/>
          <w:color w:val="000000" w:themeColor="text1"/>
        </w:rPr>
        <w:footnoteReference w:id="1"/>
      </w:r>
      <w:r w:rsidR="0073366F">
        <w:rPr>
          <w:rFonts w:cstheme="minorHAnsi"/>
          <w:color w:val="000000" w:themeColor="text1"/>
        </w:rPr>
        <w:t>)</w:t>
      </w:r>
      <w:r w:rsidR="005A1191">
        <w:rPr>
          <w:rFonts w:cstheme="minorHAnsi"/>
          <w:color w:val="000000" w:themeColor="text1"/>
        </w:rPr>
        <w:t xml:space="preserve">, which failed to show </w:t>
      </w:r>
      <w:r w:rsidR="00681153">
        <w:rPr>
          <w:rFonts w:cstheme="minorHAnsi"/>
          <w:color w:val="000000" w:themeColor="text1"/>
        </w:rPr>
        <w:t xml:space="preserve">a statistically significant benefit in terms of complete response </w:t>
      </w:r>
      <w:r w:rsidR="0025525D">
        <w:rPr>
          <w:rFonts w:cstheme="minorHAnsi"/>
          <w:color w:val="000000" w:themeColor="text1"/>
        </w:rPr>
        <w:t xml:space="preserve">(CR) </w:t>
      </w:r>
      <w:r w:rsidR="00681153">
        <w:rPr>
          <w:rFonts w:cstheme="minorHAnsi"/>
          <w:color w:val="000000" w:themeColor="text1"/>
        </w:rPr>
        <w:t>or progression free survival</w:t>
      </w:r>
      <w:r w:rsidR="006B44AC">
        <w:rPr>
          <w:rFonts w:cstheme="minorHAnsi"/>
          <w:color w:val="000000" w:themeColor="text1"/>
        </w:rPr>
        <w:t xml:space="preserve"> </w:t>
      </w:r>
      <w:r w:rsidR="0025525D">
        <w:rPr>
          <w:rFonts w:cstheme="minorHAnsi"/>
          <w:color w:val="000000" w:themeColor="text1"/>
        </w:rPr>
        <w:t xml:space="preserve">(PFS) </w:t>
      </w:r>
      <w:r w:rsidR="006B44AC">
        <w:rPr>
          <w:rFonts w:cstheme="minorHAnsi"/>
          <w:color w:val="000000" w:themeColor="text1"/>
        </w:rPr>
        <w:t>in untreated patients with PTCL</w:t>
      </w:r>
      <w:r w:rsidR="00681153">
        <w:rPr>
          <w:rFonts w:cstheme="minorHAnsi"/>
          <w:color w:val="000000" w:themeColor="text1"/>
        </w:rPr>
        <w:t>.</w:t>
      </w:r>
      <w:r w:rsidR="00E675C8">
        <w:rPr>
          <w:rFonts w:cstheme="minorHAnsi"/>
          <w:color w:val="000000" w:themeColor="text1"/>
        </w:rPr>
        <w:t xml:space="preserve"> </w:t>
      </w:r>
      <w:r w:rsidR="0065425F" w:rsidRPr="00286CAC">
        <w:rPr>
          <w:rFonts w:cstheme="minorHAnsi"/>
        </w:rPr>
        <w:t xml:space="preserve">Romidepsin was </w:t>
      </w:r>
      <w:r w:rsidR="00E62C5E" w:rsidRPr="00286CAC">
        <w:rPr>
          <w:rFonts w:cstheme="minorHAnsi"/>
        </w:rPr>
        <w:t>conditionally</w:t>
      </w:r>
      <w:r w:rsidR="0065425F" w:rsidRPr="00286CAC">
        <w:rPr>
          <w:rFonts w:cstheme="minorHAnsi"/>
        </w:rPr>
        <w:t xml:space="preserve"> approved in Canada in 2013 for treatment of PTCL in patients previously treated with at least one systemic therapy</w:t>
      </w:r>
      <w:r w:rsidR="004D732F" w:rsidRPr="00286CAC">
        <w:rPr>
          <w:rFonts w:cstheme="minorHAnsi"/>
        </w:rPr>
        <w:t>.</w:t>
      </w:r>
      <w:r w:rsidR="0065425F" w:rsidRPr="00286CAC">
        <w:rPr>
          <w:rFonts w:cstheme="minorHAnsi"/>
        </w:rPr>
        <w:t xml:space="preserve"> Approval was withdrawn by Health Canada in 2023 because the results of th</w:t>
      </w:r>
      <w:r w:rsidR="00E62C5E" w:rsidRPr="00286CAC">
        <w:rPr>
          <w:rFonts w:cstheme="minorHAnsi"/>
        </w:rPr>
        <w:t xml:space="preserve">e </w:t>
      </w:r>
      <w:r w:rsidR="00A814AE">
        <w:rPr>
          <w:rFonts w:cstheme="minorHAnsi"/>
        </w:rPr>
        <w:t xml:space="preserve">confirmatory </w:t>
      </w:r>
      <w:r w:rsidR="0065425F" w:rsidRPr="00286CAC">
        <w:rPr>
          <w:rFonts w:cstheme="minorHAnsi"/>
        </w:rPr>
        <w:t xml:space="preserve">trial </w:t>
      </w:r>
      <w:r w:rsidR="006B44AC">
        <w:rPr>
          <w:rFonts w:cstheme="minorHAnsi"/>
        </w:rPr>
        <w:t xml:space="preserve">in patients with untreated PTCL </w:t>
      </w:r>
      <w:r w:rsidR="0065425F" w:rsidRPr="00286CAC">
        <w:rPr>
          <w:rFonts w:cstheme="minorHAnsi"/>
        </w:rPr>
        <w:t>were unfavourable.</w:t>
      </w:r>
      <w:r w:rsidR="00284A3C">
        <w:rPr>
          <w:rStyle w:val="FootnoteReference"/>
          <w:rFonts w:cstheme="minorHAnsi"/>
        </w:rPr>
        <w:footnoteReference w:id="2"/>
      </w:r>
    </w:p>
    <w:p w14:paraId="333ED364" w14:textId="7F1E8344" w:rsidR="00B90DDA" w:rsidRDefault="00B90DDA" w:rsidP="00750703">
      <w:pPr>
        <w:pStyle w:val="3-BodyText"/>
        <w:spacing w:before="160" w:after="160"/>
        <w:ind w:left="720"/>
      </w:pPr>
      <w:r w:rsidRPr="00286CAC">
        <w:t>In 2013 the European Medicines Agency (EMA) refused marketing authorisation for romidepsin for the treatment of PTCL in previously treated patients</w:t>
      </w:r>
      <w:r w:rsidR="00CB5E4B">
        <w:t xml:space="preserve">, given that </w:t>
      </w:r>
      <w:r w:rsidRPr="00286CAC">
        <w:t>data supporting the use of romidepsin were from an uncontrolled study so that "it was not possible to conclude that the benefits of the medicine outweigh the risks".</w:t>
      </w:r>
      <w:r w:rsidR="00284A3C">
        <w:rPr>
          <w:rStyle w:val="FootnoteReference"/>
        </w:rPr>
        <w:footnoteReference w:id="3"/>
      </w:r>
      <w:r w:rsidRPr="00286CAC">
        <w:t xml:space="preserve"> </w:t>
      </w:r>
    </w:p>
    <w:p w14:paraId="3E2A6EAB" w14:textId="469C8C0C" w:rsidR="005C25FF" w:rsidRPr="0098262F" w:rsidRDefault="005C25FF" w:rsidP="00750703">
      <w:pPr>
        <w:pStyle w:val="4-SubsectionHeading"/>
        <w:spacing w:before="160" w:after="160"/>
      </w:pPr>
      <w:bookmarkStart w:id="5" w:name="_Toc22897639"/>
      <w:bookmarkStart w:id="6" w:name="_Toc219197449"/>
      <w:r w:rsidRPr="0098262F">
        <w:t>Previous PBAC consideration</w:t>
      </w:r>
      <w:bookmarkEnd w:id="5"/>
      <w:bookmarkEnd w:id="6"/>
    </w:p>
    <w:p w14:paraId="550DCF59" w14:textId="5CF7EAB8" w:rsidR="00600A05" w:rsidRPr="00286CAC" w:rsidRDefault="000C002D" w:rsidP="00750703">
      <w:pPr>
        <w:pStyle w:val="3-BodyText"/>
        <w:spacing w:before="160" w:after="160"/>
        <w:ind w:left="720"/>
        <w:rPr>
          <w:rFonts w:cstheme="minorHAnsi"/>
        </w:rPr>
      </w:pPr>
      <w:r w:rsidRPr="00286CAC">
        <w:rPr>
          <w:rFonts w:cstheme="minorHAnsi"/>
        </w:rPr>
        <w:t xml:space="preserve">The PBAC considered </w:t>
      </w:r>
      <w:r w:rsidR="008E3CC5" w:rsidRPr="00286CAC">
        <w:rPr>
          <w:rFonts w:cstheme="minorHAnsi"/>
        </w:rPr>
        <w:t xml:space="preserve">submissions for </w:t>
      </w:r>
      <w:r w:rsidRPr="00286CAC">
        <w:rPr>
          <w:rFonts w:cstheme="minorHAnsi"/>
        </w:rPr>
        <w:t xml:space="preserve">romidepsin </w:t>
      </w:r>
      <w:r w:rsidR="00362F22" w:rsidRPr="00286CAC">
        <w:rPr>
          <w:rFonts w:cstheme="minorHAnsi"/>
        </w:rPr>
        <w:t>pow</w:t>
      </w:r>
      <w:r w:rsidR="006A62CF" w:rsidRPr="00286CAC">
        <w:rPr>
          <w:rFonts w:cstheme="minorHAnsi"/>
        </w:rPr>
        <w:t>de</w:t>
      </w:r>
      <w:r w:rsidR="00362F22" w:rsidRPr="00286CAC">
        <w:rPr>
          <w:rFonts w:cstheme="minorHAnsi"/>
        </w:rPr>
        <w:t>r for IV infusion 10 mg (Istodax</w:t>
      </w:r>
      <w:r w:rsidR="00AC3B78" w:rsidRPr="00286CAC">
        <w:rPr>
          <w:rFonts w:cstheme="minorHAnsi"/>
        </w:rPr>
        <w:t>®</w:t>
      </w:r>
      <w:r w:rsidR="00362F22" w:rsidRPr="00286CAC">
        <w:rPr>
          <w:rFonts w:cstheme="minorHAnsi"/>
        </w:rPr>
        <w:t xml:space="preserve">) </w:t>
      </w:r>
      <w:r w:rsidR="00600A05" w:rsidRPr="00286CAC">
        <w:rPr>
          <w:rFonts w:cstheme="minorHAnsi"/>
        </w:rPr>
        <w:t xml:space="preserve">for the treatment of R/R PTCL </w:t>
      </w:r>
      <w:r w:rsidRPr="00286CAC">
        <w:rPr>
          <w:rFonts w:cstheme="minorHAnsi"/>
        </w:rPr>
        <w:t>in Nove</w:t>
      </w:r>
      <w:r w:rsidR="00250D68" w:rsidRPr="00286CAC">
        <w:rPr>
          <w:rFonts w:cstheme="minorHAnsi"/>
        </w:rPr>
        <w:t>m</w:t>
      </w:r>
      <w:r w:rsidRPr="00286CAC">
        <w:rPr>
          <w:rFonts w:cstheme="minorHAnsi"/>
        </w:rPr>
        <w:t>ber 2016 and</w:t>
      </w:r>
      <w:r w:rsidR="006B67BA" w:rsidRPr="00286CAC">
        <w:rPr>
          <w:rFonts w:cstheme="minorHAnsi"/>
        </w:rPr>
        <w:t xml:space="preserve"> December 2017.</w:t>
      </w:r>
      <w:r w:rsidR="001F41B3" w:rsidRPr="00286CAC">
        <w:rPr>
          <w:rFonts w:cstheme="minorHAnsi"/>
        </w:rPr>
        <w:t xml:space="preserve"> </w:t>
      </w:r>
    </w:p>
    <w:p w14:paraId="576187DE" w14:textId="74B5D427" w:rsidR="004716F8" w:rsidRPr="00286CAC" w:rsidRDefault="00991FF5" w:rsidP="00750703">
      <w:pPr>
        <w:pStyle w:val="3-BodyText"/>
        <w:spacing w:before="160" w:after="160"/>
        <w:ind w:left="720"/>
        <w:rPr>
          <w:rFonts w:cstheme="minorHAnsi"/>
          <w:bCs/>
          <w:lang w:val="en-GB"/>
        </w:rPr>
      </w:pPr>
      <w:r w:rsidRPr="00286CAC">
        <w:rPr>
          <w:rFonts w:cstheme="minorHAnsi"/>
        </w:rPr>
        <w:t>The PBAC</w:t>
      </w:r>
      <w:r w:rsidR="00FE4972" w:rsidRPr="00286CAC">
        <w:rPr>
          <w:rFonts w:cstheme="minorHAnsi"/>
        </w:rPr>
        <w:t xml:space="preserve"> did not recommend</w:t>
      </w:r>
      <w:r w:rsidRPr="00286CAC">
        <w:rPr>
          <w:rFonts w:cstheme="minorHAnsi"/>
        </w:rPr>
        <w:t xml:space="preserve"> the submission in November 2016. A resubmission was scheduled for the December 2017 meeting, but at the November 2017 meeting pralatrexate was recommended for listing for the same condition and </w:t>
      </w:r>
      <w:r w:rsidR="00E955A4" w:rsidRPr="00286CAC">
        <w:rPr>
          <w:rFonts w:cstheme="minorHAnsi"/>
        </w:rPr>
        <w:t>the sponsor</w:t>
      </w:r>
      <w:r w:rsidR="00600A05" w:rsidRPr="00286CAC">
        <w:rPr>
          <w:rFonts w:cstheme="minorHAnsi"/>
        </w:rPr>
        <w:t xml:space="preserve"> </w:t>
      </w:r>
      <w:r w:rsidRPr="00286CAC">
        <w:rPr>
          <w:rFonts w:cstheme="minorHAnsi"/>
        </w:rPr>
        <w:t xml:space="preserve">asked for consideration </w:t>
      </w:r>
      <w:r w:rsidR="00D223D2" w:rsidRPr="00286CAC">
        <w:rPr>
          <w:rFonts w:cstheme="minorHAnsi"/>
        </w:rPr>
        <w:t xml:space="preserve">of romidepsin </w:t>
      </w:r>
      <w:r w:rsidRPr="00286CAC">
        <w:rPr>
          <w:rFonts w:cstheme="minorHAnsi"/>
        </w:rPr>
        <w:t>to be postponed "</w:t>
      </w:r>
      <w:r w:rsidRPr="00286CAC">
        <w:rPr>
          <w:rFonts w:cstheme="minorHAnsi"/>
          <w:bCs/>
          <w:snapToGrid w:val="0"/>
          <w:lang w:val="en-GB"/>
        </w:rPr>
        <w:t>to allow further discussions within Celgene and its parent Corporation about PBS subsidised access to romidepsin in Australia" (Paragraph 7.2, Romidepsin</w:t>
      </w:r>
      <w:r w:rsidR="006E0236">
        <w:rPr>
          <w:rFonts w:cstheme="minorHAnsi"/>
          <w:bCs/>
          <w:snapToGrid w:val="0"/>
          <w:lang w:val="en-GB"/>
        </w:rPr>
        <w:t xml:space="preserve"> Public Summary Document</w:t>
      </w:r>
      <w:r w:rsidRPr="00286CAC">
        <w:rPr>
          <w:rFonts w:cstheme="minorHAnsi"/>
          <w:bCs/>
          <w:snapToGrid w:val="0"/>
          <w:lang w:val="en-GB"/>
        </w:rPr>
        <w:t xml:space="preserve"> </w:t>
      </w:r>
      <w:r w:rsidR="006E0236">
        <w:rPr>
          <w:rFonts w:cstheme="minorHAnsi"/>
          <w:bCs/>
          <w:snapToGrid w:val="0"/>
          <w:lang w:val="en-GB"/>
        </w:rPr>
        <w:t>[</w:t>
      </w:r>
      <w:r w:rsidRPr="00286CAC">
        <w:rPr>
          <w:rFonts w:cstheme="minorHAnsi"/>
          <w:bCs/>
          <w:snapToGrid w:val="0"/>
          <w:lang w:val="en-GB"/>
        </w:rPr>
        <w:t>PSD</w:t>
      </w:r>
      <w:r w:rsidR="006E0236">
        <w:rPr>
          <w:rFonts w:cstheme="minorHAnsi"/>
          <w:bCs/>
          <w:snapToGrid w:val="0"/>
          <w:lang w:val="en-GB"/>
        </w:rPr>
        <w:t>]</w:t>
      </w:r>
      <w:r w:rsidRPr="00286CAC">
        <w:rPr>
          <w:rFonts w:cstheme="minorHAnsi"/>
          <w:bCs/>
          <w:snapToGrid w:val="0"/>
          <w:lang w:val="en-GB"/>
        </w:rPr>
        <w:t xml:space="preserve">, December 2017 PBAC Meeting). The PBAC declined this request, and </w:t>
      </w:r>
      <w:r w:rsidR="00600A05" w:rsidRPr="00286CAC">
        <w:rPr>
          <w:rFonts w:cstheme="minorHAnsi"/>
          <w:bCs/>
          <w:lang w:val="en-GB"/>
        </w:rPr>
        <w:t xml:space="preserve">after consideration, </w:t>
      </w:r>
      <w:r w:rsidRPr="00286CAC">
        <w:rPr>
          <w:rFonts w:cstheme="minorHAnsi"/>
          <w:bCs/>
          <w:snapToGrid w:val="0"/>
          <w:lang w:val="en-GB"/>
        </w:rPr>
        <w:t xml:space="preserve">deferred </w:t>
      </w:r>
      <w:r w:rsidR="00600A05" w:rsidRPr="00286CAC">
        <w:rPr>
          <w:rFonts w:cstheme="minorHAnsi"/>
          <w:bCs/>
          <w:lang w:val="en-GB"/>
        </w:rPr>
        <w:t>its</w:t>
      </w:r>
      <w:r w:rsidRPr="00286CAC">
        <w:rPr>
          <w:rFonts w:cstheme="minorHAnsi"/>
          <w:bCs/>
          <w:snapToGrid w:val="0"/>
          <w:lang w:val="en-GB"/>
        </w:rPr>
        <w:t xml:space="preserve"> decision</w:t>
      </w:r>
      <w:r w:rsidR="004716F8" w:rsidRPr="00286CAC">
        <w:rPr>
          <w:rFonts w:cstheme="minorHAnsi"/>
          <w:bCs/>
          <w:snapToGrid w:val="0"/>
          <w:lang w:val="en-GB"/>
        </w:rPr>
        <w:t>:</w:t>
      </w:r>
    </w:p>
    <w:p w14:paraId="293A40BA" w14:textId="30C0928F" w:rsidR="004716F8" w:rsidRPr="00286CAC" w:rsidRDefault="00600A05" w:rsidP="00750703">
      <w:pPr>
        <w:pStyle w:val="3-BodyText"/>
        <w:numPr>
          <w:ilvl w:val="0"/>
          <w:numId w:val="4"/>
        </w:numPr>
        <w:spacing w:before="160" w:after="160"/>
        <w:rPr>
          <w:rFonts w:cstheme="minorHAnsi"/>
          <w:bCs/>
          <w:lang w:val="en-GB"/>
        </w:rPr>
      </w:pPr>
      <w:r w:rsidRPr="00286CAC">
        <w:rPr>
          <w:rFonts w:cstheme="minorHAnsi"/>
          <w:bCs/>
          <w:snapToGrid w:val="0"/>
          <w:lang w:val="en-GB"/>
        </w:rPr>
        <w:t>"</w:t>
      </w:r>
      <w:r w:rsidR="00620AA6" w:rsidRPr="00286CAC">
        <w:rPr>
          <w:rFonts w:cstheme="minorHAnsi"/>
          <w:bCs/>
          <w:lang w:val="en-GB"/>
        </w:rPr>
        <w:t>A</w:t>
      </w:r>
      <w:r w:rsidRPr="00286CAC">
        <w:rPr>
          <w:rFonts w:cstheme="minorHAnsi"/>
          <w:bCs/>
          <w:snapToGrid w:val="0"/>
          <w:lang w:val="en-GB"/>
        </w:rPr>
        <w:t>ccepting that there remained a clinical need for additional therapies in PTCL and that romidepsin provided a degree of clinical benefit in some patients, the PBAC considered that the most appropriate comparison was against pralatrexate, and therefore the decision was deferred to allow for further discussion with the sponsor around this comparison</w:t>
      </w:r>
      <w:r w:rsidRPr="00286CAC">
        <w:rPr>
          <w:rFonts w:cstheme="minorHAnsi"/>
          <w:bCs/>
          <w:lang w:val="en-GB"/>
        </w:rPr>
        <w:t>" (Paragraph 7.1, Romidepsin PSD, December 2017 PBAC Meeting)</w:t>
      </w:r>
      <w:r w:rsidR="004716F8" w:rsidRPr="00286CAC">
        <w:rPr>
          <w:rFonts w:cstheme="minorHAnsi"/>
          <w:bCs/>
          <w:lang w:val="en-GB"/>
        </w:rPr>
        <w:t>.</w:t>
      </w:r>
    </w:p>
    <w:p w14:paraId="368052F9" w14:textId="0CE227CC" w:rsidR="004716F8" w:rsidRPr="00286CAC" w:rsidRDefault="004716F8" w:rsidP="00750703">
      <w:pPr>
        <w:pStyle w:val="ListParagraph"/>
        <w:numPr>
          <w:ilvl w:val="0"/>
          <w:numId w:val="4"/>
        </w:numPr>
        <w:spacing w:before="160" w:after="160"/>
        <w:jc w:val="both"/>
        <w:rPr>
          <w:rFonts w:cstheme="minorHAnsi"/>
          <w:bCs/>
          <w:szCs w:val="22"/>
          <w:lang w:val="en-GB"/>
        </w:rPr>
      </w:pPr>
      <w:r w:rsidRPr="00286CAC">
        <w:rPr>
          <w:rFonts w:cstheme="minorHAnsi"/>
          <w:bCs/>
          <w:lang w:val="en-GB"/>
        </w:rPr>
        <w:t>“The PBAC noted that, based on the naïve comparison of romidepsin and pralatrexate prepared during evaluation</w:t>
      </w:r>
      <w:r w:rsidR="00663888" w:rsidRPr="00286CAC">
        <w:rPr>
          <w:rFonts w:cstheme="minorHAnsi"/>
          <w:bCs/>
          <w:lang w:val="en-GB"/>
        </w:rPr>
        <w:t xml:space="preserve"> [using GLP</w:t>
      </w:r>
      <w:r w:rsidR="00750703">
        <w:rPr>
          <w:rFonts w:cstheme="minorHAnsi"/>
          <w:bCs/>
          <w:lang w:val="en-GB"/>
        </w:rPr>
        <w:noBreakHyphen/>
      </w:r>
      <w:r w:rsidR="00663888" w:rsidRPr="00286CAC">
        <w:rPr>
          <w:rFonts w:cstheme="minorHAnsi"/>
          <w:bCs/>
          <w:lang w:val="en-GB"/>
        </w:rPr>
        <w:t>0002 for romidepsin and PROPEL for pralatrexate]</w:t>
      </w:r>
      <w:r w:rsidRPr="00286CAC">
        <w:rPr>
          <w:rFonts w:cstheme="minorHAnsi"/>
          <w:bCs/>
          <w:lang w:val="en-GB"/>
        </w:rPr>
        <w:t xml:space="preserve">, it might be reasonable to assume that the benefit and safety of these </w:t>
      </w:r>
      <w:r w:rsidRPr="00286CAC">
        <w:rPr>
          <w:rFonts w:cstheme="minorHAnsi"/>
          <w:bCs/>
          <w:lang w:val="en-GB"/>
        </w:rPr>
        <w:lastRenderedPageBreak/>
        <w:t>products was comparable. Given the recent listing of pralatrexate in this patient population, the PBAC considered that an alternative approach to determining the cost</w:t>
      </w:r>
      <w:r w:rsidR="00750703">
        <w:rPr>
          <w:rFonts w:cstheme="minorHAnsi"/>
          <w:bCs/>
          <w:lang w:val="en-GB"/>
        </w:rPr>
        <w:noBreakHyphen/>
      </w:r>
      <w:r w:rsidRPr="00286CAC">
        <w:rPr>
          <w:rFonts w:cstheme="minorHAnsi"/>
          <w:bCs/>
          <w:lang w:val="en-GB"/>
        </w:rPr>
        <w:t>effectiveness of romidepsin would be via a cost</w:t>
      </w:r>
      <w:r w:rsidR="00750703">
        <w:rPr>
          <w:rFonts w:cstheme="minorHAnsi"/>
          <w:bCs/>
          <w:lang w:val="en-GB"/>
        </w:rPr>
        <w:noBreakHyphen/>
      </w:r>
      <w:r w:rsidRPr="00286CAC">
        <w:rPr>
          <w:rFonts w:cstheme="minorHAnsi"/>
          <w:bCs/>
          <w:lang w:val="en-GB"/>
        </w:rPr>
        <w:t>minimisation analysis with pralatrexate as the comparator</w:t>
      </w:r>
      <w:r w:rsidR="00764E46" w:rsidRPr="00286CAC">
        <w:rPr>
          <w:rFonts w:cstheme="minorHAnsi"/>
          <w:bCs/>
          <w:lang w:val="en-GB"/>
        </w:rPr>
        <w:t>.</w:t>
      </w:r>
      <w:r w:rsidR="0097588D" w:rsidRPr="00286CAC">
        <w:rPr>
          <w:rFonts w:cstheme="minorHAnsi"/>
          <w:bCs/>
          <w:lang w:val="en-GB"/>
        </w:rPr>
        <w:t>..</w:t>
      </w:r>
      <w:r w:rsidRPr="00286CAC">
        <w:rPr>
          <w:rFonts w:cstheme="minorHAnsi"/>
          <w:bCs/>
          <w:lang w:val="en-GB"/>
        </w:rPr>
        <w:t xml:space="preserve">” (Paragraph 7.10, Romidepsin PSD, December 2017 PBAC Meeting). </w:t>
      </w:r>
    </w:p>
    <w:p w14:paraId="2E09C505" w14:textId="26DE7BA8" w:rsidR="00991FF5" w:rsidRPr="00286CAC" w:rsidRDefault="00600A05" w:rsidP="00750703">
      <w:pPr>
        <w:pStyle w:val="3-BodyText"/>
        <w:numPr>
          <w:ilvl w:val="0"/>
          <w:numId w:val="4"/>
        </w:numPr>
        <w:spacing w:before="160" w:after="160"/>
        <w:rPr>
          <w:bCs/>
          <w:lang w:val="en-GB"/>
        </w:rPr>
      </w:pPr>
      <w:r w:rsidRPr="00286CAC">
        <w:rPr>
          <w:bCs/>
          <w:lang w:val="en-GB"/>
        </w:rPr>
        <w:t xml:space="preserve">No subsequent </w:t>
      </w:r>
      <w:r w:rsidR="00852CA2" w:rsidRPr="00286CAC">
        <w:rPr>
          <w:bCs/>
          <w:lang w:val="en-GB"/>
        </w:rPr>
        <w:t>re</w:t>
      </w:r>
      <w:r w:rsidRPr="00286CAC">
        <w:rPr>
          <w:bCs/>
          <w:lang w:val="en-GB"/>
        </w:rPr>
        <w:t xml:space="preserve">submission was made. </w:t>
      </w:r>
    </w:p>
    <w:p w14:paraId="681E4A4A" w14:textId="3BDF13B3" w:rsidR="00FD448D" w:rsidRPr="00750703" w:rsidRDefault="001F41B3" w:rsidP="00750703">
      <w:pPr>
        <w:pStyle w:val="3-BodyText"/>
        <w:spacing w:before="160" w:after="160"/>
        <w:ind w:left="720"/>
      </w:pPr>
      <w:r w:rsidRPr="00286CAC">
        <w:t xml:space="preserve">The clinical </w:t>
      </w:r>
      <w:r w:rsidR="00E70DC9">
        <w:t xml:space="preserve">evidence was similar to that in the </w:t>
      </w:r>
      <w:r w:rsidR="002E0E86">
        <w:t xml:space="preserve">prior </w:t>
      </w:r>
      <w:r w:rsidR="00793351">
        <w:t>submissions;</w:t>
      </w:r>
      <w:r w:rsidR="00D06303">
        <w:t xml:space="preserve"> however</w:t>
      </w:r>
      <w:r w:rsidR="0064718A">
        <w:t>, this submission include</w:t>
      </w:r>
      <w:r w:rsidR="00BD0291">
        <w:t>d</w:t>
      </w:r>
      <w:r w:rsidR="0064718A">
        <w:t xml:space="preserve"> a compar</w:t>
      </w:r>
      <w:r w:rsidR="00956825">
        <w:t xml:space="preserve">ison </w:t>
      </w:r>
      <w:r w:rsidR="00F117AA">
        <w:t>between</w:t>
      </w:r>
      <w:r w:rsidR="00956825">
        <w:t xml:space="preserve"> </w:t>
      </w:r>
      <w:r w:rsidR="00ED0F9E">
        <w:t>romidepsin and prala</w:t>
      </w:r>
      <w:r w:rsidR="00C50A05">
        <w:t xml:space="preserve">trexate, </w:t>
      </w:r>
      <w:r w:rsidR="000C3427">
        <w:t xml:space="preserve">that had not </w:t>
      </w:r>
      <w:r w:rsidR="00330FBD">
        <w:t>been</w:t>
      </w:r>
      <w:r w:rsidR="00C50A05">
        <w:t xml:space="preserve"> previously considered</w:t>
      </w:r>
      <w:r w:rsidR="00E320C1" w:rsidRPr="00286CAC">
        <w:t>.</w:t>
      </w:r>
    </w:p>
    <w:p w14:paraId="3435DB07" w14:textId="5461FA3C" w:rsidR="003A4C14" w:rsidRPr="000E68D7" w:rsidRDefault="00B50DB8" w:rsidP="00750703">
      <w:pPr>
        <w:pStyle w:val="2-SectionHeading"/>
        <w:spacing w:before="160" w:after="160"/>
      </w:pPr>
      <w:bookmarkStart w:id="7" w:name="_Toc219197450"/>
      <w:r w:rsidRPr="0098262F">
        <w:t>Requested listing</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2830"/>
        <w:gridCol w:w="2236"/>
        <w:gridCol w:w="1973"/>
        <w:gridCol w:w="1978"/>
      </w:tblGrid>
      <w:tr w:rsidR="00046D64" w:rsidRPr="0098262F" w14:paraId="3B1DB163" w14:textId="77777777" w:rsidTr="00733FB0">
        <w:trPr>
          <w:cantSplit/>
          <w:trHeight w:val="20"/>
        </w:trPr>
        <w:tc>
          <w:tcPr>
            <w:tcW w:w="1569" w:type="pct"/>
            <w:vAlign w:val="center"/>
          </w:tcPr>
          <w:p w14:paraId="5618442D" w14:textId="77777777" w:rsidR="00046D64" w:rsidRPr="0098262F" w:rsidRDefault="00046D64" w:rsidP="00750703">
            <w:pPr>
              <w:pStyle w:val="In-tableHeading"/>
            </w:pPr>
            <w:bookmarkStart w:id="8" w:name="_Hlk104809082"/>
            <w:r w:rsidRPr="0098262F">
              <w:t>MEDICINAL PRODUCT</w:t>
            </w:r>
          </w:p>
          <w:p w14:paraId="7BFC4331" w14:textId="77777777" w:rsidR="00046D64" w:rsidRPr="0098262F" w:rsidRDefault="00046D64" w:rsidP="00750703">
            <w:pPr>
              <w:pStyle w:val="In-tableHeading"/>
            </w:pPr>
            <w:r w:rsidRPr="0098262F">
              <w:t>Form</w:t>
            </w:r>
          </w:p>
        </w:tc>
        <w:tc>
          <w:tcPr>
            <w:tcW w:w="1240" w:type="pct"/>
            <w:vAlign w:val="center"/>
          </w:tcPr>
          <w:p w14:paraId="17AAAEA2" w14:textId="199A6C3A" w:rsidR="00046D64" w:rsidRPr="0098262F" w:rsidRDefault="00C61A59" w:rsidP="00750703">
            <w:pPr>
              <w:pStyle w:val="In-tableHeading"/>
            </w:pPr>
            <w:r w:rsidRPr="0098262F">
              <w:t>Dispensed Price Max Amt</w:t>
            </w:r>
          </w:p>
        </w:tc>
        <w:tc>
          <w:tcPr>
            <w:tcW w:w="1094" w:type="pct"/>
            <w:vAlign w:val="center"/>
          </w:tcPr>
          <w:p w14:paraId="09FA2BD6" w14:textId="77777777" w:rsidR="00046D64" w:rsidRPr="0098262F" w:rsidRDefault="00046D64" w:rsidP="00750703">
            <w:pPr>
              <w:pStyle w:val="In-tableHeading"/>
            </w:pPr>
            <w:r w:rsidRPr="0098262F">
              <w:t>Max. Amount</w:t>
            </w:r>
          </w:p>
        </w:tc>
        <w:tc>
          <w:tcPr>
            <w:tcW w:w="1096" w:type="pct"/>
            <w:vAlign w:val="center"/>
          </w:tcPr>
          <w:p w14:paraId="5D705FF2" w14:textId="77777777" w:rsidR="00046D64" w:rsidRPr="0098262F" w:rsidRDefault="00046D64" w:rsidP="00750703">
            <w:pPr>
              <w:pStyle w:val="In-tableHeading"/>
            </w:pPr>
            <w:r w:rsidRPr="0098262F">
              <w:t>№.of Rpts</w:t>
            </w:r>
          </w:p>
        </w:tc>
      </w:tr>
      <w:tr w:rsidR="002C36E3" w:rsidRPr="00FC5A37" w14:paraId="54FCD2AC" w14:textId="77777777" w:rsidTr="00733FB0">
        <w:trPr>
          <w:cantSplit/>
          <w:trHeight w:val="20"/>
        </w:trPr>
        <w:tc>
          <w:tcPr>
            <w:tcW w:w="1569" w:type="pct"/>
            <w:vAlign w:val="center"/>
          </w:tcPr>
          <w:p w14:paraId="7D2B0112" w14:textId="2279DCB9" w:rsidR="002C36E3" w:rsidRPr="001A4DB3" w:rsidRDefault="006B67BA" w:rsidP="00750703">
            <w:pPr>
              <w:pStyle w:val="Tabletext"/>
            </w:pPr>
            <w:r w:rsidRPr="001A4DB3">
              <w:t>ROMIDEPSIN</w:t>
            </w:r>
            <w:r w:rsidR="002C36E3" w:rsidRPr="001A4DB3">
              <w:t xml:space="preserve"> </w:t>
            </w:r>
          </w:p>
        </w:tc>
        <w:tc>
          <w:tcPr>
            <w:tcW w:w="1240" w:type="pct"/>
            <w:vAlign w:val="center"/>
          </w:tcPr>
          <w:p w14:paraId="1786A2F9" w14:textId="0E12F3B8" w:rsidR="002C36E3" w:rsidRPr="001A4DB3" w:rsidRDefault="002C36E3" w:rsidP="00750703">
            <w:pPr>
              <w:pStyle w:val="Tabletext"/>
            </w:pPr>
            <w:r w:rsidRPr="001A4DB3">
              <w:t>$</w:t>
            </w:r>
            <w:r w:rsidR="006B67BA" w:rsidRPr="001A4DB3">
              <w:t xml:space="preserve">5,219.43 public hospital </w:t>
            </w:r>
          </w:p>
          <w:p w14:paraId="75D51522" w14:textId="22CA2CD6" w:rsidR="006B67BA" w:rsidRPr="001A4DB3" w:rsidRDefault="006B67BA" w:rsidP="00750703">
            <w:pPr>
              <w:pStyle w:val="Tabletext"/>
            </w:pPr>
            <w:r w:rsidRPr="001A4DB3">
              <w:t>$5,366.90 private hospital</w:t>
            </w:r>
          </w:p>
        </w:tc>
        <w:tc>
          <w:tcPr>
            <w:tcW w:w="1094" w:type="pct"/>
            <w:vAlign w:val="center"/>
          </w:tcPr>
          <w:p w14:paraId="0A98B476" w14:textId="2193F0D4" w:rsidR="002C36E3" w:rsidRPr="00FC5A37" w:rsidRDefault="006B67BA" w:rsidP="00750703">
            <w:pPr>
              <w:pStyle w:val="Tabletext"/>
            </w:pPr>
            <w:r w:rsidRPr="00FC5A37">
              <w:t>40</w:t>
            </w:r>
            <w:r w:rsidR="006E2CC5">
              <w:t xml:space="preserve"> </w:t>
            </w:r>
            <w:r w:rsidRPr="00FC5A37">
              <w:t>mg</w:t>
            </w:r>
          </w:p>
        </w:tc>
        <w:tc>
          <w:tcPr>
            <w:tcW w:w="1096" w:type="pct"/>
            <w:vAlign w:val="center"/>
          </w:tcPr>
          <w:p w14:paraId="1F4FD721" w14:textId="61C31A59" w:rsidR="002C36E3" w:rsidRPr="00FC5A37" w:rsidRDefault="006B67BA" w:rsidP="00750703">
            <w:pPr>
              <w:pStyle w:val="Tabletext"/>
            </w:pPr>
            <w:r w:rsidRPr="00FC5A37">
              <w:t>5</w:t>
            </w:r>
          </w:p>
        </w:tc>
      </w:tr>
      <w:tr w:rsidR="006B67BA" w:rsidRPr="00FC5A37" w14:paraId="4515B838" w14:textId="77777777" w:rsidTr="00733FB0">
        <w:trPr>
          <w:cantSplit/>
          <w:trHeight w:val="20"/>
        </w:trPr>
        <w:tc>
          <w:tcPr>
            <w:tcW w:w="1569" w:type="pct"/>
            <w:vAlign w:val="center"/>
          </w:tcPr>
          <w:p w14:paraId="048B0825" w14:textId="0465DAD8" w:rsidR="006B67BA" w:rsidRPr="001A4DB3" w:rsidRDefault="006B67BA" w:rsidP="00750703">
            <w:pPr>
              <w:pStyle w:val="Tabletext"/>
            </w:pPr>
            <w:r w:rsidRPr="001A4DB3">
              <w:t>ROMIDEPSIN</w:t>
            </w:r>
          </w:p>
        </w:tc>
        <w:tc>
          <w:tcPr>
            <w:tcW w:w="1240" w:type="pct"/>
            <w:vAlign w:val="center"/>
          </w:tcPr>
          <w:p w14:paraId="08A3E971" w14:textId="7CDBC0E5" w:rsidR="006B67BA" w:rsidRPr="001A4DB3" w:rsidRDefault="006B67BA" w:rsidP="00750703">
            <w:pPr>
              <w:pStyle w:val="Tabletext"/>
            </w:pPr>
            <w:r w:rsidRPr="001A4DB3">
              <w:t xml:space="preserve">$5,219.43 public hospital </w:t>
            </w:r>
          </w:p>
          <w:p w14:paraId="64C427AA" w14:textId="67242875" w:rsidR="006B67BA" w:rsidRPr="001A4DB3" w:rsidRDefault="006B67BA" w:rsidP="00750703">
            <w:pPr>
              <w:pStyle w:val="Tabletext"/>
            </w:pPr>
            <w:r w:rsidRPr="001A4DB3">
              <w:t>$5,366.90 private hospital</w:t>
            </w:r>
          </w:p>
        </w:tc>
        <w:tc>
          <w:tcPr>
            <w:tcW w:w="1094" w:type="pct"/>
            <w:vAlign w:val="center"/>
          </w:tcPr>
          <w:p w14:paraId="543295C0" w14:textId="411AE4F6" w:rsidR="006B67BA" w:rsidRPr="00FC5A37" w:rsidRDefault="006B67BA" w:rsidP="00750703">
            <w:pPr>
              <w:pStyle w:val="Tabletext"/>
            </w:pPr>
            <w:r w:rsidRPr="00FC5A37">
              <w:t>40</w:t>
            </w:r>
            <w:r w:rsidR="006E2CC5">
              <w:t xml:space="preserve"> </w:t>
            </w:r>
            <w:r w:rsidRPr="00FC5A37">
              <w:t>mg</w:t>
            </w:r>
          </w:p>
        </w:tc>
        <w:tc>
          <w:tcPr>
            <w:tcW w:w="1096" w:type="pct"/>
            <w:vAlign w:val="center"/>
          </w:tcPr>
          <w:p w14:paraId="33A7BD4B" w14:textId="3E918032" w:rsidR="006B67BA" w:rsidRPr="00FC5A37" w:rsidRDefault="006B67BA" w:rsidP="00750703">
            <w:pPr>
              <w:pStyle w:val="Tabletext"/>
            </w:pPr>
            <w:r w:rsidRPr="00FC5A37">
              <w:t>8</w:t>
            </w:r>
          </w:p>
        </w:tc>
      </w:tr>
      <w:tr w:rsidR="00046D64" w:rsidRPr="00FC5A37" w14:paraId="42FF08BD" w14:textId="77777777" w:rsidTr="00A2021E">
        <w:trPr>
          <w:cantSplit/>
          <w:trHeight w:val="20"/>
        </w:trPr>
        <w:tc>
          <w:tcPr>
            <w:tcW w:w="5000" w:type="pct"/>
            <w:gridSpan w:val="4"/>
            <w:vAlign w:val="center"/>
          </w:tcPr>
          <w:p w14:paraId="022AE77B" w14:textId="77777777" w:rsidR="00046D64" w:rsidRPr="00FC5A37" w:rsidRDefault="00046D64" w:rsidP="00750703">
            <w:pPr>
              <w:pStyle w:val="Tabletext"/>
            </w:pPr>
            <w:r w:rsidRPr="00FC5A37">
              <w:t xml:space="preserve">Available brands </w:t>
            </w:r>
          </w:p>
        </w:tc>
      </w:tr>
      <w:tr w:rsidR="00046D64" w:rsidRPr="00FC5A37" w14:paraId="7129D684" w14:textId="77777777" w:rsidTr="00A2021E">
        <w:trPr>
          <w:cantSplit/>
          <w:trHeight w:val="20"/>
        </w:trPr>
        <w:tc>
          <w:tcPr>
            <w:tcW w:w="5000" w:type="pct"/>
            <w:gridSpan w:val="4"/>
            <w:vAlign w:val="center"/>
          </w:tcPr>
          <w:p w14:paraId="4CFF1733" w14:textId="12CB63CC" w:rsidR="00C61A59" w:rsidRPr="00FC5A37" w:rsidRDefault="00FD0975" w:rsidP="00750703">
            <w:pPr>
              <w:pStyle w:val="Tabletext"/>
            </w:pPr>
            <w:r>
              <w:t>ROMIDEPSIN</w:t>
            </w:r>
            <w:r w:rsidR="00750703">
              <w:noBreakHyphen/>
            </w:r>
            <w:r>
              <w:t>REACH</w:t>
            </w:r>
            <w:r w:rsidR="002C36E3" w:rsidRPr="00FC5A37">
              <w:br/>
              <w:t>(</w:t>
            </w:r>
            <w:r w:rsidR="006B67BA" w:rsidRPr="00FC5A37">
              <w:t>romidepsin 10</w:t>
            </w:r>
            <w:r>
              <w:t xml:space="preserve"> </w:t>
            </w:r>
            <w:r w:rsidR="006B67BA" w:rsidRPr="00FC5A37">
              <w:t>mg powder for injection vial and solvent for reconstitution vial)</w:t>
            </w:r>
          </w:p>
        </w:tc>
      </w:tr>
    </w:tbl>
    <w:p w14:paraId="510CE81C" w14:textId="4AE6D7A5" w:rsidR="00991A38" w:rsidRDefault="00991A38" w:rsidP="00750703">
      <w:pPr>
        <w:jc w:val="left"/>
        <w:rPr>
          <w:rFonts w:ascii="Arial Narrow" w:hAnsi="Arial Narrow" w:cs="Times New Roman"/>
          <w:snapToGrid w:val="0"/>
          <w:sz w:val="20"/>
        </w:rPr>
      </w:pPr>
    </w:p>
    <w:p w14:paraId="0FE3D112" w14:textId="77777777" w:rsidR="005C652F" w:rsidRDefault="005C652F" w:rsidP="00750703">
      <w:pPr>
        <w:pStyle w:val="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Requested listing - Initial treatment"/>
      </w:tblPr>
      <w:tblGrid>
        <w:gridCol w:w="9017"/>
      </w:tblGrid>
      <w:tr w:rsidR="003A4C14" w:rsidRPr="00FC5A37" w14:paraId="3EE8ABAE" w14:textId="77777777" w:rsidTr="003A4C14">
        <w:trPr>
          <w:cantSplit/>
          <w:trHeight w:val="20"/>
        </w:trPr>
        <w:tc>
          <w:tcPr>
            <w:tcW w:w="5000" w:type="pct"/>
          </w:tcPr>
          <w:p w14:paraId="3B622315" w14:textId="4A774FE9" w:rsidR="003A4C14" w:rsidRPr="00FC5A37" w:rsidRDefault="005C652F" w:rsidP="00750703">
            <w:pPr>
              <w:pStyle w:val="Tabletext"/>
            </w:pPr>
            <w:r>
              <w:br w:type="page"/>
            </w:r>
            <w:bookmarkStart w:id="9" w:name="_Hlk104809470"/>
            <w:bookmarkEnd w:id="8"/>
            <w:r w:rsidR="003A4C14" w:rsidRPr="00FC5A37">
              <w:rPr>
                <w:b/>
                <w:bCs/>
              </w:rPr>
              <w:t>Category / Program</w:t>
            </w:r>
            <w:r w:rsidR="00FC5A37">
              <w:t xml:space="preserve">: </w:t>
            </w:r>
            <w:r w:rsidR="003A4C14" w:rsidRPr="00FC5A37">
              <w:t>Section 100 – Efficient Funding of Chemotherapy</w:t>
            </w:r>
          </w:p>
        </w:tc>
      </w:tr>
      <w:tr w:rsidR="003A4C14" w:rsidRPr="00FC5A37" w14:paraId="09416ED3" w14:textId="77777777" w:rsidTr="003A4C14">
        <w:trPr>
          <w:cantSplit/>
          <w:trHeight w:val="20"/>
        </w:trPr>
        <w:tc>
          <w:tcPr>
            <w:tcW w:w="5000" w:type="pct"/>
          </w:tcPr>
          <w:p w14:paraId="7D2ED8D5" w14:textId="45A6CE76" w:rsidR="003A4C14" w:rsidRPr="00FC5A37" w:rsidRDefault="003A4C14" w:rsidP="00750703">
            <w:pPr>
              <w:pStyle w:val="Tabletext"/>
            </w:pPr>
            <w:r w:rsidRPr="00FC5A37">
              <w:rPr>
                <w:b/>
                <w:bCs/>
              </w:rPr>
              <w:t>Prescriber type</w:t>
            </w:r>
            <w:r w:rsidRPr="00FC5A37">
              <w:t xml:space="preserve">: </w:t>
            </w:r>
            <w:r w:rsidRPr="00FC5A37">
              <w:fldChar w:fldCharType="begin">
                <w:ffData>
                  <w:name w:val="Check1"/>
                  <w:enabled/>
                  <w:calcOnExit w:val="0"/>
                  <w:checkBox>
                    <w:sizeAuto/>
                    <w:default w:val="0"/>
                  </w:checkBox>
                </w:ffData>
              </w:fldChar>
            </w:r>
            <w:r w:rsidRPr="00FC5A37">
              <w:instrText xml:space="preserve"> FORMCHECKBOX </w:instrText>
            </w:r>
            <w:r w:rsidRPr="00FC5A37">
              <w:fldChar w:fldCharType="separate"/>
            </w:r>
            <w:r w:rsidRPr="00FC5A37">
              <w:fldChar w:fldCharType="end"/>
            </w:r>
            <w:r w:rsidRPr="00FC5A37">
              <w:t xml:space="preserve">Dental </w:t>
            </w:r>
            <w:r w:rsidR="00FC5A37">
              <w:fldChar w:fldCharType="begin">
                <w:ffData>
                  <w:name w:val=""/>
                  <w:enabled/>
                  <w:calcOnExit w:val="0"/>
                  <w:checkBox>
                    <w:sizeAuto/>
                    <w:default w:val="1"/>
                  </w:checkBox>
                </w:ffData>
              </w:fldChar>
            </w:r>
            <w:r w:rsidR="00FC5A37">
              <w:instrText xml:space="preserve"> FORMCHECKBOX </w:instrText>
            </w:r>
            <w:r w:rsidR="00FC5A37">
              <w:fldChar w:fldCharType="separate"/>
            </w:r>
            <w:r w:rsidR="00FC5A37">
              <w:fldChar w:fldCharType="end"/>
            </w:r>
            <w:r w:rsidRPr="00FC5A37">
              <w:t xml:space="preserve">Medical Practitioners </w:t>
            </w:r>
            <w:r w:rsidRPr="00FC5A37">
              <w:fldChar w:fldCharType="begin">
                <w:ffData>
                  <w:name w:val="Check3"/>
                  <w:enabled/>
                  <w:calcOnExit w:val="0"/>
                  <w:checkBox>
                    <w:sizeAuto/>
                    <w:default w:val="0"/>
                  </w:checkBox>
                </w:ffData>
              </w:fldChar>
            </w:r>
            <w:r w:rsidRPr="00FC5A37">
              <w:instrText xml:space="preserve"> FORMCHECKBOX </w:instrText>
            </w:r>
            <w:r w:rsidRPr="00FC5A37">
              <w:fldChar w:fldCharType="separate"/>
            </w:r>
            <w:r w:rsidRPr="00FC5A37">
              <w:fldChar w:fldCharType="end"/>
            </w:r>
            <w:r w:rsidRPr="00FC5A37">
              <w:t xml:space="preserve">Nurse practitioners </w:t>
            </w:r>
            <w:r w:rsidRPr="00FC5A37">
              <w:fldChar w:fldCharType="begin">
                <w:ffData>
                  <w:name w:val=""/>
                  <w:enabled/>
                  <w:calcOnExit w:val="0"/>
                  <w:checkBox>
                    <w:sizeAuto/>
                    <w:default w:val="0"/>
                  </w:checkBox>
                </w:ffData>
              </w:fldChar>
            </w:r>
            <w:r w:rsidRPr="00FC5A37">
              <w:instrText xml:space="preserve"> FORMCHECKBOX </w:instrText>
            </w:r>
            <w:r w:rsidRPr="00FC5A37">
              <w:fldChar w:fldCharType="separate"/>
            </w:r>
            <w:r w:rsidRPr="00FC5A37">
              <w:fldChar w:fldCharType="end"/>
            </w:r>
            <w:r w:rsidRPr="00FC5A37">
              <w:t xml:space="preserve">Optometrists </w:t>
            </w:r>
            <w:r w:rsidRPr="00FC5A37">
              <w:fldChar w:fldCharType="begin">
                <w:ffData>
                  <w:name w:val="Check5"/>
                  <w:enabled/>
                  <w:calcOnExit w:val="0"/>
                  <w:checkBox>
                    <w:sizeAuto/>
                    <w:default w:val="0"/>
                  </w:checkBox>
                </w:ffData>
              </w:fldChar>
            </w:r>
            <w:r w:rsidRPr="00FC5A37">
              <w:instrText xml:space="preserve"> FORMCHECKBOX </w:instrText>
            </w:r>
            <w:r w:rsidRPr="00FC5A37">
              <w:fldChar w:fldCharType="separate"/>
            </w:r>
            <w:r w:rsidRPr="00FC5A37">
              <w:fldChar w:fldCharType="end"/>
            </w:r>
          </w:p>
        </w:tc>
      </w:tr>
      <w:tr w:rsidR="003A4C14" w:rsidRPr="00FC5A37" w14:paraId="070CFDD2" w14:textId="77777777" w:rsidTr="003A4C14">
        <w:trPr>
          <w:cantSplit/>
          <w:trHeight w:val="20"/>
        </w:trPr>
        <w:tc>
          <w:tcPr>
            <w:tcW w:w="5000" w:type="pct"/>
          </w:tcPr>
          <w:p w14:paraId="2B8A8120" w14:textId="1EAF696A" w:rsidR="00FC5A37" w:rsidRDefault="003A4C14" w:rsidP="00750703">
            <w:pPr>
              <w:pStyle w:val="Tabletext"/>
            </w:pPr>
            <w:r w:rsidRPr="00FC5A37">
              <w:rPr>
                <w:b/>
                <w:bCs/>
              </w:rPr>
              <w:t>Restriction type</w:t>
            </w:r>
            <w:r w:rsidRPr="00FC5A37">
              <w:t>:</w:t>
            </w:r>
            <w:r w:rsidR="00750703">
              <w:t xml:space="preserve"> </w:t>
            </w:r>
          </w:p>
          <w:p w14:paraId="612B5DB8" w14:textId="57B73C20" w:rsidR="003A4C14" w:rsidRDefault="00FC5A37" w:rsidP="00750703">
            <w:pPr>
              <w:pStyle w:val="Tabletext"/>
            </w:pPr>
            <w:r>
              <w:fldChar w:fldCharType="begin">
                <w:ffData>
                  <w:name w:val="Check3"/>
                  <w:enabled/>
                  <w:calcOnExit w:val="0"/>
                  <w:checkBox>
                    <w:sizeAuto/>
                    <w:default w:val="1"/>
                  </w:checkBox>
                </w:ffData>
              </w:fldChar>
            </w:r>
            <w:bookmarkStart w:id="10" w:name="Check3"/>
            <w:r>
              <w:instrText xml:space="preserve"> FORMCHECKBOX </w:instrText>
            </w:r>
            <w:r>
              <w:fldChar w:fldCharType="separate"/>
            </w:r>
            <w:r>
              <w:fldChar w:fldCharType="end"/>
            </w:r>
            <w:bookmarkEnd w:id="10"/>
            <w:r w:rsidR="003A4C14" w:rsidRPr="00FC5A37">
              <w:t xml:space="preserve">Authority Required (telephone/online PBS Authorities system) </w:t>
            </w:r>
          </w:p>
          <w:p w14:paraId="3320A955" w14:textId="2EC12291" w:rsidR="00FC5A37" w:rsidRPr="00FC5A37" w:rsidRDefault="00FC5A37" w:rsidP="00750703">
            <w:pPr>
              <w:pStyle w:val="Tabletext"/>
            </w:pPr>
            <w:r>
              <w:fldChar w:fldCharType="begin">
                <w:ffData>
                  <w:name w:val="Check3"/>
                  <w:enabled/>
                  <w:calcOnExit w:val="0"/>
                  <w:checkBox>
                    <w:sizeAuto/>
                    <w:default w:val="1"/>
                  </w:checkBox>
                </w:ffData>
              </w:fldChar>
            </w:r>
            <w:r>
              <w:instrText xml:space="preserve"> FORMCHECKBOX </w:instrText>
            </w:r>
            <w:r>
              <w:fldChar w:fldCharType="separate"/>
            </w:r>
            <w:r>
              <w:fldChar w:fldCharType="end"/>
            </w:r>
            <w:r w:rsidRPr="00FC5A37">
              <w:t xml:space="preserve">Authority Required </w:t>
            </w:r>
            <w:r w:rsidR="00750703">
              <w:noBreakHyphen/>
            </w:r>
            <w:r w:rsidRPr="00FC5A37">
              <w:t xml:space="preserve"> Electronic</w:t>
            </w:r>
          </w:p>
        </w:tc>
      </w:tr>
      <w:tr w:rsidR="003A4C14" w:rsidRPr="00FC5A37" w14:paraId="5BFE3347" w14:textId="77777777" w:rsidTr="003A4C14">
        <w:trPr>
          <w:cantSplit/>
          <w:trHeight w:val="20"/>
        </w:trPr>
        <w:tc>
          <w:tcPr>
            <w:tcW w:w="5000" w:type="pct"/>
            <w:vAlign w:val="center"/>
            <w:hideMark/>
          </w:tcPr>
          <w:p w14:paraId="3296BDDA" w14:textId="42ADEC64" w:rsidR="003A4C14" w:rsidRPr="00FC5A37" w:rsidRDefault="003A4C14" w:rsidP="00750703">
            <w:pPr>
              <w:pStyle w:val="Tabletext"/>
            </w:pPr>
            <w:r w:rsidRPr="00FC5A37">
              <w:rPr>
                <w:b/>
                <w:bCs/>
              </w:rPr>
              <w:t>Indication</w:t>
            </w:r>
            <w:r w:rsidRPr="00FC5A37">
              <w:t xml:space="preserve">: </w:t>
            </w:r>
            <w:r w:rsidR="00FC5A37">
              <w:t>Relapsed or refractory peripheral T</w:t>
            </w:r>
            <w:r w:rsidR="00750703">
              <w:noBreakHyphen/>
            </w:r>
            <w:r w:rsidR="00FC5A37">
              <w:t>Cell lymphoma</w:t>
            </w:r>
          </w:p>
        </w:tc>
      </w:tr>
      <w:tr w:rsidR="003A4C14" w:rsidRPr="00FC5A37" w14:paraId="7A6417F7" w14:textId="77777777" w:rsidTr="003A4C14">
        <w:trPr>
          <w:cantSplit/>
          <w:trHeight w:val="20"/>
        </w:trPr>
        <w:tc>
          <w:tcPr>
            <w:tcW w:w="5000" w:type="pct"/>
            <w:vAlign w:val="center"/>
            <w:hideMark/>
          </w:tcPr>
          <w:p w14:paraId="655B4B49" w14:textId="1214A071" w:rsidR="003A4C14" w:rsidRPr="00FC5A37" w:rsidRDefault="003A4C14" w:rsidP="00750703">
            <w:pPr>
              <w:pStyle w:val="Tabletext"/>
            </w:pPr>
            <w:r w:rsidRPr="00FC5A37">
              <w:rPr>
                <w:b/>
                <w:bCs/>
              </w:rPr>
              <w:t>Treatment Phase:</w:t>
            </w:r>
            <w:r w:rsidRPr="00FC5A37">
              <w:t xml:space="preserve"> </w:t>
            </w:r>
            <w:r w:rsidR="00B0436B">
              <w:t>I</w:t>
            </w:r>
            <w:r w:rsidR="00FC5A37">
              <w:t>nitial treatment</w:t>
            </w:r>
          </w:p>
        </w:tc>
      </w:tr>
      <w:tr w:rsidR="003A4C14" w:rsidRPr="00FC5A37" w14:paraId="3ABBD2EC" w14:textId="77777777" w:rsidTr="003A4C14">
        <w:trPr>
          <w:cantSplit/>
          <w:trHeight w:val="20"/>
        </w:trPr>
        <w:tc>
          <w:tcPr>
            <w:tcW w:w="5000" w:type="pct"/>
            <w:vAlign w:val="center"/>
            <w:hideMark/>
          </w:tcPr>
          <w:p w14:paraId="5D485398" w14:textId="77777777" w:rsidR="003A4C14" w:rsidRPr="00FC5A37" w:rsidRDefault="003A4C14" w:rsidP="00750703">
            <w:pPr>
              <w:pStyle w:val="Tabletext"/>
              <w:rPr>
                <w:b/>
                <w:bCs/>
              </w:rPr>
            </w:pPr>
            <w:r w:rsidRPr="00FC5A37">
              <w:rPr>
                <w:b/>
                <w:bCs/>
              </w:rPr>
              <w:t>Clinical criteria:</w:t>
            </w:r>
          </w:p>
        </w:tc>
      </w:tr>
      <w:tr w:rsidR="003A4C14" w:rsidRPr="00FC5A37" w14:paraId="26BA494C" w14:textId="77777777" w:rsidTr="003A4C14">
        <w:trPr>
          <w:cantSplit/>
          <w:trHeight w:val="20"/>
        </w:trPr>
        <w:tc>
          <w:tcPr>
            <w:tcW w:w="5000" w:type="pct"/>
            <w:vAlign w:val="center"/>
            <w:hideMark/>
          </w:tcPr>
          <w:p w14:paraId="1A0AADCD" w14:textId="73F0CC89" w:rsidR="003A4C14" w:rsidRPr="00FC5A37" w:rsidRDefault="00FC5A37" w:rsidP="00750703">
            <w:pPr>
              <w:pStyle w:val="Tabletext"/>
            </w:pPr>
            <w:r w:rsidRPr="00FC5A37">
              <w:t>Relapsed or chemotherapy refractory,</w:t>
            </w:r>
          </w:p>
        </w:tc>
      </w:tr>
      <w:tr w:rsidR="003A4C14" w:rsidRPr="00FC5A37" w14:paraId="1541981C" w14:textId="77777777" w:rsidTr="003A4C14">
        <w:trPr>
          <w:cantSplit/>
          <w:trHeight w:val="20"/>
        </w:trPr>
        <w:tc>
          <w:tcPr>
            <w:tcW w:w="5000" w:type="pct"/>
            <w:vAlign w:val="center"/>
            <w:hideMark/>
          </w:tcPr>
          <w:p w14:paraId="6F3D1453" w14:textId="77777777" w:rsidR="003A4C14" w:rsidRPr="00FC5A37" w:rsidRDefault="003A4C14" w:rsidP="00750703">
            <w:pPr>
              <w:pStyle w:val="Tabletext"/>
              <w:rPr>
                <w:b/>
                <w:bCs/>
              </w:rPr>
            </w:pPr>
            <w:r w:rsidRPr="00FC5A37">
              <w:rPr>
                <w:b/>
                <w:bCs/>
              </w:rPr>
              <w:t>AND</w:t>
            </w:r>
          </w:p>
        </w:tc>
      </w:tr>
      <w:tr w:rsidR="003A4C14" w:rsidRPr="00FC5A37" w14:paraId="018890B8" w14:textId="77777777" w:rsidTr="003A4C14">
        <w:trPr>
          <w:cantSplit/>
          <w:trHeight w:val="20"/>
        </w:trPr>
        <w:tc>
          <w:tcPr>
            <w:tcW w:w="5000" w:type="pct"/>
            <w:vAlign w:val="center"/>
            <w:hideMark/>
          </w:tcPr>
          <w:p w14:paraId="79CB2648" w14:textId="77777777" w:rsidR="003A4C14" w:rsidRPr="00FC5A37" w:rsidRDefault="003A4C14" w:rsidP="00750703">
            <w:pPr>
              <w:pStyle w:val="Tabletext"/>
              <w:rPr>
                <w:b/>
                <w:bCs/>
              </w:rPr>
            </w:pPr>
            <w:r w:rsidRPr="00FC5A37">
              <w:rPr>
                <w:b/>
                <w:bCs/>
              </w:rPr>
              <w:t>Clinical criteria:</w:t>
            </w:r>
          </w:p>
        </w:tc>
      </w:tr>
      <w:tr w:rsidR="003A4C14" w:rsidRPr="00FC5A37" w14:paraId="1096E289" w14:textId="77777777" w:rsidTr="003A4C14">
        <w:trPr>
          <w:cantSplit/>
          <w:trHeight w:val="20"/>
        </w:trPr>
        <w:tc>
          <w:tcPr>
            <w:tcW w:w="5000" w:type="pct"/>
            <w:vAlign w:val="center"/>
            <w:hideMark/>
          </w:tcPr>
          <w:p w14:paraId="16929626" w14:textId="6D7BD93F" w:rsidR="003A4C14" w:rsidRPr="00FC5A37" w:rsidRDefault="00FC5A37" w:rsidP="00750703">
            <w:pPr>
              <w:pStyle w:val="Tabletext"/>
            </w:pPr>
            <w:r w:rsidRPr="00FC5A37">
              <w:t>Patient must have undergone appropriate prior front</w:t>
            </w:r>
            <w:r w:rsidR="00750703">
              <w:noBreakHyphen/>
            </w:r>
            <w:r w:rsidRPr="00FC5A37">
              <w:t>line curative intent chemotherapy.</w:t>
            </w:r>
          </w:p>
        </w:tc>
      </w:tr>
      <w:bookmarkEnd w:id="9"/>
    </w:tbl>
    <w:p w14:paraId="233AF785" w14:textId="4651BD0A" w:rsidR="006B6098" w:rsidRDefault="006B6098" w:rsidP="00750703">
      <w:pPr>
        <w:jc w:val="left"/>
        <w:rPr>
          <w:rFonts w:asciiTheme="minorHAnsi" w:eastAsiaTheme="minorHAnsi" w:hAnsiTheme="minorHAnsi" w:cstheme="minorBidi"/>
          <w:i/>
          <w:i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Requested listing - Continuing treatment"/>
      </w:tblPr>
      <w:tblGrid>
        <w:gridCol w:w="9017"/>
      </w:tblGrid>
      <w:tr w:rsidR="00752C21" w:rsidRPr="00FC5A37" w14:paraId="4F7AF001" w14:textId="77777777">
        <w:trPr>
          <w:cantSplit/>
          <w:trHeight w:val="20"/>
        </w:trPr>
        <w:tc>
          <w:tcPr>
            <w:tcW w:w="5000" w:type="pct"/>
          </w:tcPr>
          <w:p w14:paraId="6304F013" w14:textId="27751F9D" w:rsidR="00752C21" w:rsidRPr="00FC5A37" w:rsidRDefault="006B6098" w:rsidP="00750703">
            <w:pPr>
              <w:pStyle w:val="Tabletext"/>
            </w:pPr>
            <w:r>
              <w:rPr>
                <w:rFonts w:asciiTheme="minorHAnsi" w:eastAsiaTheme="minorHAnsi" w:hAnsiTheme="minorHAnsi" w:cstheme="minorBidi"/>
                <w:i/>
                <w:iCs/>
                <w:szCs w:val="22"/>
              </w:rPr>
              <w:br w:type="page"/>
            </w:r>
            <w:r w:rsidR="00863900">
              <w:rPr>
                <w:rFonts w:asciiTheme="minorHAnsi" w:eastAsiaTheme="minorHAnsi" w:hAnsiTheme="minorHAnsi" w:cstheme="minorBidi"/>
                <w:i/>
                <w:iCs/>
                <w:szCs w:val="22"/>
              </w:rPr>
              <w:br w:type="page"/>
            </w:r>
            <w:r w:rsidR="00752C21" w:rsidRPr="00FC5A37">
              <w:rPr>
                <w:b/>
                <w:bCs/>
              </w:rPr>
              <w:t>Category / Program</w:t>
            </w:r>
            <w:r w:rsidR="00752C21">
              <w:t xml:space="preserve">: </w:t>
            </w:r>
            <w:r w:rsidR="00752C21" w:rsidRPr="00FC5A37">
              <w:t>Section 100 – Efficient Funding of Chemotherapy</w:t>
            </w:r>
          </w:p>
        </w:tc>
      </w:tr>
      <w:tr w:rsidR="00752C21" w:rsidRPr="00FC5A37" w14:paraId="172810B4" w14:textId="77777777">
        <w:trPr>
          <w:cantSplit/>
          <w:trHeight w:val="20"/>
        </w:trPr>
        <w:tc>
          <w:tcPr>
            <w:tcW w:w="5000" w:type="pct"/>
          </w:tcPr>
          <w:p w14:paraId="3A562DCE" w14:textId="77777777" w:rsidR="00752C21" w:rsidRPr="00FC5A37" w:rsidRDefault="00752C21" w:rsidP="00750703">
            <w:pPr>
              <w:pStyle w:val="Tabletext"/>
            </w:pPr>
            <w:r w:rsidRPr="00FC5A37">
              <w:rPr>
                <w:b/>
                <w:bCs/>
              </w:rPr>
              <w:t>Prescriber type</w:t>
            </w:r>
            <w:r w:rsidRPr="00FC5A37">
              <w:t xml:space="preserve">: </w:t>
            </w:r>
            <w:r w:rsidRPr="00FC5A37">
              <w:fldChar w:fldCharType="begin">
                <w:ffData>
                  <w:name w:val="Check1"/>
                  <w:enabled/>
                  <w:calcOnExit w:val="0"/>
                  <w:checkBox>
                    <w:sizeAuto/>
                    <w:default w:val="0"/>
                  </w:checkBox>
                </w:ffData>
              </w:fldChar>
            </w:r>
            <w:r w:rsidRPr="00FC5A37">
              <w:instrText xml:space="preserve"> FORMCHECKBOX </w:instrText>
            </w:r>
            <w:r w:rsidRPr="00FC5A37">
              <w:fldChar w:fldCharType="separate"/>
            </w:r>
            <w:r w:rsidRPr="00FC5A37">
              <w:fldChar w:fldCharType="end"/>
            </w:r>
            <w:r w:rsidRPr="00FC5A37">
              <w:t xml:space="preserve">Dental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FC5A37">
              <w:t xml:space="preserve">Medical Practitioners </w:t>
            </w:r>
            <w:r w:rsidRPr="00FC5A37">
              <w:fldChar w:fldCharType="begin">
                <w:ffData>
                  <w:name w:val="Check3"/>
                  <w:enabled/>
                  <w:calcOnExit w:val="0"/>
                  <w:checkBox>
                    <w:sizeAuto/>
                    <w:default w:val="0"/>
                  </w:checkBox>
                </w:ffData>
              </w:fldChar>
            </w:r>
            <w:r w:rsidRPr="00FC5A37">
              <w:instrText xml:space="preserve"> FORMCHECKBOX </w:instrText>
            </w:r>
            <w:r w:rsidRPr="00FC5A37">
              <w:fldChar w:fldCharType="separate"/>
            </w:r>
            <w:r w:rsidRPr="00FC5A37">
              <w:fldChar w:fldCharType="end"/>
            </w:r>
            <w:r w:rsidRPr="00FC5A37">
              <w:t xml:space="preserve">Nurse practitioners </w:t>
            </w:r>
            <w:r w:rsidRPr="00FC5A37">
              <w:fldChar w:fldCharType="begin">
                <w:ffData>
                  <w:name w:val=""/>
                  <w:enabled/>
                  <w:calcOnExit w:val="0"/>
                  <w:checkBox>
                    <w:sizeAuto/>
                    <w:default w:val="0"/>
                  </w:checkBox>
                </w:ffData>
              </w:fldChar>
            </w:r>
            <w:r w:rsidRPr="00FC5A37">
              <w:instrText xml:space="preserve"> FORMCHECKBOX </w:instrText>
            </w:r>
            <w:r w:rsidRPr="00FC5A37">
              <w:fldChar w:fldCharType="separate"/>
            </w:r>
            <w:r w:rsidRPr="00FC5A37">
              <w:fldChar w:fldCharType="end"/>
            </w:r>
            <w:r w:rsidRPr="00FC5A37">
              <w:t xml:space="preserve">Optometrists </w:t>
            </w:r>
            <w:r w:rsidRPr="00FC5A37">
              <w:fldChar w:fldCharType="begin">
                <w:ffData>
                  <w:name w:val="Check5"/>
                  <w:enabled/>
                  <w:calcOnExit w:val="0"/>
                  <w:checkBox>
                    <w:sizeAuto/>
                    <w:default w:val="0"/>
                  </w:checkBox>
                </w:ffData>
              </w:fldChar>
            </w:r>
            <w:r w:rsidRPr="00FC5A37">
              <w:instrText xml:space="preserve"> FORMCHECKBOX </w:instrText>
            </w:r>
            <w:r w:rsidRPr="00FC5A37">
              <w:fldChar w:fldCharType="separate"/>
            </w:r>
            <w:r w:rsidRPr="00FC5A37">
              <w:fldChar w:fldCharType="end"/>
            </w:r>
          </w:p>
        </w:tc>
      </w:tr>
      <w:tr w:rsidR="00752C21" w:rsidRPr="00FC5A37" w14:paraId="151C6824" w14:textId="77777777">
        <w:trPr>
          <w:cantSplit/>
          <w:trHeight w:val="20"/>
        </w:trPr>
        <w:tc>
          <w:tcPr>
            <w:tcW w:w="5000" w:type="pct"/>
          </w:tcPr>
          <w:p w14:paraId="77158D33" w14:textId="26C52F9C" w:rsidR="00752C21" w:rsidRDefault="00752C21" w:rsidP="00750703">
            <w:pPr>
              <w:pStyle w:val="Tabletext"/>
            </w:pPr>
            <w:r w:rsidRPr="00FC5A37">
              <w:rPr>
                <w:b/>
                <w:bCs/>
              </w:rPr>
              <w:t>Restriction type</w:t>
            </w:r>
            <w:r w:rsidRPr="00FC5A37">
              <w:t>:</w:t>
            </w:r>
            <w:r w:rsidR="00750703">
              <w:t xml:space="preserve"> </w:t>
            </w:r>
          </w:p>
          <w:p w14:paraId="10D6C621" w14:textId="77777777" w:rsidR="00752C21" w:rsidRDefault="00752C21" w:rsidP="00750703">
            <w:pPr>
              <w:pStyle w:val="Tabletext"/>
            </w:pPr>
            <w:r>
              <w:fldChar w:fldCharType="begin">
                <w:ffData>
                  <w:name w:val="Check3"/>
                  <w:enabled/>
                  <w:calcOnExit w:val="0"/>
                  <w:checkBox>
                    <w:sizeAuto/>
                    <w:default w:val="1"/>
                  </w:checkBox>
                </w:ffData>
              </w:fldChar>
            </w:r>
            <w:r>
              <w:instrText xml:space="preserve"> FORMCHECKBOX </w:instrText>
            </w:r>
            <w:r>
              <w:fldChar w:fldCharType="separate"/>
            </w:r>
            <w:r>
              <w:fldChar w:fldCharType="end"/>
            </w:r>
            <w:r w:rsidRPr="00FC5A37">
              <w:t xml:space="preserve">Authority Required (telephone/online PBS Authorities system) </w:t>
            </w:r>
          </w:p>
          <w:p w14:paraId="1A7BA958" w14:textId="1CF27571" w:rsidR="00752C21" w:rsidRPr="00FC5A37" w:rsidRDefault="00752C21" w:rsidP="00750703">
            <w:pPr>
              <w:pStyle w:val="Tabletext"/>
            </w:pPr>
            <w:r>
              <w:fldChar w:fldCharType="begin">
                <w:ffData>
                  <w:name w:val="Check3"/>
                  <w:enabled/>
                  <w:calcOnExit w:val="0"/>
                  <w:checkBox>
                    <w:sizeAuto/>
                    <w:default w:val="1"/>
                  </w:checkBox>
                </w:ffData>
              </w:fldChar>
            </w:r>
            <w:r>
              <w:instrText xml:space="preserve"> FORMCHECKBOX </w:instrText>
            </w:r>
            <w:r>
              <w:fldChar w:fldCharType="separate"/>
            </w:r>
            <w:r>
              <w:fldChar w:fldCharType="end"/>
            </w:r>
            <w:r w:rsidRPr="00FC5A37">
              <w:t xml:space="preserve">Authority Required </w:t>
            </w:r>
            <w:r w:rsidR="00750703">
              <w:noBreakHyphen/>
            </w:r>
            <w:r w:rsidRPr="00FC5A37">
              <w:t xml:space="preserve"> Electronic</w:t>
            </w:r>
          </w:p>
        </w:tc>
      </w:tr>
      <w:tr w:rsidR="00752C21" w:rsidRPr="00FC5A37" w14:paraId="47EC9022" w14:textId="77777777">
        <w:trPr>
          <w:cantSplit/>
          <w:trHeight w:val="20"/>
        </w:trPr>
        <w:tc>
          <w:tcPr>
            <w:tcW w:w="5000" w:type="pct"/>
            <w:vAlign w:val="center"/>
            <w:hideMark/>
          </w:tcPr>
          <w:p w14:paraId="7DD3F861" w14:textId="63C64026" w:rsidR="00752C21" w:rsidRPr="00FC5A37" w:rsidRDefault="00752C21" w:rsidP="00750703">
            <w:pPr>
              <w:pStyle w:val="Tabletext"/>
            </w:pPr>
            <w:r w:rsidRPr="00FC5A37">
              <w:rPr>
                <w:b/>
                <w:bCs/>
              </w:rPr>
              <w:t>Indication</w:t>
            </w:r>
            <w:r w:rsidRPr="00FC5A37">
              <w:t xml:space="preserve">: </w:t>
            </w:r>
            <w:r>
              <w:t>Relapsed or refractory peripheral T</w:t>
            </w:r>
            <w:r w:rsidR="00750703">
              <w:noBreakHyphen/>
            </w:r>
            <w:r>
              <w:t>Cell lymphoma</w:t>
            </w:r>
          </w:p>
        </w:tc>
      </w:tr>
      <w:tr w:rsidR="00752C21" w:rsidRPr="00FC5A37" w14:paraId="28952EDB" w14:textId="77777777">
        <w:trPr>
          <w:cantSplit/>
          <w:trHeight w:val="20"/>
        </w:trPr>
        <w:tc>
          <w:tcPr>
            <w:tcW w:w="5000" w:type="pct"/>
            <w:vAlign w:val="center"/>
            <w:hideMark/>
          </w:tcPr>
          <w:p w14:paraId="59623B98" w14:textId="51DE7FA5" w:rsidR="00752C21" w:rsidRPr="00FC5A37" w:rsidRDefault="00752C21" w:rsidP="00750703">
            <w:pPr>
              <w:pStyle w:val="Tabletext"/>
            </w:pPr>
            <w:r w:rsidRPr="00FC5A37">
              <w:rPr>
                <w:b/>
                <w:bCs/>
              </w:rPr>
              <w:t>Treatment Phase:</w:t>
            </w:r>
            <w:r w:rsidRPr="00FC5A37">
              <w:t xml:space="preserve"> </w:t>
            </w:r>
            <w:r>
              <w:t>Continuing treatment</w:t>
            </w:r>
          </w:p>
        </w:tc>
      </w:tr>
      <w:tr w:rsidR="00752C21" w:rsidRPr="00FC5A37" w14:paraId="10F63CB8" w14:textId="77777777">
        <w:trPr>
          <w:cantSplit/>
          <w:trHeight w:val="20"/>
        </w:trPr>
        <w:tc>
          <w:tcPr>
            <w:tcW w:w="5000" w:type="pct"/>
            <w:vAlign w:val="center"/>
            <w:hideMark/>
          </w:tcPr>
          <w:p w14:paraId="7E334BF7" w14:textId="77777777" w:rsidR="00752C21" w:rsidRPr="00FC5A37" w:rsidRDefault="00752C21" w:rsidP="00750703">
            <w:pPr>
              <w:pStyle w:val="Tabletext"/>
              <w:rPr>
                <w:b/>
                <w:bCs/>
              </w:rPr>
            </w:pPr>
            <w:r w:rsidRPr="00FC5A37">
              <w:rPr>
                <w:b/>
                <w:bCs/>
              </w:rPr>
              <w:t>Clinical criteria:</w:t>
            </w:r>
          </w:p>
        </w:tc>
      </w:tr>
      <w:tr w:rsidR="00752C21" w:rsidRPr="00FC5A37" w14:paraId="5116389A" w14:textId="77777777">
        <w:trPr>
          <w:cantSplit/>
          <w:trHeight w:val="20"/>
        </w:trPr>
        <w:tc>
          <w:tcPr>
            <w:tcW w:w="5000" w:type="pct"/>
            <w:vAlign w:val="center"/>
            <w:hideMark/>
          </w:tcPr>
          <w:p w14:paraId="5184073B" w14:textId="26254193" w:rsidR="00752C21" w:rsidRPr="00FC5A37" w:rsidRDefault="00752C21" w:rsidP="00750703">
            <w:pPr>
              <w:pStyle w:val="Tabletext"/>
            </w:pPr>
            <w:r>
              <w:t>The condition must be r</w:t>
            </w:r>
            <w:r w:rsidRPr="00FC5A37">
              <w:t>elapsed or chemotherapy refractory,</w:t>
            </w:r>
          </w:p>
        </w:tc>
      </w:tr>
      <w:tr w:rsidR="00752C21" w:rsidRPr="00FC5A37" w14:paraId="25894932" w14:textId="77777777">
        <w:trPr>
          <w:cantSplit/>
          <w:trHeight w:val="20"/>
        </w:trPr>
        <w:tc>
          <w:tcPr>
            <w:tcW w:w="5000" w:type="pct"/>
            <w:vAlign w:val="center"/>
            <w:hideMark/>
          </w:tcPr>
          <w:p w14:paraId="5C864170" w14:textId="77777777" w:rsidR="00752C21" w:rsidRPr="00FC5A37" w:rsidRDefault="00752C21" w:rsidP="00750703">
            <w:pPr>
              <w:pStyle w:val="Tabletext"/>
              <w:rPr>
                <w:b/>
                <w:bCs/>
              </w:rPr>
            </w:pPr>
            <w:r w:rsidRPr="00FC5A37">
              <w:rPr>
                <w:b/>
                <w:bCs/>
              </w:rPr>
              <w:t>AND</w:t>
            </w:r>
          </w:p>
        </w:tc>
      </w:tr>
      <w:tr w:rsidR="00752C21" w:rsidRPr="00FC5A37" w14:paraId="3CB274C4" w14:textId="77777777">
        <w:trPr>
          <w:cantSplit/>
          <w:trHeight w:val="20"/>
        </w:trPr>
        <w:tc>
          <w:tcPr>
            <w:tcW w:w="5000" w:type="pct"/>
            <w:vAlign w:val="center"/>
            <w:hideMark/>
          </w:tcPr>
          <w:p w14:paraId="1EC9BF09" w14:textId="77777777" w:rsidR="00752C21" w:rsidRPr="00FC5A37" w:rsidRDefault="00752C21" w:rsidP="00750703">
            <w:pPr>
              <w:pStyle w:val="Tabletext"/>
              <w:rPr>
                <w:b/>
                <w:bCs/>
              </w:rPr>
            </w:pPr>
            <w:r w:rsidRPr="00FC5A37">
              <w:rPr>
                <w:b/>
                <w:bCs/>
              </w:rPr>
              <w:lastRenderedPageBreak/>
              <w:t>Clinical criteria:</w:t>
            </w:r>
          </w:p>
        </w:tc>
      </w:tr>
      <w:tr w:rsidR="00752C21" w:rsidRPr="00FC5A37" w14:paraId="315D0384" w14:textId="77777777">
        <w:trPr>
          <w:cantSplit/>
          <w:trHeight w:val="20"/>
        </w:trPr>
        <w:tc>
          <w:tcPr>
            <w:tcW w:w="5000" w:type="pct"/>
            <w:vAlign w:val="center"/>
            <w:hideMark/>
          </w:tcPr>
          <w:p w14:paraId="25365B65" w14:textId="27FE8D00" w:rsidR="00752C21" w:rsidRPr="00FC5A37" w:rsidRDefault="00752C21" w:rsidP="00750703">
            <w:pPr>
              <w:pStyle w:val="Tabletext"/>
            </w:pPr>
            <w:r w:rsidRPr="00752C21">
              <w:t>Patient must not have progressive disease while receiving PBS</w:t>
            </w:r>
            <w:r w:rsidR="00750703">
              <w:noBreakHyphen/>
            </w:r>
            <w:r w:rsidRPr="00752C21">
              <w:t>subsidised treatment with this drug for this condition,</w:t>
            </w:r>
          </w:p>
        </w:tc>
      </w:tr>
      <w:tr w:rsidR="00752C21" w:rsidRPr="00FC5A37" w14:paraId="29DEEF7A" w14:textId="77777777">
        <w:trPr>
          <w:cantSplit/>
          <w:trHeight w:val="20"/>
        </w:trPr>
        <w:tc>
          <w:tcPr>
            <w:tcW w:w="5000" w:type="pct"/>
            <w:vAlign w:val="center"/>
          </w:tcPr>
          <w:p w14:paraId="7748407D" w14:textId="36BECA68" w:rsidR="00752C21" w:rsidRPr="00752C21" w:rsidRDefault="00752C21" w:rsidP="00750703">
            <w:pPr>
              <w:pStyle w:val="Tabletext"/>
            </w:pPr>
            <w:r w:rsidRPr="00FC5A37">
              <w:rPr>
                <w:b/>
                <w:bCs/>
              </w:rPr>
              <w:t>AND</w:t>
            </w:r>
          </w:p>
        </w:tc>
      </w:tr>
      <w:tr w:rsidR="00752C21" w:rsidRPr="00FC5A37" w14:paraId="0BE2D280" w14:textId="77777777">
        <w:trPr>
          <w:cantSplit/>
          <w:trHeight w:val="20"/>
        </w:trPr>
        <w:tc>
          <w:tcPr>
            <w:tcW w:w="5000" w:type="pct"/>
            <w:vAlign w:val="center"/>
          </w:tcPr>
          <w:p w14:paraId="3A9F49E6" w14:textId="619E7EBC" w:rsidR="00752C21" w:rsidRPr="00FC5A37" w:rsidRDefault="00752C21" w:rsidP="00750703">
            <w:pPr>
              <w:pStyle w:val="Tabletext"/>
              <w:rPr>
                <w:b/>
                <w:bCs/>
              </w:rPr>
            </w:pPr>
            <w:r w:rsidRPr="00FC5A37">
              <w:rPr>
                <w:b/>
                <w:bCs/>
              </w:rPr>
              <w:t>Clinical criteria:</w:t>
            </w:r>
          </w:p>
        </w:tc>
      </w:tr>
      <w:tr w:rsidR="00752C21" w:rsidRPr="00FC5A37" w14:paraId="26A56208" w14:textId="77777777">
        <w:trPr>
          <w:cantSplit/>
          <w:trHeight w:val="20"/>
        </w:trPr>
        <w:tc>
          <w:tcPr>
            <w:tcW w:w="5000" w:type="pct"/>
            <w:vAlign w:val="center"/>
          </w:tcPr>
          <w:p w14:paraId="3B14C3B9" w14:textId="5B7FDC41" w:rsidR="00752C21" w:rsidRPr="00752C21" w:rsidRDefault="00752C21" w:rsidP="00750703">
            <w:pPr>
              <w:pStyle w:val="Tabletext"/>
            </w:pPr>
            <w:r w:rsidRPr="00752C21">
              <w:t>Patient must have previously received PBS</w:t>
            </w:r>
            <w:r w:rsidR="00750703">
              <w:noBreakHyphen/>
            </w:r>
            <w:r w:rsidRPr="00752C21">
              <w:t>subsidised treatment with this drug for this condition</w:t>
            </w:r>
          </w:p>
        </w:tc>
      </w:tr>
    </w:tbl>
    <w:p w14:paraId="4471E6EA" w14:textId="31136235" w:rsidR="00F84EAF" w:rsidRPr="00F15B28" w:rsidRDefault="00F84EAF" w:rsidP="00750703">
      <w:pPr>
        <w:pStyle w:val="3-BodyText"/>
        <w:spacing w:before="160" w:after="160"/>
        <w:ind w:left="720"/>
        <w:rPr>
          <w:color w:val="0066FF"/>
        </w:rPr>
      </w:pPr>
      <w:r w:rsidRPr="00F15B28">
        <w:t>The submission requested an ex</w:t>
      </w:r>
      <w:r w:rsidR="00750703">
        <w:noBreakHyphen/>
      </w:r>
      <w:r w:rsidRPr="001A4DB3">
        <w:t xml:space="preserve">manufacturer price </w:t>
      </w:r>
      <w:r w:rsidR="00B82C96" w:rsidRPr="001A4DB3">
        <w:t>of $</w:t>
      </w:r>
      <w:r w:rsidR="00E2042F" w:rsidRPr="001A4DB3">
        <w:t>1,282.05</w:t>
      </w:r>
      <w:r w:rsidRPr="001A4DB3">
        <w:t xml:space="preserve"> per 10 mg vial</w:t>
      </w:r>
      <w:r w:rsidR="00F15B28" w:rsidRPr="00F15B28">
        <w:t>.</w:t>
      </w:r>
    </w:p>
    <w:p w14:paraId="059997BC" w14:textId="790DCC88" w:rsidR="00F67A69" w:rsidRPr="00286CAC" w:rsidRDefault="00FC5A37" w:rsidP="00750703">
      <w:pPr>
        <w:pStyle w:val="3-BodyText"/>
        <w:spacing w:before="160" w:after="160"/>
        <w:ind w:left="720"/>
      </w:pPr>
      <w:r w:rsidRPr="00286CAC">
        <w:t>The submission proposed restrictions for initiating and continuing treatment modelled on the current restrictions for pralatrexate</w:t>
      </w:r>
      <w:r w:rsidR="003A7A08">
        <w:t xml:space="preserve">, and </w:t>
      </w:r>
      <w:r w:rsidR="00752C21" w:rsidRPr="00286CAC">
        <w:t>a grandfather restriction for patients who have previously received non</w:t>
      </w:r>
      <w:r w:rsidR="00750703">
        <w:noBreakHyphen/>
      </w:r>
      <w:r w:rsidR="00752C21" w:rsidRPr="00286CAC">
        <w:t xml:space="preserve">PBS subsidised treatment. </w:t>
      </w:r>
    </w:p>
    <w:p w14:paraId="1D710919" w14:textId="1F98E90F" w:rsidR="00B314E1" w:rsidRDefault="00C227AD" w:rsidP="00750703">
      <w:pPr>
        <w:pStyle w:val="3-BodyText"/>
        <w:spacing w:before="160" w:after="160"/>
        <w:ind w:left="720"/>
      </w:pPr>
      <w:r w:rsidRPr="00286CAC">
        <w:t xml:space="preserve">The proposed restriction does not </w:t>
      </w:r>
      <w:r w:rsidR="00566DA8" w:rsidRPr="00286CAC">
        <w:t xml:space="preserve">preclude </w:t>
      </w:r>
      <w:r w:rsidRPr="00286CAC">
        <w:t>sequential use of pralatrexate and romidepsin</w:t>
      </w:r>
      <w:r w:rsidR="006608D6">
        <w:t xml:space="preserve"> or</w:t>
      </w:r>
      <w:r w:rsidR="006608D6" w:rsidRPr="006608D6">
        <w:t xml:space="preserve"> concomitant use of romidepsin with pralatrexate or other agents</w:t>
      </w:r>
      <w:r w:rsidRPr="00286CAC">
        <w:t>. The PBAC noted in 2017 that sequential use of pralatrexate and romidepsin was likely</w:t>
      </w:r>
      <w:r w:rsidR="00FA0244" w:rsidRPr="00286CAC">
        <w:t>, which would have important implications for the volume of use</w:t>
      </w:r>
      <w:r w:rsidRPr="00286CAC">
        <w:t xml:space="preserve"> (Paragraph 7.11, Romidepsin PSD, December 2017 PBAC Meeting)</w:t>
      </w:r>
      <w:r w:rsidR="00C010E8" w:rsidRPr="00286CAC">
        <w:t>.</w:t>
      </w:r>
      <w:r w:rsidR="006608D6">
        <w:t xml:space="preserve"> </w:t>
      </w:r>
      <w:r w:rsidR="0073223D" w:rsidRPr="00286CAC">
        <w:t>Several</w:t>
      </w:r>
      <w:r w:rsidR="00CD1A41" w:rsidRPr="00286CAC">
        <w:t xml:space="preserve"> studies of combination treatment including romidepsin have been reported</w:t>
      </w:r>
      <w:r w:rsidRPr="00286CAC">
        <w:t>.</w:t>
      </w:r>
      <w:r w:rsidRPr="00286CAC">
        <w:rPr>
          <w:rStyle w:val="FootnoteReference"/>
        </w:rPr>
        <w:footnoteReference w:id="4"/>
      </w:r>
      <w:r w:rsidR="00FA0244" w:rsidRPr="00E94414">
        <w:rPr>
          <w:vertAlign w:val="superscript"/>
        </w:rPr>
        <w:t>,</w:t>
      </w:r>
      <w:r w:rsidR="00FA0244" w:rsidRPr="00286CAC">
        <w:rPr>
          <w:rStyle w:val="FootnoteReference"/>
        </w:rPr>
        <w:footnoteReference w:id="5"/>
      </w:r>
      <w:r w:rsidR="003F4BEF" w:rsidRPr="00E94414">
        <w:rPr>
          <w:vertAlign w:val="superscript"/>
        </w:rPr>
        <w:t xml:space="preserve"> </w:t>
      </w:r>
      <w:r w:rsidR="00E94414" w:rsidRPr="00F40C60">
        <w:t>The Pre</w:t>
      </w:r>
      <w:r w:rsidR="00750703">
        <w:noBreakHyphen/>
      </w:r>
      <w:r w:rsidR="00E94414" w:rsidRPr="00F40C60">
        <w:t>Sub</w:t>
      </w:r>
      <w:r w:rsidR="00750703">
        <w:noBreakHyphen/>
      </w:r>
      <w:r w:rsidR="00E94414" w:rsidRPr="00F40C60">
        <w:t>Committee Response (PSCR)</w:t>
      </w:r>
      <w:r w:rsidR="00EC1F81" w:rsidRPr="00F40C60">
        <w:t xml:space="preserve"> stated that the sponsor was open to limiting PBS</w:t>
      </w:r>
      <w:r w:rsidR="00750703">
        <w:noBreakHyphen/>
      </w:r>
      <w:r w:rsidR="00EC1F81" w:rsidRPr="00F40C60">
        <w:t xml:space="preserve">subsidised use to single agent therapy, should this be required, </w:t>
      </w:r>
      <w:r w:rsidR="007B326F" w:rsidRPr="00F40C60">
        <w:t xml:space="preserve">and </w:t>
      </w:r>
      <w:r w:rsidR="00EC1F81" w:rsidRPr="00F40C60">
        <w:t>not</w:t>
      </w:r>
      <w:r w:rsidR="007B326F" w:rsidRPr="00F40C60">
        <w:t>ed</w:t>
      </w:r>
      <w:r w:rsidR="00EC1F81" w:rsidRPr="00F40C60">
        <w:t xml:space="preserve"> that </w:t>
      </w:r>
      <w:r w:rsidR="00DE14F1" w:rsidRPr="00F40C60">
        <w:t>the submission had not sought a restriction that allows concomitant use of romidepsin with pralatrexate o</w:t>
      </w:r>
      <w:r w:rsidR="00DA1B2A" w:rsidRPr="00F40C60">
        <w:t>r</w:t>
      </w:r>
      <w:r w:rsidR="00DE14F1" w:rsidRPr="00F40C60">
        <w:t xml:space="preserve"> other agents. </w:t>
      </w:r>
      <w:r w:rsidR="00B07E1B" w:rsidRPr="00F40C60">
        <w:t>The ESC noted that trials of romidepsin in combination with azacitidine had reported good results</w:t>
      </w:r>
      <w:r w:rsidR="00B07E1B" w:rsidRPr="00F40C60">
        <w:rPr>
          <w:rStyle w:val="FootnoteReference"/>
        </w:rPr>
        <w:footnoteReference w:id="6"/>
      </w:r>
      <w:r w:rsidR="00B07E1B" w:rsidRPr="00F40C60">
        <w:t xml:space="preserve"> and that some clinicians had indicated that </w:t>
      </w:r>
      <w:r w:rsidR="00D83B59">
        <w:t xml:space="preserve">azacitidine will </w:t>
      </w:r>
      <w:r w:rsidR="00483C4A">
        <w:t xml:space="preserve">still </w:t>
      </w:r>
      <w:r w:rsidR="00B07E1B" w:rsidRPr="00F40C60">
        <w:t>be used in combination with romidepsin</w:t>
      </w:r>
      <w:r w:rsidR="00852B1C">
        <w:t xml:space="preserve"> even if it</w:t>
      </w:r>
      <w:r w:rsidR="001E4D1D">
        <w:t xml:space="preserve"> is not PBS</w:t>
      </w:r>
      <w:r w:rsidR="00750703">
        <w:noBreakHyphen/>
      </w:r>
      <w:r w:rsidR="001E4D1D">
        <w:t>subsidised</w:t>
      </w:r>
      <w:r w:rsidR="00B07E1B" w:rsidRPr="00F40C60">
        <w:t xml:space="preserve">. </w:t>
      </w:r>
      <w:r w:rsidR="00B314E1" w:rsidRPr="00F40C60">
        <w:t xml:space="preserve">The ESC considered that </w:t>
      </w:r>
      <w:r w:rsidR="00920F85" w:rsidRPr="00F40C60">
        <w:t xml:space="preserve">it was reasonable to allow </w:t>
      </w:r>
      <w:r w:rsidR="00B314E1" w:rsidRPr="00F40C60">
        <w:t>sequential use of romidepsin and pralatrexate</w:t>
      </w:r>
      <w:r w:rsidR="00920F85" w:rsidRPr="00F40C60">
        <w:t xml:space="preserve"> in patients who were well enough to use another agent</w:t>
      </w:r>
      <w:r w:rsidR="00B314E1" w:rsidRPr="00F40C60">
        <w:t xml:space="preserve">, and </w:t>
      </w:r>
      <w:r w:rsidR="00AB1F8A" w:rsidRPr="00F40C60">
        <w:t xml:space="preserve">that </w:t>
      </w:r>
      <w:r w:rsidR="00B314E1" w:rsidRPr="00F40C60">
        <w:t>combination use with self</w:t>
      </w:r>
      <w:r w:rsidR="00750703">
        <w:noBreakHyphen/>
      </w:r>
      <w:r w:rsidR="00B314E1" w:rsidRPr="00F40C60">
        <w:t>funded azacitidine</w:t>
      </w:r>
      <w:r w:rsidR="00AB1F8A" w:rsidRPr="00F40C60">
        <w:t xml:space="preserve"> </w:t>
      </w:r>
      <w:r w:rsidR="007E1469" w:rsidRPr="00F40C60">
        <w:t xml:space="preserve">or with pralatrexate </w:t>
      </w:r>
      <w:r w:rsidR="00AB1F8A" w:rsidRPr="00F40C60">
        <w:t>was both likely and</w:t>
      </w:r>
      <w:r w:rsidR="00B314E1" w:rsidRPr="00F40C60">
        <w:t xml:space="preserve"> reasonable.</w:t>
      </w:r>
      <w:r w:rsidR="001C6A80" w:rsidRPr="00F40C60">
        <w:t xml:space="preserve"> </w:t>
      </w:r>
    </w:p>
    <w:p w14:paraId="5E4420AB" w14:textId="77777777" w:rsidR="000305BC" w:rsidRPr="00C33D30" w:rsidRDefault="000305BC" w:rsidP="00750703">
      <w:pPr>
        <w:ind w:firstLine="709"/>
        <w:rPr>
          <w:rFonts w:asciiTheme="minorHAnsi" w:hAnsiTheme="minorHAnsi"/>
          <w:i/>
        </w:rPr>
      </w:pPr>
      <w:bookmarkStart w:id="11" w:name="_Hlk76375324"/>
      <w:r w:rsidRPr="00C33D30">
        <w:rPr>
          <w:rFonts w:asciiTheme="minorHAnsi" w:hAnsiTheme="minorHAnsi"/>
          <w:i/>
        </w:rPr>
        <w:t>For more detail on PBAC’s view, see section 7 PBAC outcome.</w:t>
      </w:r>
    </w:p>
    <w:p w14:paraId="7075B85C" w14:textId="62A47B7B" w:rsidR="00B50DB8" w:rsidRPr="00286CAC" w:rsidDel="00195452" w:rsidRDefault="00203181" w:rsidP="00750703">
      <w:pPr>
        <w:pStyle w:val="2-SectionHeading"/>
        <w:spacing w:before="160" w:after="160"/>
      </w:pPr>
      <w:bookmarkStart w:id="12" w:name="_Toc219197451"/>
      <w:bookmarkEnd w:id="11"/>
      <w:r w:rsidRPr="00286CAC" w:rsidDel="00195452">
        <w:t xml:space="preserve">Population and </w:t>
      </w:r>
      <w:r w:rsidR="008E0D3C" w:rsidRPr="00286CAC" w:rsidDel="00195452">
        <w:t>d</w:t>
      </w:r>
      <w:r w:rsidRPr="00286CAC" w:rsidDel="00195452">
        <w:t>isease</w:t>
      </w:r>
      <w:bookmarkEnd w:id="12"/>
    </w:p>
    <w:p w14:paraId="29C361F0" w14:textId="6795BC01" w:rsidR="00E55D72" w:rsidRPr="00286CAC" w:rsidRDefault="000A61CE" w:rsidP="00750703">
      <w:pPr>
        <w:pStyle w:val="3-BodyText"/>
        <w:spacing w:before="160" w:after="160"/>
        <w:ind w:left="720"/>
        <w:rPr>
          <w:color w:val="000000" w:themeColor="text1"/>
        </w:rPr>
      </w:pPr>
      <w:r w:rsidRPr="00286CAC">
        <w:rPr>
          <w:color w:val="000000" w:themeColor="text1"/>
        </w:rPr>
        <w:t>The peripheral T</w:t>
      </w:r>
      <w:r w:rsidR="00750703">
        <w:rPr>
          <w:color w:val="000000" w:themeColor="text1"/>
        </w:rPr>
        <w:noBreakHyphen/>
      </w:r>
      <w:r w:rsidRPr="00286CAC">
        <w:rPr>
          <w:color w:val="000000" w:themeColor="text1"/>
        </w:rPr>
        <w:t xml:space="preserve">cell lymphomas are a heterogeneous </w:t>
      </w:r>
      <w:r w:rsidR="009D5F39" w:rsidRPr="00286CAC">
        <w:rPr>
          <w:color w:val="000000" w:themeColor="text1"/>
        </w:rPr>
        <w:t>group of neoplasms</w:t>
      </w:r>
      <w:r w:rsidRPr="00286CAC">
        <w:rPr>
          <w:color w:val="000000" w:themeColor="text1"/>
        </w:rPr>
        <w:t xml:space="preserve"> </w:t>
      </w:r>
      <w:r w:rsidR="00E55D72" w:rsidRPr="00286CAC">
        <w:rPr>
          <w:color w:val="000000" w:themeColor="text1"/>
        </w:rPr>
        <w:t>of mature T</w:t>
      </w:r>
      <w:r w:rsidR="00750703">
        <w:rPr>
          <w:color w:val="000000" w:themeColor="text1"/>
        </w:rPr>
        <w:noBreakHyphen/>
      </w:r>
      <w:r w:rsidR="00E55D72" w:rsidRPr="00286CAC">
        <w:rPr>
          <w:color w:val="000000" w:themeColor="text1"/>
        </w:rPr>
        <w:t xml:space="preserve">cell or NK (natural killer) cell lineage. The PTCLs </w:t>
      </w:r>
      <w:r w:rsidRPr="00286CAC">
        <w:rPr>
          <w:color w:val="000000" w:themeColor="text1"/>
        </w:rPr>
        <w:t xml:space="preserve">account for </w:t>
      </w:r>
      <w:r w:rsidR="00D9145A" w:rsidRPr="00286CAC">
        <w:rPr>
          <w:color w:val="000000" w:themeColor="text1"/>
        </w:rPr>
        <w:t>10</w:t>
      </w:r>
      <w:r w:rsidR="00750703">
        <w:rPr>
          <w:color w:val="000000" w:themeColor="text1"/>
        </w:rPr>
        <w:noBreakHyphen/>
      </w:r>
      <w:r w:rsidRPr="00286CAC">
        <w:rPr>
          <w:color w:val="000000" w:themeColor="text1"/>
        </w:rPr>
        <w:t>15% of non</w:t>
      </w:r>
      <w:r w:rsidR="00750703">
        <w:rPr>
          <w:color w:val="000000" w:themeColor="text1"/>
        </w:rPr>
        <w:noBreakHyphen/>
      </w:r>
      <w:r w:rsidRPr="00286CAC">
        <w:rPr>
          <w:color w:val="000000" w:themeColor="text1"/>
        </w:rPr>
        <w:t>Hodgkin lymphomas</w:t>
      </w:r>
      <w:r w:rsidR="00E55D72" w:rsidRPr="00286CAC">
        <w:rPr>
          <w:color w:val="000000" w:themeColor="text1"/>
        </w:rPr>
        <w:t>;</w:t>
      </w:r>
      <w:r w:rsidR="00D9145A" w:rsidRPr="00286CAC">
        <w:rPr>
          <w:color w:val="000000" w:themeColor="text1"/>
        </w:rPr>
        <w:t xml:space="preserve"> AIHW report</w:t>
      </w:r>
      <w:r w:rsidR="009D5F39" w:rsidRPr="00286CAC">
        <w:rPr>
          <w:color w:val="000000" w:themeColor="text1"/>
        </w:rPr>
        <w:t>ed</w:t>
      </w:r>
      <w:r w:rsidR="00D9145A" w:rsidRPr="00286CAC">
        <w:rPr>
          <w:color w:val="000000" w:themeColor="text1"/>
        </w:rPr>
        <w:t xml:space="preserve"> 5</w:t>
      </w:r>
      <w:r w:rsidR="001943A8">
        <w:rPr>
          <w:color w:val="000000" w:themeColor="text1"/>
        </w:rPr>
        <w:t>,</w:t>
      </w:r>
      <w:r w:rsidR="00D9145A" w:rsidRPr="00286CAC">
        <w:rPr>
          <w:color w:val="000000" w:themeColor="text1"/>
        </w:rPr>
        <w:t>945 cases of non</w:t>
      </w:r>
      <w:r w:rsidR="00750703">
        <w:rPr>
          <w:color w:val="000000" w:themeColor="text1"/>
        </w:rPr>
        <w:noBreakHyphen/>
      </w:r>
      <w:r w:rsidR="00D9145A" w:rsidRPr="00286CAC">
        <w:rPr>
          <w:color w:val="000000" w:themeColor="text1"/>
        </w:rPr>
        <w:t xml:space="preserve">Hodgkin lymphoma in Australia in </w:t>
      </w:r>
      <w:r w:rsidR="00D9145A" w:rsidRPr="00286CAC">
        <w:rPr>
          <w:color w:val="000000" w:themeColor="text1"/>
        </w:rPr>
        <w:lastRenderedPageBreak/>
        <w:t>2021</w:t>
      </w:r>
      <w:r w:rsidR="009C45BC" w:rsidRPr="00286CAC">
        <w:rPr>
          <w:color w:val="000000" w:themeColor="text1"/>
        </w:rPr>
        <w:t xml:space="preserve">. </w:t>
      </w:r>
      <w:r w:rsidR="009D5F39" w:rsidRPr="00286CAC">
        <w:rPr>
          <w:color w:val="000000" w:themeColor="text1"/>
        </w:rPr>
        <w:t>There is a slight male predominance (incidence 26.4 vs 20.0/100,000). The median age of patients with PTCL is about 60</w:t>
      </w:r>
      <w:r w:rsidR="00361FE5" w:rsidRPr="00286CAC">
        <w:rPr>
          <w:color w:val="000000" w:themeColor="text1"/>
        </w:rPr>
        <w:t xml:space="preserve"> years</w:t>
      </w:r>
      <w:r w:rsidR="008A2E38" w:rsidRPr="00286CAC">
        <w:rPr>
          <w:color w:val="000000" w:themeColor="text1"/>
        </w:rPr>
        <w:t xml:space="preserve">. </w:t>
      </w:r>
    </w:p>
    <w:p w14:paraId="66037D48" w14:textId="02DC450A" w:rsidR="005C7ABD" w:rsidRPr="00286CAC" w:rsidRDefault="00994C8A" w:rsidP="00750703">
      <w:pPr>
        <w:ind w:left="720"/>
        <w:jc w:val="left"/>
        <w:rPr>
          <w:color w:val="000000" w:themeColor="text1"/>
        </w:rPr>
      </w:pPr>
      <w:r w:rsidRPr="00286CAC">
        <w:rPr>
          <w:color w:val="000000" w:themeColor="text1"/>
        </w:rPr>
        <w:t xml:space="preserve">The </w:t>
      </w:r>
      <w:r w:rsidR="005C7ABD" w:rsidRPr="00286CAC">
        <w:rPr>
          <w:color w:val="000000" w:themeColor="text1"/>
        </w:rPr>
        <w:t>principal</w:t>
      </w:r>
      <w:r w:rsidR="009C45BC" w:rsidRPr="00286CAC">
        <w:rPr>
          <w:color w:val="000000" w:themeColor="text1"/>
        </w:rPr>
        <w:t xml:space="preserve"> sub</w:t>
      </w:r>
      <w:r w:rsidR="00750703">
        <w:rPr>
          <w:color w:val="000000" w:themeColor="text1"/>
        </w:rPr>
        <w:noBreakHyphen/>
      </w:r>
      <w:r w:rsidR="009C45BC" w:rsidRPr="00286CAC">
        <w:rPr>
          <w:color w:val="000000" w:themeColor="text1"/>
        </w:rPr>
        <w:t>types of</w:t>
      </w:r>
      <w:r w:rsidRPr="00286CAC">
        <w:rPr>
          <w:color w:val="000000" w:themeColor="text1"/>
        </w:rPr>
        <w:t xml:space="preserve"> </w:t>
      </w:r>
      <w:r w:rsidR="008D6CA2" w:rsidRPr="00286CAC">
        <w:rPr>
          <w:color w:val="000000" w:themeColor="text1"/>
        </w:rPr>
        <w:t xml:space="preserve">PTCL </w:t>
      </w:r>
      <w:r w:rsidR="005C7ABD" w:rsidRPr="00286CAC">
        <w:rPr>
          <w:color w:val="000000" w:themeColor="text1"/>
        </w:rPr>
        <w:t>are:</w:t>
      </w:r>
    </w:p>
    <w:p w14:paraId="067FFAAD" w14:textId="4C9D8904" w:rsidR="005C7ABD" w:rsidRPr="00286CAC" w:rsidRDefault="009C45BC" w:rsidP="00750703">
      <w:pPr>
        <w:pStyle w:val="3-BodyText"/>
        <w:numPr>
          <w:ilvl w:val="0"/>
          <w:numId w:val="8"/>
        </w:numPr>
        <w:spacing w:before="160" w:after="160"/>
        <w:ind w:left="1060" w:hanging="340"/>
        <w:rPr>
          <w:color w:val="000000" w:themeColor="text1"/>
        </w:rPr>
      </w:pPr>
      <w:r w:rsidRPr="00286CAC">
        <w:rPr>
          <w:color w:val="000000" w:themeColor="text1"/>
        </w:rPr>
        <w:t>PTCL</w:t>
      </w:r>
      <w:r w:rsidR="00FA0244" w:rsidRPr="00286CAC">
        <w:rPr>
          <w:color w:val="000000" w:themeColor="text1"/>
        </w:rPr>
        <w:t xml:space="preserve"> </w:t>
      </w:r>
      <w:r w:rsidR="008D6CA2" w:rsidRPr="00286CAC">
        <w:rPr>
          <w:color w:val="000000" w:themeColor="text1"/>
        </w:rPr>
        <w:t>not</w:t>
      </w:r>
      <w:r w:rsidR="00750703">
        <w:rPr>
          <w:color w:val="000000" w:themeColor="text1"/>
        </w:rPr>
        <w:noBreakHyphen/>
      </w:r>
      <w:r w:rsidR="008D6CA2" w:rsidRPr="00286CAC">
        <w:rPr>
          <w:color w:val="000000" w:themeColor="text1"/>
        </w:rPr>
        <w:t>otherwise</w:t>
      </w:r>
      <w:r w:rsidR="00750703">
        <w:rPr>
          <w:color w:val="000000" w:themeColor="text1"/>
        </w:rPr>
        <w:noBreakHyphen/>
      </w:r>
      <w:r w:rsidR="008D6CA2" w:rsidRPr="00286CAC">
        <w:rPr>
          <w:color w:val="000000" w:themeColor="text1"/>
        </w:rPr>
        <w:t>specified (PTCL NOS)</w:t>
      </w:r>
      <w:r w:rsidRPr="00286CAC">
        <w:rPr>
          <w:color w:val="000000" w:themeColor="text1"/>
        </w:rPr>
        <w:t>, account</w:t>
      </w:r>
      <w:r w:rsidR="00CE1FAB" w:rsidRPr="00286CAC">
        <w:rPr>
          <w:color w:val="000000" w:themeColor="text1"/>
        </w:rPr>
        <w:t>ing</w:t>
      </w:r>
      <w:r w:rsidRPr="00286CAC">
        <w:rPr>
          <w:color w:val="000000" w:themeColor="text1"/>
        </w:rPr>
        <w:t xml:space="preserve"> for 20</w:t>
      </w:r>
      <w:r w:rsidR="00750703">
        <w:rPr>
          <w:color w:val="000000" w:themeColor="text1"/>
        </w:rPr>
        <w:noBreakHyphen/>
      </w:r>
      <w:r w:rsidRPr="00286CAC">
        <w:rPr>
          <w:color w:val="000000" w:themeColor="text1"/>
        </w:rPr>
        <w:t>40% of PTCL. PTCL NOS</w:t>
      </w:r>
      <w:r w:rsidR="00994C8A" w:rsidRPr="00286CAC">
        <w:rPr>
          <w:color w:val="000000" w:themeColor="text1"/>
        </w:rPr>
        <w:t xml:space="preserve"> is</w:t>
      </w:r>
      <w:r w:rsidR="00F34381" w:rsidRPr="00286CAC">
        <w:rPr>
          <w:color w:val="000000" w:themeColor="text1"/>
        </w:rPr>
        <w:t xml:space="preserve"> </w:t>
      </w:r>
      <w:r w:rsidR="00994C8A" w:rsidRPr="00286CAC">
        <w:rPr>
          <w:color w:val="000000" w:themeColor="text1"/>
        </w:rPr>
        <w:t xml:space="preserve">a diagnosis of exclusion used when </w:t>
      </w:r>
      <w:r w:rsidRPr="00286CAC">
        <w:rPr>
          <w:color w:val="000000" w:themeColor="text1"/>
        </w:rPr>
        <w:t>the lymphoma</w:t>
      </w:r>
      <w:r w:rsidR="00994C8A" w:rsidRPr="00286CAC">
        <w:rPr>
          <w:color w:val="000000" w:themeColor="text1"/>
        </w:rPr>
        <w:t xml:space="preserve"> </w:t>
      </w:r>
      <w:r w:rsidRPr="00286CAC">
        <w:rPr>
          <w:color w:val="000000" w:themeColor="text1"/>
        </w:rPr>
        <w:t xml:space="preserve">cells </w:t>
      </w:r>
      <w:r w:rsidR="00994C8A" w:rsidRPr="00286CAC">
        <w:rPr>
          <w:color w:val="000000" w:themeColor="text1"/>
        </w:rPr>
        <w:t>do not correspond to any of the currently defined specific sub</w:t>
      </w:r>
      <w:r w:rsidR="00750703">
        <w:rPr>
          <w:color w:val="000000" w:themeColor="text1"/>
        </w:rPr>
        <w:noBreakHyphen/>
      </w:r>
      <w:r w:rsidR="00994C8A" w:rsidRPr="00286CAC">
        <w:rPr>
          <w:color w:val="000000" w:themeColor="text1"/>
        </w:rPr>
        <w:t xml:space="preserve">types. </w:t>
      </w:r>
    </w:p>
    <w:p w14:paraId="52950D4D" w14:textId="567DE9E5" w:rsidR="005C7ABD" w:rsidRPr="00286CAC" w:rsidRDefault="00994C8A" w:rsidP="00750703">
      <w:pPr>
        <w:pStyle w:val="3-BodyText"/>
        <w:numPr>
          <w:ilvl w:val="0"/>
          <w:numId w:val="8"/>
        </w:numPr>
        <w:spacing w:before="160" w:after="160"/>
        <w:ind w:left="1060" w:hanging="340"/>
        <w:rPr>
          <w:color w:val="000000" w:themeColor="text1"/>
        </w:rPr>
      </w:pPr>
      <w:r w:rsidRPr="00286CAC">
        <w:rPr>
          <w:color w:val="000000" w:themeColor="text1"/>
        </w:rPr>
        <w:t>Angioimmunoblastic T</w:t>
      </w:r>
      <w:r w:rsidR="00750703">
        <w:rPr>
          <w:color w:val="000000" w:themeColor="text1"/>
        </w:rPr>
        <w:noBreakHyphen/>
      </w:r>
      <w:r w:rsidRPr="00286CAC">
        <w:rPr>
          <w:color w:val="000000" w:themeColor="text1"/>
        </w:rPr>
        <w:t>cell lymphoma (AITL)</w:t>
      </w:r>
      <w:r w:rsidR="005C7ABD" w:rsidRPr="00286CAC">
        <w:rPr>
          <w:color w:val="000000" w:themeColor="text1"/>
        </w:rPr>
        <w:t>,</w:t>
      </w:r>
      <w:r w:rsidRPr="00286CAC">
        <w:rPr>
          <w:color w:val="000000" w:themeColor="text1"/>
        </w:rPr>
        <w:t xml:space="preserve"> the </w:t>
      </w:r>
      <w:r w:rsidR="006D002C">
        <w:rPr>
          <w:color w:val="000000" w:themeColor="text1"/>
        </w:rPr>
        <w:t xml:space="preserve">most common </w:t>
      </w:r>
      <w:r w:rsidRPr="00286CAC">
        <w:rPr>
          <w:color w:val="000000" w:themeColor="text1"/>
        </w:rPr>
        <w:t>specific sub</w:t>
      </w:r>
      <w:r w:rsidR="00750703">
        <w:rPr>
          <w:color w:val="000000" w:themeColor="text1"/>
        </w:rPr>
        <w:noBreakHyphen/>
      </w:r>
      <w:r w:rsidRPr="00286CAC">
        <w:rPr>
          <w:color w:val="000000" w:themeColor="text1"/>
        </w:rPr>
        <w:t>type of PTCL</w:t>
      </w:r>
      <w:r w:rsidR="009C45BC" w:rsidRPr="00286CAC">
        <w:rPr>
          <w:color w:val="000000" w:themeColor="text1"/>
        </w:rPr>
        <w:t>, accounting for about 20% of PTCL</w:t>
      </w:r>
      <w:r w:rsidRPr="00286CAC">
        <w:rPr>
          <w:color w:val="000000" w:themeColor="text1"/>
        </w:rPr>
        <w:t xml:space="preserve">. </w:t>
      </w:r>
    </w:p>
    <w:p w14:paraId="169A493A" w14:textId="30FD8E5F" w:rsidR="005C7ABD" w:rsidRPr="00286CAC" w:rsidRDefault="00E55D72" w:rsidP="00750703">
      <w:pPr>
        <w:pStyle w:val="3-BodyText"/>
        <w:numPr>
          <w:ilvl w:val="0"/>
          <w:numId w:val="8"/>
        </w:numPr>
        <w:spacing w:before="160" w:after="160"/>
        <w:ind w:left="1060" w:hanging="340"/>
        <w:rPr>
          <w:color w:val="000000" w:themeColor="text1"/>
        </w:rPr>
      </w:pPr>
      <w:r w:rsidRPr="00286CAC">
        <w:rPr>
          <w:color w:val="000000" w:themeColor="text1"/>
        </w:rPr>
        <w:t>Anaplastic large cell lymphoma (ALCL</w:t>
      </w:r>
      <w:r w:rsidR="00F34381" w:rsidRPr="00286CAC">
        <w:rPr>
          <w:color w:val="000000" w:themeColor="text1"/>
        </w:rPr>
        <w:t>)</w:t>
      </w:r>
      <w:r w:rsidR="005C7ABD" w:rsidRPr="00286CAC">
        <w:rPr>
          <w:color w:val="000000" w:themeColor="text1"/>
        </w:rPr>
        <w:t>,</w:t>
      </w:r>
      <w:r w:rsidR="00F34381" w:rsidRPr="00286CAC">
        <w:rPr>
          <w:color w:val="000000" w:themeColor="text1"/>
        </w:rPr>
        <w:t xml:space="preserve"> </w:t>
      </w:r>
      <w:r w:rsidRPr="00286CAC">
        <w:rPr>
          <w:color w:val="000000" w:themeColor="text1"/>
        </w:rPr>
        <w:t>sub</w:t>
      </w:r>
      <w:r w:rsidR="00750703">
        <w:rPr>
          <w:color w:val="000000" w:themeColor="text1"/>
        </w:rPr>
        <w:noBreakHyphen/>
      </w:r>
      <w:r w:rsidRPr="00286CAC">
        <w:rPr>
          <w:color w:val="000000" w:themeColor="text1"/>
        </w:rPr>
        <w:t>categorised as positive or negative for anaplastic lymphoma kinase (ALK) gene</w:t>
      </w:r>
      <w:r w:rsidR="008D6CA2" w:rsidRPr="00286CAC">
        <w:rPr>
          <w:color w:val="000000" w:themeColor="text1"/>
        </w:rPr>
        <w:t xml:space="preserve"> expression</w:t>
      </w:r>
      <w:r w:rsidR="00F34381" w:rsidRPr="00286CAC">
        <w:rPr>
          <w:color w:val="000000" w:themeColor="text1"/>
        </w:rPr>
        <w:t xml:space="preserve">. </w:t>
      </w:r>
    </w:p>
    <w:p w14:paraId="4F6C7DF8" w14:textId="52D8F7EB" w:rsidR="005C7ABD" w:rsidRPr="00286CAC" w:rsidRDefault="009C45BC" w:rsidP="00750703">
      <w:pPr>
        <w:pStyle w:val="3-BodyText"/>
        <w:numPr>
          <w:ilvl w:val="0"/>
          <w:numId w:val="8"/>
        </w:numPr>
        <w:spacing w:before="160" w:after="160"/>
        <w:ind w:left="1060" w:hanging="340"/>
        <w:rPr>
          <w:color w:val="000000" w:themeColor="text1"/>
        </w:rPr>
      </w:pPr>
      <w:r w:rsidRPr="00286CAC">
        <w:rPr>
          <w:color w:val="000000" w:themeColor="text1"/>
        </w:rPr>
        <w:t>Enteropathy</w:t>
      </w:r>
      <w:r w:rsidR="00750703">
        <w:rPr>
          <w:color w:val="000000" w:themeColor="text1"/>
        </w:rPr>
        <w:noBreakHyphen/>
      </w:r>
      <w:r w:rsidRPr="00286CAC">
        <w:rPr>
          <w:color w:val="000000" w:themeColor="text1"/>
        </w:rPr>
        <w:t>associated T</w:t>
      </w:r>
      <w:r w:rsidR="00750703">
        <w:rPr>
          <w:color w:val="000000" w:themeColor="text1"/>
        </w:rPr>
        <w:noBreakHyphen/>
      </w:r>
      <w:r w:rsidRPr="00286CAC">
        <w:rPr>
          <w:color w:val="000000" w:themeColor="text1"/>
        </w:rPr>
        <w:t>cell lymphoma (EATL)</w:t>
      </w:r>
      <w:r w:rsidR="005C7ABD" w:rsidRPr="00286CAC">
        <w:rPr>
          <w:color w:val="000000" w:themeColor="text1"/>
        </w:rPr>
        <w:t>,</w:t>
      </w:r>
      <w:r w:rsidRPr="00286CAC">
        <w:rPr>
          <w:color w:val="000000" w:themeColor="text1"/>
        </w:rPr>
        <w:t xml:space="preserve"> </w:t>
      </w:r>
      <w:proofErr w:type="gramStart"/>
      <w:r w:rsidRPr="00286CAC">
        <w:rPr>
          <w:color w:val="000000" w:themeColor="text1"/>
        </w:rPr>
        <w:t>most</w:t>
      </w:r>
      <w:r w:rsidR="005C7ABD" w:rsidRPr="00286CAC">
        <w:rPr>
          <w:color w:val="000000" w:themeColor="text1"/>
        </w:rPr>
        <w:t xml:space="preserve"> commonly associated</w:t>
      </w:r>
      <w:proofErr w:type="gramEnd"/>
      <w:r w:rsidRPr="00286CAC">
        <w:rPr>
          <w:color w:val="000000" w:themeColor="text1"/>
        </w:rPr>
        <w:t xml:space="preserve"> with c</w:t>
      </w:r>
      <w:r w:rsidR="007261C5">
        <w:rPr>
          <w:color w:val="000000" w:themeColor="text1"/>
        </w:rPr>
        <w:t>o</w:t>
      </w:r>
      <w:r w:rsidRPr="00286CAC">
        <w:rPr>
          <w:color w:val="000000" w:themeColor="text1"/>
        </w:rPr>
        <w:t>eliac disease</w:t>
      </w:r>
      <w:r w:rsidR="008A2E38" w:rsidRPr="00286CAC">
        <w:rPr>
          <w:color w:val="000000" w:themeColor="text1"/>
        </w:rPr>
        <w:t xml:space="preserve">. </w:t>
      </w:r>
    </w:p>
    <w:p w14:paraId="7A5AFE2C" w14:textId="6C10FF66" w:rsidR="005C7ABD" w:rsidRPr="00286CAC" w:rsidRDefault="008D6CA2" w:rsidP="00750703">
      <w:pPr>
        <w:pStyle w:val="3-BodyText"/>
        <w:numPr>
          <w:ilvl w:val="0"/>
          <w:numId w:val="8"/>
        </w:numPr>
        <w:spacing w:before="160" w:after="160"/>
        <w:ind w:left="1060" w:hanging="340"/>
        <w:rPr>
          <w:color w:val="000000" w:themeColor="text1"/>
        </w:rPr>
      </w:pPr>
      <w:r w:rsidRPr="00286CAC">
        <w:rPr>
          <w:color w:val="000000" w:themeColor="text1"/>
        </w:rPr>
        <w:t>NK</w:t>
      </w:r>
      <w:r w:rsidR="009C45BC" w:rsidRPr="00286CAC">
        <w:rPr>
          <w:color w:val="000000" w:themeColor="text1"/>
        </w:rPr>
        <w:t>/</w:t>
      </w:r>
      <w:r w:rsidRPr="00286CAC">
        <w:rPr>
          <w:color w:val="000000" w:themeColor="text1"/>
        </w:rPr>
        <w:t>T</w:t>
      </w:r>
      <w:r w:rsidR="00750703">
        <w:rPr>
          <w:color w:val="000000" w:themeColor="text1"/>
        </w:rPr>
        <w:noBreakHyphen/>
      </w:r>
      <w:r w:rsidRPr="00286CAC">
        <w:rPr>
          <w:color w:val="000000" w:themeColor="text1"/>
        </w:rPr>
        <w:t xml:space="preserve">cell lymphoma </w:t>
      </w:r>
      <w:r w:rsidR="009C45BC" w:rsidRPr="00286CAC">
        <w:rPr>
          <w:color w:val="000000" w:themeColor="text1"/>
        </w:rPr>
        <w:t>(NKTCL)</w:t>
      </w:r>
      <w:r w:rsidR="005C7ABD" w:rsidRPr="00286CAC">
        <w:rPr>
          <w:color w:val="000000" w:themeColor="text1"/>
        </w:rPr>
        <w:t xml:space="preserve">, closely </w:t>
      </w:r>
      <w:r w:rsidR="009C45BC" w:rsidRPr="00286CAC">
        <w:rPr>
          <w:color w:val="000000" w:themeColor="text1"/>
        </w:rPr>
        <w:t>associated with Epstein</w:t>
      </w:r>
      <w:r w:rsidR="00750703">
        <w:rPr>
          <w:color w:val="000000" w:themeColor="text1"/>
        </w:rPr>
        <w:noBreakHyphen/>
      </w:r>
      <w:r w:rsidR="009C45BC" w:rsidRPr="00286CAC">
        <w:rPr>
          <w:color w:val="000000" w:themeColor="text1"/>
        </w:rPr>
        <w:t>Barr virus infection and most common in Asia</w:t>
      </w:r>
      <w:r w:rsidR="00000533" w:rsidRPr="00286CAC">
        <w:rPr>
          <w:color w:val="000000" w:themeColor="text1"/>
        </w:rPr>
        <w:t xml:space="preserve">. </w:t>
      </w:r>
    </w:p>
    <w:p w14:paraId="2506640E" w14:textId="18859AC7" w:rsidR="005C7ABD" w:rsidRPr="00286CAC" w:rsidRDefault="002D23A4" w:rsidP="00750703">
      <w:pPr>
        <w:pStyle w:val="3-BodyText"/>
        <w:spacing w:before="160" w:after="160"/>
        <w:ind w:left="720"/>
        <w:rPr>
          <w:color w:val="000000" w:themeColor="text1"/>
        </w:rPr>
      </w:pPr>
      <w:r w:rsidRPr="00A1737F">
        <w:rPr>
          <w:color w:val="000000" w:themeColor="text1"/>
        </w:rPr>
        <w:t xml:space="preserve">The standard treatment of </w:t>
      </w:r>
      <w:r w:rsidR="00522A50" w:rsidRPr="00A1737F">
        <w:rPr>
          <w:color w:val="000000" w:themeColor="text1"/>
        </w:rPr>
        <w:t xml:space="preserve">previously untreated </w:t>
      </w:r>
      <w:r w:rsidRPr="00A1737F">
        <w:rPr>
          <w:color w:val="000000" w:themeColor="text1"/>
        </w:rPr>
        <w:t xml:space="preserve">patients with PTCL </w:t>
      </w:r>
      <w:r w:rsidR="00F76CAB" w:rsidRPr="00F76CAB">
        <w:rPr>
          <w:color w:val="000000" w:themeColor="text1"/>
        </w:rPr>
        <w:t>includes cyclophosphamide + doxorubicin + vincristine + prednisone (CHOP), or brentuximab vedotin + cyclophosphamide + doxorubicin + prednisone (BV</w:t>
      </w:r>
      <w:r w:rsidR="00750703">
        <w:rPr>
          <w:color w:val="000000" w:themeColor="text1"/>
        </w:rPr>
        <w:noBreakHyphen/>
      </w:r>
      <w:r w:rsidR="00F76CAB" w:rsidRPr="00F76CAB">
        <w:rPr>
          <w:color w:val="000000" w:themeColor="text1"/>
        </w:rPr>
        <w:t>CHP) for CD30</w:t>
      </w:r>
      <w:r w:rsidR="00750703">
        <w:rPr>
          <w:color w:val="000000" w:themeColor="text1"/>
        </w:rPr>
        <w:noBreakHyphen/>
      </w:r>
      <w:r w:rsidR="00F76CAB" w:rsidRPr="00F76CAB">
        <w:rPr>
          <w:color w:val="000000" w:themeColor="text1"/>
        </w:rPr>
        <w:t>positive cases. Patients with NKTCL are usually treated with chemo</w:t>
      </w:r>
      <w:r w:rsidR="00750703">
        <w:rPr>
          <w:color w:val="000000" w:themeColor="text1"/>
        </w:rPr>
        <w:noBreakHyphen/>
      </w:r>
      <w:r w:rsidR="00F76CAB" w:rsidRPr="00F76CAB">
        <w:rPr>
          <w:color w:val="000000" w:themeColor="text1"/>
        </w:rPr>
        <w:t>radiotherapy regimens not including anthracyclines</w:t>
      </w:r>
      <w:r w:rsidRPr="00A1737F">
        <w:rPr>
          <w:color w:val="000000" w:themeColor="text1"/>
        </w:rPr>
        <w:t xml:space="preserve">. </w:t>
      </w:r>
    </w:p>
    <w:p w14:paraId="0C8A3CB7" w14:textId="1206DCD9" w:rsidR="00942FCC" w:rsidRPr="00A1737F" w:rsidRDefault="00921908" w:rsidP="00750703">
      <w:pPr>
        <w:pStyle w:val="3-BodyText"/>
        <w:spacing w:before="160" w:after="160"/>
        <w:ind w:left="720"/>
        <w:rPr>
          <w:color w:val="000000" w:themeColor="text1"/>
        </w:rPr>
      </w:pPr>
      <w:r w:rsidRPr="00A1737F">
        <w:rPr>
          <w:color w:val="000000" w:themeColor="text1"/>
        </w:rPr>
        <w:t xml:space="preserve">Patients </w:t>
      </w:r>
      <w:r w:rsidR="00126C13" w:rsidRPr="00A1737F">
        <w:rPr>
          <w:color w:val="000000" w:themeColor="text1"/>
        </w:rPr>
        <w:t xml:space="preserve">who are </w:t>
      </w:r>
      <w:r w:rsidRPr="00A1737F">
        <w:rPr>
          <w:color w:val="000000" w:themeColor="text1"/>
        </w:rPr>
        <w:t xml:space="preserve">refractory to </w:t>
      </w:r>
      <w:r w:rsidR="00223467" w:rsidRPr="00A1737F">
        <w:rPr>
          <w:color w:val="000000" w:themeColor="text1"/>
        </w:rPr>
        <w:t>first</w:t>
      </w:r>
      <w:r w:rsidR="00750703">
        <w:rPr>
          <w:color w:val="000000" w:themeColor="text1"/>
        </w:rPr>
        <w:noBreakHyphen/>
      </w:r>
      <w:r w:rsidR="00223467" w:rsidRPr="00A1737F">
        <w:rPr>
          <w:color w:val="000000" w:themeColor="text1"/>
        </w:rPr>
        <w:t xml:space="preserve">line </w:t>
      </w:r>
      <w:r w:rsidRPr="00A1737F">
        <w:rPr>
          <w:color w:val="000000" w:themeColor="text1"/>
        </w:rPr>
        <w:t>chemotherapy or who relapse after responding have a poor prognosis, with median overall survival about 6 months.</w:t>
      </w:r>
      <w:r w:rsidRPr="00187E06">
        <w:rPr>
          <w:color w:val="000000" w:themeColor="text1"/>
        </w:rPr>
        <w:t xml:space="preserve"> </w:t>
      </w:r>
      <w:r w:rsidR="001D134F" w:rsidRPr="00187E06">
        <w:rPr>
          <w:rFonts w:ascii="Calibri" w:hAnsi="Calibri"/>
          <w:bCs/>
        </w:rPr>
        <w:t>The ESC</w:t>
      </w:r>
      <w:r w:rsidR="001D134F" w:rsidRPr="00187E06">
        <w:rPr>
          <w:rFonts w:ascii="Calibri" w:hAnsi="Calibri"/>
          <w:b/>
        </w:rPr>
        <w:t xml:space="preserve"> </w:t>
      </w:r>
      <w:r w:rsidR="001D134F" w:rsidRPr="00187E06">
        <w:rPr>
          <w:rFonts w:ascii="Calibri" w:hAnsi="Calibri"/>
          <w:bCs/>
        </w:rPr>
        <w:t>noted that patients have few treatment options.</w:t>
      </w:r>
    </w:p>
    <w:p w14:paraId="4420EFCD" w14:textId="5AEBB6ED" w:rsidR="00384B26" w:rsidRPr="003C2DF9" w:rsidRDefault="00522A50" w:rsidP="00750703">
      <w:pPr>
        <w:pStyle w:val="3-BodyText"/>
        <w:spacing w:before="160" w:after="160"/>
        <w:ind w:left="720"/>
        <w:rPr>
          <w:color w:val="000000" w:themeColor="text1"/>
        </w:rPr>
      </w:pPr>
      <w:r w:rsidRPr="003C2DF9">
        <w:rPr>
          <w:color w:val="000000" w:themeColor="text1"/>
        </w:rPr>
        <w:t xml:space="preserve">Australian consensus guidelines </w:t>
      </w:r>
      <w:r w:rsidR="009F64C8" w:rsidRPr="003C2DF9">
        <w:rPr>
          <w:color w:val="000000" w:themeColor="text1"/>
        </w:rPr>
        <w:t xml:space="preserve">suggest that </w:t>
      </w:r>
      <w:r w:rsidR="008A4ACD" w:rsidRPr="003C2DF9">
        <w:rPr>
          <w:color w:val="000000" w:themeColor="text1"/>
        </w:rPr>
        <w:t>patients with R/R PTCL</w:t>
      </w:r>
      <w:r w:rsidR="008A4ACD" w:rsidRPr="003C2DF9" w:rsidDel="00A024EA">
        <w:rPr>
          <w:color w:val="000000" w:themeColor="text1"/>
        </w:rPr>
        <w:t xml:space="preserve"> </w:t>
      </w:r>
      <w:r w:rsidR="00A3209F">
        <w:rPr>
          <w:color w:val="000000" w:themeColor="text1"/>
        </w:rPr>
        <w:t>(</w:t>
      </w:r>
      <w:r w:rsidR="00942FCC" w:rsidRPr="003C2DF9">
        <w:rPr>
          <w:color w:val="000000" w:themeColor="text1"/>
        </w:rPr>
        <w:t xml:space="preserve">other than ALCL </w:t>
      </w:r>
      <w:r w:rsidR="009A5812">
        <w:rPr>
          <w:bCs/>
          <w:color w:val="000000" w:themeColor="text1"/>
        </w:rPr>
        <w:t xml:space="preserve">and </w:t>
      </w:r>
      <w:r w:rsidR="00A3209F" w:rsidRPr="00A3209F">
        <w:rPr>
          <w:bCs/>
          <w:color w:val="000000" w:themeColor="text1"/>
        </w:rPr>
        <w:t>NKTCL</w:t>
      </w:r>
      <w:r w:rsidR="00A3209F">
        <w:rPr>
          <w:bCs/>
          <w:color w:val="000000" w:themeColor="text1"/>
        </w:rPr>
        <w:t>)</w:t>
      </w:r>
      <w:r w:rsidR="00A3209F">
        <w:rPr>
          <w:rStyle w:val="CommentReference"/>
          <w:rFonts w:eastAsia="Times New Roman" w:cs="Times New Roman"/>
        </w:rPr>
        <w:t xml:space="preserve"> </w:t>
      </w:r>
      <w:r w:rsidR="008A4ACD" w:rsidRPr="003C2DF9">
        <w:rPr>
          <w:color w:val="000000" w:themeColor="text1"/>
        </w:rPr>
        <w:t>may be treated with second</w:t>
      </w:r>
      <w:r w:rsidR="00750703">
        <w:rPr>
          <w:color w:val="000000" w:themeColor="text1"/>
        </w:rPr>
        <w:noBreakHyphen/>
      </w:r>
      <w:r w:rsidR="008A4ACD" w:rsidRPr="003C2DF9">
        <w:rPr>
          <w:color w:val="000000" w:themeColor="text1"/>
        </w:rPr>
        <w:t>line combination chemotherapy or one</w:t>
      </w:r>
      <w:r w:rsidR="009F64C8" w:rsidRPr="003C2DF9">
        <w:rPr>
          <w:color w:val="000000" w:themeColor="text1"/>
        </w:rPr>
        <w:t xml:space="preserve"> of </w:t>
      </w:r>
      <w:r w:rsidR="008A4ACD" w:rsidRPr="003C2DF9">
        <w:rPr>
          <w:color w:val="000000" w:themeColor="text1"/>
        </w:rPr>
        <w:t xml:space="preserve">the </w:t>
      </w:r>
      <w:r w:rsidR="009F64C8" w:rsidRPr="003C2DF9">
        <w:rPr>
          <w:color w:val="000000" w:themeColor="text1"/>
        </w:rPr>
        <w:t>treatments listed under the heading of "novel agents"</w:t>
      </w:r>
      <w:r w:rsidR="008A4ACD" w:rsidRPr="003C2DF9">
        <w:rPr>
          <w:color w:val="000000" w:themeColor="text1"/>
        </w:rPr>
        <w:t>.</w:t>
      </w:r>
      <w:r w:rsidR="00A024EA" w:rsidRPr="003C2DF9">
        <w:rPr>
          <w:color w:val="000000" w:themeColor="text1"/>
        </w:rPr>
        <w:t xml:space="preserve"> </w:t>
      </w:r>
      <w:r w:rsidR="00223467" w:rsidRPr="003C2DF9">
        <w:rPr>
          <w:color w:val="000000" w:themeColor="text1"/>
        </w:rPr>
        <w:t>The guidelines note that r</w:t>
      </w:r>
      <w:r w:rsidR="00356B6F" w:rsidRPr="003C2DF9">
        <w:rPr>
          <w:color w:val="000000" w:themeColor="text1"/>
        </w:rPr>
        <w:t>egistry data</w:t>
      </w:r>
      <w:r w:rsidR="00A024EA" w:rsidRPr="003C2DF9">
        <w:rPr>
          <w:color w:val="000000" w:themeColor="text1"/>
        </w:rPr>
        <w:t xml:space="preserve"> suggest that novel agents may be superior to combination chemotherapy </w:t>
      </w:r>
      <w:r w:rsidR="00942FCC" w:rsidRPr="003C2DF9">
        <w:rPr>
          <w:color w:val="000000" w:themeColor="text1"/>
        </w:rPr>
        <w:t xml:space="preserve">and support </w:t>
      </w:r>
      <w:r w:rsidR="00A024EA" w:rsidRPr="003C2DF9">
        <w:rPr>
          <w:color w:val="000000" w:themeColor="text1"/>
        </w:rPr>
        <w:t>the</w:t>
      </w:r>
      <w:r w:rsidR="008A4ACD" w:rsidRPr="003C2DF9">
        <w:rPr>
          <w:color w:val="000000" w:themeColor="text1"/>
        </w:rPr>
        <w:t xml:space="preserve">ir use </w:t>
      </w:r>
      <w:r w:rsidR="00A024EA" w:rsidRPr="003C2DF9">
        <w:rPr>
          <w:color w:val="000000" w:themeColor="text1"/>
        </w:rPr>
        <w:t>as second</w:t>
      </w:r>
      <w:r w:rsidR="00750703">
        <w:rPr>
          <w:color w:val="000000" w:themeColor="text1"/>
        </w:rPr>
        <w:noBreakHyphen/>
      </w:r>
      <w:r w:rsidR="00A024EA" w:rsidRPr="003C2DF9">
        <w:rPr>
          <w:color w:val="000000" w:themeColor="text1"/>
        </w:rPr>
        <w:t xml:space="preserve">line </w:t>
      </w:r>
      <w:r w:rsidR="00AA4454">
        <w:rPr>
          <w:color w:val="000000" w:themeColor="text1"/>
        </w:rPr>
        <w:t>and third</w:t>
      </w:r>
      <w:r w:rsidR="00750703">
        <w:rPr>
          <w:color w:val="000000" w:themeColor="text1"/>
        </w:rPr>
        <w:noBreakHyphen/>
      </w:r>
      <w:r w:rsidR="00AA4454">
        <w:rPr>
          <w:color w:val="000000" w:themeColor="text1"/>
        </w:rPr>
        <w:t xml:space="preserve">line </w:t>
      </w:r>
      <w:r w:rsidR="006B0C51" w:rsidRPr="003C2DF9">
        <w:rPr>
          <w:color w:val="000000" w:themeColor="text1"/>
        </w:rPr>
        <w:t>treatment of transplant</w:t>
      </w:r>
      <w:r w:rsidR="00750703">
        <w:rPr>
          <w:color w:val="000000" w:themeColor="text1"/>
        </w:rPr>
        <w:noBreakHyphen/>
      </w:r>
      <w:r w:rsidR="006B0C51" w:rsidRPr="003C2DF9">
        <w:rPr>
          <w:color w:val="000000" w:themeColor="text1"/>
        </w:rPr>
        <w:t>eligible and for transplant</w:t>
      </w:r>
      <w:r w:rsidR="00750703">
        <w:rPr>
          <w:color w:val="000000" w:themeColor="text1"/>
        </w:rPr>
        <w:noBreakHyphen/>
      </w:r>
      <w:r w:rsidR="006B0C51" w:rsidRPr="003C2DF9">
        <w:rPr>
          <w:color w:val="000000" w:themeColor="text1"/>
        </w:rPr>
        <w:t>ineligible patients</w:t>
      </w:r>
      <w:r w:rsidR="00356B6F" w:rsidRPr="003C2DF9">
        <w:rPr>
          <w:color w:val="000000" w:themeColor="text1"/>
        </w:rPr>
        <w:t>.</w:t>
      </w:r>
      <w:bookmarkStart w:id="13" w:name="_Ref217031923"/>
      <w:r w:rsidR="00356B6F" w:rsidRPr="00286CAC">
        <w:rPr>
          <w:rStyle w:val="FootnoteReference"/>
          <w:color w:val="000000" w:themeColor="text1"/>
        </w:rPr>
        <w:footnoteReference w:id="7"/>
      </w:r>
      <w:bookmarkEnd w:id="13"/>
      <w:r w:rsidR="009F64C8" w:rsidRPr="003C2DF9">
        <w:rPr>
          <w:color w:val="000000" w:themeColor="text1"/>
        </w:rPr>
        <w:t xml:space="preserve"> </w:t>
      </w:r>
      <w:r w:rsidR="006B0C51" w:rsidRPr="003C2DF9">
        <w:rPr>
          <w:color w:val="000000" w:themeColor="text1"/>
        </w:rPr>
        <w:t>Treatment included as n</w:t>
      </w:r>
      <w:r w:rsidR="009D5F39" w:rsidRPr="003C2DF9">
        <w:rPr>
          <w:color w:val="000000" w:themeColor="text1"/>
        </w:rPr>
        <w:t xml:space="preserve">ovel agents </w:t>
      </w:r>
      <w:r w:rsidR="00CE1FAB" w:rsidRPr="003C2DF9">
        <w:rPr>
          <w:color w:val="000000" w:themeColor="text1"/>
        </w:rPr>
        <w:t>in the Australian guidelines</w:t>
      </w:r>
      <w:r w:rsidR="009D5F39" w:rsidRPr="003C2DF9">
        <w:rPr>
          <w:color w:val="000000" w:themeColor="text1"/>
        </w:rPr>
        <w:t xml:space="preserve"> </w:t>
      </w:r>
      <w:r w:rsidR="00CE1FAB" w:rsidRPr="003C2DF9">
        <w:rPr>
          <w:color w:val="000000" w:themeColor="text1"/>
        </w:rPr>
        <w:t xml:space="preserve">are </w:t>
      </w:r>
      <w:r w:rsidR="009D5F39" w:rsidRPr="003C2DF9">
        <w:rPr>
          <w:color w:val="000000" w:themeColor="text1"/>
        </w:rPr>
        <w:t>b</w:t>
      </w:r>
      <w:r w:rsidR="009F64C8" w:rsidRPr="003C2DF9">
        <w:rPr>
          <w:color w:val="000000" w:themeColor="text1"/>
        </w:rPr>
        <w:t>rentuximab vedotin</w:t>
      </w:r>
      <w:r w:rsidR="00173D94" w:rsidRPr="003C2DF9">
        <w:rPr>
          <w:color w:val="000000" w:themeColor="text1"/>
        </w:rPr>
        <w:t xml:space="preserve"> for patients with CD</w:t>
      </w:r>
      <w:r w:rsidR="00750703">
        <w:rPr>
          <w:color w:val="000000" w:themeColor="text1"/>
        </w:rPr>
        <w:noBreakHyphen/>
      </w:r>
      <w:r w:rsidR="00173D94" w:rsidRPr="003C2DF9">
        <w:rPr>
          <w:color w:val="000000" w:themeColor="text1"/>
        </w:rPr>
        <w:t>30 positive lymphomas other than ALCL</w:t>
      </w:r>
      <w:r w:rsidR="009F64C8" w:rsidRPr="003C2DF9">
        <w:rPr>
          <w:color w:val="000000" w:themeColor="text1"/>
        </w:rPr>
        <w:t>, pralatrexate, cyclos</w:t>
      </w:r>
      <w:r w:rsidR="00C067F6" w:rsidRPr="003C2DF9">
        <w:rPr>
          <w:color w:val="000000" w:themeColor="text1"/>
        </w:rPr>
        <w:t>porin</w:t>
      </w:r>
      <w:r w:rsidR="00A44E78" w:rsidRPr="003C2DF9">
        <w:rPr>
          <w:color w:val="000000" w:themeColor="text1"/>
        </w:rPr>
        <w:t>, and</w:t>
      </w:r>
      <w:r w:rsidR="009F64C8" w:rsidRPr="003C2DF9">
        <w:rPr>
          <w:color w:val="000000" w:themeColor="text1"/>
        </w:rPr>
        <w:t xml:space="preserve"> romidepsin and combinations</w:t>
      </w:r>
      <w:r w:rsidR="00356B6F" w:rsidRPr="003C2DF9">
        <w:rPr>
          <w:color w:val="000000" w:themeColor="text1"/>
        </w:rPr>
        <w:t xml:space="preserve"> with it</w:t>
      </w:r>
      <w:r w:rsidR="00A44E78" w:rsidRPr="003C2DF9">
        <w:rPr>
          <w:color w:val="000000" w:themeColor="text1"/>
        </w:rPr>
        <w:t xml:space="preserve">, including </w:t>
      </w:r>
      <w:r w:rsidR="009F64C8" w:rsidRPr="003C2DF9">
        <w:rPr>
          <w:color w:val="000000" w:themeColor="text1"/>
        </w:rPr>
        <w:t>romidepsin + p</w:t>
      </w:r>
      <w:r w:rsidR="00CE1FAB" w:rsidRPr="003C2DF9">
        <w:rPr>
          <w:color w:val="000000" w:themeColor="text1"/>
        </w:rPr>
        <w:t>r</w:t>
      </w:r>
      <w:r w:rsidR="009F64C8" w:rsidRPr="003C2DF9">
        <w:rPr>
          <w:color w:val="000000" w:themeColor="text1"/>
        </w:rPr>
        <w:t>alatrexate</w:t>
      </w:r>
      <w:r w:rsidR="00223467" w:rsidRPr="003C2DF9">
        <w:rPr>
          <w:color w:val="000000" w:themeColor="text1"/>
        </w:rPr>
        <w:t xml:space="preserve">, </w:t>
      </w:r>
      <w:r w:rsidR="009F64C8" w:rsidRPr="003C2DF9">
        <w:rPr>
          <w:color w:val="000000" w:themeColor="text1"/>
        </w:rPr>
        <w:t>romidepsin + azacitidine</w:t>
      </w:r>
      <w:r w:rsidR="00223467" w:rsidRPr="003C2DF9">
        <w:rPr>
          <w:color w:val="000000" w:themeColor="text1"/>
        </w:rPr>
        <w:t xml:space="preserve"> and romidepsin + lenalidomide</w:t>
      </w:r>
      <w:r w:rsidR="00DD2E3B" w:rsidRPr="003C2DF9">
        <w:rPr>
          <w:color w:val="000000" w:themeColor="text1"/>
        </w:rPr>
        <w:t xml:space="preserve">. </w:t>
      </w:r>
    </w:p>
    <w:p w14:paraId="3AC7D9C1" w14:textId="6B91960C" w:rsidR="00D459D6" w:rsidRPr="00187E06" w:rsidRDefault="00A7290D" w:rsidP="00750703">
      <w:pPr>
        <w:pStyle w:val="3-BodyText"/>
        <w:spacing w:before="160" w:after="160"/>
        <w:ind w:left="720"/>
        <w:rPr>
          <w:color w:val="000000" w:themeColor="text1"/>
        </w:rPr>
      </w:pPr>
      <w:r w:rsidRPr="00187E06">
        <w:rPr>
          <w:color w:val="000000" w:themeColor="text1"/>
        </w:rPr>
        <w:lastRenderedPageBreak/>
        <w:t xml:space="preserve">The ESC noted </w:t>
      </w:r>
      <w:r w:rsidR="00235447" w:rsidRPr="00187E06">
        <w:rPr>
          <w:color w:val="000000" w:themeColor="text1"/>
        </w:rPr>
        <w:t>R/R</w:t>
      </w:r>
      <w:r w:rsidR="00440E66" w:rsidRPr="00187E06">
        <w:rPr>
          <w:color w:val="000000" w:themeColor="text1"/>
        </w:rPr>
        <w:t xml:space="preserve"> </w:t>
      </w:r>
      <w:r w:rsidR="00235447" w:rsidRPr="00187E06">
        <w:rPr>
          <w:color w:val="000000" w:themeColor="text1"/>
        </w:rPr>
        <w:t>PTCL</w:t>
      </w:r>
      <w:r w:rsidR="00440E66" w:rsidRPr="00187E06">
        <w:rPr>
          <w:color w:val="000000" w:themeColor="text1"/>
        </w:rPr>
        <w:t xml:space="preserve"> </w:t>
      </w:r>
      <w:r w:rsidR="000C2663" w:rsidRPr="00187E06">
        <w:rPr>
          <w:color w:val="000000" w:themeColor="text1"/>
        </w:rPr>
        <w:t>that</w:t>
      </w:r>
      <w:r w:rsidR="00F41184" w:rsidRPr="00187E06">
        <w:rPr>
          <w:color w:val="000000" w:themeColor="text1"/>
        </w:rPr>
        <w:t xml:space="preserve"> treatment </w:t>
      </w:r>
      <w:r w:rsidR="000C2663" w:rsidRPr="00187E06">
        <w:rPr>
          <w:color w:val="000000" w:themeColor="text1"/>
        </w:rPr>
        <w:t xml:space="preserve">decisions </w:t>
      </w:r>
      <w:r w:rsidR="00F04399" w:rsidRPr="00187E06">
        <w:rPr>
          <w:color w:val="000000" w:themeColor="text1"/>
        </w:rPr>
        <w:t>should account for the stage of the disease when selecting thera</w:t>
      </w:r>
      <w:r w:rsidR="008F0184" w:rsidRPr="00187E06">
        <w:rPr>
          <w:color w:val="000000" w:themeColor="text1"/>
        </w:rPr>
        <w:t xml:space="preserve">py. The ESC stated that management may involve </w:t>
      </w:r>
      <w:r w:rsidR="00C73BDE" w:rsidRPr="00187E06">
        <w:rPr>
          <w:color w:val="000000" w:themeColor="text1"/>
        </w:rPr>
        <w:t xml:space="preserve">combination </w:t>
      </w:r>
      <w:r w:rsidR="008F0184" w:rsidRPr="00187E06">
        <w:rPr>
          <w:color w:val="000000" w:themeColor="text1"/>
        </w:rPr>
        <w:t>approaches</w:t>
      </w:r>
      <w:r w:rsidR="00FA6E99" w:rsidRPr="00187E06">
        <w:rPr>
          <w:color w:val="000000" w:themeColor="text1"/>
        </w:rPr>
        <w:t xml:space="preserve"> including </w:t>
      </w:r>
      <w:r w:rsidR="00D630B2" w:rsidRPr="00187E06">
        <w:rPr>
          <w:color w:val="000000" w:themeColor="text1"/>
        </w:rPr>
        <w:t>salvage chemotherapy</w:t>
      </w:r>
      <w:r w:rsidR="003C52B4" w:rsidRPr="00187E06">
        <w:rPr>
          <w:color w:val="000000" w:themeColor="text1"/>
        </w:rPr>
        <w:t>, allograft transplant</w:t>
      </w:r>
      <w:r w:rsidR="00FA6E99" w:rsidRPr="00187E06">
        <w:rPr>
          <w:color w:val="000000" w:themeColor="text1"/>
        </w:rPr>
        <w:t>ation</w:t>
      </w:r>
      <w:r w:rsidR="003C52B4" w:rsidRPr="00187E06">
        <w:rPr>
          <w:color w:val="000000" w:themeColor="text1"/>
        </w:rPr>
        <w:t xml:space="preserve"> and targeted agents to </w:t>
      </w:r>
      <w:r w:rsidR="00214791" w:rsidRPr="00187E06">
        <w:rPr>
          <w:color w:val="000000" w:themeColor="text1"/>
        </w:rPr>
        <w:t xml:space="preserve">get the best treatment possible and </w:t>
      </w:r>
      <w:r w:rsidR="003C52B4" w:rsidRPr="00187E06">
        <w:rPr>
          <w:color w:val="000000" w:themeColor="text1"/>
        </w:rPr>
        <w:t>improve outcomes</w:t>
      </w:r>
      <w:r w:rsidR="00243463" w:rsidRPr="00187E06">
        <w:rPr>
          <w:color w:val="000000" w:themeColor="text1"/>
        </w:rPr>
        <w:t xml:space="preserve"> based on the disease</w:t>
      </w:r>
      <w:r w:rsidR="002868FB" w:rsidRPr="00187E06">
        <w:rPr>
          <w:color w:val="000000" w:themeColor="text1"/>
        </w:rPr>
        <w:t xml:space="preserve"> stage</w:t>
      </w:r>
      <w:r w:rsidR="00243463" w:rsidRPr="00187E06">
        <w:rPr>
          <w:color w:val="000000" w:themeColor="text1"/>
        </w:rPr>
        <w:t xml:space="preserve">. </w:t>
      </w:r>
      <w:r w:rsidR="00C954FE" w:rsidRPr="00187E06">
        <w:rPr>
          <w:color w:val="000000" w:themeColor="text1"/>
        </w:rPr>
        <w:t xml:space="preserve">The ESC considered that </w:t>
      </w:r>
      <w:r w:rsidR="00134492" w:rsidRPr="00187E06">
        <w:rPr>
          <w:color w:val="000000" w:themeColor="text1"/>
        </w:rPr>
        <w:t xml:space="preserve">romidepsin </w:t>
      </w:r>
      <w:r w:rsidR="00FA5D38" w:rsidRPr="00187E06">
        <w:rPr>
          <w:color w:val="000000" w:themeColor="text1"/>
        </w:rPr>
        <w:t>may be</w:t>
      </w:r>
      <w:r w:rsidR="00134492" w:rsidRPr="00187E06">
        <w:rPr>
          <w:color w:val="000000" w:themeColor="text1"/>
        </w:rPr>
        <w:t xml:space="preserve"> used in </w:t>
      </w:r>
      <w:r w:rsidR="000A04B8" w:rsidRPr="00187E06">
        <w:rPr>
          <w:color w:val="000000" w:themeColor="text1"/>
        </w:rPr>
        <w:t xml:space="preserve">1) </w:t>
      </w:r>
      <w:r w:rsidR="00134492" w:rsidRPr="00187E06">
        <w:rPr>
          <w:color w:val="000000" w:themeColor="text1"/>
        </w:rPr>
        <w:t xml:space="preserve">sequence </w:t>
      </w:r>
      <w:r w:rsidR="005921FF" w:rsidRPr="00187E06">
        <w:rPr>
          <w:color w:val="000000" w:themeColor="text1"/>
        </w:rPr>
        <w:t>for patients who are well enough to use another agent</w:t>
      </w:r>
      <w:r w:rsidR="000B7D8A" w:rsidRPr="00187E06">
        <w:rPr>
          <w:color w:val="000000" w:themeColor="text1"/>
        </w:rPr>
        <w:t xml:space="preserve">, </w:t>
      </w:r>
      <w:r w:rsidR="000A04B8" w:rsidRPr="00187E06">
        <w:rPr>
          <w:color w:val="000000" w:themeColor="text1"/>
        </w:rPr>
        <w:t>2)</w:t>
      </w:r>
      <w:r w:rsidR="0043718B" w:rsidRPr="00187E06">
        <w:rPr>
          <w:color w:val="000000" w:themeColor="text1"/>
        </w:rPr>
        <w:t xml:space="preserve"> </w:t>
      </w:r>
      <w:r w:rsidR="000B7D8A" w:rsidRPr="00187E06">
        <w:rPr>
          <w:color w:val="000000" w:themeColor="text1"/>
        </w:rPr>
        <w:t>prior to pralatrexate</w:t>
      </w:r>
      <w:r w:rsidR="00717C9E" w:rsidRPr="00187E06">
        <w:rPr>
          <w:color w:val="000000" w:themeColor="text1"/>
        </w:rPr>
        <w:t xml:space="preserve"> in some patients</w:t>
      </w:r>
      <w:r w:rsidR="00C216B9" w:rsidRPr="00187E06">
        <w:rPr>
          <w:color w:val="000000" w:themeColor="text1"/>
        </w:rPr>
        <w:t xml:space="preserve">, </w:t>
      </w:r>
      <w:r w:rsidR="00D960A0">
        <w:rPr>
          <w:color w:val="000000" w:themeColor="text1"/>
        </w:rPr>
        <w:t xml:space="preserve">and </w:t>
      </w:r>
      <w:r w:rsidR="000A04B8" w:rsidRPr="00187E06">
        <w:rPr>
          <w:color w:val="000000" w:themeColor="text1"/>
        </w:rPr>
        <w:t xml:space="preserve">3) </w:t>
      </w:r>
      <w:r w:rsidR="00C216B9" w:rsidRPr="00187E06">
        <w:rPr>
          <w:color w:val="000000" w:themeColor="text1"/>
        </w:rPr>
        <w:t>in combination</w:t>
      </w:r>
      <w:r w:rsidR="00143DEF" w:rsidRPr="00187E06">
        <w:rPr>
          <w:color w:val="000000" w:themeColor="text1"/>
        </w:rPr>
        <w:t xml:space="preserve"> with</w:t>
      </w:r>
      <w:r w:rsidR="009364F9" w:rsidRPr="00187E06">
        <w:rPr>
          <w:color w:val="000000" w:themeColor="text1"/>
        </w:rPr>
        <w:t xml:space="preserve"> </w:t>
      </w:r>
      <w:r w:rsidR="00D960A0">
        <w:rPr>
          <w:color w:val="000000" w:themeColor="text1"/>
        </w:rPr>
        <w:t xml:space="preserve">other agents such as </w:t>
      </w:r>
      <w:r w:rsidR="009364F9" w:rsidRPr="00187E06">
        <w:rPr>
          <w:color w:val="000000" w:themeColor="text1"/>
        </w:rPr>
        <w:t>pralatrexate or</w:t>
      </w:r>
      <w:r w:rsidR="00143DEF" w:rsidRPr="00187E06">
        <w:rPr>
          <w:color w:val="000000" w:themeColor="text1"/>
        </w:rPr>
        <w:t xml:space="preserve"> </w:t>
      </w:r>
      <w:r w:rsidR="00F718DD">
        <w:rPr>
          <w:color w:val="000000" w:themeColor="text1"/>
        </w:rPr>
        <w:t xml:space="preserve">in combination with </w:t>
      </w:r>
      <w:r w:rsidR="00143DEF" w:rsidRPr="00187E06">
        <w:rPr>
          <w:color w:val="000000" w:themeColor="text1"/>
        </w:rPr>
        <w:t xml:space="preserve">azacitidine in some patients (particularly those who are </w:t>
      </w:r>
      <w:r w:rsidR="004F5660" w:rsidRPr="00187E06">
        <w:rPr>
          <w:color w:val="000000" w:themeColor="text1"/>
        </w:rPr>
        <w:t>being considered for allograft).</w:t>
      </w:r>
    </w:p>
    <w:p w14:paraId="73CC7458" w14:textId="5E143FEF" w:rsidR="0047394C" w:rsidRPr="00187E06" w:rsidRDefault="0047394C" w:rsidP="00750703">
      <w:pPr>
        <w:pStyle w:val="3-BodyText"/>
        <w:spacing w:before="160" w:after="160"/>
        <w:ind w:left="720"/>
        <w:rPr>
          <w:color w:val="000000" w:themeColor="text1"/>
        </w:rPr>
      </w:pPr>
      <w:r>
        <w:rPr>
          <w:color w:val="000000" w:themeColor="text1"/>
        </w:rPr>
        <w:t>The PBAC noted romidepsin</w:t>
      </w:r>
      <w:r w:rsidR="00194C2D" w:rsidRPr="00194C2D">
        <w:rPr>
          <w:color w:val="000000" w:themeColor="text1"/>
        </w:rPr>
        <w:t xml:space="preserve"> is a preferred second </w:t>
      </w:r>
      <w:r w:rsidR="00432F02">
        <w:rPr>
          <w:color w:val="000000" w:themeColor="text1"/>
        </w:rPr>
        <w:t xml:space="preserve">line </w:t>
      </w:r>
      <w:r w:rsidR="00194C2D" w:rsidRPr="00194C2D">
        <w:rPr>
          <w:color w:val="000000" w:themeColor="text1"/>
        </w:rPr>
        <w:t>and subsequent treatment regimen for patients with PTCL</w:t>
      </w:r>
      <w:r w:rsidR="00750703">
        <w:rPr>
          <w:color w:val="000000" w:themeColor="text1"/>
        </w:rPr>
        <w:noBreakHyphen/>
      </w:r>
      <w:r w:rsidR="00194C2D" w:rsidRPr="00194C2D">
        <w:rPr>
          <w:color w:val="000000" w:themeColor="text1"/>
        </w:rPr>
        <w:t>NOS, EATL, and AITL in the National Comprehensive Cancer Network Guidelines</w:t>
      </w:r>
      <w:r w:rsidR="00BB19A5">
        <w:rPr>
          <w:rStyle w:val="FootnoteReference"/>
          <w:color w:val="000000" w:themeColor="text1"/>
        </w:rPr>
        <w:footnoteReference w:id="8"/>
      </w:r>
      <w:r w:rsidR="00BB19A5">
        <w:rPr>
          <w:color w:val="000000" w:themeColor="text1"/>
        </w:rPr>
        <w:t>.</w:t>
      </w:r>
    </w:p>
    <w:p w14:paraId="631810C6" w14:textId="02FBAAC5" w:rsidR="00C067F6" w:rsidRDefault="00C067F6" w:rsidP="00750703">
      <w:pPr>
        <w:pStyle w:val="3-BodyText"/>
        <w:spacing w:before="160" w:after="160"/>
        <w:ind w:left="720"/>
      </w:pPr>
      <w:r>
        <w:t>Romidepsin is</w:t>
      </w:r>
      <w:r w:rsidR="00132A24">
        <w:t xml:space="preserve"> a cyclic </w:t>
      </w:r>
      <w:r w:rsidR="00E27B15">
        <w:t>depsipeptide</w:t>
      </w:r>
      <w:r w:rsidR="00132A24">
        <w:t xml:space="preserve"> isolated from a soil microbe</w:t>
      </w:r>
      <w:r w:rsidR="00E67896">
        <w:t xml:space="preserve"> and </w:t>
      </w:r>
      <w:r w:rsidR="00E27B15">
        <w:t>is</w:t>
      </w:r>
      <w:r w:rsidR="00132A24">
        <w:t xml:space="preserve"> </w:t>
      </w:r>
      <w:r>
        <w:t>an inhibitor of histone deacetylase</w:t>
      </w:r>
      <w:r w:rsidR="00784C3A">
        <w:t xml:space="preserve"> (HDAC). Acetylation and deacetylation of histones is an important mechanism modulating gene expression</w:t>
      </w:r>
      <w:r w:rsidR="0011419B">
        <w:t xml:space="preserve">, with </w:t>
      </w:r>
      <w:r w:rsidR="00FA0244">
        <w:t xml:space="preserve">inhibition of histone deacetylase and thus </w:t>
      </w:r>
      <w:r w:rsidR="0011419B">
        <w:t>i</w:t>
      </w:r>
      <w:r w:rsidR="00784C3A">
        <w:t xml:space="preserve">ncreased acetylation </w:t>
      </w:r>
      <w:r w:rsidR="003E7FB4">
        <w:t xml:space="preserve">broadly </w:t>
      </w:r>
      <w:r w:rsidR="0011419B">
        <w:t xml:space="preserve">enhancing </w:t>
      </w:r>
      <w:r w:rsidR="00784C3A">
        <w:t xml:space="preserve">gene expression. </w:t>
      </w:r>
      <w:r w:rsidR="003E7FB4">
        <w:t>The net effect in tumour cells is to promote cell cycle arrest and apoptosis.</w:t>
      </w:r>
    </w:p>
    <w:p w14:paraId="1100BA23" w14:textId="77777777" w:rsidR="00187E06" w:rsidRPr="00C33D30" w:rsidRDefault="00187E06" w:rsidP="00750703">
      <w:pPr>
        <w:ind w:firstLine="709"/>
        <w:rPr>
          <w:rFonts w:asciiTheme="minorHAnsi" w:hAnsiTheme="minorHAnsi"/>
          <w:i/>
        </w:rPr>
      </w:pPr>
      <w:r w:rsidRPr="00C33D30">
        <w:rPr>
          <w:rFonts w:asciiTheme="minorHAnsi" w:hAnsiTheme="minorHAnsi"/>
          <w:i/>
        </w:rPr>
        <w:t>For more detail on PBAC’s view, see section 7 PBAC outcome.</w:t>
      </w:r>
    </w:p>
    <w:p w14:paraId="51E5AE96" w14:textId="136A63B1" w:rsidR="00B50DB8" w:rsidRPr="0098262F" w:rsidRDefault="00B50DB8" w:rsidP="00750703">
      <w:pPr>
        <w:pStyle w:val="2-SectionHeading"/>
        <w:spacing w:before="160" w:after="160"/>
      </w:pPr>
      <w:bookmarkStart w:id="14" w:name="_Toc219197452"/>
      <w:r w:rsidRPr="0098262F">
        <w:t>Comparator</w:t>
      </w:r>
      <w:bookmarkEnd w:id="14"/>
    </w:p>
    <w:p w14:paraId="70B0C476" w14:textId="518B1574" w:rsidR="00976450" w:rsidRPr="00286CAC" w:rsidRDefault="003E7FB4" w:rsidP="00750703">
      <w:pPr>
        <w:pStyle w:val="3-BodyText"/>
        <w:spacing w:before="160" w:after="160"/>
        <w:ind w:left="720"/>
      </w:pPr>
      <w:r w:rsidRPr="00286CAC">
        <w:rPr>
          <w:color w:val="000000" w:themeColor="text1"/>
        </w:rPr>
        <w:t>The nominated comparator was pralatrexate.</w:t>
      </w:r>
      <w:r w:rsidR="00976450" w:rsidRPr="00286CAC">
        <w:rPr>
          <w:color w:val="000000" w:themeColor="text1"/>
        </w:rPr>
        <w:t xml:space="preserve"> </w:t>
      </w:r>
      <w:r w:rsidR="00113F78" w:rsidRPr="00187E06">
        <w:rPr>
          <w:color w:val="000000" w:themeColor="text1"/>
        </w:rPr>
        <w:t>T</w:t>
      </w:r>
      <w:r w:rsidR="00AD5A22" w:rsidRPr="00187E06">
        <w:rPr>
          <w:color w:val="000000" w:themeColor="text1"/>
        </w:rPr>
        <w:t>he ESC considered that pralatrexate was the appropriate comparator</w:t>
      </w:r>
      <w:r w:rsidR="00113F78" w:rsidRPr="00187E06">
        <w:rPr>
          <w:color w:val="000000" w:themeColor="text1"/>
        </w:rPr>
        <w:t>.</w:t>
      </w:r>
    </w:p>
    <w:p w14:paraId="63D35ECE" w14:textId="77777777" w:rsidR="00187E06" w:rsidRPr="00C33D30" w:rsidRDefault="00187E06" w:rsidP="00750703">
      <w:pPr>
        <w:ind w:firstLine="709"/>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98262F" w:rsidRDefault="00223D5A" w:rsidP="00750703">
      <w:pPr>
        <w:pStyle w:val="2-SectionHeading"/>
        <w:numPr>
          <w:ilvl w:val="0"/>
          <w:numId w:val="1"/>
        </w:numPr>
        <w:spacing w:before="160" w:after="160"/>
      </w:pPr>
      <w:bookmarkStart w:id="15" w:name="_Toc216599737"/>
      <w:bookmarkStart w:id="16" w:name="_Toc216701613"/>
      <w:bookmarkStart w:id="17" w:name="_Toc219197453"/>
      <w:bookmarkStart w:id="18" w:name="_Toc22897640"/>
      <w:bookmarkEnd w:id="15"/>
      <w:bookmarkEnd w:id="16"/>
      <w:r w:rsidRPr="0098262F">
        <w:t>Consideration of the evidence</w:t>
      </w:r>
      <w:bookmarkEnd w:id="17"/>
    </w:p>
    <w:p w14:paraId="03A60D78" w14:textId="77777777" w:rsidR="009C315C" w:rsidRPr="006E1229" w:rsidRDefault="009C315C" w:rsidP="00750703">
      <w:pPr>
        <w:pStyle w:val="4-SubsectionHeading"/>
        <w:spacing w:before="160" w:after="160"/>
      </w:pPr>
      <w:bookmarkStart w:id="19" w:name="_Toc219197454"/>
      <w:r w:rsidRPr="006E1229">
        <w:t>Sponsor hearing</w:t>
      </w:r>
    </w:p>
    <w:p w14:paraId="2C5BDE60" w14:textId="181B91A1" w:rsidR="009C315C" w:rsidRPr="00F91542" w:rsidRDefault="009C315C" w:rsidP="00750703">
      <w:pPr>
        <w:numPr>
          <w:ilvl w:val="1"/>
          <w:numId w:val="1"/>
        </w:numPr>
        <w:spacing w:after="120"/>
        <w:ind w:left="720"/>
        <w:rPr>
          <w:rFonts w:cs="Calibri"/>
          <w:bCs/>
          <w:snapToGrid w:val="0"/>
        </w:rPr>
      </w:pPr>
      <w:r w:rsidRPr="00F91542">
        <w:rPr>
          <w:rFonts w:cs="Calibri"/>
          <w:bCs/>
          <w:snapToGrid w:val="0"/>
        </w:rPr>
        <w:t>There was no hearing for this item.</w:t>
      </w:r>
    </w:p>
    <w:p w14:paraId="4513D9A6" w14:textId="32324353" w:rsidR="009C315C" w:rsidRPr="006E1229" w:rsidRDefault="009C315C" w:rsidP="00750703">
      <w:pPr>
        <w:pStyle w:val="4-SubsectionHeading"/>
        <w:spacing w:before="160" w:after="160"/>
      </w:pPr>
      <w:r w:rsidRPr="006E1229">
        <w:t xml:space="preserve">Consumer </w:t>
      </w:r>
      <w:r>
        <w:t>input</w:t>
      </w:r>
    </w:p>
    <w:p w14:paraId="5B167CA8" w14:textId="3BD3C2C1" w:rsidR="009C315C" w:rsidRDefault="009C315C" w:rsidP="00750703">
      <w:pPr>
        <w:numPr>
          <w:ilvl w:val="1"/>
          <w:numId w:val="1"/>
        </w:numPr>
        <w:spacing w:after="120"/>
        <w:ind w:left="720"/>
        <w:rPr>
          <w:rFonts w:asciiTheme="minorHAnsi" w:hAnsiTheme="minorHAnsi"/>
          <w:bCs/>
          <w:snapToGrid w:val="0"/>
        </w:rPr>
      </w:pPr>
      <w:r w:rsidRPr="00836F75">
        <w:rPr>
          <w:rFonts w:asciiTheme="minorHAnsi" w:hAnsiTheme="minorHAnsi"/>
          <w:bCs/>
          <w:snapToGrid w:val="0"/>
        </w:rPr>
        <w:t>The PBAC noted and welcomed the input from individuals (</w:t>
      </w:r>
      <w:r w:rsidR="00111877">
        <w:rPr>
          <w:rFonts w:asciiTheme="minorHAnsi" w:hAnsiTheme="minorHAnsi"/>
          <w:bCs/>
          <w:snapToGrid w:val="0"/>
        </w:rPr>
        <w:t>2</w:t>
      </w:r>
      <w:r w:rsidRPr="00836F75">
        <w:rPr>
          <w:rFonts w:asciiTheme="minorHAnsi" w:hAnsiTheme="minorHAnsi"/>
          <w:bCs/>
          <w:snapToGrid w:val="0"/>
        </w:rPr>
        <w:t>), health care professionals (1</w:t>
      </w:r>
      <w:r w:rsidR="00353C13">
        <w:rPr>
          <w:rFonts w:asciiTheme="minorHAnsi" w:hAnsiTheme="minorHAnsi"/>
          <w:bCs/>
          <w:snapToGrid w:val="0"/>
        </w:rPr>
        <w:t>7</w:t>
      </w:r>
      <w:r w:rsidRPr="00836F75">
        <w:rPr>
          <w:rFonts w:asciiTheme="minorHAnsi" w:hAnsiTheme="minorHAnsi"/>
          <w:bCs/>
          <w:snapToGrid w:val="0"/>
        </w:rPr>
        <w:t>) and organisations (</w:t>
      </w:r>
      <w:r w:rsidR="005C3C61">
        <w:rPr>
          <w:rFonts w:asciiTheme="minorHAnsi" w:hAnsiTheme="minorHAnsi"/>
          <w:bCs/>
          <w:snapToGrid w:val="0"/>
        </w:rPr>
        <w:t>the</w:t>
      </w:r>
      <w:r w:rsidR="00484E3F">
        <w:rPr>
          <w:rFonts w:asciiTheme="minorHAnsi" w:hAnsiTheme="minorHAnsi"/>
          <w:bCs/>
          <w:snapToGrid w:val="0"/>
        </w:rPr>
        <w:t xml:space="preserve"> Snowdome Foundation, </w:t>
      </w:r>
      <w:r w:rsidR="0032491E">
        <w:rPr>
          <w:rFonts w:asciiTheme="minorHAnsi" w:hAnsiTheme="minorHAnsi"/>
          <w:bCs/>
          <w:snapToGrid w:val="0"/>
        </w:rPr>
        <w:t>Lymphoma Australia and</w:t>
      </w:r>
      <w:r w:rsidR="00836E17">
        <w:rPr>
          <w:rFonts w:asciiTheme="minorHAnsi" w:hAnsiTheme="minorHAnsi"/>
          <w:bCs/>
          <w:snapToGrid w:val="0"/>
        </w:rPr>
        <w:t xml:space="preserve"> Rare Cancers Australia</w:t>
      </w:r>
      <w:r w:rsidRPr="00836F75">
        <w:rPr>
          <w:rFonts w:asciiTheme="minorHAnsi" w:hAnsiTheme="minorHAnsi"/>
          <w:bCs/>
          <w:snapToGrid w:val="0"/>
        </w:rPr>
        <w:t xml:space="preserve">) via the </w:t>
      </w:r>
      <w:r w:rsidRPr="00A46D6F">
        <w:rPr>
          <w:rFonts w:asciiTheme="minorHAnsi" w:hAnsiTheme="minorHAnsi"/>
          <w:bCs/>
          <w:snapToGrid w:val="0"/>
        </w:rPr>
        <w:t>Office of Health Technology Assessment Consultation Hub</w:t>
      </w:r>
      <w:r w:rsidRPr="00836F75">
        <w:rPr>
          <w:rFonts w:asciiTheme="minorHAnsi" w:hAnsiTheme="minorHAnsi"/>
          <w:bCs/>
          <w:snapToGrid w:val="0"/>
        </w:rPr>
        <w:t>.</w:t>
      </w:r>
      <w:r w:rsidR="00750703">
        <w:rPr>
          <w:rFonts w:asciiTheme="minorHAnsi" w:hAnsiTheme="minorHAnsi"/>
          <w:bCs/>
          <w:snapToGrid w:val="0"/>
        </w:rPr>
        <w:t xml:space="preserve"> </w:t>
      </w:r>
      <w:r w:rsidRPr="00836F75">
        <w:rPr>
          <w:rFonts w:asciiTheme="minorHAnsi" w:hAnsiTheme="minorHAnsi"/>
          <w:bCs/>
          <w:snapToGrid w:val="0"/>
        </w:rPr>
        <w:t xml:space="preserve">The </w:t>
      </w:r>
      <w:r>
        <w:rPr>
          <w:rFonts w:asciiTheme="minorHAnsi" w:hAnsiTheme="minorHAnsi"/>
          <w:bCs/>
          <w:snapToGrid w:val="0"/>
        </w:rPr>
        <w:t>inputs</w:t>
      </w:r>
      <w:r w:rsidRPr="00836F75">
        <w:rPr>
          <w:rFonts w:asciiTheme="minorHAnsi" w:hAnsiTheme="minorHAnsi"/>
          <w:bCs/>
          <w:snapToGrid w:val="0"/>
        </w:rPr>
        <w:t xml:space="preserve"> described </w:t>
      </w:r>
      <w:r w:rsidR="008A3374">
        <w:rPr>
          <w:rFonts w:asciiTheme="minorHAnsi" w:hAnsiTheme="minorHAnsi"/>
          <w:bCs/>
          <w:snapToGrid w:val="0"/>
        </w:rPr>
        <w:t>PTCL</w:t>
      </w:r>
      <w:r w:rsidR="00CD1B18">
        <w:rPr>
          <w:rFonts w:asciiTheme="minorHAnsi" w:hAnsiTheme="minorHAnsi"/>
          <w:bCs/>
          <w:snapToGrid w:val="0"/>
        </w:rPr>
        <w:t xml:space="preserve"> </w:t>
      </w:r>
      <w:r w:rsidR="006A0B55" w:rsidRPr="006A0B55">
        <w:rPr>
          <w:rFonts w:asciiTheme="minorHAnsi" w:hAnsiTheme="minorHAnsi"/>
          <w:bCs/>
          <w:snapToGrid w:val="0"/>
        </w:rPr>
        <w:t>as a rare, aggressive and therapeutically underserved malignancy, with poor response durability, high relapse rates, and few effective salvage option</w:t>
      </w:r>
      <w:r w:rsidR="00415FF8">
        <w:rPr>
          <w:rFonts w:asciiTheme="minorHAnsi" w:hAnsiTheme="minorHAnsi"/>
          <w:bCs/>
          <w:snapToGrid w:val="0"/>
        </w:rPr>
        <w:t>s</w:t>
      </w:r>
      <w:r w:rsidR="00CD1B18">
        <w:rPr>
          <w:rFonts w:asciiTheme="minorHAnsi" w:hAnsiTheme="minorHAnsi"/>
          <w:bCs/>
          <w:snapToGrid w:val="0"/>
        </w:rPr>
        <w:t xml:space="preserve">. The inputs described the </w:t>
      </w:r>
      <w:r w:rsidR="00357481">
        <w:rPr>
          <w:rFonts w:asciiTheme="minorHAnsi" w:hAnsiTheme="minorHAnsi"/>
          <w:bCs/>
          <w:snapToGrid w:val="0"/>
        </w:rPr>
        <w:t xml:space="preserve">poor prognosis for patients with </w:t>
      </w:r>
      <w:r w:rsidR="00357481">
        <w:rPr>
          <w:rFonts w:asciiTheme="minorHAnsi" w:hAnsiTheme="minorHAnsi"/>
          <w:bCs/>
          <w:snapToGrid w:val="0"/>
        </w:rPr>
        <w:lastRenderedPageBreak/>
        <w:t>R/R PTCL</w:t>
      </w:r>
      <w:r w:rsidR="00DE1F7C">
        <w:rPr>
          <w:rFonts w:asciiTheme="minorHAnsi" w:hAnsiTheme="minorHAnsi"/>
          <w:bCs/>
          <w:snapToGrid w:val="0"/>
        </w:rPr>
        <w:t xml:space="preserve">, the anxiety caused by lack of access to </w:t>
      </w:r>
      <w:r w:rsidR="003353B4">
        <w:rPr>
          <w:rFonts w:asciiTheme="minorHAnsi" w:hAnsiTheme="minorHAnsi"/>
          <w:bCs/>
          <w:snapToGrid w:val="0"/>
        </w:rPr>
        <w:t>affordable treatment options</w:t>
      </w:r>
      <w:r w:rsidR="008D2180">
        <w:rPr>
          <w:rFonts w:asciiTheme="minorHAnsi" w:hAnsiTheme="minorHAnsi"/>
          <w:bCs/>
          <w:snapToGrid w:val="0"/>
        </w:rPr>
        <w:t>,</w:t>
      </w:r>
      <w:r w:rsidR="00357481">
        <w:rPr>
          <w:rFonts w:asciiTheme="minorHAnsi" w:hAnsiTheme="minorHAnsi"/>
          <w:bCs/>
          <w:snapToGrid w:val="0"/>
        </w:rPr>
        <w:t xml:space="preserve"> </w:t>
      </w:r>
      <w:r w:rsidR="00416821">
        <w:rPr>
          <w:rFonts w:asciiTheme="minorHAnsi" w:hAnsiTheme="minorHAnsi"/>
          <w:bCs/>
          <w:snapToGrid w:val="0"/>
        </w:rPr>
        <w:t xml:space="preserve">and </w:t>
      </w:r>
      <w:r w:rsidR="00357481">
        <w:rPr>
          <w:rFonts w:asciiTheme="minorHAnsi" w:hAnsiTheme="minorHAnsi"/>
          <w:bCs/>
          <w:snapToGrid w:val="0"/>
        </w:rPr>
        <w:t xml:space="preserve">the potential for romidepsin to </w:t>
      </w:r>
      <w:r w:rsidR="00784709">
        <w:rPr>
          <w:rFonts w:asciiTheme="minorHAnsi" w:hAnsiTheme="minorHAnsi"/>
          <w:bCs/>
          <w:snapToGrid w:val="0"/>
        </w:rPr>
        <w:t>improve symptoms</w:t>
      </w:r>
      <w:r w:rsidR="00C31F54">
        <w:rPr>
          <w:rFonts w:asciiTheme="minorHAnsi" w:hAnsiTheme="minorHAnsi"/>
          <w:bCs/>
          <w:snapToGrid w:val="0"/>
        </w:rPr>
        <w:t>, reduce time spent in hospital</w:t>
      </w:r>
      <w:r w:rsidR="007D0E7B">
        <w:rPr>
          <w:rFonts w:asciiTheme="minorHAnsi" w:hAnsiTheme="minorHAnsi"/>
          <w:bCs/>
          <w:snapToGrid w:val="0"/>
        </w:rPr>
        <w:t xml:space="preserve"> </w:t>
      </w:r>
      <w:r w:rsidR="008D2180">
        <w:rPr>
          <w:rFonts w:asciiTheme="minorHAnsi" w:hAnsiTheme="minorHAnsi"/>
          <w:bCs/>
          <w:snapToGrid w:val="0"/>
        </w:rPr>
        <w:t xml:space="preserve">and </w:t>
      </w:r>
      <w:r w:rsidR="00784709">
        <w:rPr>
          <w:rFonts w:asciiTheme="minorHAnsi" w:hAnsiTheme="minorHAnsi"/>
          <w:bCs/>
          <w:snapToGrid w:val="0"/>
        </w:rPr>
        <w:t>help</w:t>
      </w:r>
      <w:r w:rsidR="00585DF4">
        <w:rPr>
          <w:rFonts w:asciiTheme="minorHAnsi" w:hAnsiTheme="minorHAnsi"/>
          <w:bCs/>
          <w:snapToGrid w:val="0"/>
        </w:rPr>
        <w:t xml:space="preserve"> patients remain independent and connected to their community</w:t>
      </w:r>
      <w:r w:rsidR="007D0E7B">
        <w:rPr>
          <w:rFonts w:asciiTheme="minorHAnsi" w:hAnsiTheme="minorHAnsi"/>
          <w:bCs/>
          <w:snapToGrid w:val="0"/>
        </w:rPr>
        <w:t xml:space="preserve">. </w:t>
      </w:r>
      <w:r w:rsidR="0067182D">
        <w:rPr>
          <w:rFonts w:asciiTheme="minorHAnsi" w:hAnsiTheme="minorHAnsi"/>
          <w:bCs/>
          <w:snapToGrid w:val="0"/>
        </w:rPr>
        <w:t xml:space="preserve">Health care professionals noted that </w:t>
      </w:r>
      <w:r w:rsidR="00FA1378">
        <w:rPr>
          <w:rFonts w:asciiTheme="minorHAnsi" w:hAnsiTheme="minorHAnsi"/>
          <w:bCs/>
          <w:snapToGrid w:val="0"/>
        </w:rPr>
        <w:t>respon</w:t>
      </w:r>
      <w:r w:rsidR="0030599F">
        <w:rPr>
          <w:rFonts w:asciiTheme="minorHAnsi" w:hAnsiTheme="minorHAnsi"/>
          <w:bCs/>
          <w:snapToGrid w:val="0"/>
        </w:rPr>
        <w:t>se</w:t>
      </w:r>
      <w:r w:rsidR="00FA1378">
        <w:rPr>
          <w:rFonts w:asciiTheme="minorHAnsi" w:hAnsiTheme="minorHAnsi"/>
          <w:bCs/>
          <w:snapToGrid w:val="0"/>
        </w:rPr>
        <w:t xml:space="preserve"> to romidepsin </w:t>
      </w:r>
      <w:r w:rsidR="0030599F">
        <w:rPr>
          <w:rFonts w:asciiTheme="minorHAnsi" w:hAnsiTheme="minorHAnsi"/>
          <w:bCs/>
          <w:snapToGrid w:val="0"/>
        </w:rPr>
        <w:t>is</w:t>
      </w:r>
      <w:r w:rsidR="00FA1378">
        <w:rPr>
          <w:rFonts w:asciiTheme="minorHAnsi" w:hAnsiTheme="minorHAnsi"/>
          <w:bCs/>
          <w:snapToGrid w:val="0"/>
        </w:rPr>
        <w:t xml:space="preserve"> quick, thus limiting </w:t>
      </w:r>
      <w:r w:rsidR="0030599F">
        <w:rPr>
          <w:rFonts w:asciiTheme="minorHAnsi" w:hAnsiTheme="minorHAnsi"/>
          <w:bCs/>
          <w:snapToGrid w:val="0"/>
        </w:rPr>
        <w:t xml:space="preserve">long </w:t>
      </w:r>
      <w:r w:rsidR="0058411D">
        <w:rPr>
          <w:rFonts w:asciiTheme="minorHAnsi" w:hAnsiTheme="minorHAnsi"/>
          <w:bCs/>
          <w:snapToGrid w:val="0"/>
        </w:rPr>
        <w:t>unnecessary use in non</w:t>
      </w:r>
      <w:r w:rsidR="00750703">
        <w:rPr>
          <w:rFonts w:asciiTheme="minorHAnsi" w:hAnsiTheme="minorHAnsi"/>
          <w:bCs/>
          <w:snapToGrid w:val="0"/>
        </w:rPr>
        <w:noBreakHyphen/>
      </w:r>
      <w:r w:rsidR="0058411D">
        <w:rPr>
          <w:rFonts w:asciiTheme="minorHAnsi" w:hAnsiTheme="minorHAnsi"/>
          <w:bCs/>
          <w:snapToGrid w:val="0"/>
        </w:rPr>
        <w:t xml:space="preserve">responders. </w:t>
      </w:r>
      <w:r w:rsidR="0088409D">
        <w:rPr>
          <w:rFonts w:asciiTheme="minorHAnsi" w:hAnsiTheme="minorHAnsi"/>
          <w:bCs/>
          <w:snapToGrid w:val="0"/>
        </w:rPr>
        <w:t xml:space="preserve">Safety was described as predictable and manageable. </w:t>
      </w:r>
      <w:r w:rsidR="0058411D">
        <w:rPr>
          <w:rFonts w:asciiTheme="minorHAnsi" w:hAnsiTheme="minorHAnsi"/>
          <w:bCs/>
          <w:snapToGrid w:val="0"/>
        </w:rPr>
        <w:t>The</w:t>
      </w:r>
      <w:r w:rsidR="007D0E7B">
        <w:rPr>
          <w:rFonts w:asciiTheme="minorHAnsi" w:hAnsiTheme="minorHAnsi"/>
          <w:bCs/>
          <w:snapToGrid w:val="0"/>
        </w:rPr>
        <w:t xml:space="preserve"> input also stated that romidepsin can</w:t>
      </w:r>
      <w:r w:rsidR="00585DF4">
        <w:rPr>
          <w:rFonts w:asciiTheme="minorHAnsi" w:hAnsiTheme="minorHAnsi"/>
          <w:bCs/>
          <w:snapToGrid w:val="0"/>
        </w:rPr>
        <w:t xml:space="preserve"> </w:t>
      </w:r>
      <w:r w:rsidR="00357481">
        <w:rPr>
          <w:rFonts w:asciiTheme="minorHAnsi" w:hAnsiTheme="minorHAnsi"/>
          <w:bCs/>
          <w:snapToGrid w:val="0"/>
        </w:rPr>
        <w:t>be used as a bridge</w:t>
      </w:r>
      <w:r w:rsidR="0071672B">
        <w:rPr>
          <w:rFonts w:asciiTheme="minorHAnsi" w:hAnsiTheme="minorHAnsi"/>
          <w:bCs/>
          <w:snapToGrid w:val="0"/>
        </w:rPr>
        <w:t xml:space="preserve"> to </w:t>
      </w:r>
      <w:r w:rsidR="001D2BCE">
        <w:rPr>
          <w:rFonts w:asciiTheme="minorHAnsi" w:hAnsiTheme="minorHAnsi"/>
          <w:bCs/>
          <w:snapToGrid w:val="0"/>
        </w:rPr>
        <w:t xml:space="preserve">stem cell </w:t>
      </w:r>
      <w:r w:rsidR="0071672B">
        <w:rPr>
          <w:rFonts w:asciiTheme="minorHAnsi" w:hAnsiTheme="minorHAnsi"/>
          <w:bCs/>
          <w:snapToGrid w:val="0"/>
        </w:rPr>
        <w:t>transplant</w:t>
      </w:r>
      <w:r w:rsidR="00585DF4">
        <w:rPr>
          <w:rFonts w:asciiTheme="minorHAnsi" w:hAnsiTheme="minorHAnsi"/>
          <w:bCs/>
          <w:snapToGrid w:val="0"/>
        </w:rPr>
        <w:t xml:space="preserve"> in patients eligible for transplant</w:t>
      </w:r>
      <w:r w:rsidR="0071672B">
        <w:rPr>
          <w:rFonts w:asciiTheme="minorHAnsi" w:hAnsiTheme="minorHAnsi"/>
          <w:bCs/>
          <w:snapToGrid w:val="0"/>
        </w:rPr>
        <w:t xml:space="preserve">. </w:t>
      </w:r>
      <w:r w:rsidRPr="00836F75">
        <w:rPr>
          <w:rFonts w:asciiTheme="minorHAnsi" w:hAnsiTheme="minorHAnsi"/>
          <w:bCs/>
          <w:snapToGrid w:val="0"/>
        </w:rPr>
        <w:t>The PBAC noted that this advice was supportive of the evidence provided in the submission.</w:t>
      </w:r>
    </w:p>
    <w:p w14:paraId="609C0765" w14:textId="12F35469" w:rsidR="00B60939" w:rsidRPr="0098262F" w:rsidRDefault="00B60939" w:rsidP="00750703">
      <w:pPr>
        <w:pStyle w:val="4-SubsectionHeading"/>
        <w:spacing w:before="160" w:after="160"/>
      </w:pPr>
      <w:r w:rsidRPr="0098262F">
        <w:t xml:space="preserve">Clinical </w:t>
      </w:r>
      <w:r w:rsidR="00D5243B" w:rsidRPr="0098262F">
        <w:t>studies</w:t>
      </w:r>
      <w:bookmarkEnd w:id="18"/>
      <w:bookmarkEnd w:id="19"/>
    </w:p>
    <w:p w14:paraId="4D769451" w14:textId="50031E99" w:rsidR="005A4FBF" w:rsidRPr="00C77537" w:rsidRDefault="001A4ACD" w:rsidP="00750703">
      <w:pPr>
        <w:pStyle w:val="3-BodyText"/>
        <w:spacing w:before="160" w:after="160"/>
        <w:ind w:left="720"/>
        <w:rPr>
          <w:color w:val="000000" w:themeColor="text1"/>
        </w:rPr>
      </w:pPr>
      <w:r w:rsidRPr="00C77537">
        <w:rPr>
          <w:color w:val="000000" w:themeColor="text1"/>
        </w:rPr>
        <w:t xml:space="preserve">The submission relied on </w:t>
      </w:r>
      <w:r w:rsidR="00612F64" w:rsidRPr="00C77537">
        <w:rPr>
          <w:color w:val="000000" w:themeColor="text1"/>
        </w:rPr>
        <w:t>published</w:t>
      </w:r>
      <w:r w:rsidRPr="00C77537">
        <w:rPr>
          <w:color w:val="000000" w:themeColor="text1"/>
        </w:rPr>
        <w:t xml:space="preserve"> data from three studies, two with romidepsin and one with pralatrexate. All were prospectively collected case series (single arm</w:t>
      </w:r>
      <w:r w:rsidR="008A4ACD" w:rsidRPr="00C77537">
        <w:rPr>
          <w:color w:val="000000" w:themeColor="text1"/>
        </w:rPr>
        <w:t>, open</w:t>
      </w:r>
      <w:r w:rsidR="00750703">
        <w:rPr>
          <w:color w:val="000000" w:themeColor="text1"/>
        </w:rPr>
        <w:noBreakHyphen/>
      </w:r>
      <w:r w:rsidR="008A4ACD" w:rsidRPr="00C77537">
        <w:rPr>
          <w:color w:val="000000" w:themeColor="text1"/>
        </w:rPr>
        <w:t>label</w:t>
      </w:r>
      <w:r w:rsidRPr="00C77537">
        <w:rPr>
          <w:color w:val="000000" w:themeColor="text1"/>
        </w:rPr>
        <w:t xml:space="preserve"> trials)</w:t>
      </w:r>
      <w:r w:rsidR="00597EB7" w:rsidRPr="00C77537">
        <w:rPr>
          <w:color w:val="000000" w:themeColor="text1"/>
        </w:rPr>
        <w:t>, although some data in the main romidepsin trial was retrospective</w:t>
      </w:r>
      <w:r w:rsidRPr="00C77537">
        <w:rPr>
          <w:color w:val="000000" w:themeColor="text1"/>
        </w:rPr>
        <w:t xml:space="preserve">. All three studies were considered by PBAC when romidepsin and pralatrexate were considered in 2016 and 2017. </w:t>
      </w:r>
      <w:r w:rsidR="005A4FBF" w:rsidRPr="00C77537">
        <w:rPr>
          <w:color w:val="000000" w:themeColor="text1"/>
        </w:rPr>
        <w:t>These studies are listed in</w:t>
      </w:r>
      <w:r w:rsidR="004739D4" w:rsidRPr="00C77537">
        <w:rPr>
          <w:color w:val="000000" w:themeColor="text1"/>
        </w:rPr>
        <w:t xml:space="preserve"> </w:t>
      </w:r>
      <w:r w:rsidR="004739D4" w:rsidRPr="00C77537">
        <w:rPr>
          <w:color w:val="000000" w:themeColor="text1"/>
        </w:rPr>
        <w:fldChar w:fldCharType="begin"/>
      </w:r>
      <w:r w:rsidR="004739D4" w:rsidRPr="00C77537">
        <w:rPr>
          <w:color w:val="000000" w:themeColor="text1"/>
        </w:rPr>
        <w:instrText xml:space="preserve"> REF _Ref215736723 \h </w:instrText>
      </w:r>
      <w:r w:rsidR="00286CAC" w:rsidRPr="00C77537">
        <w:rPr>
          <w:color w:val="000000" w:themeColor="text1"/>
        </w:rPr>
        <w:instrText xml:space="preserve"> \* MERGEFORMAT </w:instrText>
      </w:r>
      <w:r w:rsidR="004739D4" w:rsidRPr="00C77537">
        <w:rPr>
          <w:color w:val="000000" w:themeColor="text1"/>
        </w:rPr>
      </w:r>
      <w:r w:rsidR="004739D4" w:rsidRPr="00C77537">
        <w:rPr>
          <w:color w:val="000000" w:themeColor="text1"/>
        </w:rPr>
        <w:fldChar w:fldCharType="separate"/>
      </w:r>
      <w:r w:rsidR="004739D4" w:rsidRPr="00286CAC">
        <w:t xml:space="preserve">Table </w:t>
      </w:r>
      <w:r w:rsidR="004739D4" w:rsidRPr="00286CAC">
        <w:rPr>
          <w:noProof/>
        </w:rPr>
        <w:t>2</w:t>
      </w:r>
      <w:r w:rsidR="004739D4" w:rsidRPr="00C77537">
        <w:rPr>
          <w:color w:val="000000" w:themeColor="text1"/>
        </w:rPr>
        <w:fldChar w:fldCharType="end"/>
      </w:r>
      <w:r w:rsidR="005A4FBF" w:rsidRPr="00C77537">
        <w:rPr>
          <w:color w:val="000000" w:themeColor="text1"/>
        </w:rPr>
        <w:t xml:space="preserve">. </w:t>
      </w:r>
    </w:p>
    <w:p w14:paraId="6DBF7D4D" w14:textId="28584FBE" w:rsidR="00384B26" w:rsidRPr="00286CAC" w:rsidRDefault="00384B26" w:rsidP="00750703">
      <w:pPr>
        <w:pStyle w:val="3-BodyText"/>
        <w:spacing w:before="160" w:after="160"/>
        <w:ind w:left="720"/>
        <w:rPr>
          <w:color w:val="000000" w:themeColor="text1"/>
        </w:rPr>
      </w:pPr>
      <w:r w:rsidRPr="00286CAC">
        <w:t>One study identified by the literature search</w:t>
      </w:r>
      <w:r w:rsidR="004739D4" w:rsidRPr="00286CAC">
        <w:t xml:space="preserve"> in the submission</w:t>
      </w:r>
      <w:r w:rsidRPr="00286CAC">
        <w:t xml:space="preserve"> </w:t>
      </w:r>
      <w:r w:rsidR="00984EB4" w:rsidRPr="00286CAC">
        <w:t>(Maruyama</w:t>
      </w:r>
      <w:r w:rsidR="008428F7" w:rsidRPr="00286CAC">
        <w:t xml:space="preserve"> et al</w:t>
      </w:r>
      <w:r w:rsidR="000C7EB6">
        <w:t>.</w:t>
      </w:r>
      <w:r w:rsidR="008428F7" w:rsidRPr="00286CAC">
        <w:t xml:space="preserve">, 2017) </w:t>
      </w:r>
      <w:r w:rsidRPr="00286CAC">
        <w:t xml:space="preserve">was </w:t>
      </w:r>
      <w:r w:rsidR="00B04F77">
        <w:t xml:space="preserve">considered to have been </w:t>
      </w:r>
      <w:r w:rsidRPr="00286CAC">
        <w:t>inappropriately excluded. This was NCT01456039, a Phase I/II open</w:t>
      </w:r>
      <w:r w:rsidR="00750703">
        <w:noBreakHyphen/>
      </w:r>
      <w:r w:rsidRPr="00286CAC">
        <w:t>label, single</w:t>
      </w:r>
      <w:r w:rsidR="00750703">
        <w:noBreakHyphen/>
      </w:r>
      <w:r w:rsidRPr="00286CAC">
        <w:t>arm study of romidepsin in Japanese patients with R/R PTCL and CTCL (N = 48 with PTCL).</w:t>
      </w:r>
      <w:r w:rsidRPr="00286CAC">
        <w:rPr>
          <w:rStyle w:val="FootnoteReference"/>
        </w:rPr>
        <w:footnoteReference w:id="9"/>
      </w:r>
      <w:r w:rsidRPr="00286CAC">
        <w:t xml:space="preserve"> Insufficient efficacy data </w:t>
      </w:r>
      <w:r w:rsidR="004739D4" w:rsidRPr="00286CAC">
        <w:t>were</w:t>
      </w:r>
      <w:r w:rsidRPr="00286CAC">
        <w:t xml:space="preserve"> available to compare the results with the submitted trials, but adverse event</w:t>
      </w:r>
      <w:r w:rsidR="003D386E" w:rsidRPr="00286CAC">
        <w:t xml:space="preserve"> data</w:t>
      </w:r>
      <w:r w:rsidRPr="00286CAC">
        <w:t xml:space="preserve"> </w:t>
      </w:r>
      <w:r w:rsidR="004739D4" w:rsidRPr="00286CAC">
        <w:t xml:space="preserve">have </w:t>
      </w:r>
      <w:r w:rsidRPr="00286CAC">
        <w:t>be</w:t>
      </w:r>
      <w:r w:rsidR="004739D4" w:rsidRPr="00286CAC">
        <w:t>en</w:t>
      </w:r>
      <w:r w:rsidRPr="00286CAC">
        <w:t xml:space="preserve"> include</w:t>
      </w:r>
      <w:r w:rsidR="004739D4" w:rsidRPr="00286CAC">
        <w:t xml:space="preserve">d </w:t>
      </w:r>
      <w:r w:rsidR="00967EDB">
        <w:t>herein</w:t>
      </w:r>
      <w:r w:rsidR="004739D4" w:rsidRPr="00286CAC">
        <w:t>.</w:t>
      </w:r>
      <w:r w:rsidRPr="00286CAC">
        <w:t xml:space="preserve"> </w:t>
      </w:r>
    </w:p>
    <w:p w14:paraId="04AE8756" w14:textId="6B92C621" w:rsidR="004D11BA" w:rsidRPr="00286CAC" w:rsidRDefault="00537B36" w:rsidP="00750703">
      <w:pPr>
        <w:pStyle w:val="3-BodyText"/>
        <w:spacing w:before="160" w:after="160"/>
        <w:ind w:left="720"/>
        <w:rPr>
          <w:color w:val="000000" w:themeColor="text1"/>
        </w:rPr>
      </w:pPr>
      <w:r w:rsidRPr="00286CAC">
        <w:rPr>
          <w:color w:val="000000" w:themeColor="text1"/>
        </w:rPr>
        <w:t>The Peripheral T</w:t>
      </w:r>
      <w:r w:rsidR="00750703">
        <w:rPr>
          <w:color w:val="000000" w:themeColor="text1"/>
        </w:rPr>
        <w:noBreakHyphen/>
      </w:r>
      <w:r w:rsidRPr="00286CAC">
        <w:rPr>
          <w:color w:val="000000" w:themeColor="text1"/>
        </w:rPr>
        <w:t>cell Lymphoma (PETAL) consortium has recently published pooled data from ten international registries on 925 patients with R/R PTCL (68 from Australia) treated between 2010 and 2021 (Han</w:t>
      </w:r>
      <w:r w:rsidR="00BA4033" w:rsidRPr="00286CAC">
        <w:rPr>
          <w:color w:val="000000" w:themeColor="text1"/>
        </w:rPr>
        <w:t xml:space="preserve"> et al</w:t>
      </w:r>
      <w:r w:rsidR="000C7EB6">
        <w:rPr>
          <w:color w:val="000000" w:themeColor="text1"/>
        </w:rPr>
        <w:t>.</w:t>
      </w:r>
      <w:r w:rsidRPr="00286CAC">
        <w:rPr>
          <w:color w:val="000000" w:themeColor="text1"/>
        </w:rPr>
        <w:t xml:space="preserve">, 2025). These data have been included </w:t>
      </w:r>
      <w:r w:rsidR="003E3F42">
        <w:rPr>
          <w:color w:val="000000" w:themeColor="text1"/>
        </w:rPr>
        <w:t>herein</w:t>
      </w:r>
      <w:r w:rsidRPr="00286CAC">
        <w:rPr>
          <w:color w:val="000000" w:themeColor="text1"/>
        </w:rPr>
        <w:t xml:space="preserve">, particularly </w:t>
      </w:r>
      <w:proofErr w:type="gramStart"/>
      <w:r w:rsidR="00E02E14" w:rsidRPr="00286CAC">
        <w:rPr>
          <w:color w:val="000000" w:themeColor="text1"/>
        </w:rPr>
        <w:t>with</w:t>
      </w:r>
      <w:r w:rsidRPr="00286CAC">
        <w:rPr>
          <w:color w:val="000000" w:themeColor="text1"/>
        </w:rPr>
        <w:t xml:space="preserve"> regard</w:t>
      </w:r>
      <w:r w:rsidR="00E02E14" w:rsidRPr="00286CAC">
        <w:rPr>
          <w:color w:val="000000" w:themeColor="text1"/>
        </w:rPr>
        <w:t xml:space="preserve"> to</w:t>
      </w:r>
      <w:proofErr w:type="gramEnd"/>
      <w:r w:rsidRPr="00286CAC">
        <w:rPr>
          <w:color w:val="000000" w:themeColor="text1"/>
        </w:rPr>
        <w:t xml:space="preserve"> prognostic factors in the included romidepsin and pralatrexate studies. </w:t>
      </w:r>
    </w:p>
    <w:p w14:paraId="7C9336A6" w14:textId="22D478E2" w:rsidR="008C21C9" w:rsidRPr="00286CAC" w:rsidRDefault="008C21C9" w:rsidP="00750703">
      <w:pPr>
        <w:pStyle w:val="3-BodyText"/>
        <w:spacing w:before="160" w:after="160"/>
        <w:ind w:left="720"/>
        <w:rPr>
          <w:color w:val="000000" w:themeColor="text1"/>
        </w:rPr>
      </w:pPr>
      <w:r w:rsidRPr="00286CAC">
        <w:rPr>
          <w:color w:val="000000" w:themeColor="text1"/>
        </w:rPr>
        <w:t xml:space="preserve">A further </w:t>
      </w:r>
      <w:r w:rsidR="00C549C4" w:rsidRPr="00286CAC">
        <w:rPr>
          <w:color w:val="000000" w:themeColor="text1"/>
        </w:rPr>
        <w:t>trial</w:t>
      </w:r>
      <w:r w:rsidRPr="00286CAC">
        <w:rPr>
          <w:color w:val="000000" w:themeColor="text1"/>
        </w:rPr>
        <w:t xml:space="preserve"> </w:t>
      </w:r>
      <w:r w:rsidR="00D64D59" w:rsidRPr="00286CAC">
        <w:rPr>
          <w:color w:val="000000" w:themeColor="text1"/>
        </w:rPr>
        <w:t>identified in the literature search</w:t>
      </w:r>
      <w:r w:rsidR="00A92EA0">
        <w:rPr>
          <w:color w:val="000000" w:themeColor="text1"/>
        </w:rPr>
        <w:t xml:space="preserve"> but excluded</w:t>
      </w:r>
      <w:r w:rsidR="00DC2A77">
        <w:rPr>
          <w:color w:val="000000" w:themeColor="text1"/>
        </w:rPr>
        <w:t xml:space="preserve">, </w:t>
      </w:r>
      <w:r w:rsidR="00D64D59" w:rsidRPr="00286CAC">
        <w:rPr>
          <w:color w:val="000000" w:themeColor="text1"/>
        </w:rPr>
        <w:t>O</w:t>
      </w:r>
      <w:r w:rsidR="00606ECB">
        <w:rPr>
          <w:color w:val="000000" w:themeColor="text1"/>
        </w:rPr>
        <w:t>’</w:t>
      </w:r>
      <w:r w:rsidR="00D64D59" w:rsidRPr="00286CAC">
        <w:rPr>
          <w:color w:val="000000" w:themeColor="text1"/>
        </w:rPr>
        <w:t xml:space="preserve">Connor </w:t>
      </w:r>
      <w:r w:rsidR="00D343A3" w:rsidRPr="00286CAC">
        <w:rPr>
          <w:color w:val="000000" w:themeColor="text1"/>
        </w:rPr>
        <w:t>et al</w:t>
      </w:r>
      <w:r w:rsidR="00DC2A77">
        <w:rPr>
          <w:color w:val="000000" w:themeColor="text1"/>
        </w:rPr>
        <w:t>.</w:t>
      </w:r>
      <w:r w:rsidR="005F06C9">
        <w:rPr>
          <w:color w:val="000000" w:themeColor="text1"/>
        </w:rPr>
        <w:t>,</w:t>
      </w:r>
      <w:r w:rsidR="00D343A3" w:rsidRPr="00286CAC">
        <w:rPr>
          <w:color w:val="000000" w:themeColor="text1"/>
        </w:rPr>
        <w:t xml:space="preserve"> 2019</w:t>
      </w:r>
      <w:r w:rsidR="00DC2A77">
        <w:rPr>
          <w:color w:val="000000" w:themeColor="text1"/>
        </w:rPr>
        <w:t xml:space="preserve"> (the LUMIERE trial)</w:t>
      </w:r>
      <w:bookmarkStart w:id="20" w:name="_Ref221786410"/>
      <w:r w:rsidR="00995F95" w:rsidRPr="00286CAC">
        <w:rPr>
          <w:rStyle w:val="FootnoteReference"/>
          <w:color w:val="000000" w:themeColor="text1"/>
        </w:rPr>
        <w:footnoteReference w:id="10"/>
      </w:r>
      <w:bookmarkEnd w:id="20"/>
      <w:r w:rsidR="00995F95" w:rsidRPr="00286CAC">
        <w:rPr>
          <w:color w:val="000000" w:themeColor="text1"/>
        </w:rPr>
        <w:t xml:space="preserve"> </w:t>
      </w:r>
      <w:r w:rsidR="00C549C4" w:rsidRPr="00286CAC">
        <w:rPr>
          <w:color w:val="000000" w:themeColor="text1"/>
        </w:rPr>
        <w:t xml:space="preserve">reported on patients and on </w:t>
      </w:r>
      <w:r w:rsidR="00C47934" w:rsidRPr="00286CAC">
        <w:rPr>
          <w:color w:val="000000" w:themeColor="text1"/>
        </w:rPr>
        <w:t xml:space="preserve">outcomes for </w:t>
      </w:r>
      <w:r w:rsidR="00B533A5" w:rsidRPr="00286CAC">
        <w:rPr>
          <w:color w:val="000000" w:themeColor="text1"/>
        </w:rPr>
        <w:t>patients with PTCL who had R/R PTC</w:t>
      </w:r>
      <w:r w:rsidR="005F06C9">
        <w:rPr>
          <w:color w:val="000000" w:themeColor="text1"/>
        </w:rPr>
        <w:t>L</w:t>
      </w:r>
      <w:r w:rsidR="00B533A5" w:rsidRPr="00286CAC">
        <w:rPr>
          <w:color w:val="000000" w:themeColor="text1"/>
        </w:rPr>
        <w:t xml:space="preserve"> after 1 or more prio</w:t>
      </w:r>
      <w:r w:rsidR="000E4B13" w:rsidRPr="00286CAC">
        <w:rPr>
          <w:color w:val="000000" w:themeColor="text1"/>
        </w:rPr>
        <w:t>r systemic therapies.</w:t>
      </w:r>
      <w:r w:rsidR="003F3859" w:rsidRPr="00286CAC">
        <w:rPr>
          <w:color w:val="000000" w:themeColor="text1"/>
        </w:rPr>
        <w:t xml:space="preserve"> Patients were randomised to alisertib </w:t>
      </w:r>
      <w:r w:rsidR="00E47CEC" w:rsidRPr="00286CAC">
        <w:rPr>
          <w:color w:val="000000" w:themeColor="text1"/>
        </w:rPr>
        <w:t xml:space="preserve">(138 patients) </w:t>
      </w:r>
      <w:r w:rsidR="003F3859" w:rsidRPr="00286CAC">
        <w:rPr>
          <w:color w:val="000000" w:themeColor="text1"/>
        </w:rPr>
        <w:t xml:space="preserve">or to investigators choice, which included </w:t>
      </w:r>
      <w:r w:rsidR="00A50313" w:rsidRPr="00286CAC">
        <w:rPr>
          <w:color w:val="000000" w:themeColor="text1"/>
        </w:rPr>
        <w:t>pralatrexate</w:t>
      </w:r>
      <w:r w:rsidR="006A0BF0">
        <w:rPr>
          <w:rStyle w:val="FootnoteReference"/>
          <w:color w:val="000000" w:themeColor="text1"/>
        </w:rPr>
        <w:footnoteReference w:id="11"/>
      </w:r>
      <w:r w:rsidR="00353D6E">
        <w:rPr>
          <w:color w:val="000000" w:themeColor="text1"/>
        </w:rPr>
        <w:t xml:space="preserve"> </w:t>
      </w:r>
      <w:r w:rsidR="00A50313" w:rsidRPr="00286CAC">
        <w:rPr>
          <w:color w:val="000000" w:themeColor="text1"/>
        </w:rPr>
        <w:t>(80 patients), romidepsin</w:t>
      </w:r>
      <w:r w:rsidR="006A0BF0">
        <w:rPr>
          <w:rStyle w:val="FootnoteReference"/>
          <w:color w:val="000000" w:themeColor="text1"/>
        </w:rPr>
        <w:footnoteReference w:id="12"/>
      </w:r>
      <w:r w:rsidR="000B721F">
        <w:rPr>
          <w:color w:val="000000" w:themeColor="text1"/>
        </w:rPr>
        <w:t xml:space="preserve"> </w:t>
      </w:r>
      <w:r w:rsidR="00A50313" w:rsidRPr="00286CAC">
        <w:rPr>
          <w:color w:val="000000" w:themeColor="text1"/>
        </w:rPr>
        <w:t>(24 patients) and gemcitabine (3</w:t>
      </w:r>
      <w:r w:rsidR="00B8512A" w:rsidRPr="00286CAC">
        <w:rPr>
          <w:color w:val="000000" w:themeColor="text1"/>
        </w:rPr>
        <w:t>0</w:t>
      </w:r>
      <w:r w:rsidR="00A50313" w:rsidRPr="00286CAC">
        <w:rPr>
          <w:color w:val="000000" w:themeColor="text1"/>
        </w:rPr>
        <w:t xml:space="preserve"> patients)</w:t>
      </w:r>
      <w:r w:rsidR="00E47CEC" w:rsidRPr="00286CAC">
        <w:rPr>
          <w:color w:val="000000" w:themeColor="text1"/>
        </w:rPr>
        <w:t>. Demographic details and outcomes are reported in the trial for patients treated with pralatrexate and with romidepsin</w:t>
      </w:r>
      <w:r w:rsidR="006F1208" w:rsidRPr="00286CAC">
        <w:rPr>
          <w:color w:val="000000" w:themeColor="text1"/>
        </w:rPr>
        <w:t>. The PBAC previously noted</w:t>
      </w:r>
      <w:r w:rsidR="0071233B" w:rsidRPr="00286CAC">
        <w:rPr>
          <w:color w:val="000000" w:themeColor="text1"/>
        </w:rPr>
        <w:t xml:space="preserve"> that</w:t>
      </w:r>
      <w:r w:rsidR="006F1208" w:rsidRPr="00286CAC">
        <w:rPr>
          <w:color w:val="000000" w:themeColor="text1"/>
        </w:rPr>
        <w:t xml:space="preserve"> “</w:t>
      </w:r>
      <w:r w:rsidR="006F1208" w:rsidRPr="00286CAC">
        <w:t xml:space="preserve">Limited analysis of data from </w:t>
      </w:r>
      <w:r w:rsidR="006F1208" w:rsidRPr="00286CAC">
        <w:lastRenderedPageBreak/>
        <w:t>the LUMIERE trial where both pralatrexate and romidepsin were included in a basket of comparators for an experimental drug indicates that romidepsin may have a substantially longer PFS</w:t>
      </w:r>
      <w:r w:rsidR="00EC4A9F">
        <w:t xml:space="preserve"> [progression free survival]</w:t>
      </w:r>
      <w:r w:rsidR="006F1208" w:rsidRPr="00286CAC">
        <w:t xml:space="preserve"> than</w:t>
      </w:r>
      <w:r w:rsidR="006F1208">
        <w:t xml:space="preserve"> </w:t>
      </w:r>
      <w:r w:rsidR="006F1208" w:rsidRPr="00286CAC">
        <w:t xml:space="preserve">observed for pralatrexate (8.0 vs 3.4 mths, respectively; O’Connor ASH 2015)” (Paragraph </w:t>
      </w:r>
      <w:r w:rsidR="0071233B" w:rsidRPr="00286CAC">
        <w:t xml:space="preserve">6.32, Pralatrexate PSD, July 2017 PBAC meeting). </w:t>
      </w:r>
      <w:r w:rsidR="00765B70" w:rsidRPr="00286CAC">
        <w:t xml:space="preserve">The trial reported median PFS was </w:t>
      </w:r>
      <w:r w:rsidR="006C7DAE">
        <w:t>101</w:t>
      </w:r>
      <w:r w:rsidR="006C7DAE" w:rsidRPr="00286CAC">
        <w:t xml:space="preserve"> </w:t>
      </w:r>
      <w:r w:rsidR="00765B70" w:rsidRPr="00286CAC">
        <w:t>days for pralatrexate and 242 days for romidepsin.</w:t>
      </w:r>
      <w:r w:rsidR="00331C52">
        <w:t xml:space="preserve"> Maximum follow</w:t>
      </w:r>
      <w:r w:rsidR="00750703">
        <w:noBreakHyphen/>
      </w:r>
      <w:r w:rsidR="00331C52">
        <w:t>up in the trial was 35 months.</w:t>
      </w:r>
    </w:p>
    <w:p w14:paraId="15206B15" w14:textId="0646E07E" w:rsidR="001A4ACD" w:rsidRPr="00286CAC" w:rsidRDefault="00537B36" w:rsidP="00750703">
      <w:pPr>
        <w:pStyle w:val="3-BodyText"/>
        <w:spacing w:before="160" w:after="160"/>
        <w:ind w:left="720"/>
        <w:rPr>
          <w:color w:val="000000" w:themeColor="text1"/>
        </w:rPr>
      </w:pPr>
      <w:r w:rsidRPr="00286CAC">
        <w:rPr>
          <w:color w:val="000000" w:themeColor="text1"/>
        </w:rPr>
        <w:t>The submission presented a</w:t>
      </w:r>
      <w:r w:rsidR="00041D20">
        <w:rPr>
          <w:color w:val="000000" w:themeColor="text1"/>
        </w:rPr>
        <w:t>n</w:t>
      </w:r>
      <w:r w:rsidR="001A4ACD" w:rsidRPr="00286CAC">
        <w:rPr>
          <w:color w:val="000000" w:themeColor="text1"/>
        </w:rPr>
        <w:t xml:space="preserve"> </w:t>
      </w:r>
      <w:r w:rsidR="00CE79D6" w:rsidRPr="00286CAC">
        <w:rPr>
          <w:color w:val="000000" w:themeColor="text1"/>
        </w:rPr>
        <w:t>unanchored</w:t>
      </w:r>
      <w:r w:rsidR="001A4ACD" w:rsidRPr="00286CAC">
        <w:rPr>
          <w:color w:val="000000" w:themeColor="text1"/>
        </w:rPr>
        <w:t xml:space="preserve"> comparison of the study results</w:t>
      </w:r>
      <w:r w:rsidR="00263BD2" w:rsidRPr="00286CAC">
        <w:rPr>
          <w:color w:val="000000" w:themeColor="text1"/>
        </w:rPr>
        <w:t xml:space="preserve"> from the included studies</w:t>
      </w:r>
      <w:r w:rsidR="001A4ACD" w:rsidRPr="00286CAC">
        <w:rPr>
          <w:color w:val="000000" w:themeColor="text1"/>
        </w:rPr>
        <w:t xml:space="preserve">. </w:t>
      </w:r>
      <w:r w:rsidR="00706FE2">
        <w:rPr>
          <w:color w:val="000000" w:themeColor="text1"/>
        </w:rPr>
        <w:t>The submission stated that a</w:t>
      </w:r>
      <w:r w:rsidR="007A4FFA" w:rsidRPr="00286CAC">
        <w:rPr>
          <w:color w:val="000000" w:themeColor="text1"/>
        </w:rPr>
        <w:t xml:space="preserve"> formal</w:t>
      </w:r>
      <w:r w:rsidR="003C78AB" w:rsidRPr="00286CAC">
        <w:rPr>
          <w:color w:val="000000" w:themeColor="text1"/>
        </w:rPr>
        <w:t xml:space="preserve"> indirect treatment comparison </w:t>
      </w:r>
      <w:r w:rsidR="004A3A49">
        <w:rPr>
          <w:color w:val="000000" w:themeColor="text1"/>
        </w:rPr>
        <w:t xml:space="preserve">(ITC) </w:t>
      </w:r>
      <w:r w:rsidR="003C78AB" w:rsidRPr="00286CAC">
        <w:rPr>
          <w:color w:val="000000" w:themeColor="text1"/>
        </w:rPr>
        <w:t xml:space="preserve">with a common comparator was </w:t>
      </w:r>
      <w:r w:rsidR="00235106">
        <w:rPr>
          <w:color w:val="000000" w:themeColor="text1"/>
        </w:rPr>
        <w:t xml:space="preserve">not </w:t>
      </w:r>
      <w:r w:rsidR="003C78AB" w:rsidRPr="00286CAC">
        <w:rPr>
          <w:color w:val="000000" w:themeColor="text1"/>
        </w:rPr>
        <w:t xml:space="preserve">possible because the studies were uncontrolled. </w:t>
      </w:r>
    </w:p>
    <w:p w14:paraId="277B3A39" w14:textId="5111FE2F" w:rsidR="007A4FFA" w:rsidRPr="00286CAC" w:rsidRDefault="00041D20" w:rsidP="00750703">
      <w:pPr>
        <w:pStyle w:val="3-BodyText"/>
        <w:spacing w:before="160" w:after="160"/>
        <w:ind w:left="720"/>
      </w:pPr>
      <w:r>
        <w:t>T</w:t>
      </w:r>
      <w:r w:rsidR="00CD5BC2" w:rsidRPr="00286CAC">
        <w:t xml:space="preserve">he submission stated that </w:t>
      </w:r>
      <w:r>
        <w:t>the unanchored comparison</w:t>
      </w:r>
      <w:r w:rsidRPr="00286CAC">
        <w:t xml:space="preserve"> </w:t>
      </w:r>
      <w:r w:rsidR="007A4FFA" w:rsidRPr="00286CAC">
        <w:t>was "provided for context only to inform the economic framing (cost</w:t>
      </w:r>
      <w:r w:rsidR="00750703">
        <w:noBreakHyphen/>
      </w:r>
      <w:r w:rsidR="007A4FFA" w:rsidRPr="00286CAC">
        <w:t>minimisation scenarios)</w:t>
      </w:r>
      <w:r w:rsidR="00C327FB">
        <w:t>” and that it was</w:t>
      </w:r>
      <w:r w:rsidR="007A4FFA" w:rsidRPr="00286CAC">
        <w:t xml:space="preserve"> </w:t>
      </w:r>
      <w:r w:rsidR="00C327FB">
        <w:t>“</w:t>
      </w:r>
      <w:r w:rsidR="007A4FFA" w:rsidRPr="00286CAC">
        <w:t>not designed to demonstrate superiority, equivalence, or non</w:t>
      </w:r>
      <w:r w:rsidR="00750703">
        <w:noBreakHyphen/>
      </w:r>
      <w:r w:rsidR="007A4FFA" w:rsidRPr="00286CAC">
        <w:t xml:space="preserve">inferiority". </w:t>
      </w:r>
    </w:p>
    <w:p w14:paraId="22FB3194" w14:textId="715891BA" w:rsidR="00932842" w:rsidRDefault="00932842" w:rsidP="00750703">
      <w:pPr>
        <w:jc w:val="left"/>
        <w:rPr>
          <w:rFonts w:ascii="Arial Narrow" w:hAnsi="Arial Narrow"/>
          <w:b/>
          <w:bCs/>
          <w:sz w:val="20"/>
          <w:szCs w:val="20"/>
        </w:rPr>
      </w:pPr>
      <w:bookmarkStart w:id="21" w:name="_Ref104803956"/>
      <w:bookmarkStart w:id="22" w:name="_Ref215736723"/>
    </w:p>
    <w:p w14:paraId="7DE3A286" w14:textId="34AAA1C6" w:rsidR="008E0D3C" w:rsidRPr="00C308F8" w:rsidRDefault="00696EF9" w:rsidP="00750703">
      <w:pPr>
        <w:jc w:val="left"/>
        <w:rPr>
          <w:rStyle w:val="CommentReference"/>
          <w:b w:val="0"/>
          <w:bCs/>
          <w:szCs w:val="20"/>
        </w:rPr>
      </w:pPr>
      <w:r w:rsidRPr="00C308F8">
        <w:rPr>
          <w:rFonts w:ascii="Arial Narrow" w:hAnsi="Arial Narrow"/>
          <w:b/>
          <w:bCs/>
          <w:sz w:val="20"/>
          <w:szCs w:val="20"/>
        </w:rPr>
        <w:t xml:space="preserve">Table </w:t>
      </w:r>
      <w:r w:rsidR="00B465A2" w:rsidRPr="00C308F8">
        <w:rPr>
          <w:rFonts w:ascii="Arial Narrow" w:hAnsi="Arial Narrow"/>
          <w:b/>
          <w:bCs/>
          <w:sz w:val="20"/>
          <w:szCs w:val="20"/>
        </w:rPr>
        <w:fldChar w:fldCharType="begin"/>
      </w:r>
      <w:r w:rsidR="00B465A2" w:rsidRPr="00C308F8">
        <w:rPr>
          <w:rFonts w:ascii="Arial Narrow" w:hAnsi="Arial Narrow"/>
          <w:b/>
          <w:bCs/>
          <w:sz w:val="20"/>
          <w:szCs w:val="20"/>
        </w:rPr>
        <w:instrText xml:space="preserve"> SEQ Table \* ARABIC </w:instrText>
      </w:r>
      <w:r w:rsidR="00B465A2" w:rsidRPr="00C308F8">
        <w:rPr>
          <w:rFonts w:ascii="Arial Narrow" w:hAnsi="Arial Narrow"/>
          <w:b/>
          <w:bCs/>
          <w:sz w:val="20"/>
          <w:szCs w:val="20"/>
        </w:rPr>
        <w:fldChar w:fldCharType="separate"/>
      </w:r>
      <w:r w:rsidR="000B22F7">
        <w:rPr>
          <w:rFonts w:ascii="Arial Narrow" w:hAnsi="Arial Narrow"/>
          <w:b/>
          <w:bCs/>
          <w:noProof/>
          <w:sz w:val="20"/>
          <w:szCs w:val="20"/>
        </w:rPr>
        <w:t>2</w:t>
      </w:r>
      <w:r w:rsidR="00B465A2" w:rsidRPr="00C308F8">
        <w:rPr>
          <w:rFonts w:ascii="Arial Narrow" w:hAnsi="Arial Narrow"/>
          <w:b/>
          <w:bCs/>
          <w:noProof/>
          <w:sz w:val="20"/>
          <w:szCs w:val="20"/>
        </w:rPr>
        <w:fldChar w:fldCharType="end"/>
      </w:r>
      <w:bookmarkEnd w:id="21"/>
      <w:bookmarkEnd w:id="22"/>
      <w:r w:rsidRPr="00C308F8">
        <w:rPr>
          <w:rFonts w:ascii="Arial Narrow" w:hAnsi="Arial Narrow"/>
          <w:b/>
          <w:bCs/>
          <w:sz w:val="20"/>
          <w:szCs w:val="20"/>
        </w:rPr>
        <w:t>:</w:t>
      </w:r>
      <w:r w:rsidR="00BC591F" w:rsidRPr="00C308F8">
        <w:rPr>
          <w:rFonts w:ascii="Arial Narrow" w:hAnsi="Arial Narrow"/>
          <w:b/>
          <w:bCs/>
          <w:sz w:val="20"/>
          <w:szCs w:val="20"/>
        </w:rPr>
        <w:t xml:space="preserve"> </w:t>
      </w:r>
      <w:r w:rsidR="00707543" w:rsidRPr="00C308F8">
        <w:rPr>
          <w:rFonts w:ascii="Arial Narrow" w:hAnsi="Arial Narrow"/>
          <w:b/>
          <w:bCs/>
          <w:sz w:val="20"/>
          <w:szCs w:val="20"/>
        </w:rPr>
        <w:t>S</w:t>
      </w:r>
      <w:r w:rsidR="00D5243B" w:rsidRPr="00C308F8">
        <w:rPr>
          <w:rFonts w:ascii="Arial Narrow" w:hAnsi="Arial Narrow"/>
          <w:b/>
          <w:bCs/>
          <w:sz w:val="20"/>
          <w:szCs w:val="20"/>
        </w:rPr>
        <w:t>tudies</w:t>
      </w:r>
      <w:r w:rsidR="008E0D3C" w:rsidRPr="00C308F8">
        <w:rPr>
          <w:rFonts w:ascii="Arial Narrow" w:hAnsi="Arial Narrow"/>
          <w:b/>
          <w:bCs/>
          <w:sz w:val="20"/>
          <w:szCs w:val="20"/>
        </w:rPr>
        <w:t xml:space="preserve"> and</w:t>
      </w:r>
      <w:r w:rsidR="008E0D3C" w:rsidRPr="00C308F8">
        <w:rPr>
          <w:rStyle w:val="CommentReference"/>
          <w:b w:val="0"/>
          <w:bCs/>
          <w:szCs w:val="20"/>
        </w:rPr>
        <w:t xml:space="preserve"> </w:t>
      </w:r>
      <w:r w:rsidR="008E0D3C" w:rsidRPr="00E41496">
        <w:rPr>
          <w:rStyle w:val="CommentReference"/>
          <w:szCs w:val="20"/>
        </w:rPr>
        <w:t>associated reports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5"/>
        <w:gridCol w:w="2528"/>
      </w:tblGrid>
      <w:tr w:rsidR="008A57E3" w:rsidRPr="0098262F" w14:paraId="6ACD35C4" w14:textId="77777777" w:rsidTr="00682BA6">
        <w:trPr>
          <w:cantSplit/>
          <w:tblHeader/>
        </w:trPr>
        <w:tc>
          <w:tcPr>
            <w:tcW w:w="795" w:type="pct"/>
            <w:vAlign w:val="center"/>
          </w:tcPr>
          <w:p w14:paraId="20DEEB23" w14:textId="36768DEE" w:rsidR="008E0D3C" w:rsidRPr="0098262F" w:rsidRDefault="00222AA1" w:rsidP="00750703">
            <w:pPr>
              <w:pStyle w:val="In-tableHeading"/>
            </w:pPr>
            <w:r>
              <w:t>Study</w:t>
            </w:r>
            <w:r w:rsidR="008E0D3C" w:rsidRPr="0098262F">
              <w:t xml:space="preserve"> ID</w:t>
            </w:r>
          </w:p>
        </w:tc>
        <w:tc>
          <w:tcPr>
            <w:tcW w:w="2803" w:type="pct"/>
            <w:vAlign w:val="center"/>
          </w:tcPr>
          <w:p w14:paraId="22EF6C51" w14:textId="14302D10" w:rsidR="008E0D3C" w:rsidRPr="0098262F" w:rsidRDefault="008E0D3C" w:rsidP="00750703">
            <w:pPr>
              <w:pStyle w:val="In-tableHeading"/>
            </w:pPr>
            <w:r w:rsidRPr="0098262F">
              <w:t>Publication title</w:t>
            </w:r>
          </w:p>
        </w:tc>
        <w:tc>
          <w:tcPr>
            <w:tcW w:w="1402" w:type="pct"/>
            <w:vAlign w:val="center"/>
          </w:tcPr>
          <w:p w14:paraId="561B27A8" w14:textId="77777777" w:rsidR="008E0D3C" w:rsidRPr="0098262F" w:rsidRDefault="008E0D3C" w:rsidP="00750703">
            <w:pPr>
              <w:pStyle w:val="In-tableHeading"/>
            </w:pPr>
            <w:r w:rsidRPr="0098262F">
              <w:t>Publication citation</w:t>
            </w:r>
          </w:p>
        </w:tc>
      </w:tr>
      <w:tr w:rsidR="00AC05CD" w:rsidRPr="0098262F" w14:paraId="237D32B7" w14:textId="77777777" w:rsidTr="00707543">
        <w:trPr>
          <w:cantSplit/>
          <w:tblHeader/>
        </w:trPr>
        <w:tc>
          <w:tcPr>
            <w:tcW w:w="5000" w:type="pct"/>
            <w:gridSpan w:val="3"/>
            <w:vAlign w:val="center"/>
          </w:tcPr>
          <w:p w14:paraId="6F838473" w14:textId="39DBC585" w:rsidR="00707543" w:rsidRPr="0098262F" w:rsidRDefault="00707543" w:rsidP="00750703">
            <w:pPr>
              <w:pStyle w:val="In-tableHeading"/>
              <w:jc w:val="left"/>
              <w:rPr>
                <w:lang w:val="en-AU"/>
              </w:rPr>
            </w:pPr>
            <w:r>
              <w:rPr>
                <w:lang w:val="en-AU"/>
              </w:rPr>
              <w:t>R</w:t>
            </w:r>
            <w:proofErr w:type="spellStart"/>
            <w:r>
              <w:t>omidepsin</w:t>
            </w:r>
            <w:proofErr w:type="spellEnd"/>
          </w:p>
        </w:tc>
      </w:tr>
      <w:tr w:rsidR="008A57E3" w:rsidRPr="0098262F" w14:paraId="298351BA" w14:textId="77777777" w:rsidTr="00FC5A37">
        <w:trPr>
          <w:cantSplit/>
        </w:trPr>
        <w:tc>
          <w:tcPr>
            <w:tcW w:w="795" w:type="pct"/>
            <w:vMerge w:val="restart"/>
            <w:vAlign w:val="center"/>
          </w:tcPr>
          <w:p w14:paraId="4CBDD79F" w14:textId="77777777" w:rsidR="00DF6341" w:rsidRPr="00FC5A37" w:rsidRDefault="00707543" w:rsidP="00750703">
            <w:pPr>
              <w:pStyle w:val="Tabletext"/>
              <w:spacing w:after="60"/>
            </w:pPr>
            <w:r w:rsidRPr="00FC5A37">
              <w:t>NCT00426764</w:t>
            </w:r>
          </w:p>
          <w:p w14:paraId="5D9482F5" w14:textId="23DD2153" w:rsidR="00707543" w:rsidRPr="00222AA1" w:rsidRDefault="00707543" w:rsidP="00750703">
            <w:pPr>
              <w:pStyle w:val="Tabletext"/>
              <w:spacing w:after="60"/>
            </w:pPr>
            <w:r w:rsidRPr="00FC5A37">
              <w:t>GPI</w:t>
            </w:r>
            <w:r w:rsidR="00750703">
              <w:noBreakHyphen/>
            </w:r>
            <w:r w:rsidRPr="00FC5A37">
              <w:t>06</w:t>
            </w:r>
            <w:r w:rsidR="00750703">
              <w:noBreakHyphen/>
            </w:r>
            <w:r w:rsidRPr="00FC5A37">
              <w:t>0002</w:t>
            </w:r>
          </w:p>
        </w:tc>
        <w:tc>
          <w:tcPr>
            <w:tcW w:w="2803" w:type="pct"/>
            <w:tcBorders>
              <w:bottom w:val="nil"/>
            </w:tcBorders>
            <w:vAlign w:val="center"/>
          </w:tcPr>
          <w:p w14:paraId="2570DA6E" w14:textId="1DEB7B10" w:rsidR="00FF3C17" w:rsidRPr="00222AA1" w:rsidRDefault="00FF3C17" w:rsidP="00750703">
            <w:pPr>
              <w:pStyle w:val="Tabletext"/>
              <w:spacing w:after="60"/>
            </w:pPr>
            <w:proofErr w:type="spellStart"/>
            <w:r w:rsidRPr="00222AA1">
              <w:t>Coiffier</w:t>
            </w:r>
            <w:proofErr w:type="spellEnd"/>
            <w:r w:rsidRPr="00222AA1">
              <w:t xml:space="preserve"> B, Pro B, Prince HM, et al. Results from a pivotal, </w:t>
            </w:r>
            <w:r w:rsidR="001D16D7">
              <w:t>o</w:t>
            </w:r>
            <w:r w:rsidRPr="00222AA1">
              <w:t>pen</w:t>
            </w:r>
            <w:r w:rsidR="00750703">
              <w:noBreakHyphen/>
            </w:r>
            <w:r w:rsidRPr="00222AA1">
              <w:t>label, Phase II study of r</w:t>
            </w:r>
            <w:r w:rsidRPr="00FF3C17">
              <w:t xml:space="preserve">omidepsin in </w:t>
            </w:r>
            <w:r w:rsidRPr="00222AA1">
              <w:t>r</w:t>
            </w:r>
            <w:r w:rsidRPr="00FF3C17">
              <w:t xml:space="preserve">elapsed or </w:t>
            </w:r>
            <w:r w:rsidRPr="00222AA1">
              <w:t>r</w:t>
            </w:r>
            <w:r w:rsidRPr="00FF3C17">
              <w:t>efractory Peripheral T</w:t>
            </w:r>
            <w:r w:rsidR="00750703">
              <w:noBreakHyphen/>
            </w:r>
            <w:r w:rsidRPr="00FF3C17">
              <w:t>Cell</w:t>
            </w:r>
            <w:r w:rsidRPr="00222AA1">
              <w:t xml:space="preserve"> </w:t>
            </w:r>
            <w:r w:rsidRPr="00FF3C17">
              <w:t xml:space="preserve">Lymphoma </w:t>
            </w:r>
            <w:r w:rsidRPr="00222AA1">
              <w:t>a</w:t>
            </w:r>
            <w:r w:rsidRPr="00FF3C17">
              <w:t xml:space="preserve">fter </w:t>
            </w:r>
            <w:r w:rsidRPr="00222AA1">
              <w:t>p</w:t>
            </w:r>
            <w:r w:rsidRPr="00FF3C17">
              <w:t xml:space="preserve">rior </w:t>
            </w:r>
            <w:r w:rsidRPr="00222AA1">
              <w:t>s</w:t>
            </w:r>
            <w:r w:rsidRPr="00FF3C17">
              <w:t xml:space="preserve">ystemic </w:t>
            </w:r>
            <w:r w:rsidRPr="00222AA1">
              <w:t>t</w:t>
            </w:r>
            <w:r w:rsidRPr="00FF3C17">
              <w:t>herapy</w:t>
            </w:r>
            <w:r w:rsidRPr="00222AA1">
              <w:t xml:space="preserve">. </w:t>
            </w:r>
          </w:p>
        </w:tc>
        <w:tc>
          <w:tcPr>
            <w:tcW w:w="1402" w:type="pct"/>
            <w:tcBorders>
              <w:bottom w:val="nil"/>
            </w:tcBorders>
            <w:vAlign w:val="center"/>
          </w:tcPr>
          <w:p w14:paraId="737FA9E6" w14:textId="49B1D3EB" w:rsidR="002E4F02" w:rsidRPr="0007677F" w:rsidRDefault="00FF3C17" w:rsidP="00750703">
            <w:pPr>
              <w:pStyle w:val="Tabletext"/>
              <w:spacing w:after="60"/>
            </w:pPr>
            <w:r w:rsidRPr="0007677F">
              <w:t>J Clin Oncol 2012; 30:631</w:t>
            </w:r>
            <w:r w:rsidR="00750703">
              <w:noBreakHyphen/>
            </w:r>
            <w:r w:rsidRPr="0007677F">
              <w:t xml:space="preserve">636. </w:t>
            </w:r>
          </w:p>
          <w:p w14:paraId="7578773D" w14:textId="5B82C209" w:rsidR="005224E9" w:rsidRPr="0007677F" w:rsidRDefault="005224E9" w:rsidP="00750703">
            <w:pPr>
              <w:pStyle w:val="Tabletext"/>
              <w:spacing w:after="60"/>
            </w:pPr>
          </w:p>
        </w:tc>
      </w:tr>
      <w:tr w:rsidR="008A57E3" w:rsidRPr="0098262F" w14:paraId="7F06C7BE" w14:textId="77777777" w:rsidTr="00BB732D">
        <w:trPr>
          <w:cantSplit/>
        </w:trPr>
        <w:tc>
          <w:tcPr>
            <w:tcW w:w="795" w:type="pct"/>
            <w:vMerge/>
            <w:vAlign w:val="center"/>
          </w:tcPr>
          <w:p w14:paraId="2DE31C12" w14:textId="7BFA1DAD" w:rsidR="002E4F02" w:rsidRPr="00222AA1" w:rsidRDefault="002E4F02" w:rsidP="00750703">
            <w:pPr>
              <w:spacing w:after="60"/>
              <w:rPr>
                <w:rFonts w:cs="Calibri"/>
              </w:rPr>
            </w:pPr>
          </w:p>
        </w:tc>
        <w:tc>
          <w:tcPr>
            <w:tcW w:w="2803" w:type="pct"/>
            <w:tcBorders>
              <w:top w:val="nil"/>
              <w:bottom w:val="nil"/>
            </w:tcBorders>
            <w:vAlign w:val="center"/>
          </w:tcPr>
          <w:p w14:paraId="1C93CE0D" w14:textId="2F34CFC6" w:rsidR="00FF3C17" w:rsidRPr="00222AA1" w:rsidRDefault="00FF3C17" w:rsidP="00750703">
            <w:pPr>
              <w:pStyle w:val="Tabletext"/>
              <w:spacing w:after="60"/>
            </w:pPr>
            <w:proofErr w:type="spellStart"/>
            <w:r w:rsidRPr="00222AA1">
              <w:t>Coiffier</w:t>
            </w:r>
            <w:proofErr w:type="spellEnd"/>
            <w:r w:rsidRPr="00222AA1">
              <w:t xml:space="preserve"> B, Pro B, Prince HM, et al. Romidepsin for the treatment of relapsed/</w:t>
            </w:r>
            <w:r w:rsidRPr="00FF3C17">
              <w:t>refractory peripheral T</w:t>
            </w:r>
            <w:r w:rsidR="00750703">
              <w:noBreakHyphen/>
            </w:r>
            <w:r w:rsidRPr="00FF3C17">
              <w:t>cell lymphoma: pivotal</w:t>
            </w:r>
            <w:r w:rsidRPr="00222AA1">
              <w:t xml:space="preserve"> </w:t>
            </w:r>
            <w:r w:rsidRPr="00FF3C17">
              <w:t>study update demonstrates durable responses</w:t>
            </w:r>
            <w:r w:rsidRPr="00222AA1">
              <w:t xml:space="preserve">. </w:t>
            </w:r>
          </w:p>
          <w:p w14:paraId="1209B24B" w14:textId="2F5865CD" w:rsidR="00EA7B1E" w:rsidRPr="00EA7B1E" w:rsidRDefault="00FF3C17" w:rsidP="00750703">
            <w:pPr>
              <w:pStyle w:val="Tabletext"/>
              <w:spacing w:after="60"/>
            </w:pPr>
            <w:r w:rsidRPr="00222AA1">
              <w:t xml:space="preserve">Foss F, </w:t>
            </w:r>
            <w:r w:rsidR="00EA7B1E" w:rsidRPr="00222AA1">
              <w:t>Horwitz S, Pro B, et al. Romidepsin for the treatment of relapsed/</w:t>
            </w:r>
            <w:r w:rsidR="00EA7B1E" w:rsidRPr="00EA7B1E">
              <w:t>refractory peripheral T cell lymphoma:</w:t>
            </w:r>
            <w:r w:rsidR="00EA7B1E" w:rsidRPr="00222AA1">
              <w:t xml:space="preserve"> </w:t>
            </w:r>
            <w:r w:rsidR="00EA7B1E" w:rsidRPr="00EA7B1E">
              <w:t>prolonged stable disease provides clinical</w:t>
            </w:r>
            <w:r w:rsidR="00222AA1">
              <w:t xml:space="preserve"> </w:t>
            </w:r>
            <w:r w:rsidR="00EA7B1E" w:rsidRPr="00EA7B1E">
              <w:t>benefits for patients in the pivotal trial</w:t>
            </w:r>
            <w:r w:rsidR="00EA7B1E" w:rsidRPr="00222AA1">
              <w:t>.</w:t>
            </w:r>
          </w:p>
          <w:p w14:paraId="7CB8ADA9" w14:textId="47C0EDF2" w:rsidR="00FF3C17" w:rsidRPr="00222AA1" w:rsidRDefault="00EA7B1E" w:rsidP="00750703">
            <w:pPr>
              <w:pStyle w:val="Tabletext"/>
              <w:spacing w:after="60"/>
            </w:pPr>
            <w:r w:rsidRPr="00222AA1">
              <w:t xml:space="preserve">Foss F, Pro B, Prince HM, et al. Responses to romidepsin by line of therapy in patients with </w:t>
            </w:r>
            <w:r w:rsidRPr="00EA7B1E">
              <w:t>relapsed or refractory peripheral T</w:t>
            </w:r>
            <w:r w:rsidR="00750703">
              <w:noBreakHyphen/>
            </w:r>
            <w:r w:rsidRPr="00EA7B1E">
              <w:softHyphen/>
              <w:t xml:space="preserve"> cell lymphoma</w:t>
            </w:r>
            <w:r w:rsidRPr="00222AA1">
              <w:t>.</w:t>
            </w:r>
          </w:p>
        </w:tc>
        <w:tc>
          <w:tcPr>
            <w:tcW w:w="1402" w:type="pct"/>
            <w:tcBorders>
              <w:top w:val="nil"/>
              <w:bottom w:val="nil"/>
            </w:tcBorders>
            <w:vAlign w:val="center"/>
          </w:tcPr>
          <w:p w14:paraId="71AE72C8" w14:textId="72823D46" w:rsidR="005224E9" w:rsidRPr="0007677F" w:rsidRDefault="005224E9" w:rsidP="00750703">
            <w:pPr>
              <w:pStyle w:val="Tabletext"/>
              <w:spacing w:after="60"/>
            </w:pPr>
            <w:r w:rsidRPr="0007677F">
              <w:t xml:space="preserve">J </w:t>
            </w:r>
            <w:proofErr w:type="spellStart"/>
            <w:r w:rsidRPr="0007677F">
              <w:t>Hematol</w:t>
            </w:r>
            <w:proofErr w:type="spellEnd"/>
            <w:r w:rsidRPr="0007677F">
              <w:t xml:space="preserve"> Oncol 2014; 7:11.</w:t>
            </w:r>
          </w:p>
          <w:p w14:paraId="12CD8686" w14:textId="77777777" w:rsidR="005224E9" w:rsidRPr="0007677F" w:rsidRDefault="005224E9" w:rsidP="00750703">
            <w:pPr>
              <w:pStyle w:val="Tabletext"/>
              <w:spacing w:after="60"/>
            </w:pPr>
          </w:p>
          <w:p w14:paraId="0D78BDA4" w14:textId="77777777" w:rsidR="00C308F8" w:rsidRPr="0007677F" w:rsidRDefault="00C308F8" w:rsidP="00750703">
            <w:pPr>
              <w:pStyle w:val="Tabletext"/>
              <w:spacing w:after="60"/>
            </w:pPr>
          </w:p>
          <w:p w14:paraId="1B1AF587" w14:textId="69E1B444" w:rsidR="002E4F02" w:rsidRPr="0007677F" w:rsidRDefault="00EA7B1E" w:rsidP="00750703">
            <w:pPr>
              <w:pStyle w:val="Tabletext"/>
              <w:spacing w:after="60"/>
            </w:pPr>
            <w:r w:rsidRPr="0007677F">
              <w:t xml:space="preserve">J </w:t>
            </w:r>
            <w:proofErr w:type="spellStart"/>
            <w:r w:rsidRPr="0007677F">
              <w:t>Hematol</w:t>
            </w:r>
            <w:proofErr w:type="spellEnd"/>
            <w:r w:rsidRPr="0007677F">
              <w:t xml:space="preserve"> Oncol 2016; 9:22</w:t>
            </w:r>
            <w:r w:rsidR="008A2E38" w:rsidRPr="0007677F">
              <w:t xml:space="preserve">. </w:t>
            </w:r>
          </w:p>
          <w:p w14:paraId="55A9F9A4" w14:textId="77777777" w:rsidR="00EA7B1E" w:rsidRPr="0007677F" w:rsidRDefault="00EA7B1E" w:rsidP="00750703">
            <w:pPr>
              <w:pStyle w:val="Tabletext"/>
              <w:spacing w:after="60"/>
            </w:pPr>
          </w:p>
          <w:p w14:paraId="53EB2567" w14:textId="5E43E179" w:rsidR="00EA7B1E" w:rsidRPr="0007677F" w:rsidRDefault="00EA7B1E" w:rsidP="00750703">
            <w:pPr>
              <w:pStyle w:val="Tabletext"/>
              <w:spacing w:after="60"/>
            </w:pPr>
            <w:r w:rsidRPr="0007677F">
              <w:t>Cancer Med 2017; 6:36</w:t>
            </w:r>
            <w:r w:rsidR="00750703">
              <w:noBreakHyphen/>
            </w:r>
            <w:r w:rsidRPr="0007677F">
              <w:t xml:space="preserve">44. </w:t>
            </w:r>
          </w:p>
        </w:tc>
      </w:tr>
      <w:tr w:rsidR="008A57E3" w:rsidRPr="0098262F" w14:paraId="74132A1A" w14:textId="77777777">
        <w:trPr>
          <w:cantSplit/>
          <w:trHeight w:val="772"/>
        </w:trPr>
        <w:tc>
          <w:tcPr>
            <w:tcW w:w="795" w:type="pct"/>
            <w:vAlign w:val="center"/>
          </w:tcPr>
          <w:p w14:paraId="30BA87AC" w14:textId="43720CB6" w:rsidR="00C308F8" w:rsidRPr="00FC5A37" w:rsidRDefault="00C308F8" w:rsidP="00750703">
            <w:pPr>
              <w:pStyle w:val="Tabletext"/>
            </w:pPr>
            <w:r w:rsidRPr="00FC5A37">
              <w:t>NCT00007345</w:t>
            </w:r>
          </w:p>
        </w:tc>
        <w:tc>
          <w:tcPr>
            <w:tcW w:w="2803" w:type="pct"/>
            <w:vAlign w:val="center"/>
          </w:tcPr>
          <w:p w14:paraId="7EF3AEBB" w14:textId="12334C73" w:rsidR="00C308F8" w:rsidRPr="00FC5A37" w:rsidRDefault="00C308F8" w:rsidP="00750703">
            <w:pPr>
              <w:pStyle w:val="Tabletext"/>
            </w:pPr>
            <w:r w:rsidRPr="00FC5A37">
              <w:t>Piekarz RL, Frye R, Prince HM, et al. Phase 2 trial of romidepsin in patients with peripheral T</w:t>
            </w:r>
            <w:r w:rsidR="00750703">
              <w:noBreakHyphen/>
            </w:r>
            <w:r w:rsidRPr="00FC5A37">
              <w:t xml:space="preserve">cell lymphoma. </w:t>
            </w:r>
          </w:p>
        </w:tc>
        <w:tc>
          <w:tcPr>
            <w:tcW w:w="1402" w:type="pct"/>
            <w:vAlign w:val="center"/>
          </w:tcPr>
          <w:p w14:paraId="65832AF0" w14:textId="47AFE1CC" w:rsidR="00C308F8" w:rsidRPr="0007677F" w:rsidRDefault="00C308F8" w:rsidP="00750703">
            <w:pPr>
              <w:pStyle w:val="Tabletext"/>
            </w:pPr>
            <w:r w:rsidRPr="0007677F">
              <w:t>Blood 2011; 117:5827</w:t>
            </w:r>
            <w:r w:rsidR="00750703">
              <w:noBreakHyphen/>
            </w:r>
            <w:r w:rsidRPr="0007677F">
              <w:t xml:space="preserve">5834. </w:t>
            </w:r>
          </w:p>
        </w:tc>
      </w:tr>
      <w:tr w:rsidR="008A57E3" w:rsidRPr="00AC43D9" w14:paraId="792ADC91" w14:textId="77777777" w:rsidTr="00362757">
        <w:trPr>
          <w:cantSplit/>
        </w:trPr>
        <w:tc>
          <w:tcPr>
            <w:tcW w:w="795" w:type="pct"/>
            <w:vAlign w:val="center"/>
          </w:tcPr>
          <w:p w14:paraId="079BCA2F" w14:textId="48F142BD" w:rsidR="00C17FF2" w:rsidRPr="00AC43D9" w:rsidRDefault="00362757" w:rsidP="00750703">
            <w:pPr>
              <w:pStyle w:val="In-tableHeading"/>
              <w:jc w:val="left"/>
              <w:rPr>
                <w:b w:val="0"/>
                <w:bCs/>
              </w:rPr>
            </w:pPr>
            <w:r w:rsidRPr="00AC43D9">
              <w:rPr>
                <w:b w:val="0"/>
                <w:bCs/>
              </w:rPr>
              <w:t>NCT01456039</w:t>
            </w:r>
          </w:p>
        </w:tc>
        <w:tc>
          <w:tcPr>
            <w:tcW w:w="2803" w:type="pct"/>
            <w:vAlign w:val="center"/>
          </w:tcPr>
          <w:p w14:paraId="7EA832E7" w14:textId="6D41819E" w:rsidR="00114523" w:rsidRPr="00AC43D9" w:rsidRDefault="00362757" w:rsidP="00750703">
            <w:pPr>
              <w:pStyle w:val="In-tableHeading"/>
              <w:jc w:val="left"/>
              <w:rPr>
                <w:b w:val="0"/>
                <w:bCs/>
              </w:rPr>
            </w:pPr>
            <w:r w:rsidRPr="00AC43D9">
              <w:rPr>
                <w:b w:val="0"/>
                <w:bCs/>
              </w:rPr>
              <w:t xml:space="preserve">Maruyama D, </w:t>
            </w:r>
            <w:proofErr w:type="spellStart"/>
            <w:r w:rsidRPr="00AC43D9">
              <w:rPr>
                <w:b w:val="0"/>
                <w:bCs/>
              </w:rPr>
              <w:t>Tobinai</w:t>
            </w:r>
            <w:proofErr w:type="spellEnd"/>
            <w:r w:rsidRPr="00AC43D9">
              <w:rPr>
                <w:b w:val="0"/>
                <w:bCs/>
              </w:rPr>
              <w:t xml:space="preserve"> K, Ogura M, et al. Romidepsin in Japanese patients with relapsed or refractory peripheral T</w:t>
            </w:r>
            <w:r w:rsidR="00750703">
              <w:rPr>
                <w:b w:val="0"/>
                <w:bCs/>
              </w:rPr>
              <w:noBreakHyphen/>
            </w:r>
            <w:r w:rsidRPr="00AC43D9">
              <w:rPr>
                <w:b w:val="0"/>
                <w:bCs/>
              </w:rPr>
              <w:t xml:space="preserve">cell lymphoma: a phase I/II and pharmacokinetics study. </w:t>
            </w:r>
          </w:p>
        </w:tc>
        <w:tc>
          <w:tcPr>
            <w:tcW w:w="1402" w:type="pct"/>
            <w:vAlign w:val="center"/>
          </w:tcPr>
          <w:p w14:paraId="1C59C47E" w14:textId="4D208412" w:rsidR="00C17FF2" w:rsidRPr="0007677F" w:rsidRDefault="00362757" w:rsidP="00750703">
            <w:pPr>
              <w:pStyle w:val="In-tableHeading"/>
              <w:jc w:val="left"/>
              <w:rPr>
                <w:b w:val="0"/>
                <w:bCs/>
              </w:rPr>
            </w:pPr>
            <w:r w:rsidRPr="0007677F">
              <w:rPr>
                <w:b w:val="0"/>
                <w:bCs/>
              </w:rPr>
              <w:t xml:space="preserve">Int J </w:t>
            </w:r>
            <w:proofErr w:type="spellStart"/>
            <w:r w:rsidRPr="0007677F">
              <w:rPr>
                <w:b w:val="0"/>
                <w:bCs/>
              </w:rPr>
              <w:t>Hematol</w:t>
            </w:r>
            <w:proofErr w:type="spellEnd"/>
            <w:r w:rsidRPr="0007677F">
              <w:rPr>
                <w:b w:val="0"/>
                <w:bCs/>
              </w:rPr>
              <w:t xml:space="preserve"> 2017; 106:655</w:t>
            </w:r>
            <w:r w:rsidR="00750703">
              <w:rPr>
                <w:b w:val="0"/>
                <w:bCs/>
              </w:rPr>
              <w:noBreakHyphen/>
            </w:r>
            <w:r w:rsidRPr="0007677F">
              <w:rPr>
                <w:b w:val="0"/>
                <w:bCs/>
              </w:rPr>
              <w:t xml:space="preserve">665. </w:t>
            </w:r>
          </w:p>
        </w:tc>
      </w:tr>
      <w:tr w:rsidR="00B617ED" w:rsidRPr="0098262F" w14:paraId="6945942A" w14:textId="77777777" w:rsidTr="00E45B13">
        <w:trPr>
          <w:cantSplit/>
        </w:trPr>
        <w:tc>
          <w:tcPr>
            <w:tcW w:w="5000" w:type="pct"/>
            <w:gridSpan w:val="3"/>
            <w:vAlign w:val="center"/>
          </w:tcPr>
          <w:p w14:paraId="0682F6E0" w14:textId="29098F1A" w:rsidR="00E45B13" w:rsidRPr="0007677F" w:rsidRDefault="00E45B13" w:rsidP="00750703">
            <w:pPr>
              <w:pStyle w:val="In-tableHeading"/>
              <w:jc w:val="left"/>
            </w:pPr>
            <w:r w:rsidRPr="0007677F">
              <w:t>Pralatrexate</w:t>
            </w:r>
          </w:p>
        </w:tc>
      </w:tr>
      <w:tr w:rsidR="008A57E3" w:rsidRPr="0098262F" w14:paraId="400ADAF8" w14:textId="77777777">
        <w:trPr>
          <w:cantSplit/>
          <w:trHeight w:val="918"/>
        </w:trPr>
        <w:tc>
          <w:tcPr>
            <w:tcW w:w="795" w:type="pct"/>
            <w:vAlign w:val="center"/>
          </w:tcPr>
          <w:p w14:paraId="532F69E2" w14:textId="77777777" w:rsidR="00C308F8" w:rsidRPr="00FC5A37" w:rsidRDefault="00C308F8" w:rsidP="00750703">
            <w:pPr>
              <w:pStyle w:val="Tabletext"/>
            </w:pPr>
            <w:r w:rsidRPr="00FC5A37">
              <w:t>NCT00364923</w:t>
            </w:r>
          </w:p>
          <w:p w14:paraId="7A74FF74" w14:textId="77777777" w:rsidR="00C308F8" w:rsidRPr="00FC5A37" w:rsidRDefault="00C308F8" w:rsidP="00750703">
            <w:pPr>
              <w:pStyle w:val="Tabletext"/>
            </w:pPr>
            <w:r w:rsidRPr="00FC5A37">
              <w:t>PROPEL</w:t>
            </w:r>
          </w:p>
          <w:p w14:paraId="18C64AF1" w14:textId="4B73702D" w:rsidR="00C308F8" w:rsidRPr="00FC5A37" w:rsidRDefault="00C308F8" w:rsidP="00750703">
            <w:pPr>
              <w:pStyle w:val="Tabletext"/>
            </w:pPr>
            <w:r w:rsidRPr="00FC5A37">
              <w:t>PDX</w:t>
            </w:r>
            <w:r w:rsidR="00750703">
              <w:noBreakHyphen/>
            </w:r>
            <w:r w:rsidRPr="00FC5A37">
              <w:t>008</w:t>
            </w:r>
          </w:p>
        </w:tc>
        <w:tc>
          <w:tcPr>
            <w:tcW w:w="2803" w:type="pct"/>
            <w:vAlign w:val="center"/>
          </w:tcPr>
          <w:p w14:paraId="0A35B979" w14:textId="64A70C3E" w:rsidR="00C308F8" w:rsidRPr="00FC5A37" w:rsidRDefault="00C308F8" w:rsidP="00750703">
            <w:pPr>
              <w:pStyle w:val="Tabletext"/>
            </w:pPr>
            <w:r w:rsidRPr="00FC5A37">
              <w:t>O'Connor OA, Pro B, Pinter</w:t>
            </w:r>
            <w:r w:rsidR="00750703">
              <w:noBreakHyphen/>
            </w:r>
            <w:r w:rsidRPr="00FC5A37">
              <w:t>Brown L, et al. Pralatrexate in patients with relapsed or refractory Peripheral T</w:t>
            </w:r>
            <w:r w:rsidR="00750703">
              <w:noBreakHyphen/>
            </w:r>
            <w:r w:rsidRPr="00FC5A37">
              <w:t xml:space="preserve">Cell Lymphoma: Results from the pivotal PROPEL study. </w:t>
            </w:r>
          </w:p>
        </w:tc>
        <w:tc>
          <w:tcPr>
            <w:tcW w:w="1402" w:type="pct"/>
            <w:vAlign w:val="center"/>
          </w:tcPr>
          <w:p w14:paraId="4A191A18" w14:textId="0B56F7E4" w:rsidR="00C308F8" w:rsidRPr="0007677F" w:rsidRDefault="00C308F8" w:rsidP="00750703">
            <w:pPr>
              <w:pStyle w:val="Tabletext"/>
            </w:pPr>
            <w:r w:rsidRPr="0007677F">
              <w:t>J Clin Oncol 2011; 29:1182</w:t>
            </w:r>
            <w:r w:rsidR="00750703">
              <w:noBreakHyphen/>
            </w:r>
            <w:r w:rsidRPr="0007677F">
              <w:t>1189.</w:t>
            </w:r>
          </w:p>
        </w:tc>
      </w:tr>
    </w:tbl>
    <w:p w14:paraId="51D8173A" w14:textId="54EF946C" w:rsidR="008E0D3C" w:rsidRDefault="008E0D3C" w:rsidP="00750703">
      <w:pPr>
        <w:pStyle w:val="FooterTableFigure"/>
      </w:pPr>
      <w:r w:rsidRPr="0098262F">
        <w:t xml:space="preserve">Source: </w:t>
      </w:r>
      <w:r w:rsidR="00F56E27">
        <w:t xml:space="preserve">Modified from </w:t>
      </w:r>
      <w:r w:rsidR="00E45B13">
        <w:t>Table 2</w:t>
      </w:r>
      <w:r w:rsidR="00750703">
        <w:noBreakHyphen/>
      </w:r>
      <w:r w:rsidR="00E45B13">
        <w:t xml:space="preserve">2, p44 of the submission. </w:t>
      </w:r>
    </w:p>
    <w:p w14:paraId="1DD06D7D" w14:textId="73932E41" w:rsidR="007F1017" w:rsidRPr="00265B3F" w:rsidRDefault="008F120A" w:rsidP="00750703">
      <w:pPr>
        <w:pStyle w:val="3-BodyText"/>
        <w:spacing w:before="160" w:after="160"/>
        <w:rPr>
          <w:color w:val="0066FF"/>
        </w:rPr>
      </w:pPr>
      <w:r w:rsidRPr="0098262F">
        <w:t xml:space="preserve">The key features of the </w:t>
      </w:r>
      <w:r w:rsidR="007170DA" w:rsidRPr="0098262F">
        <w:t>studies</w:t>
      </w:r>
      <w:r w:rsidRPr="0098262F">
        <w:t xml:space="preserve"> are summarised in</w:t>
      </w:r>
      <w:r w:rsidR="00AE5419">
        <w:t xml:space="preserve"> </w:t>
      </w:r>
      <w:r w:rsidR="00AE5419" w:rsidRPr="00AE5419">
        <w:fldChar w:fldCharType="begin"/>
      </w:r>
      <w:r w:rsidR="00AE5419" w:rsidRPr="00AE5419">
        <w:instrText xml:space="preserve"> REF _Ref104804098 \h </w:instrText>
      </w:r>
      <w:r w:rsidR="00AE5419">
        <w:instrText xml:space="preserve"> \* MERGEFORMAT </w:instrText>
      </w:r>
      <w:r w:rsidR="00AE5419" w:rsidRPr="00AE5419">
        <w:fldChar w:fldCharType="separate"/>
      </w:r>
      <w:r w:rsidR="00AE5419" w:rsidRPr="00AE5419">
        <w:t>Table 3</w:t>
      </w:r>
      <w:r w:rsidR="00AE5419" w:rsidRPr="00AE5419">
        <w:fldChar w:fldCharType="end"/>
      </w:r>
      <w:r w:rsidR="00AE5419">
        <w:t>.</w:t>
      </w:r>
    </w:p>
    <w:p w14:paraId="355E2F15" w14:textId="629BB23D" w:rsidR="007F1017" w:rsidRPr="0098262F" w:rsidRDefault="00696EF9" w:rsidP="00750703">
      <w:pPr>
        <w:keepNext/>
        <w:jc w:val="left"/>
        <w:rPr>
          <w:rStyle w:val="CommentReference"/>
          <w:rFonts w:eastAsiaTheme="majorEastAsia" w:cstheme="majorBidi"/>
          <w:b w:val="0"/>
          <w:szCs w:val="24"/>
        </w:rPr>
      </w:pPr>
      <w:bookmarkStart w:id="23" w:name="_Ref104804098"/>
      <w:r w:rsidRPr="0098262F">
        <w:rPr>
          <w:rStyle w:val="CommentReference"/>
          <w:rFonts w:eastAsiaTheme="majorEastAsia" w:cstheme="majorBidi"/>
          <w:szCs w:val="24"/>
        </w:rPr>
        <w:lastRenderedPageBreak/>
        <w:t xml:space="preserve">Table </w:t>
      </w:r>
      <w:r w:rsidRPr="0098262F">
        <w:rPr>
          <w:rStyle w:val="CommentReference"/>
          <w:rFonts w:eastAsiaTheme="majorEastAsia" w:cstheme="majorBidi"/>
          <w:b w:val="0"/>
          <w:szCs w:val="24"/>
        </w:rPr>
        <w:fldChar w:fldCharType="begin"/>
      </w:r>
      <w:r w:rsidRPr="0098262F">
        <w:rPr>
          <w:rStyle w:val="CommentReference"/>
          <w:rFonts w:eastAsiaTheme="majorEastAsia" w:cstheme="majorBidi"/>
          <w:szCs w:val="24"/>
        </w:rPr>
        <w:instrText xml:space="preserve"> SEQ Table \* ARABIC </w:instrText>
      </w:r>
      <w:r w:rsidRPr="0098262F">
        <w:rPr>
          <w:rStyle w:val="CommentReference"/>
          <w:rFonts w:eastAsiaTheme="majorEastAsia" w:cstheme="majorBidi"/>
          <w:b w:val="0"/>
          <w:szCs w:val="24"/>
        </w:rPr>
        <w:fldChar w:fldCharType="separate"/>
      </w:r>
      <w:r w:rsidR="000B22F7">
        <w:rPr>
          <w:rStyle w:val="CommentReference"/>
          <w:rFonts w:eastAsiaTheme="majorEastAsia" w:cstheme="majorBidi"/>
          <w:noProof/>
          <w:szCs w:val="24"/>
        </w:rPr>
        <w:t>3</w:t>
      </w:r>
      <w:r w:rsidRPr="0098262F">
        <w:rPr>
          <w:rStyle w:val="CommentReference"/>
          <w:rFonts w:eastAsiaTheme="majorEastAsia" w:cstheme="majorBidi"/>
          <w:b w:val="0"/>
          <w:szCs w:val="24"/>
        </w:rPr>
        <w:fldChar w:fldCharType="end"/>
      </w:r>
      <w:bookmarkEnd w:id="23"/>
      <w:r w:rsidR="00D6076E" w:rsidRPr="0098262F">
        <w:rPr>
          <w:rStyle w:val="CommentReference"/>
          <w:rFonts w:eastAsiaTheme="majorEastAsia" w:cstheme="majorBidi"/>
          <w:szCs w:val="24"/>
        </w:rPr>
        <w:t xml:space="preserve">: </w:t>
      </w:r>
      <w:r w:rsidR="007F1017" w:rsidRPr="0098262F">
        <w:rPr>
          <w:rStyle w:val="CommentReference"/>
          <w:rFonts w:eastAsiaTheme="majorEastAsia" w:cstheme="majorBidi"/>
          <w:szCs w:val="24"/>
        </w:rPr>
        <w:t>Key features of the included evidence</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7"/>
        <w:gridCol w:w="427"/>
        <w:gridCol w:w="2692"/>
        <w:gridCol w:w="614"/>
        <w:gridCol w:w="2648"/>
        <w:gridCol w:w="1559"/>
      </w:tblGrid>
      <w:tr w:rsidR="00732961" w:rsidRPr="0098262F" w14:paraId="0E4AC1D0" w14:textId="77777777" w:rsidTr="00B76EBB">
        <w:trPr>
          <w:cantSplit/>
        </w:trPr>
        <w:tc>
          <w:tcPr>
            <w:tcW w:w="552" w:type="pct"/>
            <w:vAlign w:val="center"/>
          </w:tcPr>
          <w:p w14:paraId="52DA4B17" w14:textId="298334CA" w:rsidR="00732961" w:rsidRPr="00732961" w:rsidRDefault="00732961" w:rsidP="00750703">
            <w:pPr>
              <w:pStyle w:val="Tabletext"/>
              <w:keepNext/>
              <w:rPr>
                <w:b/>
                <w:bCs/>
              </w:rPr>
            </w:pPr>
            <w:r w:rsidRPr="00732961">
              <w:rPr>
                <w:b/>
                <w:bCs/>
              </w:rPr>
              <w:t>Trial</w:t>
            </w:r>
          </w:p>
        </w:tc>
        <w:tc>
          <w:tcPr>
            <w:tcW w:w="239" w:type="pct"/>
            <w:vAlign w:val="center"/>
          </w:tcPr>
          <w:p w14:paraId="1B7F8461" w14:textId="298CDFB5" w:rsidR="00732961" w:rsidRPr="00732961" w:rsidRDefault="00732961" w:rsidP="00750703">
            <w:pPr>
              <w:pStyle w:val="Tabletext"/>
              <w:keepNext/>
              <w:jc w:val="center"/>
              <w:rPr>
                <w:b/>
                <w:bCs/>
              </w:rPr>
            </w:pPr>
            <w:r w:rsidRPr="00732961">
              <w:rPr>
                <w:b/>
                <w:bCs/>
              </w:rPr>
              <w:t>N</w:t>
            </w:r>
          </w:p>
        </w:tc>
        <w:tc>
          <w:tcPr>
            <w:tcW w:w="1508" w:type="pct"/>
            <w:vAlign w:val="center"/>
          </w:tcPr>
          <w:p w14:paraId="06063A9C" w14:textId="14D96E7E" w:rsidR="00732961" w:rsidRPr="00732961" w:rsidRDefault="00732961" w:rsidP="00750703">
            <w:pPr>
              <w:pStyle w:val="Tabletext"/>
              <w:keepNext/>
              <w:rPr>
                <w:b/>
                <w:bCs/>
              </w:rPr>
            </w:pPr>
            <w:r w:rsidRPr="00732961">
              <w:rPr>
                <w:b/>
                <w:bCs/>
              </w:rPr>
              <w:t>Design/duration</w:t>
            </w:r>
          </w:p>
        </w:tc>
        <w:tc>
          <w:tcPr>
            <w:tcW w:w="344" w:type="pct"/>
            <w:vAlign w:val="center"/>
          </w:tcPr>
          <w:p w14:paraId="38031D15" w14:textId="747976B5" w:rsidR="00732961" w:rsidRPr="00732961" w:rsidRDefault="00732961" w:rsidP="00750703">
            <w:pPr>
              <w:pStyle w:val="Tabletext"/>
              <w:keepNext/>
              <w:jc w:val="center"/>
              <w:rPr>
                <w:b/>
                <w:bCs/>
              </w:rPr>
            </w:pPr>
            <w:r w:rsidRPr="00732961">
              <w:rPr>
                <w:b/>
                <w:bCs/>
              </w:rPr>
              <w:t>Risk of bias</w:t>
            </w:r>
          </w:p>
        </w:tc>
        <w:tc>
          <w:tcPr>
            <w:tcW w:w="1483" w:type="pct"/>
            <w:vAlign w:val="center"/>
          </w:tcPr>
          <w:p w14:paraId="6A7F811F" w14:textId="7F5DDB02" w:rsidR="00732961" w:rsidRPr="00732961" w:rsidRDefault="00732961" w:rsidP="00750703">
            <w:pPr>
              <w:pStyle w:val="Tabletext"/>
              <w:keepNext/>
              <w:rPr>
                <w:b/>
                <w:bCs/>
              </w:rPr>
            </w:pPr>
            <w:r w:rsidRPr="00732961">
              <w:rPr>
                <w:b/>
                <w:bCs/>
              </w:rPr>
              <w:t>Patient population</w:t>
            </w:r>
          </w:p>
        </w:tc>
        <w:tc>
          <w:tcPr>
            <w:tcW w:w="873" w:type="pct"/>
            <w:vAlign w:val="center"/>
          </w:tcPr>
          <w:p w14:paraId="388981F1" w14:textId="044AF0F2" w:rsidR="00732961" w:rsidRPr="00732961" w:rsidRDefault="00732961" w:rsidP="00750703">
            <w:pPr>
              <w:pStyle w:val="Tabletext"/>
              <w:keepNext/>
              <w:rPr>
                <w:b/>
                <w:bCs/>
              </w:rPr>
            </w:pPr>
            <w:r w:rsidRPr="00732961">
              <w:rPr>
                <w:b/>
                <w:bCs/>
              </w:rPr>
              <w:t>Outcomes</w:t>
            </w:r>
          </w:p>
        </w:tc>
      </w:tr>
      <w:tr w:rsidR="00732961" w:rsidRPr="0098262F" w14:paraId="4EE88DCB" w14:textId="77777777" w:rsidTr="00B76EBB">
        <w:trPr>
          <w:cantSplit/>
        </w:trPr>
        <w:tc>
          <w:tcPr>
            <w:tcW w:w="552" w:type="pct"/>
            <w:vAlign w:val="center"/>
          </w:tcPr>
          <w:p w14:paraId="6EE77D33" w14:textId="19306459" w:rsidR="0070198B" w:rsidRPr="00FC5A37" w:rsidRDefault="0070198B" w:rsidP="00750703">
            <w:pPr>
              <w:pStyle w:val="Tabletext"/>
              <w:keepNext/>
            </w:pPr>
            <w:r w:rsidRPr="00FC5A37">
              <w:t>GPI</w:t>
            </w:r>
            <w:r w:rsidR="00750703">
              <w:noBreakHyphen/>
            </w:r>
            <w:r w:rsidRPr="00FC5A37">
              <w:t>06</w:t>
            </w:r>
            <w:r w:rsidR="00750703">
              <w:noBreakHyphen/>
            </w:r>
            <w:r w:rsidRPr="00FC5A37">
              <w:t>002</w:t>
            </w:r>
          </w:p>
        </w:tc>
        <w:tc>
          <w:tcPr>
            <w:tcW w:w="239" w:type="pct"/>
            <w:vAlign w:val="center"/>
          </w:tcPr>
          <w:p w14:paraId="41BB0E41" w14:textId="3BC487C7" w:rsidR="0070198B" w:rsidRPr="00FC5A37" w:rsidRDefault="0070198B" w:rsidP="00750703">
            <w:pPr>
              <w:pStyle w:val="Tabletext"/>
              <w:keepNext/>
              <w:jc w:val="center"/>
            </w:pPr>
            <w:r w:rsidRPr="00FC5A37">
              <w:t>130</w:t>
            </w:r>
          </w:p>
        </w:tc>
        <w:tc>
          <w:tcPr>
            <w:tcW w:w="1508" w:type="pct"/>
            <w:vAlign w:val="center"/>
          </w:tcPr>
          <w:p w14:paraId="744D08AC" w14:textId="0C244DF7" w:rsidR="0070198B" w:rsidRPr="00FC5A37" w:rsidRDefault="0070198B" w:rsidP="00750703">
            <w:pPr>
              <w:pStyle w:val="Tabletext"/>
              <w:keepNext/>
            </w:pPr>
            <w:r>
              <w:t>Single arm OL</w:t>
            </w:r>
            <w:r w:rsidRPr="00FC5A37">
              <w:t xml:space="preserve">; MC; 6 cycles then continue if benefit. </w:t>
            </w:r>
          </w:p>
        </w:tc>
        <w:tc>
          <w:tcPr>
            <w:tcW w:w="344" w:type="pct"/>
            <w:vAlign w:val="center"/>
          </w:tcPr>
          <w:p w14:paraId="4A529D74" w14:textId="65E018B8" w:rsidR="0070198B" w:rsidRPr="0028339A" w:rsidRDefault="0070198B" w:rsidP="00750703">
            <w:pPr>
              <w:pStyle w:val="Tabletext"/>
              <w:keepNext/>
              <w:jc w:val="center"/>
            </w:pPr>
            <w:r w:rsidRPr="0028339A">
              <w:t>High</w:t>
            </w:r>
          </w:p>
        </w:tc>
        <w:tc>
          <w:tcPr>
            <w:tcW w:w="1483" w:type="pct"/>
            <w:vAlign w:val="center"/>
          </w:tcPr>
          <w:p w14:paraId="5E6F456D" w14:textId="5BE3AA16" w:rsidR="0070198B" w:rsidRPr="00FC5A37" w:rsidRDefault="0070198B" w:rsidP="00750703">
            <w:pPr>
              <w:pStyle w:val="Tabletext"/>
              <w:keepNext/>
            </w:pPr>
            <w:r w:rsidRPr="00FC5A37">
              <w:t xml:space="preserve">PTCL with no response to </w:t>
            </w:r>
            <w:r w:rsidRPr="00FC5A37">
              <w:sym w:font="Symbol" w:char="F0B3"/>
            </w:r>
            <w:r w:rsidRPr="00FC5A37">
              <w:t xml:space="preserve">1 previous systemic therapy. </w:t>
            </w:r>
          </w:p>
        </w:tc>
        <w:tc>
          <w:tcPr>
            <w:tcW w:w="873" w:type="pct"/>
            <w:vAlign w:val="center"/>
          </w:tcPr>
          <w:p w14:paraId="6DC76214" w14:textId="01418827" w:rsidR="0070198B" w:rsidRPr="00FC5A37" w:rsidRDefault="0070198B" w:rsidP="00750703">
            <w:pPr>
              <w:pStyle w:val="Tabletext"/>
              <w:keepNext/>
            </w:pPr>
            <w:r w:rsidRPr="00FC5A37">
              <w:t xml:space="preserve">CR + </w:t>
            </w:r>
            <w:proofErr w:type="spellStart"/>
            <w:r w:rsidRPr="00FC5A37">
              <w:t>CRu</w:t>
            </w:r>
            <w:proofErr w:type="spellEnd"/>
            <w:r w:rsidRPr="00FC5A37">
              <w:t xml:space="preserve"> (IWC) assessed by IRC. </w:t>
            </w:r>
          </w:p>
        </w:tc>
      </w:tr>
      <w:tr w:rsidR="00732961" w:rsidRPr="0098262F" w14:paraId="13A6895C" w14:textId="77777777" w:rsidTr="00B76EBB">
        <w:trPr>
          <w:cantSplit/>
        </w:trPr>
        <w:tc>
          <w:tcPr>
            <w:tcW w:w="552" w:type="pct"/>
            <w:vAlign w:val="center"/>
          </w:tcPr>
          <w:p w14:paraId="4A9488B3" w14:textId="03640FA5" w:rsidR="0070198B" w:rsidRPr="00FC5A37" w:rsidRDefault="0070198B" w:rsidP="00750703">
            <w:pPr>
              <w:pStyle w:val="Tabletext"/>
              <w:keepNext/>
            </w:pPr>
            <w:r w:rsidRPr="00FC5A37">
              <w:t>Piekarz, 2011</w:t>
            </w:r>
          </w:p>
        </w:tc>
        <w:tc>
          <w:tcPr>
            <w:tcW w:w="239" w:type="pct"/>
            <w:vAlign w:val="center"/>
          </w:tcPr>
          <w:p w14:paraId="3F4D20B5" w14:textId="6A7197ED" w:rsidR="0070198B" w:rsidRPr="00FC5A37" w:rsidRDefault="0070198B" w:rsidP="00750703">
            <w:pPr>
              <w:pStyle w:val="Tabletext"/>
              <w:keepNext/>
              <w:jc w:val="center"/>
            </w:pPr>
            <w:r w:rsidRPr="00FC5A37">
              <w:t>47</w:t>
            </w:r>
          </w:p>
        </w:tc>
        <w:tc>
          <w:tcPr>
            <w:tcW w:w="1508" w:type="pct"/>
            <w:vAlign w:val="center"/>
          </w:tcPr>
          <w:p w14:paraId="68D92FE7" w14:textId="6EB55544" w:rsidR="0070198B" w:rsidRPr="00FC5A37" w:rsidRDefault="0070198B" w:rsidP="00750703">
            <w:pPr>
              <w:pStyle w:val="Tabletext"/>
              <w:keepNext/>
            </w:pPr>
            <w:r>
              <w:t>Single arm OL</w:t>
            </w:r>
            <w:r w:rsidRPr="00FC5A37">
              <w:t>; Simon 2</w:t>
            </w:r>
            <w:r w:rsidR="00750703">
              <w:noBreakHyphen/>
            </w:r>
            <w:r w:rsidRPr="00FC5A37">
              <w:t xml:space="preserve">stage design, with </w:t>
            </w:r>
            <w:r w:rsidRPr="00FC5A37">
              <w:sym w:font="Symbol" w:char="F0B3"/>
            </w:r>
            <w:r w:rsidRPr="00FC5A37">
              <w:t>2/16 responders in stage 1 to proceed to stage 2.</w:t>
            </w:r>
          </w:p>
        </w:tc>
        <w:tc>
          <w:tcPr>
            <w:tcW w:w="344" w:type="pct"/>
            <w:vAlign w:val="center"/>
          </w:tcPr>
          <w:p w14:paraId="6F0F93F8" w14:textId="77777777" w:rsidR="0070198B" w:rsidRPr="0028339A" w:rsidRDefault="0070198B" w:rsidP="00750703">
            <w:pPr>
              <w:pStyle w:val="Tabletext"/>
              <w:keepNext/>
              <w:jc w:val="center"/>
            </w:pPr>
            <w:r w:rsidRPr="0028339A">
              <w:t>High</w:t>
            </w:r>
          </w:p>
        </w:tc>
        <w:tc>
          <w:tcPr>
            <w:tcW w:w="1483" w:type="pct"/>
            <w:vAlign w:val="center"/>
          </w:tcPr>
          <w:p w14:paraId="43AC963E" w14:textId="712BE375" w:rsidR="0070198B" w:rsidRPr="00FC5A37" w:rsidRDefault="0070198B" w:rsidP="00750703">
            <w:pPr>
              <w:pStyle w:val="Tabletext"/>
              <w:keepNext/>
            </w:pPr>
            <w:r w:rsidRPr="00FC5A37">
              <w:t xml:space="preserve">In stage 1, PTCL NOS or cutaneous ALCL with </w:t>
            </w:r>
            <w:r w:rsidRPr="00FC5A37">
              <w:sym w:font="Symbol" w:char="F0A3"/>
            </w:r>
            <w:r w:rsidRPr="00FC5A37">
              <w:t xml:space="preserve">2 prior systemic therapies; in stage 2 any PTCL and any number of prior therapies. </w:t>
            </w:r>
          </w:p>
        </w:tc>
        <w:tc>
          <w:tcPr>
            <w:tcW w:w="873" w:type="pct"/>
            <w:vAlign w:val="center"/>
          </w:tcPr>
          <w:p w14:paraId="4F0C99D2" w14:textId="7F0BF17F" w:rsidR="0070198B" w:rsidRPr="00FC5A37" w:rsidRDefault="0070198B" w:rsidP="00750703">
            <w:pPr>
              <w:pStyle w:val="Tabletext"/>
              <w:keepNext/>
            </w:pPr>
            <w:r w:rsidRPr="00FC5A37">
              <w:t xml:space="preserve">CR + </w:t>
            </w:r>
            <w:proofErr w:type="spellStart"/>
            <w:r w:rsidRPr="00FC5A37">
              <w:t>CRu</w:t>
            </w:r>
            <w:proofErr w:type="spellEnd"/>
            <w:r w:rsidRPr="00FC5A37">
              <w:t xml:space="preserve"> or partial response (IWC). </w:t>
            </w:r>
          </w:p>
        </w:tc>
      </w:tr>
      <w:tr w:rsidR="00732961" w:rsidRPr="00A63155" w14:paraId="60EB9801" w14:textId="77777777" w:rsidTr="00B76EBB">
        <w:trPr>
          <w:cantSplit/>
        </w:trPr>
        <w:tc>
          <w:tcPr>
            <w:tcW w:w="552" w:type="pct"/>
            <w:vAlign w:val="center"/>
          </w:tcPr>
          <w:p w14:paraId="7EB2A9FD" w14:textId="7FB2FFAF" w:rsidR="0070198B" w:rsidRPr="00A63155" w:rsidRDefault="0070198B" w:rsidP="00750703">
            <w:pPr>
              <w:pStyle w:val="Tabletext"/>
              <w:keepNext/>
            </w:pPr>
            <w:r w:rsidRPr="00A63155">
              <w:t>Maruyama, 2017</w:t>
            </w:r>
          </w:p>
        </w:tc>
        <w:tc>
          <w:tcPr>
            <w:tcW w:w="239" w:type="pct"/>
            <w:vAlign w:val="center"/>
          </w:tcPr>
          <w:p w14:paraId="27303C62" w14:textId="382EA61D" w:rsidR="0070198B" w:rsidRPr="00A63155" w:rsidRDefault="0070198B" w:rsidP="00750703">
            <w:pPr>
              <w:pStyle w:val="Tabletext"/>
              <w:keepNext/>
              <w:jc w:val="center"/>
            </w:pPr>
            <w:r w:rsidRPr="00A63155">
              <w:t>48</w:t>
            </w:r>
          </w:p>
        </w:tc>
        <w:tc>
          <w:tcPr>
            <w:tcW w:w="1508" w:type="pct"/>
            <w:vAlign w:val="center"/>
          </w:tcPr>
          <w:p w14:paraId="00893D9E" w14:textId="275EA9DD" w:rsidR="0070198B" w:rsidRPr="00A63155" w:rsidRDefault="0070198B" w:rsidP="00750703">
            <w:pPr>
              <w:pStyle w:val="Tabletext"/>
              <w:keepNext/>
            </w:pPr>
            <w:r w:rsidRPr="00A63155">
              <w:t>Single arm OL: Phase I used dose</w:t>
            </w:r>
            <w:r w:rsidR="00750703">
              <w:noBreakHyphen/>
            </w:r>
            <w:r w:rsidRPr="00A63155">
              <w:t>escalation to dose</w:t>
            </w:r>
            <w:r w:rsidR="00750703">
              <w:noBreakHyphen/>
            </w:r>
            <w:r w:rsidRPr="00A63155">
              <w:t>limiting toxicity; then Phase II treatment at identified maximum dose (= 14 mg/m</w:t>
            </w:r>
            <w:r w:rsidRPr="00A63155">
              <w:rPr>
                <w:vertAlign w:val="superscript"/>
              </w:rPr>
              <w:t>2</w:t>
            </w:r>
            <w:r w:rsidRPr="00A63155">
              <w:t xml:space="preserve">) until disease progression or withdrawal. </w:t>
            </w:r>
          </w:p>
        </w:tc>
        <w:tc>
          <w:tcPr>
            <w:tcW w:w="344" w:type="pct"/>
            <w:vAlign w:val="center"/>
          </w:tcPr>
          <w:p w14:paraId="2C0D8ADA" w14:textId="3B6EB0ED" w:rsidR="0070198B" w:rsidRPr="0028339A" w:rsidRDefault="0070198B" w:rsidP="00750703">
            <w:pPr>
              <w:pStyle w:val="Tabletext"/>
              <w:keepNext/>
              <w:jc w:val="center"/>
            </w:pPr>
            <w:r w:rsidRPr="0028339A">
              <w:t>High</w:t>
            </w:r>
          </w:p>
        </w:tc>
        <w:tc>
          <w:tcPr>
            <w:tcW w:w="1483" w:type="pct"/>
            <w:vAlign w:val="center"/>
          </w:tcPr>
          <w:p w14:paraId="1E94865E" w14:textId="71ECA197" w:rsidR="0070198B" w:rsidRPr="00A63155" w:rsidRDefault="0070198B" w:rsidP="00750703">
            <w:pPr>
              <w:pStyle w:val="Tabletext"/>
              <w:keepNext/>
            </w:pPr>
            <w:r w:rsidRPr="00A63155">
              <w:t xml:space="preserve">Age </w:t>
            </w:r>
            <w:r w:rsidRPr="00A63155">
              <w:sym w:font="Symbol" w:char="F0B3"/>
            </w:r>
            <w:r w:rsidRPr="00A63155">
              <w:t xml:space="preserve">20; PTCL with progressive disease after </w:t>
            </w:r>
            <w:r w:rsidRPr="00A63155">
              <w:sym w:font="Symbol" w:char="F0B3"/>
            </w:r>
            <w:r w:rsidRPr="00A63155">
              <w:t xml:space="preserve">1 prior systemic treatment; ECOG </w:t>
            </w:r>
            <w:r w:rsidRPr="00A63155">
              <w:sym w:font="Symbol" w:char="F0A3"/>
            </w:r>
            <w:r w:rsidRPr="00A63155">
              <w:t xml:space="preserve">2. </w:t>
            </w:r>
          </w:p>
        </w:tc>
        <w:tc>
          <w:tcPr>
            <w:tcW w:w="873" w:type="pct"/>
            <w:vAlign w:val="center"/>
          </w:tcPr>
          <w:p w14:paraId="42F399D4" w14:textId="1A3C5650" w:rsidR="0070198B" w:rsidRPr="00A63155" w:rsidRDefault="0070198B" w:rsidP="00750703">
            <w:pPr>
              <w:pStyle w:val="Tabletext"/>
              <w:keepNext/>
            </w:pPr>
            <w:r w:rsidRPr="00A63155">
              <w:t xml:space="preserve">CR + </w:t>
            </w:r>
            <w:proofErr w:type="spellStart"/>
            <w:r w:rsidRPr="00A63155">
              <w:t>CRu</w:t>
            </w:r>
            <w:proofErr w:type="spellEnd"/>
            <w:r w:rsidRPr="00A63155">
              <w:t xml:space="preserve"> + partial responses (IWC) assessed by IRC. </w:t>
            </w:r>
          </w:p>
        </w:tc>
      </w:tr>
      <w:tr w:rsidR="00732961" w:rsidRPr="0098262F" w14:paraId="28762BB8" w14:textId="77777777" w:rsidTr="00B76EBB">
        <w:trPr>
          <w:cantSplit/>
        </w:trPr>
        <w:tc>
          <w:tcPr>
            <w:tcW w:w="552" w:type="pct"/>
            <w:vAlign w:val="center"/>
          </w:tcPr>
          <w:p w14:paraId="04CC38D8" w14:textId="7DD30BE9" w:rsidR="0070198B" w:rsidRPr="00FC5A37" w:rsidRDefault="0070198B" w:rsidP="00750703">
            <w:pPr>
              <w:pStyle w:val="Tabletext"/>
              <w:keepNext/>
            </w:pPr>
            <w:r w:rsidRPr="00FC5A37">
              <w:t>PROPEL</w:t>
            </w:r>
          </w:p>
        </w:tc>
        <w:tc>
          <w:tcPr>
            <w:tcW w:w="239" w:type="pct"/>
            <w:vAlign w:val="center"/>
          </w:tcPr>
          <w:p w14:paraId="29AD5FAE" w14:textId="759391B6" w:rsidR="0070198B" w:rsidRPr="00FC5A37" w:rsidRDefault="0070198B" w:rsidP="00750703">
            <w:pPr>
              <w:pStyle w:val="Tabletext"/>
              <w:keepNext/>
              <w:jc w:val="center"/>
            </w:pPr>
            <w:r w:rsidRPr="00FC5A37">
              <w:t>111</w:t>
            </w:r>
          </w:p>
        </w:tc>
        <w:tc>
          <w:tcPr>
            <w:tcW w:w="1508" w:type="pct"/>
            <w:vAlign w:val="center"/>
          </w:tcPr>
          <w:p w14:paraId="7B3C6C4D" w14:textId="2C0EFB74" w:rsidR="0070198B" w:rsidRPr="00FC5A37" w:rsidRDefault="0070198B" w:rsidP="00750703">
            <w:pPr>
              <w:pStyle w:val="Tabletext"/>
              <w:keepNext/>
            </w:pPr>
            <w:r w:rsidRPr="00FC5A37">
              <w:t>Prospective</w:t>
            </w:r>
            <w:r>
              <w:t xml:space="preserve"> single arm OL</w:t>
            </w:r>
            <w:r w:rsidRPr="00FC5A37">
              <w:t>; MC; Simon 2</w:t>
            </w:r>
            <w:r w:rsidR="00750703">
              <w:noBreakHyphen/>
            </w:r>
            <w:r w:rsidRPr="00FC5A37">
              <w:t xml:space="preserve">stage design with </w:t>
            </w:r>
            <w:r w:rsidRPr="00FC5A37">
              <w:sym w:font="Symbol" w:char="F0B3"/>
            </w:r>
            <w:r w:rsidRPr="00FC5A37">
              <w:t xml:space="preserve">4/35 in Stage 1 to proceed to Stage 2, with total enrolment 100 and treatment until progression or toxicity. </w:t>
            </w:r>
          </w:p>
        </w:tc>
        <w:tc>
          <w:tcPr>
            <w:tcW w:w="344" w:type="pct"/>
            <w:vAlign w:val="center"/>
          </w:tcPr>
          <w:p w14:paraId="5813BADC" w14:textId="0E3235F2" w:rsidR="0070198B" w:rsidRPr="0028339A" w:rsidRDefault="0070198B" w:rsidP="00750703">
            <w:pPr>
              <w:pStyle w:val="Tabletext"/>
              <w:keepNext/>
              <w:jc w:val="center"/>
            </w:pPr>
            <w:r w:rsidRPr="0028339A">
              <w:t>High</w:t>
            </w:r>
          </w:p>
        </w:tc>
        <w:tc>
          <w:tcPr>
            <w:tcW w:w="1483" w:type="pct"/>
            <w:vAlign w:val="center"/>
          </w:tcPr>
          <w:p w14:paraId="07F4718D" w14:textId="290A6BA4" w:rsidR="0070198B" w:rsidRPr="00FC5A37" w:rsidRDefault="0070198B" w:rsidP="00750703">
            <w:pPr>
              <w:pStyle w:val="Tabletext"/>
              <w:keepNext/>
            </w:pPr>
            <w:r w:rsidRPr="00FC5A37">
              <w:t xml:space="preserve">PTCL with no response to </w:t>
            </w:r>
            <w:r w:rsidRPr="00FC5A37">
              <w:sym w:font="Symbol" w:char="F0B3"/>
            </w:r>
            <w:r w:rsidRPr="00FC5A37">
              <w:t xml:space="preserve">1 prior therapy. </w:t>
            </w:r>
          </w:p>
        </w:tc>
        <w:tc>
          <w:tcPr>
            <w:tcW w:w="873" w:type="pct"/>
            <w:vAlign w:val="center"/>
          </w:tcPr>
          <w:p w14:paraId="47B4E9B7" w14:textId="6ED461C0" w:rsidR="0070198B" w:rsidRPr="00FC5A37" w:rsidRDefault="0070198B" w:rsidP="00750703">
            <w:pPr>
              <w:pStyle w:val="Tabletext"/>
              <w:keepNext/>
            </w:pPr>
            <w:r w:rsidRPr="00FC5A37">
              <w:t xml:space="preserve">CR + </w:t>
            </w:r>
            <w:proofErr w:type="spellStart"/>
            <w:r w:rsidRPr="00FC5A37">
              <w:t>CRu</w:t>
            </w:r>
            <w:proofErr w:type="spellEnd"/>
            <w:r w:rsidRPr="00FC5A37">
              <w:t xml:space="preserve"> + partial responses (IWC) assessed by IRC. </w:t>
            </w:r>
          </w:p>
        </w:tc>
      </w:tr>
    </w:tbl>
    <w:p w14:paraId="560080D2" w14:textId="1B5C1CCE" w:rsidR="00045017" w:rsidRPr="0098262F" w:rsidRDefault="00045017" w:rsidP="00750703">
      <w:pPr>
        <w:pStyle w:val="FooterTableFigure"/>
      </w:pPr>
      <w:r w:rsidRPr="0098262F">
        <w:t xml:space="preserve">Source: </w:t>
      </w:r>
      <w:r w:rsidR="0018409E">
        <w:t xml:space="preserve">Constructed during the evaluation from published reports. </w:t>
      </w:r>
    </w:p>
    <w:p w14:paraId="1095487C" w14:textId="648F9149" w:rsidR="00620C25" w:rsidRDefault="001250AB" w:rsidP="00750703">
      <w:pPr>
        <w:pStyle w:val="FooterTableFigure"/>
      </w:pPr>
      <w:r>
        <w:t xml:space="preserve">CR = complete response; </w:t>
      </w:r>
      <w:proofErr w:type="spellStart"/>
      <w:r>
        <w:t>CRu</w:t>
      </w:r>
      <w:proofErr w:type="spellEnd"/>
      <w:r>
        <w:t xml:space="preserve"> = unconfirmed complete response; </w:t>
      </w:r>
      <w:r w:rsidR="007D0330">
        <w:t xml:space="preserve">IRC = independent review committee; </w:t>
      </w:r>
      <w:r w:rsidR="0046679B">
        <w:t xml:space="preserve">IWC = International Workshop Criteria; </w:t>
      </w:r>
      <w:r w:rsidR="00620C25" w:rsidRPr="0098262F">
        <w:t>MC = multi</w:t>
      </w:r>
      <w:r w:rsidR="00750703">
        <w:noBreakHyphen/>
      </w:r>
      <w:r w:rsidR="00620C25" w:rsidRPr="0098262F">
        <w:t xml:space="preserve">centre; </w:t>
      </w:r>
      <w:r w:rsidR="002E5807">
        <w:t xml:space="preserve">OL = open label; </w:t>
      </w:r>
      <w:r w:rsidR="00641E8F">
        <w:t>PTCL = peripheral T</w:t>
      </w:r>
      <w:r w:rsidR="00750703">
        <w:noBreakHyphen/>
      </w:r>
      <w:r w:rsidR="00641E8F">
        <w:t xml:space="preserve">cell lymphoma; </w:t>
      </w:r>
      <w:r w:rsidR="00BB455D">
        <w:t xml:space="preserve">PR = partial response; </w:t>
      </w:r>
      <w:r w:rsidR="00641E8F">
        <w:t>R/R refractory or relapsed</w:t>
      </w:r>
      <w:r w:rsidR="0018409E">
        <w:t>; SC = single centre</w:t>
      </w:r>
      <w:r w:rsidR="00641E8F">
        <w:t>.</w:t>
      </w:r>
    </w:p>
    <w:p w14:paraId="72A20C6D" w14:textId="1C953CAA" w:rsidR="004A7D08" w:rsidRPr="00286CAC" w:rsidRDefault="00F42BA7" w:rsidP="00750703">
      <w:pPr>
        <w:pStyle w:val="3-BodyText"/>
        <w:spacing w:before="160" w:after="160"/>
        <w:ind w:left="720"/>
      </w:pPr>
      <w:r>
        <w:t>Complete r</w:t>
      </w:r>
      <w:r w:rsidR="009B0B30" w:rsidRPr="00286CAC">
        <w:t xml:space="preserve">esponses were defined </w:t>
      </w:r>
      <w:r w:rsidR="004A7D08" w:rsidRPr="00286CAC">
        <w:t>by International Workshop Criteria</w:t>
      </w:r>
      <w:r w:rsidR="00AD5B8F">
        <w:t xml:space="preserve"> (IWC)</w:t>
      </w:r>
      <w:r w:rsidR="00750703">
        <w:t xml:space="preserve"> </w:t>
      </w:r>
      <w:r w:rsidR="004A7D08" w:rsidRPr="00286CAC">
        <w:t xml:space="preserve">(1999), based on </w:t>
      </w:r>
      <w:r w:rsidR="00F529C7">
        <w:t xml:space="preserve">a </w:t>
      </w:r>
      <w:r w:rsidR="008F0A0D">
        <w:t>computed tomography (</w:t>
      </w:r>
      <w:r w:rsidR="004A7D08" w:rsidRPr="00286CAC">
        <w:t>CT</w:t>
      </w:r>
      <w:r w:rsidR="008F0A0D">
        <w:t>) scan</w:t>
      </w:r>
      <w:r w:rsidR="004A7D08" w:rsidRPr="00286CAC">
        <w:t xml:space="preserve">; </w:t>
      </w:r>
      <w:r w:rsidR="007D2F40">
        <w:t>CR</w:t>
      </w:r>
      <w:r w:rsidR="004A7D08" w:rsidRPr="00286CAC">
        <w:t xml:space="preserve"> required disappearance of clinical disease and of laboratory abnormalities, and a l</w:t>
      </w:r>
      <w:r w:rsidR="0046679B" w:rsidRPr="00286CAC">
        <w:t>ongest</w:t>
      </w:r>
      <w:r w:rsidR="004A7D08" w:rsidRPr="00286CAC">
        <w:t xml:space="preserve"> tran</w:t>
      </w:r>
      <w:r w:rsidR="0046679B" w:rsidRPr="00286CAC">
        <w:t>sverse diameter of</w:t>
      </w:r>
      <w:r w:rsidR="001250AB" w:rsidRPr="00286CAC">
        <w:t xml:space="preserve"> previously enlarged </w:t>
      </w:r>
      <w:r w:rsidR="0046679B" w:rsidRPr="00286CAC">
        <w:t>lymph nodes of 1.5 cm; an unconfirmed complete response (</w:t>
      </w:r>
      <w:proofErr w:type="spellStart"/>
      <w:r w:rsidR="0046679B" w:rsidRPr="00286CAC">
        <w:t>CRu</w:t>
      </w:r>
      <w:proofErr w:type="spellEnd"/>
      <w:r w:rsidR="0046679B" w:rsidRPr="00286CAC">
        <w:t>) required a greater than 75% reduction of tumour size.</w:t>
      </w:r>
      <w:r w:rsidR="0046679B" w:rsidRPr="00286CAC">
        <w:rPr>
          <w:rStyle w:val="FootnoteReference"/>
        </w:rPr>
        <w:footnoteReference w:id="13"/>
      </w:r>
      <w:r w:rsidR="00F04764" w:rsidRPr="00286CAC">
        <w:t xml:space="preserve"> The studies reported complete responses and unconfirmed complete responses as a single outcome. </w:t>
      </w:r>
    </w:p>
    <w:p w14:paraId="423AC251" w14:textId="051CB76D" w:rsidR="00230706" w:rsidRPr="00286CAC" w:rsidRDefault="00DF7C8F" w:rsidP="00750703">
      <w:pPr>
        <w:pStyle w:val="3-BodyText"/>
        <w:spacing w:before="160" w:after="160"/>
        <w:ind w:left="720"/>
      </w:pPr>
      <w:r w:rsidRPr="00286CAC">
        <w:t>Complete i</w:t>
      </w:r>
      <w:r w:rsidR="00B1282B" w:rsidRPr="00286CAC">
        <w:t xml:space="preserve">nclusion and exclusion criteria are shown in </w:t>
      </w:r>
      <w:r w:rsidR="002414CD" w:rsidRPr="00286CAC">
        <w:fldChar w:fldCharType="begin"/>
      </w:r>
      <w:r w:rsidR="002414CD" w:rsidRPr="00286CAC">
        <w:instrText xml:space="preserve"> REF _Ref216688511 \h </w:instrText>
      </w:r>
      <w:r w:rsidR="00286CAC" w:rsidRPr="00286CAC">
        <w:instrText xml:space="preserve"> \* MERGEFORMAT </w:instrText>
      </w:r>
      <w:r w:rsidR="002414CD" w:rsidRPr="00286CAC">
        <w:fldChar w:fldCharType="separate"/>
      </w:r>
      <w:r w:rsidR="002414CD" w:rsidRPr="00286CAC">
        <w:t xml:space="preserve">Table </w:t>
      </w:r>
      <w:r w:rsidR="002414CD" w:rsidRPr="00286CAC">
        <w:rPr>
          <w:noProof/>
        </w:rPr>
        <w:t>4</w:t>
      </w:r>
      <w:r w:rsidR="002414CD" w:rsidRPr="00286CAC">
        <w:fldChar w:fldCharType="end"/>
      </w:r>
      <w:r w:rsidR="002414CD" w:rsidRPr="00286CAC">
        <w:t>.</w:t>
      </w:r>
    </w:p>
    <w:p w14:paraId="3FE10C32" w14:textId="3235724E" w:rsidR="00537B36" w:rsidRPr="00286CAC" w:rsidRDefault="00230706" w:rsidP="00750703">
      <w:pPr>
        <w:pStyle w:val="3-BodyText"/>
        <w:spacing w:before="160" w:after="160"/>
        <w:ind w:left="720"/>
      </w:pPr>
      <w:r w:rsidRPr="00286CAC">
        <w:t xml:space="preserve">A notable difference among the studies was the requirement in the romidepsin studies to exclude patients for a wide range of cardiac abnormalities, for low potassium or magnesium levels, and for use of drugs inhibiting CYP3A4 or affecting the QT interval. </w:t>
      </w:r>
    </w:p>
    <w:p w14:paraId="6B89F1ED" w14:textId="77777777" w:rsidR="00B12E18" w:rsidRDefault="00B12E18" w:rsidP="00750703">
      <w:pPr>
        <w:jc w:val="left"/>
        <w:rPr>
          <w:rFonts w:ascii="Arial Narrow" w:hAnsi="Arial Narrow"/>
          <w:b/>
          <w:bCs/>
          <w:sz w:val="20"/>
          <w:szCs w:val="20"/>
        </w:rPr>
      </w:pPr>
      <w:bookmarkStart w:id="24" w:name="_Ref216688511"/>
      <w:r>
        <w:rPr>
          <w:rFonts w:ascii="Arial Narrow" w:hAnsi="Arial Narrow"/>
          <w:b/>
          <w:bCs/>
          <w:sz w:val="20"/>
          <w:szCs w:val="20"/>
        </w:rPr>
        <w:br w:type="page"/>
      </w:r>
    </w:p>
    <w:p w14:paraId="6D81434A" w14:textId="3910D989" w:rsidR="00CF1B11" w:rsidRPr="00EB6E1B" w:rsidRDefault="00537B36" w:rsidP="00750703">
      <w:pPr>
        <w:jc w:val="left"/>
        <w:rPr>
          <w:rFonts w:ascii="Arial Narrow" w:hAnsi="Arial Narrow"/>
          <w:b/>
          <w:bCs/>
          <w:sz w:val="20"/>
          <w:szCs w:val="20"/>
        </w:rPr>
      </w:pPr>
      <w:r w:rsidRPr="00EB6E1B">
        <w:rPr>
          <w:rFonts w:ascii="Arial Narrow" w:hAnsi="Arial Narrow"/>
          <w:b/>
          <w:bCs/>
          <w:sz w:val="20"/>
          <w:szCs w:val="20"/>
        </w:rPr>
        <w:lastRenderedPageBreak/>
        <w:t xml:space="preserve">Table </w:t>
      </w:r>
      <w:r w:rsidRPr="00EB6E1B">
        <w:rPr>
          <w:rFonts w:ascii="Arial Narrow" w:hAnsi="Arial Narrow"/>
          <w:b/>
          <w:bCs/>
          <w:sz w:val="20"/>
          <w:szCs w:val="20"/>
        </w:rPr>
        <w:fldChar w:fldCharType="begin"/>
      </w:r>
      <w:r w:rsidRPr="00EB6E1B">
        <w:rPr>
          <w:rFonts w:ascii="Arial Narrow" w:hAnsi="Arial Narrow"/>
          <w:b/>
          <w:bCs/>
          <w:sz w:val="20"/>
          <w:szCs w:val="20"/>
        </w:rPr>
        <w:instrText xml:space="preserve"> SEQ Table \* ARABIC </w:instrText>
      </w:r>
      <w:r w:rsidRPr="00EB6E1B">
        <w:rPr>
          <w:rFonts w:ascii="Arial Narrow" w:hAnsi="Arial Narrow"/>
          <w:b/>
          <w:bCs/>
          <w:sz w:val="20"/>
          <w:szCs w:val="20"/>
        </w:rPr>
        <w:fldChar w:fldCharType="separate"/>
      </w:r>
      <w:r w:rsidR="000B22F7">
        <w:rPr>
          <w:rFonts w:ascii="Arial Narrow" w:hAnsi="Arial Narrow"/>
          <w:b/>
          <w:bCs/>
          <w:noProof/>
          <w:sz w:val="20"/>
          <w:szCs w:val="20"/>
        </w:rPr>
        <w:t>4</w:t>
      </w:r>
      <w:r w:rsidRPr="00EB6E1B">
        <w:rPr>
          <w:rFonts w:ascii="Arial Narrow" w:hAnsi="Arial Narrow"/>
          <w:b/>
          <w:bCs/>
          <w:sz w:val="20"/>
          <w:szCs w:val="20"/>
        </w:rPr>
        <w:fldChar w:fldCharType="end"/>
      </w:r>
      <w:bookmarkEnd w:id="24"/>
      <w:r w:rsidRPr="00EB6E1B">
        <w:rPr>
          <w:rFonts w:ascii="Arial Narrow" w:hAnsi="Arial Narrow"/>
          <w:b/>
          <w:bCs/>
          <w:sz w:val="20"/>
          <w:szCs w:val="20"/>
        </w:rPr>
        <w:t xml:space="preserve">: </w:t>
      </w:r>
      <w:r w:rsidR="00CF1B11" w:rsidRPr="00EB6E1B">
        <w:rPr>
          <w:rFonts w:ascii="Arial Narrow" w:hAnsi="Arial Narrow"/>
          <w:b/>
          <w:bCs/>
          <w:sz w:val="20"/>
          <w:szCs w:val="20"/>
        </w:rPr>
        <w:t xml:space="preserve">Inclusion and exclusion criteria for the studies </w:t>
      </w:r>
    </w:p>
    <w:tbl>
      <w:tblPr>
        <w:tblStyle w:val="TableGrid"/>
        <w:tblW w:w="0" w:type="auto"/>
        <w:tblLook w:val="04A0" w:firstRow="1" w:lastRow="0" w:firstColumn="1" w:lastColumn="0" w:noHBand="0" w:noVBand="1"/>
      </w:tblPr>
      <w:tblGrid>
        <w:gridCol w:w="1366"/>
        <w:gridCol w:w="2017"/>
        <w:gridCol w:w="2017"/>
        <w:gridCol w:w="1713"/>
        <w:gridCol w:w="1904"/>
      </w:tblGrid>
      <w:tr w:rsidR="008A57E3" w14:paraId="182737F1" w14:textId="77777777" w:rsidTr="00F93FB9">
        <w:tc>
          <w:tcPr>
            <w:tcW w:w="988" w:type="dxa"/>
            <w:vMerge w:val="restart"/>
          </w:tcPr>
          <w:p w14:paraId="09AD0295" w14:textId="77777777" w:rsidR="00B804B5" w:rsidRPr="001C6890" w:rsidRDefault="00B804B5" w:rsidP="00750703">
            <w:pPr>
              <w:pStyle w:val="TableFigureHeading"/>
            </w:pPr>
          </w:p>
        </w:tc>
        <w:tc>
          <w:tcPr>
            <w:tcW w:w="6025" w:type="dxa"/>
            <w:gridSpan w:val="3"/>
          </w:tcPr>
          <w:p w14:paraId="311926DD" w14:textId="39CBAD4F" w:rsidR="00B804B5" w:rsidRPr="001C6890" w:rsidRDefault="00B804B5" w:rsidP="00750703">
            <w:pPr>
              <w:pStyle w:val="TableFigureHeading"/>
              <w:jc w:val="center"/>
            </w:pPr>
            <w:r w:rsidRPr="001C6890">
              <w:t>Romidepsin Studies</w:t>
            </w:r>
          </w:p>
        </w:tc>
        <w:tc>
          <w:tcPr>
            <w:tcW w:w="2004" w:type="dxa"/>
          </w:tcPr>
          <w:p w14:paraId="6BDADF2D" w14:textId="73236CFD" w:rsidR="00B804B5" w:rsidRPr="001C6890" w:rsidRDefault="00B804B5" w:rsidP="00750703">
            <w:pPr>
              <w:pStyle w:val="TableFigureHeading"/>
              <w:jc w:val="center"/>
            </w:pPr>
            <w:r w:rsidRPr="001C6890">
              <w:t>Pralatrexate Study</w:t>
            </w:r>
          </w:p>
        </w:tc>
      </w:tr>
      <w:tr w:rsidR="00B804B5" w14:paraId="2AD6E836" w14:textId="77777777" w:rsidTr="00F93FB9">
        <w:tc>
          <w:tcPr>
            <w:tcW w:w="988" w:type="dxa"/>
            <w:vMerge/>
          </w:tcPr>
          <w:p w14:paraId="129051D1" w14:textId="77777777" w:rsidR="00B804B5" w:rsidRPr="001C6890" w:rsidRDefault="00B804B5" w:rsidP="00750703">
            <w:pPr>
              <w:pStyle w:val="TableFigureHeading"/>
            </w:pPr>
          </w:p>
        </w:tc>
        <w:tc>
          <w:tcPr>
            <w:tcW w:w="2126" w:type="dxa"/>
          </w:tcPr>
          <w:p w14:paraId="2F635AB3" w14:textId="70240F22" w:rsidR="00B804B5" w:rsidRPr="001C6890" w:rsidRDefault="00B804B5" w:rsidP="00750703">
            <w:pPr>
              <w:pStyle w:val="TableFigureHeading"/>
              <w:jc w:val="center"/>
            </w:pPr>
            <w:r w:rsidRPr="001C6890">
              <w:t>GPI</w:t>
            </w:r>
            <w:r w:rsidR="00750703">
              <w:noBreakHyphen/>
            </w:r>
            <w:r w:rsidRPr="001C6890">
              <w:t>06</w:t>
            </w:r>
            <w:r w:rsidR="00750703">
              <w:noBreakHyphen/>
            </w:r>
            <w:r w:rsidRPr="001C6890">
              <w:t>002</w:t>
            </w:r>
          </w:p>
        </w:tc>
        <w:tc>
          <w:tcPr>
            <w:tcW w:w="2126" w:type="dxa"/>
          </w:tcPr>
          <w:p w14:paraId="119B5B6C" w14:textId="67F6F3B4" w:rsidR="00B804B5" w:rsidRPr="001C6890" w:rsidRDefault="00B804B5" w:rsidP="00750703">
            <w:pPr>
              <w:pStyle w:val="TableFigureHeading"/>
              <w:jc w:val="center"/>
            </w:pPr>
            <w:r w:rsidRPr="001C6890">
              <w:t>Piekarz, 2011</w:t>
            </w:r>
          </w:p>
        </w:tc>
        <w:tc>
          <w:tcPr>
            <w:tcW w:w="1773" w:type="dxa"/>
          </w:tcPr>
          <w:p w14:paraId="431CE56C" w14:textId="7AC5C4C6" w:rsidR="00B804B5" w:rsidRPr="001C6890" w:rsidRDefault="00B804B5" w:rsidP="00750703">
            <w:pPr>
              <w:pStyle w:val="TableFigureHeading"/>
              <w:jc w:val="center"/>
            </w:pPr>
            <w:r w:rsidRPr="001C6890">
              <w:t>Maruyama, 2017</w:t>
            </w:r>
          </w:p>
        </w:tc>
        <w:tc>
          <w:tcPr>
            <w:tcW w:w="2004" w:type="dxa"/>
          </w:tcPr>
          <w:p w14:paraId="100F0246" w14:textId="2CF4B6FD" w:rsidR="00B804B5" w:rsidRPr="001C6890" w:rsidRDefault="00B804B5" w:rsidP="00750703">
            <w:pPr>
              <w:pStyle w:val="TableFigureHeading"/>
              <w:jc w:val="center"/>
            </w:pPr>
            <w:r w:rsidRPr="001C6890">
              <w:t>PROPEL</w:t>
            </w:r>
          </w:p>
        </w:tc>
      </w:tr>
      <w:tr w:rsidR="00BB455D" w14:paraId="142B4B71" w14:textId="77777777">
        <w:tc>
          <w:tcPr>
            <w:tcW w:w="9017" w:type="dxa"/>
            <w:gridSpan w:val="5"/>
          </w:tcPr>
          <w:p w14:paraId="21996102" w14:textId="469A2E16" w:rsidR="00BB455D" w:rsidRPr="001C6890" w:rsidRDefault="00BB455D" w:rsidP="00750703">
            <w:pPr>
              <w:pStyle w:val="TableFigureHeading"/>
            </w:pPr>
            <w:r w:rsidRPr="001C6890">
              <w:t>Inclusion Criteria</w:t>
            </w:r>
          </w:p>
        </w:tc>
      </w:tr>
      <w:tr w:rsidR="00BB455D" w:rsidRPr="00CF1B11" w14:paraId="3E246528" w14:textId="77777777" w:rsidTr="00F93FB9">
        <w:tc>
          <w:tcPr>
            <w:tcW w:w="988" w:type="dxa"/>
          </w:tcPr>
          <w:p w14:paraId="5D62F7AF" w14:textId="68CBD972" w:rsidR="00BB455D" w:rsidRPr="001C6890" w:rsidRDefault="00BB455D" w:rsidP="00750703">
            <w:pPr>
              <w:pStyle w:val="Tabletext"/>
            </w:pPr>
            <w:r w:rsidRPr="001C6890">
              <w:t xml:space="preserve">Disease </w:t>
            </w:r>
          </w:p>
        </w:tc>
        <w:tc>
          <w:tcPr>
            <w:tcW w:w="2126" w:type="dxa"/>
          </w:tcPr>
          <w:p w14:paraId="6D3160F7" w14:textId="7954BE9C" w:rsidR="00BB455D" w:rsidRPr="001C6890" w:rsidRDefault="00BB455D" w:rsidP="00750703">
            <w:pPr>
              <w:pStyle w:val="Tabletext"/>
            </w:pPr>
            <w:r w:rsidRPr="001C6890">
              <w:t>PTCL, any sub</w:t>
            </w:r>
            <w:r w:rsidR="00750703">
              <w:noBreakHyphen/>
            </w:r>
            <w:r w:rsidRPr="001C6890">
              <w:t>type with measurable disease and R/R after at least one prior therapy.</w:t>
            </w:r>
          </w:p>
        </w:tc>
        <w:tc>
          <w:tcPr>
            <w:tcW w:w="2126" w:type="dxa"/>
          </w:tcPr>
          <w:p w14:paraId="1A61CAD6" w14:textId="73439364" w:rsidR="00BB455D" w:rsidRPr="001C6890" w:rsidRDefault="00BB455D" w:rsidP="00750703">
            <w:pPr>
              <w:pStyle w:val="Tabletext"/>
            </w:pPr>
            <w:r w:rsidRPr="001C6890">
              <w:t>Initially, PTCL NOS or cutaneous ALCL, later PTCL, any sub</w:t>
            </w:r>
            <w:r w:rsidR="00750703">
              <w:noBreakHyphen/>
            </w:r>
            <w:r w:rsidRPr="001C6890">
              <w:t xml:space="preserve">type, with measurable disease and R/R after at least one prior therapy. </w:t>
            </w:r>
          </w:p>
        </w:tc>
        <w:tc>
          <w:tcPr>
            <w:tcW w:w="1773" w:type="dxa"/>
          </w:tcPr>
          <w:p w14:paraId="66861587" w14:textId="2D4EBE76" w:rsidR="00BB455D" w:rsidRPr="001C6890" w:rsidRDefault="00BB455D" w:rsidP="00750703">
            <w:pPr>
              <w:pStyle w:val="Tabletext"/>
            </w:pPr>
            <w:r w:rsidRPr="001C6890">
              <w:t>PTCL, any sub</w:t>
            </w:r>
            <w:r w:rsidR="00750703">
              <w:noBreakHyphen/>
            </w:r>
            <w:r w:rsidRPr="001C6890">
              <w:t>type with measurable disease and R/R after at least one prior therapy.</w:t>
            </w:r>
          </w:p>
        </w:tc>
        <w:tc>
          <w:tcPr>
            <w:tcW w:w="2004" w:type="dxa"/>
          </w:tcPr>
          <w:p w14:paraId="34AF24D2" w14:textId="7218DA7D" w:rsidR="00BB455D" w:rsidRPr="001C6890" w:rsidRDefault="00BB455D" w:rsidP="00750703">
            <w:pPr>
              <w:pStyle w:val="Tabletext"/>
            </w:pPr>
            <w:r w:rsidRPr="001C6890">
              <w:t>PTCL, any sub</w:t>
            </w:r>
            <w:r w:rsidR="00750703">
              <w:noBreakHyphen/>
            </w:r>
            <w:r w:rsidRPr="001C6890">
              <w:t xml:space="preserve">type with measurable disease and documented disease progression after at least one prior therapy. </w:t>
            </w:r>
          </w:p>
        </w:tc>
      </w:tr>
      <w:tr w:rsidR="00BB455D" w:rsidRPr="00CF1B11" w14:paraId="3E4B57C6" w14:textId="77777777" w:rsidTr="00F93FB9">
        <w:tc>
          <w:tcPr>
            <w:tcW w:w="988" w:type="dxa"/>
          </w:tcPr>
          <w:p w14:paraId="73DBAB66" w14:textId="6E94723F" w:rsidR="00BB455D" w:rsidRPr="001C6890" w:rsidRDefault="00BB455D" w:rsidP="00750703">
            <w:pPr>
              <w:pStyle w:val="Tabletext"/>
            </w:pPr>
            <w:r w:rsidRPr="001C6890">
              <w:t>Age</w:t>
            </w:r>
            <w:r w:rsidR="001349CE">
              <w:t xml:space="preserve"> (years)</w:t>
            </w:r>
          </w:p>
        </w:tc>
        <w:tc>
          <w:tcPr>
            <w:tcW w:w="2126" w:type="dxa"/>
          </w:tcPr>
          <w:p w14:paraId="3DDAB935" w14:textId="4A91FF56" w:rsidR="00BB455D" w:rsidRPr="001C6890" w:rsidRDefault="00BB455D" w:rsidP="00750703">
            <w:pPr>
              <w:pStyle w:val="Tabletext"/>
            </w:pPr>
            <w:r w:rsidRPr="001C6890">
              <w:sym w:font="Symbol" w:char="F0B3"/>
            </w:r>
            <w:r w:rsidRPr="001C6890">
              <w:t>18</w:t>
            </w:r>
          </w:p>
        </w:tc>
        <w:tc>
          <w:tcPr>
            <w:tcW w:w="2126" w:type="dxa"/>
          </w:tcPr>
          <w:p w14:paraId="0AFFEF9D" w14:textId="03A77722" w:rsidR="00BB455D" w:rsidRPr="001C6890" w:rsidRDefault="00BB455D" w:rsidP="00750703">
            <w:pPr>
              <w:pStyle w:val="Tabletext"/>
            </w:pPr>
            <w:r w:rsidRPr="001C6890">
              <w:sym w:font="Symbol" w:char="F0B3"/>
            </w:r>
            <w:r w:rsidRPr="001C6890">
              <w:t>18</w:t>
            </w:r>
          </w:p>
        </w:tc>
        <w:tc>
          <w:tcPr>
            <w:tcW w:w="1773" w:type="dxa"/>
          </w:tcPr>
          <w:p w14:paraId="08C9DB91" w14:textId="66DA2259" w:rsidR="00BB455D" w:rsidRPr="001C6890" w:rsidRDefault="00BB455D" w:rsidP="00750703">
            <w:pPr>
              <w:pStyle w:val="Tabletext"/>
            </w:pPr>
            <w:r w:rsidRPr="001C6890">
              <w:sym w:font="Symbol" w:char="F0B3"/>
            </w:r>
            <w:r w:rsidRPr="001C6890">
              <w:t>20</w:t>
            </w:r>
          </w:p>
        </w:tc>
        <w:tc>
          <w:tcPr>
            <w:tcW w:w="2004" w:type="dxa"/>
          </w:tcPr>
          <w:p w14:paraId="179806D8" w14:textId="40F4C22C" w:rsidR="00BB455D" w:rsidRPr="001C6890" w:rsidRDefault="00BB455D" w:rsidP="00750703">
            <w:pPr>
              <w:pStyle w:val="Tabletext"/>
            </w:pPr>
            <w:r w:rsidRPr="001C6890">
              <w:t xml:space="preserve"> </w:t>
            </w:r>
            <w:r w:rsidRPr="001C6890">
              <w:sym w:font="Symbol" w:char="F0B3"/>
            </w:r>
            <w:r w:rsidRPr="001C6890">
              <w:t>18</w:t>
            </w:r>
          </w:p>
        </w:tc>
      </w:tr>
      <w:tr w:rsidR="00BB455D" w:rsidRPr="00CF1B11" w14:paraId="11C56630" w14:textId="77777777" w:rsidTr="00F93FB9">
        <w:tc>
          <w:tcPr>
            <w:tcW w:w="988" w:type="dxa"/>
          </w:tcPr>
          <w:p w14:paraId="5D98A401" w14:textId="7C948861" w:rsidR="00BB455D" w:rsidRPr="001C6890" w:rsidRDefault="00BB455D" w:rsidP="00750703">
            <w:pPr>
              <w:pStyle w:val="Tabletext"/>
            </w:pPr>
            <w:r w:rsidRPr="001C6890">
              <w:t>Prior Therapies</w:t>
            </w:r>
          </w:p>
        </w:tc>
        <w:tc>
          <w:tcPr>
            <w:tcW w:w="2126" w:type="dxa"/>
          </w:tcPr>
          <w:p w14:paraId="3824F51D" w14:textId="06CB1F04" w:rsidR="00BB455D" w:rsidRPr="001C6890" w:rsidRDefault="00BB455D" w:rsidP="00750703">
            <w:pPr>
              <w:pStyle w:val="Tabletext"/>
            </w:pPr>
            <w:r w:rsidRPr="001C6890">
              <w:sym w:font="Symbol" w:char="F0B3"/>
            </w:r>
            <w:r w:rsidRPr="001C6890">
              <w:t>1</w:t>
            </w:r>
          </w:p>
        </w:tc>
        <w:tc>
          <w:tcPr>
            <w:tcW w:w="2126" w:type="dxa"/>
          </w:tcPr>
          <w:p w14:paraId="7CDC2BE1" w14:textId="029BEBF5" w:rsidR="00BB455D" w:rsidRPr="001C6890" w:rsidRDefault="00BB455D" w:rsidP="00750703">
            <w:pPr>
              <w:pStyle w:val="Tabletext"/>
            </w:pPr>
            <w:r w:rsidRPr="001C6890">
              <w:t xml:space="preserve">Initially, </w:t>
            </w:r>
            <w:r w:rsidRPr="001C6890">
              <w:sym w:font="Symbol" w:char="F0A3"/>
            </w:r>
            <w:r w:rsidRPr="001C6890">
              <w:t xml:space="preserve">2 later </w:t>
            </w:r>
            <w:r w:rsidRPr="001C6890">
              <w:sym w:font="Symbol" w:char="F0B3"/>
            </w:r>
            <w:r w:rsidRPr="001C6890">
              <w:t>1</w:t>
            </w:r>
          </w:p>
        </w:tc>
        <w:tc>
          <w:tcPr>
            <w:tcW w:w="1773" w:type="dxa"/>
          </w:tcPr>
          <w:p w14:paraId="6736BA44" w14:textId="7956374F" w:rsidR="00BB455D" w:rsidRPr="001C6890" w:rsidRDefault="000922F6" w:rsidP="00750703">
            <w:pPr>
              <w:pStyle w:val="Tabletext"/>
            </w:pPr>
            <w:r w:rsidRPr="001C6890">
              <w:sym w:font="Symbol" w:char="F0B3"/>
            </w:r>
            <w:r w:rsidRPr="001C6890">
              <w:t>1</w:t>
            </w:r>
          </w:p>
        </w:tc>
        <w:tc>
          <w:tcPr>
            <w:tcW w:w="2004" w:type="dxa"/>
          </w:tcPr>
          <w:p w14:paraId="258C487B" w14:textId="42F90B63" w:rsidR="00BB455D" w:rsidRPr="001C6890" w:rsidRDefault="00BB455D" w:rsidP="00750703">
            <w:pPr>
              <w:pStyle w:val="Tabletext"/>
            </w:pPr>
            <w:r w:rsidRPr="001C6890">
              <w:sym w:font="Symbol" w:char="F0B3"/>
            </w:r>
            <w:r w:rsidRPr="001C6890">
              <w:t>1</w:t>
            </w:r>
          </w:p>
        </w:tc>
      </w:tr>
      <w:tr w:rsidR="00BB455D" w:rsidRPr="00CF1B11" w14:paraId="49BB77F8" w14:textId="77777777" w:rsidTr="00F93FB9">
        <w:tc>
          <w:tcPr>
            <w:tcW w:w="988" w:type="dxa"/>
          </w:tcPr>
          <w:p w14:paraId="668982C2" w14:textId="713A8EE2" w:rsidR="00BB455D" w:rsidRPr="001C6890" w:rsidRDefault="00BB455D" w:rsidP="00750703">
            <w:pPr>
              <w:pStyle w:val="Tabletext"/>
            </w:pPr>
            <w:r w:rsidRPr="001C6890">
              <w:t>ECOG</w:t>
            </w:r>
          </w:p>
        </w:tc>
        <w:tc>
          <w:tcPr>
            <w:tcW w:w="2126" w:type="dxa"/>
          </w:tcPr>
          <w:p w14:paraId="2DF1BF2D" w14:textId="403E6DA5" w:rsidR="00BB455D" w:rsidRPr="001C6890" w:rsidRDefault="00BB455D" w:rsidP="00750703">
            <w:pPr>
              <w:pStyle w:val="Tabletext"/>
            </w:pPr>
            <w:r w:rsidRPr="001C6890">
              <w:t xml:space="preserve"> 0</w:t>
            </w:r>
            <w:r w:rsidR="00750703">
              <w:noBreakHyphen/>
            </w:r>
            <w:r w:rsidRPr="001C6890">
              <w:t>2</w:t>
            </w:r>
          </w:p>
        </w:tc>
        <w:tc>
          <w:tcPr>
            <w:tcW w:w="2126" w:type="dxa"/>
          </w:tcPr>
          <w:p w14:paraId="2E3FE23D" w14:textId="6495F80B" w:rsidR="00BB455D" w:rsidRPr="001C6890" w:rsidRDefault="00BB455D" w:rsidP="00750703">
            <w:pPr>
              <w:pStyle w:val="Tabletext"/>
            </w:pPr>
            <w:r w:rsidRPr="001C6890">
              <w:t>0</w:t>
            </w:r>
            <w:r w:rsidR="00750703">
              <w:noBreakHyphen/>
            </w:r>
            <w:r w:rsidRPr="001C6890">
              <w:t>2</w:t>
            </w:r>
          </w:p>
        </w:tc>
        <w:tc>
          <w:tcPr>
            <w:tcW w:w="1773" w:type="dxa"/>
          </w:tcPr>
          <w:p w14:paraId="18992BE4" w14:textId="54306FBA" w:rsidR="00BB455D" w:rsidRPr="001C6890" w:rsidRDefault="000922F6" w:rsidP="00750703">
            <w:pPr>
              <w:pStyle w:val="Tabletext"/>
            </w:pPr>
            <w:r w:rsidRPr="001C6890">
              <w:t>0</w:t>
            </w:r>
            <w:r w:rsidR="00750703">
              <w:noBreakHyphen/>
            </w:r>
            <w:r w:rsidRPr="001C6890">
              <w:t>2</w:t>
            </w:r>
          </w:p>
        </w:tc>
        <w:tc>
          <w:tcPr>
            <w:tcW w:w="2004" w:type="dxa"/>
          </w:tcPr>
          <w:p w14:paraId="63D6FD2C" w14:textId="328B7BFB" w:rsidR="00BB455D" w:rsidRPr="001C6890" w:rsidRDefault="00BB455D" w:rsidP="00750703">
            <w:pPr>
              <w:pStyle w:val="Tabletext"/>
            </w:pPr>
            <w:r w:rsidRPr="001C6890">
              <w:t>0</w:t>
            </w:r>
            <w:r w:rsidR="00750703">
              <w:noBreakHyphen/>
            </w:r>
            <w:r w:rsidRPr="001C6890">
              <w:t>2</w:t>
            </w:r>
          </w:p>
        </w:tc>
      </w:tr>
      <w:tr w:rsidR="00BB455D" w:rsidRPr="00CF1B11" w14:paraId="085288D3" w14:textId="77777777" w:rsidTr="00F93FB9">
        <w:tc>
          <w:tcPr>
            <w:tcW w:w="988" w:type="dxa"/>
          </w:tcPr>
          <w:p w14:paraId="3BFB6D2B" w14:textId="0C358C3B" w:rsidR="00BB455D" w:rsidRPr="001C6890" w:rsidRDefault="00BB455D" w:rsidP="00750703">
            <w:pPr>
              <w:pStyle w:val="Tabletext"/>
            </w:pPr>
            <w:r w:rsidRPr="001C6890">
              <w:t>Adequate haematological, hepatic and renal function</w:t>
            </w:r>
          </w:p>
        </w:tc>
        <w:tc>
          <w:tcPr>
            <w:tcW w:w="2126" w:type="dxa"/>
          </w:tcPr>
          <w:p w14:paraId="3E916869" w14:textId="4CC5F5D4" w:rsidR="00BB455D" w:rsidRPr="001C6890" w:rsidRDefault="00BB455D" w:rsidP="00750703">
            <w:pPr>
              <w:pStyle w:val="Tabletext"/>
            </w:pPr>
            <w:r w:rsidRPr="001C6890">
              <w:t xml:space="preserve">ANC </w:t>
            </w:r>
            <w:r w:rsidRPr="001C6890">
              <w:sym w:font="Symbol" w:char="F0B3"/>
            </w:r>
            <w:r w:rsidRPr="001C6890">
              <w:t>1x10</w:t>
            </w:r>
            <w:r w:rsidRPr="001C6890">
              <w:rPr>
                <w:vertAlign w:val="superscript"/>
              </w:rPr>
              <w:t>9</w:t>
            </w:r>
            <w:r w:rsidRPr="001C6890">
              <w:t xml:space="preserve">/L, platelets </w:t>
            </w:r>
            <w:r w:rsidRPr="001C6890">
              <w:sym w:font="Symbol" w:char="F0B3"/>
            </w:r>
            <w:r w:rsidRPr="001C6890">
              <w:t>l00 10</w:t>
            </w:r>
            <w:r w:rsidRPr="001C6890">
              <w:rPr>
                <w:vertAlign w:val="superscript"/>
              </w:rPr>
              <w:t>9</w:t>
            </w:r>
            <w:r w:rsidRPr="001C6890">
              <w:t xml:space="preserve">/L, bilirubin </w:t>
            </w:r>
            <w:r w:rsidRPr="001C6890">
              <w:sym w:font="Symbol" w:char="F0A3"/>
            </w:r>
            <w:r w:rsidRPr="001C6890">
              <w:t xml:space="preserve">1.5 x ULN, </w:t>
            </w:r>
          </w:p>
          <w:p w14:paraId="7F688B02" w14:textId="584758D6" w:rsidR="00BB455D" w:rsidRPr="001C6890" w:rsidRDefault="00BB455D" w:rsidP="00750703">
            <w:pPr>
              <w:pStyle w:val="Tabletext"/>
            </w:pPr>
            <w:r w:rsidRPr="001C6890">
              <w:t xml:space="preserve">AST </w:t>
            </w:r>
            <w:r w:rsidRPr="001C6890">
              <w:sym w:font="Symbol" w:char="F0A3"/>
            </w:r>
            <w:r w:rsidRPr="001C6890">
              <w:t xml:space="preserve">3x ULN, creatinine </w:t>
            </w:r>
            <w:r w:rsidRPr="001C6890">
              <w:sym w:font="Symbol" w:char="F0A3"/>
            </w:r>
            <w:r w:rsidRPr="001C6890">
              <w:t>1.5 ULN.</w:t>
            </w:r>
            <w:r w:rsidRPr="001C6890">
              <w:rPr>
                <w:rStyle w:val="apple-converted-space"/>
              </w:rPr>
              <w:t> </w:t>
            </w:r>
          </w:p>
        </w:tc>
        <w:tc>
          <w:tcPr>
            <w:tcW w:w="2126" w:type="dxa"/>
          </w:tcPr>
          <w:p w14:paraId="32073AD0" w14:textId="77777777" w:rsidR="00BB455D" w:rsidRPr="001C6890" w:rsidRDefault="00BB455D" w:rsidP="00750703">
            <w:pPr>
              <w:pStyle w:val="Tabletext"/>
            </w:pPr>
            <w:r w:rsidRPr="001C6890">
              <w:t xml:space="preserve">ANC </w:t>
            </w:r>
            <w:r w:rsidRPr="001C6890">
              <w:sym w:font="Symbol" w:char="F0B3"/>
            </w:r>
            <w:r w:rsidRPr="001C6890">
              <w:t>1x10</w:t>
            </w:r>
            <w:r w:rsidRPr="001C6890">
              <w:rPr>
                <w:vertAlign w:val="superscript"/>
              </w:rPr>
              <w:t>9</w:t>
            </w:r>
            <w:r w:rsidRPr="001C6890">
              <w:t xml:space="preserve">/L, platelets </w:t>
            </w:r>
            <w:r w:rsidRPr="001C6890">
              <w:sym w:font="Symbol" w:char="F0B3"/>
            </w:r>
            <w:r w:rsidRPr="001C6890">
              <w:t>l00 10</w:t>
            </w:r>
            <w:r w:rsidRPr="001C6890">
              <w:rPr>
                <w:vertAlign w:val="superscript"/>
              </w:rPr>
              <w:t>9</w:t>
            </w:r>
            <w:r w:rsidRPr="001C6890">
              <w:t xml:space="preserve">/L, bilirubin </w:t>
            </w:r>
            <w:r w:rsidRPr="001C6890">
              <w:sym w:font="Symbol" w:char="F0A3"/>
            </w:r>
            <w:r w:rsidRPr="001C6890">
              <w:t xml:space="preserve">1.5 x ULN, </w:t>
            </w:r>
          </w:p>
          <w:p w14:paraId="68A9B898" w14:textId="7742C9DF" w:rsidR="00BB455D" w:rsidRPr="001C6890" w:rsidRDefault="00BB455D" w:rsidP="00750703">
            <w:pPr>
              <w:pStyle w:val="Tabletext"/>
            </w:pPr>
            <w:r w:rsidRPr="001C6890">
              <w:t xml:space="preserve">AST </w:t>
            </w:r>
            <w:r w:rsidRPr="001C6890">
              <w:sym w:font="Symbol" w:char="F0A3"/>
            </w:r>
            <w:r w:rsidRPr="001C6890">
              <w:t xml:space="preserve">3x ULN, creatinine </w:t>
            </w:r>
            <w:r w:rsidRPr="001C6890">
              <w:sym w:font="Symbol" w:char="F0A3"/>
            </w:r>
            <w:r w:rsidRPr="001C6890">
              <w:t>1.5 ULN.</w:t>
            </w:r>
            <w:r w:rsidRPr="001C6890">
              <w:rPr>
                <w:rStyle w:val="apple-converted-space"/>
              </w:rPr>
              <w:t> </w:t>
            </w:r>
          </w:p>
        </w:tc>
        <w:tc>
          <w:tcPr>
            <w:tcW w:w="1773" w:type="dxa"/>
          </w:tcPr>
          <w:p w14:paraId="7D0B31EF" w14:textId="385490EE" w:rsidR="0064036B" w:rsidRPr="001C6890" w:rsidRDefault="00BB455D" w:rsidP="00750703">
            <w:pPr>
              <w:pStyle w:val="Tabletext"/>
            </w:pPr>
            <w:r w:rsidRPr="001C6890">
              <w:t xml:space="preserve">Hb </w:t>
            </w:r>
            <w:r w:rsidRPr="001C6890">
              <w:sym w:font="Symbol" w:char="F0B3"/>
            </w:r>
            <w:r w:rsidRPr="001C6890">
              <w:t xml:space="preserve">80 g/L; </w:t>
            </w:r>
            <w:r w:rsidR="0064036B" w:rsidRPr="001C6890">
              <w:t xml:space="preserve">ANC </w:t>
            </w:r>
            <w:r w:rsidR="0064036B" w:rsidRPr="001C6890">
              <w:sym w:font="Symbol" w:char="F0B3"/>
            </w:r>
            <w:r w:rsidR="0064036B" w:rsidRPr="001C6890">
              <w:t>1x10</w:t>
            </w:r>
            <w:r w:rsidR="0064036B" w:rsidRPr="001C6890">
              <w:rPr>
                <w:vertAlign w:val="superscript"/>
              </w:rPr>
              <w:t>9</w:t>
            </w:r>
            <w:r w:rsidR="0064036B" w:rsidRPr="001C6890">
              <w:t xml:space="preserve">/L, platelets </w:t>
            </w:r>
            <w:r w:rsidR="0064036B" w:rsidRPr="001C6890">
              <w:sym w:font="Symbol" w:char="F0B3"/>
            </w:r>
            <w:r w:rsidR="0064036B" w:rsidRPr="001C6890">
              <w:t>l00 10</w:t>
            </w:r>
            <w:r w:rsidR="0064036B" w:rsidRPr="001C6890">
              <w:rPr>
                <w:vertAlign w:val="superscript"/>
              </w:rPr>
              <w:t>9</w:t>
            </w:r>
            <w:r w:rsidR="0064036B" w:rsidRPr="001C6890">
              <w:t xml:space="preserve">/L, bilirubin </w:t>
            </w:r>
            <w:r w:rsidR="0064036B" w:rsidRPr="001C6890">
              <w:sym w:font="Symbol" w:char="F0A3"/>
            </w:r>
            <w:r w:rsidR="0064036B" w:rsidRPr="001C6890">
              <w:t xml:space="preserve">2 x ULN, </w:t>
            </w:r>
          </w:p>
          <w:p w14:paraId="6B2E9E55" w14:textId="5975EB70" w:rsidR="00BB455D" w:rsidRPr="001C6890" w:rsidRDefault="0064036B" w:rsidP="00750703">
            <w:pPr>
              <w:pStyle w:val="Tabletext"/>
            </w:pPr>
            <w:r w:rsidRPr="001C6890">
              <w:t xml:space="preserve">AST </w:t>
            </w:r>
            <w:r w:rsidRPr="001C6890">
              <w:sym w:font="Symbol" w:char="F0A3"/>
            </w:r>
            <w:r w:rsidRPr="001C6890">
              <w:t xml:space="preserve">2 x ULN, creatinine </w:t>
            </w:r>
            <w:r w:rsidRPr="001C6890">
              <w:sym w:font="Symbol" w:char="F0A3"/>
            </w:r>
            <w:r w:rsidRPr="001C6890">
              <w:t>2 x ULN.</w:t>
            </w:r>
            <w:r w:rsidRPr="001C6890">
              <w:rPr>
                <w:rStyle w:val="apple-converted-space"/>
              </w:rPr>
              <w:t> </w:t>
            </w:r>
          </w:p>
        </w:tc>
        <w:tc>
          <w:tcPr>
            <w:tcW w:w="2004" w:type="dxa"/>
          </w:tcPr>
          <w:p w14:paraId="521B9C93" w14:textId="473584A6" w:rsidR="00BB455D" w:rsidRPr="001C6890" w:rsidRDefault="00BB455D" w:rsidP="00750703">
            <w:pPr>
              <w:pStyle w:val="Tabletext"/>
            </w:pPr>
            <w:r w:rsidRPr="001C6890">
              <w:t xml:space="preserve">ANC </w:t>
            </w:r>
            <w:r w:rsidRPr="001C6890">
              <w:sym w:font="Symbol" w:char="F0B3"/>
            </w:r>
            <w:r w:rsidRPr="001C6890">
              <w:t>1x10</w:t>
            </w:r>
            <w:r w:rsidRPr="001C6890">
              <w:rPr>
                <w:vertAlign w:val="superscript"/>
              </w:rPr>
              <w:t>9</w:t>
            </w:r>
            <w:r w:rsidRPr="001C6890">
              <w:t xml:space="preserve">/L, platelets </w:t>
            </w:r>
            <w:r w:rsidRPr="001C6890">
              <w:sym w:font="Symbol" w:char="F0B3"/>
            </w:r>
            <w:r w:rsidRPr="001C6890">
              <w:t>l00 10</w:t>
            </w:r>
            <w:r w:rsidRPr="001C6890">
              <w:rPr>
                <w:vertAlign w:val="superscript"/>
              </w:rPr>
              <w:t>9</w:t>
            </w:r>
            <w:r w:rsidRPr="001C6890">
              <w:t xml:space="preserve">/L, bilirubin </w:t>
            </w:r>
            <w:r w:rsidRPr="001C6890">
              <w:sym w:font="Symbol" w:char="F0A3"/>
            </w:r>
            <w:r w:rsidRPr="001C6890">
              <w:t xml:space="preserve">1.5 x ULN, AST </w:t>
            </w:r>
            <w:r w:rsidRPr="001C6890">
              <w:sym w:font="Symbol" w:char="F0A3"/>
            </w:r>
            <w:r w:rsidRPr="001C6890">
              <w:t xml:space="preserve">3x ULN, creatinine </w:t>
            </w:r>
            <w:r w:rsidRPr="001C6890">
              <w:sym w:font="Symbol" w:char="F0A3"/>
            </w:r>
            <w:r w:rsidRPr="001C6890">
              <w:t>1.5 ULN.</w:t>
            </w:r>
            <w:r w:rsidRPr="001C6890">
              <w:rPr>
                <w:rStyle w:val="apple-converted-space"/>
              </w:rPr>
              <w:t> </w:t>
            </w:r>
          </w:p>
        </w:tc>
      </w:tr>
      <w:tr w:rsidR="00BB455D" w:rsidRPr="00CF1B11" w14:paraId="4017B3CB" w14:textId="77777777">
        <w:tc>
          <w:tcPr>
            <w:tcW w:w="9017" w:type="dxa"/>
            <w:gridSpan w:val="5"/>
          </w:tcPr>
          <w:p w14:paraId="323BED9F" w14:textId="767D0E66" w:rsidR="00BB455D" w:rsidRPr="001C6890" w:rsidRDefault="00BB455D" w:rsidP="00750703">
            <w:pPr>
              <w:pStyle w:val="Tabletext"/>
              <w:rPr>
                <w:b/>
                <w:bCs/>
              </w:rPr>
            </w:pPr>
            <w:r w:rsidRPr="001C6890">
              <w:rPr>
                <w:b/>
                <w:bCs/>
              </w:rPr>
              <w:t>Exclusion Criteria</w:t>
            </w:r>
          </w:p>
        </w:tc>
      </w:tr>
      <w:tr w:rsidR="00BB455D" w:rsidRPr="00CF1B11" w14:paraId="43A0500F" w14:textId="77777777" w:rsidTr="00F93FB9">
        <w:tc>
          <w:tcPr>
            <w:tcW w:w="988" w:type="dxa"/>
          </w:tcPr>
          <w:p w14:paraId="3265E5FB" w14:textId="60A0C1B9" w:rsidR="00BB455D" w:rsidRPr="001C6890" w:rsidRDefault="00BB455D" w:rsidP="00750703">
            <w:pPr>
              <w:pStyle w:val="Tabletext"/>
            </w:pPr>
            <w:r w:rsidRPr="001C6890">
              <w:t>Cardiac abnormalities</w:t>
            </w:r>
          </w:p>
        </w:tc>
        <w:tc>
          <w:tcPr>
            <w:tcW w:w="2126" w:type="dxa"/>
          </w:tcPr>
          <w:p w14:paraId="45FB5B3B" w14:textId="0706FEB4" w:rsidR="00BB455D" w:rsidRPr="001C6890" w:rsidRDefault="00BB455D" w:rsidP="00750703">
            <w:pPr>
              <w:pStyle w:val="Tabletext"/>
            </w:pPr>
            <w:r w:rsidRPr="001C6890">
              <w:t xml:space="preserve">Any significant cardiac abnormality, including prolonged QT interval or recent MI; serum K &lt;3.8mol/L or serum Mg &lt;0.85 mmol/L unless corrected before enrolment. </w:t>
            </w:r>
          </w:p>
        </w:tc>
        <w:tc>
          <w:tcPr>
            <w:tcW w:w="2126" w:type="dxa"/>
          </w:tcPr>
          <w:p w14:paraId="56E7C9B6" w14:textId="69E26A01" w:rsidR="00BB455D" w:rsidRPr="001C6890" w:rsidRDefault="00BB455D" w:rsidP="00750703">
            <w:pPr>
              <w:pStyle w:val="Tabletext"/>
            </w:pPr>
            <w:r w:rsidRPr="001C6890">
              <w:t xml:space="preserve">Any significant cardiac abnormality, including prolonged QT interval or recent MI; serum K &lt;3.8mol/L or serum Mg &lt;0.85 mmol/L unless corrected before enrolment was added during the study. </w:t>
            </w:r>
          </w:p>
        </w:tc>
        <w:tc>
          <w:tcPr>
            <w:tcW w:w="1773" w:type="dxa"/>
          </w:tcPr>
          <w:p w14:paraId="305924CF" w14:textId="069B70D6" w:rsidR="00BB455D" w:rsidRPr="001C6890" w:rsidRDefault="0064036B" w:rsidP="00750703">
            <w:pPr>
              <w:pStyle w:val="Tabletext"/>
            </w:pPr>
            <w:r w:rsidRPr="001C6890">
              <w:t>Any significant cardiac abnormality, including prolonged QT interval or recent MI; serum K &lt;LLN or serum Mg &lt;LLN.</w:t>
            </w:r>
          </w:p>
        </w:tc>
        <w:tc>
          <w:tcPr>
            <w:tcW w:w="2004" w:type="dxa"/>
          </w:tcPr>
          <w:p w14:paraId="15323ECF" w14:textId="17A47C6A" w:rsidR="00BB455D" w:rsidRPr="001C6890" w:rsidRDefault="00BB455D" w:rsidP="00750703">
            <w:pPr>
              <w:pStyle w:val="Tabletext"/>
            </w:pPr>
            <w:r w:rsidRPr="001C6890">
              <w:t>No exclusions.</w:t>
            </w:r>
          </w:p>
        </w:tc>
      </w:tr>
      <w:tr w:rsidR="00BB455D" w:rsidRPr="00CF1B11" w14:paraId="3846135A" w14:textId="77777777" w:rsidTr="00F93FB9">
        <w:tc>
          <w:tcPr>
            <w:tcW w:w="988" w:type="dxa"/>
          </w:tcPr>
          <w:p w14:paraId="1E80FDFD" w14:textId="3C6E25B1" w:rsidR="00BB455D" w:rsidRPr="001C6890" w:rsidRDefault="00BB455D" w:rsidP="00750703">
            <w:pPr>
              <w:pStyle w:val="Tabletext"/>
            </w:pPr>
            <w:r w:rsidRPr="001C6890">
              <w:t>CNS Involvement</w:t>
            </w:r>
          </w:p>
        </w:tc>
        <w:tc>
          <w:tcPr>
            <w:tcW w:w="2126" w:type="dxa"/>
          </w:tcPr>
          <w:p w14:paraId="50CE7257" w14:textId="6C3516C3" w:rsidR="00BB455D" w:rsidRPr="001C6890" w:rsidRDefault="00BB455D" w:rsidP="00750703">
            <w:pPr>
              <w:pStyle w:val="Tabletext"/>
            </w:pPr>
            <w:r w:rsidRPr="001C6890">
              <w:t xml:space="preserve">Exclude </w:t>
            </w:r>
          </w:p>
        </w:tc>
        <w:tc>
          <w:tcPr>
            <w:tcW w:w="2126" w:type="dxa"/>
          </w:tcPr>
          <w:p w14:paraId="1B054C19" w14:textId="3AC6804E" w:rsidR="00BB455D" w:rsidRPr="001C6890" w:rsidRDefault="00BB455D" w:rsidP="00750703">
            <w:pPr>
              <w:pStyle w:val="Tabletext"/>
            </w:pPr>
            <w:r w:rsidRPr="001C6890">
              <w:t>Exclude</w:t>
            </w:r>
          </w:p>
        </w:tc>
        <w:tc>
          <w:tcPr>
            <w:tcW w:w="1773" w:type="dxa"/>
          </w:tcPr>
          <w:p w14:paraId="1DEBE0D8" w14:textId="26913A57" w:rsidR="00BB455D" w:rsidRPr="001C6890" w:rsidRDefault="0064036B" w:rsidP="00750703">
            <w:pPr>
              <w:pStyle w:val="Tabletext"/>
            </w:pPr>
            <w:r w:rsidRPr="001C6890">
              <w:t>Exclude</w:t>
            </w:r>
          </w:p>
        </w:tc>
        <w:tc>
          <w:tcPr>
            <w:tcW w:w="2004" w:type="dxa"/>
          </w:tcPr>
          <w:p w14:paraId="3545226A" w14:textId="66E5EE17" w:rsidR="00BB455D" w:rsidRPr="001C6890" w:rsidRDefault="00BB455D" w:rsidP="00750703">
            <w:pPr>
              <w:pStyle w:val="Tabletext"/>
            </w:pPr>
            <w:r w:rsidRPr="001C6890">
              <w:t>Exclude</w:t>
            </w:r>
          </w:p>
        </w:tc>
      </w:tr>
      <w:tr w:rsidR="00BB455D" w:rsidRPr="00CF1B11" w14:paraId="5674D6E7" w14:textId="77777777" w:rsidTr="00F93FB9">
        <w:tc>
          <w:tcPr>
            <w:tcW w:w="988" w:type="dxa"/>
          </w:tcPr>
          <w:p w14:paraId="70F63478" w14:textId="7F8CEB73" w:rsidR="00BB455D" w:rsidRPr="001C6890" w:rsidRDefault="00BB455D" w:rsidP="00750703">
            <w:pPr>
              <w:pStyle w:val="Tabletext"/>
            </w:pPr>
            <w:r w:rsidRPr="001C6890">
              <w:t>Medications</w:t>
            </w:r>
          </w:p>
        </w:tc>
        <w:tc>
          <w:tcPr>
            <w:tcW w:w="2126" w:type="dxa"/>
          </w:tcPr>
          <w:p w14:paraId="71C24220" w14:textId="20D51103" w:rsidR="00BB455D" w:rsidRPr="001C6890" w:rsidRDefault="00BB455D" w:rsidP="00750703">
            <w:pPr>
              <w:pStyle w:val="Tabletext"/>
            </w:pPr>
            <w:r w:rsidRPr="001C6890">
              <w:t xml:space="preserve">CYP3A4 inhibitors or warfarin, medications affecting the QT interval. </w:t>
            </w:r>
          </w:p>
        </w:tc>
        <w:tc>
          <w:tcPr>
            <w:tcW w:w="2126" w:type="dxa"/>
          </w:tcPr>
          <w:p w14:paraId="446FAB4E" w14:textId="10996A07" w:rsidR="00BB455D" w:rsidRPr="001C6890" w:rsidRDefault="00BB455D" w:rsidP="00750703">
            <w:pPr>
              <w:pStyle w:val="Tabletext"/>
            </w:pPr>
            <w:r w:rsidRPr="001C6890">
              <w:t>CYP3A4 inhibitors or warfarin added as exclusion criteria during the study.</w:t>
            </w:r>
          </w:p>
        </w:tc>
        <w:tc>
          <w:tcPr>
            <w:tcW w:w="1773" w:type="dxa"/>
          </w:tcPr>
          <w:p w14:paraId="6E1C1D69" w14:textId="1D494147" w:rsidR="00BB455D" w:rsidRPr="001C6890" w:rsidRDefault="0064036B" w:rsidP="00750703">
            <w:pPr>
              <w:pStyle w:val="Tabletext"/>
            </w:pPr>
            <w:r w:rsidRPr="001C6890">
              <w:t xml:space="preserve">CYP3A4 inhibitors or warfarin, medications affecting the QT interval; rifampicin. </w:t>
            </w:r>
          </w:p>
        </w:tc>
        <w:tc>
          <w:tcPr>
            <w:tcW w:w="2004" w:type="dxa"/>
          </w:tcPr>
          <w:p w14:paraId="0B0B958C" w14:textId="7D1D74F0" w:rsidR="00BB455D" w:rsidRPr="001C6890" w:rsidRDefault="00BB455D" w:rsidP="00750703">
            <w:pPr>
              <w:pStyle w:val="Tabletext"/>
            </w:pPr>
            <w:r w:rsidRPr="001C6890">
              <w:t>No medication exclusions</w:t>
            </w:r>
          </w:p>
        </w:tc>
      </w:tr>
      <w:tr w:rsidR="008A57E3" w:rsidRPr="00CF1B11" w14:paraId="24826291" w14:textId="77777777" w:rsidTr="00F93FB9">
        <w:tc>
          <w:tcPr>
            <w:tcW w:w="988" w:type="dxa"/>
          </w:tcPr>
          <w:p w14:paraId="56A3AF7B" w14:textId="4F896782" w:rsidR="00BB455D" w:rsidRPr="001C6890" w:rsidRDefault="00BB455D" w:rsidP="00750703">
            <w:pPr>
              <w:pStyle w:val="Tabletext"/>
            </w:pPr>
            <w:r w:rsidRPr="001C6890">
              <w:t>Therapies</w:t>
            </w:r>
          </w:p>
        </w:tc>
        <w:tc>
          <w:tcPr>
            <w:tcW w:w="2126" w:type="dxa"/>
          </w:tcPr>
          <w:p w14:paraId="608FD4A1" w14:textId="43F79D32" w:rsidR="00BB455D" w:rsidRPr="001C6890" w:rsidRDefault="00BB455D" w:rsidP="00750703">
            <w:pPr>
              <w:pStyle w:val="Tabletext"/>
            </w:pPr>
            <w:r w:rsidRPr="001C6890">
              <w:t>Chemotherapy or immunotherapy within 4 weeks; prior allogeneic SCT</w:t>
            </w:r>
            <w:r w:rsidR="00000533" w:rsidRPr="001C6890">
              <w:t xml:space="preserve">. </w:t>
            </w:r>
          </w:p>
        </w:tc>
        <w:tc>
          <w:tcPr>
            <w:tcW w:w="2126" w:type="dxa"/>
          </w:tcPr>
          <w:p w14:paraId="08DD0141" w14:textId="30D34865" w:rsidR="00BB455D" w:rsidRPr="001C6890" w:rsidRDefault="00BB455D" w:rsidP="00750703">
            <w:pPr>
              <w:pStyle w:val="Tabletext"/>
            </w:pPr>
            <w:r w:rsidRPr="001C6890">
              <w:t xml:space="preserve">Chemotherapy within 4 weeks, immunotherapy within 2 weeks. </w:t>
            </w:r>
          </w:p>
        </w:tc>
        <w:tc>
          <w:tcPr>
            <w:tcW w:w="1773" w:type="dxa"/>
          </w:tcPr>
          <w:p w14:paraId="0F280D84" w14:textId="450AFE17" w:rsidR="00BB455D" w:rsidRPr="001C6890" w:rsidRDefault="0064036B" w:rsidP="00750703">
            <w:pPr>
              <w:pStyle w:val="Tabletext"/>
            </w:pPr>
            <w:r w:rsidRPr="001C6890">
              <w:t>Chemotherapy or immunotherapy within 22 days; prior allogeneic SCT</w:t>
            </w:r>
            <w:r w:rsidR="00000533" w:rsidRPr="001C6890">
              <w:t xml:space="preserve">. </w:t>
            </w:r>
          </w:p>
        </w:tc>
        <w:tc>
          <w:tcPr>
            <w:tcW w:w="2004" w:type="dxa"/>
          </w:tcPr>
          <w:p w14:paraId="2185C925" w14:textId="230F4CAA" w:rsidR="00BB455D" w:rsidRPr="001C6890" w:rsidRDefault="00BB455D" w:rsidP="00750703">
            <w:pPr>
              <w:pStyle w:val="Tabletext"/>
            </w:pPr>
            <w:r w:rsidRPr="001C6890">
              <w:t>Chemotherapy or radiotherapy within 4 weeks</w:t>
            </w:r>
            <w:r w:rsidR="007A04E9">
              <w:t>;</w:t>
            </w:r>
            <w:r w:rsidRPr="001C6890">
              <w:t xml:space="preserve"> prior allogeneic SCT; monoclonal antibody therapy allowed</w:t>
            </w:r>
            <w:r w:rsidR="00266A85" w:rsidRPr="001C6890">
              <w:t xml:space="preserve">. </w:t>
            </w:r>
          </w:p>
        </w:tc>
      </w:tr>
    </w:tbl>
    <w:p w14:paraId="5030D2AA" w14:textId="365F844A" w:rsidR="00DF7C8F" w:rsidRDefault="00DF7C8F" w:rsidP="00750703">
      <w:pPr>
        <w:pStyle w:val="TableFigureFooter"/>
      </w:pPr>
      <w:r>
        <w:t xml:space="preserve">Source: Constructed during the evaluation from published papers </w:t>
      </w:r>
    </w:p>
    <w:p w14:paraId="4E558636" w14:textId="62536A67" w:rsidR="00DF7C8F" w:rsidRDefault="00DF7C8F" w:rsidP="00750703">
      <w:pPr>
        <w:pStyle w:val="TableFigureFooter"/>
      </w:pPr>
      <w:r>
        <w:t>ALCL = anaplastic large cell lymphoma; ANC = absolute neutrophil count; AST = aspartate aminotransferase; CNS = central nervous system; ECOG = Eastern co</w:t>
      </w:r>
      <w:r w:rsidR="00750703">
        <w:noBreakHyphen/>
      </w:r>
      <w:r>
        <w:t>operative oncology group performance status 0 = no restriction compared to pre</w:t>
      </w:r>
      <w:r w:rsidR="00750703">
        <w:noBreakHyphen/>
      </w:r>
      <w:r>
        <w:t>disease, 1 = restricted but able to do light or sedentary work, 2 =ambulatory and able to self</w:t>
      </w:r>
      <w:r w:rsidR="00750703">
        <w:noBreakHyphen/>
      </w:r>
      <w:r>
        <w:t>care but unable to work, active &gt;50% of waking hours, 3 = limited self</w:t>
      </w:r>
      <w:r w:rsidR="00750703">
        <w:noBreakHyphen/>
      </w:r>
      <w:r>
        <w:t xml:space="preserve">care and &gt;50% of waking hours in bed or chair, 4 = disabled, confined to bed or chair, 5 = death; </w:t>
      </w:r>
      <w:r w:rsidR="00BB455D">
        <w:t xml:space="preserve">Hb = haemoglobin; </w:t>
      </w:r>
      <w:r>
        <w:t xml:space="preserve">NOS = not otherwise specified; K = potassium; </w:t>
      </w:r>
      <w:r w:rsidR="0064036B">
        <w:t xml:space="preserve">LLN = lower limit of normal; </w:t>
      </w:r>
      <w:r>
        <w:t>Mg = magnesium; PTCL = peripheral T</w:t>
      </w:r>
      <w:r w:rsidR="00750703">
        <w:noBreakHyphen/>
      </w:r>
      <w:r>
        <w:t xml:space="preserve">cell lymphoma; </w:t>
      </w:r>
      <w:r w:rsidR="00043A38">
        <w:t xml:space="preserve">SCT = stem cell transplant; </w:t>
      </w:r>
      <w:r>
        <w:t>ULN = upper limit of normal</w:t>
      </w:r>
    </w:p>
    <w:p w14:paraId="6103D022" w14:textId="4B7B7A0D" w:rsidR="000D20AF" w:rsidRDefault="000D20AF" w:rsidP="00750703">
      <w:pPr>
        <w:pStyle w:val="3-BodyText"/>
        <w:spacing w:before="160" w:after="160"/>
        <w:ind w:left="720"/>
      </w:pPr>
      <w:r>
        <w:t xml:space="preserve">The </w:t>
      </w:r>
      <w:r w:rsidR="00D9285F">
        <w:t>baseline</w:t>
      </w:r>
      <w:r>
        <w:t xml:space="preserve"> characteristics of patients in the studies are shown in </w:t>
      </w:r>
      <w:r w:rsidR="002414CD">
        <w:fldChar w:fldCharType="begin"/>
      </w:r>
      <w:r w:rsidR="002414CD">
        <w:instrText xml:space="preserve"> REF _Ref216688886 \h </w:instrText>
      </w:r>
      <w:r w:rsidR="002414CD">
        <w:fldChar w:fldCharType="separate"/>
      </w:r>
      <w:r w:rsidR="002414CD">
        <w:t xml:space="preserve">Table </w:t>
      </w:r>
      <w:r w:rsidR="002414CD">
        <w:rPr>
          <w:noProof/>
        </w:rPr>
        <w:t>5</w:t>
      </w:r>
      <w:r w:rsidR="002414CD">
        <w:fldChar w:fldCharType="end"/>
      </w:r>
      <w:r w:rsidR="002414CD">
        <w:t>.</w:t>
      </w:r>
    </w:p>
    <w:p w14:paraId="6941E6F8" w14:textId="1E84A2F4" w:rsidR="000D20AF" w:rsidRPr="0098262F" w:rsidRDefault="002414CD" w:rsidP="00750703">
      <w:pPr>
        <w:pStyle w:val="Caption"/>
      </w:pPr>
      <w:bookmarkStart w:id="25" w:name="_Ref216688886"/>
      <w:r>
        <w:lastRenderedPageBreak/>
        <w:t xml:space="preserve">Table </w:t>
      </w:r>
      <w:fldSimple w:instr=" SEQ Table \* ARABIC ">
        <w:r w:rsidR="000B22F7">
          <w:rPr>
            <w:noProof/>
          </w:rPr>
          <w:t>5</w:t>
        </w:r>
      </w:fldSimple>
      <w:bookmarkEnd w:id="25"/>
      <w:r>
        <w:t xml:space="preserve">: </w:t>
      </w:r>
      <w:r w:rsidR="000D20AF">
        <w:t xml:space="preserve">Baseline characteristics of patients in the studies </w:t>
      </w:r>
    </w:p>
    <w:tbl>
      <w:tblPr>
        <w:tblStyle w:val="TableGrid"/>
        <w:tblW w:w="0" w:type="auto"/>
        <w:tblLook w:val="04A0" w:firstRow="1" w:lastRow="0" w:firstColumn="1" w:lastColumn="0" w:noHBand="0" w:noVBand="1"/>
        <w:tblCaption w:val="Table 5: Baseline characteristics of patients in the studies "/>
      </w:tblPr>
      <w:tblGrid>
        <w:gridCol w:w="1980"/>
        <w:gridCol w:w="1447"/>
        <w:gridCol w:w="1955"/>
        <w:gridCol w:w="1701"/>
        <w:gridCol w:w="1934"/>
      </w:tblGrid>
      <w:tr w:rsidR="008A57E3" w:rsidRPr="001C6890" w14:paraId="0F0EC6AB" w14:textId="77777777" w:rsidTr="007B3F7A">
        <w:tc>
          <w:tcPr>
            <w:tcW w:w="1980" w:type="dxa"/>
            <w:vMerge w:val="restart"/>
          </w:tcPr>
          <w:p w14:paraId="14C1A415" w14:textId="77777777" w:rsidR="00F54953" w:rsidRPr="001C6890" w:rsidRDefault="00F54953" w:rsidP="00750703">
            <w:pPr>
              <w:pStyle w:val="TableFigureHeading"/>
            </w:pPr>
          </w:p>
        </w:tc>
        <w:tc>
          <w:tcPr>
            <w:tcW w:w="5103" w:type="dxa"/>
            <w:gridSpan w:val="3"/>
          </w:tcPr>
          <w:p w14:paraId="63C069F5" w14:textId="77777777" w:rsidR="00F54953" w:rsidRPr="001C6890" w:rsidRDefault="00F54953" w:rsidP="00750703">
            <w:pPr>
              <w:pStyle w:val="TableFigureHeading"/>
              <w:jc w:val="center"/>
            </w:pPr>
            <w:r w:rsidRPr="001C6890">
              <w:t>Romidepsin Studies</w:t>
            </w:r>
          </w:p>
        </w:tc>
        <w:tc>
          <w:tcPr>
            <w:tcW w:w="1934" w:type="dxa"/>
          </w:tcPr>
          <w:p w14:paraId="67ADBBE9" w14:textId="77777777" w:rsidR="00F54953" w:rsidRPr="001C6890" w:rsidRDefault="00F54953" w:rsidP="00750703">
            <w:pPr>
              <w:pStyle w:val="TableFigureHeading"/>
              <w:jc w:val="center"/>
            </w:pPr>
            <w:r w:rsidRPr="001C6890">
              <w:t>Pralatrexate Study</w:t>
            </w:r>
          </w:p>
        </w:tc>
      </w:tr>
      <w:tr w:rsidR="00B617ED" w:rsidRPr="001C6890" w14:paraId="6AAD10A6" w14:textId="77777777" w:rsidTr="007B3F7A">
        <w:tc>
          <w:tcPr>
            <w:tcW w:w="1980" w:type="dxa"/>
            <w:vMerge/>
          </w:tcPr>
          <w:p w14:paraId="671B9D8B" w14:textId="77777777" w:rsidR="00F54953" w:rsidRPr="001C6890" w:rsidRDefault="00F54953" w:rsidP="00750703">
            <w:pPr>
              <w:pStyle w:val="TableFigureHeading"/>
            </w:pPr>
          </w:p>
        </w:tc>
        <w:tc>
          <w:tcPr>
            <w:tcW w:w="1447" w:type="dxa"/>
          </w:tcPr>
          <w:p w14:paraId="63DD251E" w14:textId="1CDB83FC" w:rsidR="00F54953" w:rsidRPr="001C6890" w:rsidRDefault="00F54953" w:rsidP="00750703">
            <w:pPr>
              <w:pStyle w:val="TableFigureHeading"/>
              <w:jc w:val="center"/>
            </w:pPr>
            <w:r w:rsidRPr="001C6890">
              <w:t>GPI</w:t>
            </w:r>
            <w:r w:rsidR="00750703">
              <w:noBreakHyphen/>
            </w:r>
            <w:r w:rsidRPr="001C6890">
              <w:t>06</w:t>
            </w:r>
            <w:r w:rsidR="00750703">
              <w:noBreakHyphen/>
            </w:r>
            <w:r w:rsidRPr="001C6890">
              <w:t>0002</w:t>
            </w:r>
          </w:p>
          <w:p w14:paraId="2977D502" w14:textId="7B03D85E" w:rsidR="00F54953" w:rsidRPr="001C6890" w:rsidRDefault="00F54953" w:rsidP="00750703">
            <w:pPr>
              <w:pStyle w:val="TableFigureHeading"/>
              <w:jc w:val="center"/>
            </w:pPr>
            <w:r w:rsidRPr="001C6890">
              <w:t>N = 130</w:t>
            </w:r>
          </w:p>
        </w:tc>
        <w:tc>
          <w:tcPr>
            <w:tcW w:w="1955" w:type="dxa"/>
          </w:tcPr>
          <w:p w14:paraId="18CAD480" w14:textId="77777777" w:rsidR="00F54953" w:rsidRPr="001C6890" w:rsidRDefault="00F54953" w:rsidP="00750703">
            <w:pPr>
              <w:pStyle w:val="TableFigureHeading"/>
              <w:jc w:val="center"/>
            </w:pPr>
            <w:r w:rsidRPr="001C6890">
              <w:t>Piekarz, 2011</w:t>
            </w:r>
          </w:p>
          <w:p w14:paraId="75337CB3" w14:textId="5B4E8C4F" w:rsidR="00F54953" w:rsidRPr="001C6890" w:rsidRDefault="00F54953" w:rsidP="00750703">
            <w:pPr>
              <w:pStyle w:val="TableFigureHeading"/>
              <w:jc w:val="center"/>
            </w:pPr>
            <w:r w:rsidRPr="001C6890">
              <w:t>N = 47</w:t>
            </w:r>
          </w:p>
        </w:tc>
        <w:tc>
          <w:tcPr>
            <w:tcW w:w="1701" w:type="dxa"/>
          </w:tcPr>
          <w:p w14:paraId="04C86A65" w14:textId="24361795" w:rsidR="00F54953" w:rsidRPr="001C6890" w:rsidRDefault="00F54953" w:rsidP="00750703">
            <w:pPr>
              <w:pStyle w:val="TableFigureHeading"/>
              <w:jc w:val="center"/>
            </w:pPr>
            <w:r w:rsidRPr="001C6890">
              <w:t>Maruyama, 2017</w:t>
            </w:r>
          </w:p>
          <w:p w14:paraId="3E2DBFF7" w14:textId="353A128F" w:rsidR="00F54953" w:rsidRPr="001C6890" w:rsidRDefault="00F54953" w:rsidP="00750703">
            <w:pPr>
              <w:pStyle w:val="TableFigureHeading"/>
              <w:jc w:val="center"/>
            </w:pPr>
            <w:r w:rsidRPr="001C6890">
              <w:t>N = 46</w:t>
            </w:r>
          </w:p>
        </w:tc>
        <w:tc>
          <w:tcPr>
            <w:tcW w:w="1934" w:type="dxa"/>
          </w:tcPr>
          <w:p w14:paraId="335376DF" w14:textId="398854E6" w:rsidR="00F54953" w:rsidRPr="001C6890" w:rsidRDefault="00F54953" w:rsidP="00750703">
            <w:pPr>
              <w:pStyle w:val="TableFigureHeading"/>
              <w:jc w:val="center"/>
            </w:pPr>
            <w:r w:rsidRPr="001C6890">
              <w:t>PROPEL</w:t>
            </w:r>
          </w:p>
          <w:p w14:paraId="5343CA19" w14:textId="7BB4525E" w:rsidR="00F54953" w:rsidRPr="001C6890" w:rsidRDefault="00F54953" w:rsidP="00750703">
            <w:pPr>
              <w:pStyle w:val="TableFigureHeading"/>
              <w:jc w:val="center"/>
            </w:pPr>
            <w:r w:rsidRPr="001C6890">
              <w:t>N = 111</w:t>
            </w:r>
          </w:p>
        </w:tc>
      </w:tr>
      <w:tr w:rsidR="00B617ED" w:rsidRPr="001C6890" w14:paraId="24055C5C" w14:textId="77777777" w:rsidTr="007B3F7A">
        <w:tc>
          <w:tcPr>
            <w:tcW w:w="1980" w:type="dxa"/>
          </w:tcPr>
          <w:p w14:paraId="534EFFB0" w14:textId="5EADCB46" w:rsidR="00E05B6A" w:rsidRPr="001C6890" w:rsidRDefault="00E05B6A" w:rsidP="00750703">
            <w:pPr>
              <w:pStyle w:val="TableFigureHeading"/>
              <w:rPr>
                <w:b w:val="0"/>
                <w:bCs w:val="0"/>
              </w:rPr>
            </w:pPr>
            <w:r w:rsidRPr="001C6890">
              <w:rPr>
                <w:b w:val="0"/>
                <w:bCs w:val="0"/>
              </w:rPr>
              <w:t>Age, years</w:t>
            </w:r>
          </w:p>
          <w:p w14:paraId="350190C1" w14:textId="04DA7AB7" w:rsidR="00E05B6A" w:rsidRPr="001C6890" w:rsidRDefault="00E05B6A" w:rsidP="00750703">
            <w:pPr>
              <w:pStyle w:val="TableFigureHeading"/>
              <w:jc w:val="right"/>
              <w:rPr>
                <w:b w:val="0"/>
                <w:bCs w:val="0"/>
              </w:rPr>
            </w:pPr>
            <w:r w:rsidRPr="001C6890">
              <w:rPr>
                <w:b w:val="0"/>
                <w:bCs w:val="0"/>
              </w:rPr>
              <w:t xml:space="preserve">Median (range) </w:t>
            </w:r>
          </w:p>
          <w:p w14:paraId="0C649BE8" w14:textId="3E262470" w:rsidR="00E05B6A" w:rsidRPr="001C6890" w:rsidRDefault="00E05B6A" w:rsidP="00750703">
            <w:pPr>
              <w:pStyle w:val="TableFigureHeading"/>
              <w:jc w:val="right"/>
              <w:rPr>
                <w:b w:val="0"/>
                <w:bCs w:val="0"/>
              </w:rPr>
            </w:pPr>
            <w:r w:rsidRPr="001C6890">
              <w:rPr>
                <w:b w:val="0"/>
                <w:bCs w:val="0"/>
              </w:rPr>
              <w:t>Mean (range)</w:t>
            </w:r>
          </w:p>
        </w:tc>
        <w:tc>
          <w:tcPr>
            <w:tcW w:w="1447" w:type="dxa"/>
          </w:tcPr>
          <w:p w14:paraId="396713DC" w14:textId="77777777" w:rsidR="00E05B6A" w:rsidRPr="001C6890" w:rsidRDefault="00E05B6A" w:rsidP="00750703">
            <w:pPr>
              <w:pStyle w:val="TableFigureHeading"/>
              <w:jc w:val="center"/>
              <w:rPr>
                <w:b w:val="0"/>
                <w:bCs w:val="0"/>
              </w:rPr>
            </w:pPr>
          </w:p>
          <w:p w14:paraId="706EEBA6" w14:textId="7142D526" w:rsidR="00E05B6A" w:rsidRPr="001C6890" w:rsidRDefault="00E05B6A" w:rsidP="00750703">
            <w:pPr>
              <w:pStyle w:val="TableFigureHeading"/>
              <w:jc w:val="center"/>
              <w:rPr>
                <w:b w:val="0"/>
                <w:bCs w:val="0"/>
              </w:rPr>
            </w:pPr>
            <w:r w:rsidRPr="001C6890">
              <w:rPr>
                <w:b w:val="0"/>
                <w:bCs w:val="0"/>
              </w:rPr>
              <w:t>61 (20</w:t>
            </w:r>
            <w:r w:rsidR="00750703">
              <w:rPr>
                <w:b w:val="0"/>
                <w:bCs w:val="0"/>
              </w:rPr>
              <w:noBreakHyphen/>
            </w:r>
            <w:r w:rsidRPr="001C6890">
              <w:rPr>
                <w:b w:val="0"/>
                <w:bCs w:val="0"/>
              </w:rPr>
              <w:t>83)</w:t>
            </w:r>
          </w:p>
          <w:p w14:paraId="0ABDC077" w14:textId="14624AE0" w:rsidR="00E05B6A" w:rsidRPr="001C6890" w:rsidRDefault="00E05B6A" w:rsidP="00750703">
            <w:pPr>
              <w:pStyle w:val="TableFigureHeading"/>
              <w:jc w:val="center"/>
              <w:rPr>
                <w:b w:val="0"/>
                <w:bCs w:val="0"/>
              </w:rPr>
            </w:pPr>
            <w:r w:rsidRPr="001C6890">
              <w:rPr>
                <w:b w:val="0"/>
                <w:bCs w:val="0"/>
              </w:rPr>
              <w:t>NR</w:t>
            </w:r>
          </w:p>
        </w:tc>
        <w:tc>
          <w:tcPr>
            <w:tcW w:w="1955" w:type="dxa"/>
          </w:tcPr>
          <w:p w14:paraId="4EF7B32F" w14:textId="77777777" w:rsidR="00E05B6A" w:rsidRPr="001C6890" w:rsidRDefault="00E05B6A" w:rsidP="00750703">
            <w:pPr>
              <w:pStyle w:val="TableFigureHeading"/>
              <w:jc w:val="center"/>
              <w:rPr>
                <w:b w:val="0"/>
                <w:bCs w:val="0"/>
              </w:rPr>
            </w:pPr>
          </w:p>
          <w:p w14:paraId="44BB2003" w14:textId="63F30872" w:rsidR="00E05B6A" w:rsidRPr="001C6890" w:rsidRDefault="00E05B6A" w:rsidP="00750703">
            <w:pPr>
              <w:pStyle w:val="TableFigureHeading"/>
              <w:jc w:val="center"/>
              <w:rPr>
                <w:b w:val="0"/>
                <w:bCs w:val="0"/>
              </w:rPr>
            </w:pPr>
            <w:r w:rsidRPr="001C6890">
              <w:rPr>
                <w:b w:val="0"/>
                <w:bCs w:val="0"/>
              </w:rPr>
              <w:t>59 (27</w:t>
            </w:r>
            <w:r w:rsidR="00750703">
              <w:rPr>
                <w:b w:val="0"/>
                <w:bCs w:val="0"/>
              </w:rPr>
              <w:noBreakHyphen/>
            </w:r>
            <w:r w:rsidRPr="001C6890">
              <w:rPr>
                <w:b w:val="0"/>
                <w:bCs w:val="0"/>
              </w:rPr>
              <w:t>84)</w:t>
            </w:r>
          </w:p>
          <w:p w14:paraId="2C8D5D03" w14:textId="68267D9E" w:rsidR="00E05B6A" w:rsidRPr="001C6890" w:rsidRDefault="00E05B6A" w:rsidP="00750703">
            <w:pPr>
              <w:pStyle w:val="TableFigureHeading"/>
              <w:jc w:val="center"/>
              <w:rPr>
                <w:b w:val="0"/>
                <w:bCs w:val="0"/>
              </w:rPr>
            </w:pPr>
            <w:r w:rsidRPr="001C6890">
              <w:rPr>
                <w:b w:val="0"/>
                <w:bCs w:val="0"/>
              </w:rPr>
              <w:t>NR</w:t>
            </w:r>
          </w:p>
        </w:tc>
        <w:tc>
          <w:tcPr>
            <w:tcW w:w="1701" w:type="dxa"/>
          </w:tcPr>
          <w:p w14:paraId="4265177F" w14:textId="77777777" w:rsidR="00E05B6A" w:rsidRPr="001C6890" w:rsidRDefault="00E05B6A" w:rsidP="00750703">
            <w:pPr>
              <w:pStyle w:val="TableFigureHeading"/>
              <w:jc w:val="center"/>
              <w:rPr>
                <w:b w:val="0"/>
                <w:bCs w:val="0"/>
              </w:rPr>
            </w:pPr>
          </w:p>
          <w:p w14:paraId="602FDFA4" w14:textId="77777777" w:rsidR="00C622A7" w:rsidRDefault="00C622A7" w:rsidP="00750703">
            <w:pPr>
              <w:pStyle w:val="TableFigureHeading"/>
              <w:jc w:val="center"/>
              <w:rPr>
                <w:b w:val="0"/>
                <w:bCs w:val="0"/>
              </w:rPr>
            </w:pPr>
            <w:r w:rsidRPr="001C6890">
              <w:rPr>
                <w:b w:val="0"/>
                <w:bCs w:val="0"/>
              </w:rPr>
              <w:t>68.7 (8.5)</w:t>
            </w:r>
          </w:p>
          <w:p w14:paraId="7B0D5D71" w14:textId="0A616A5C" w:rsidR="004C37F1" w:rsidRPr="001C6890" w:rsidRDefault="004C37F1" w:rsidP="00750703">
            <w:pPr>
              <w:pStyle w:val="TableFigureHeading"/>
              <w:jc w:val="center"/>
              <w:rPr>
                <w:b w:val="0"/>
                <w:bCs w:val="0"/>
              </w:rPr>
            </w:pPr>
            <w:r>
              <w:rPr>
                <w:b w:val="0"/>
                <w:bCs w:val="0"/>
              </w:rPr>
              <w:t>NR</w:t>
            </w:r>
          </w:p>
        </w:tc>
        <w:tc>
          <w:tcPr>
            <w:tcW w:w="1934" w:type="dxa"/>
          </w:tcPr>
          <w:p w14:paraId="29A29FCC" w14:textId="7C2A3A59" w:rsidR="00E05B6A" w:rsidRPr="001C6890" w:rsidRDefault="00E05B6A" w:rsidP="00750703">
            <w:pPr>
              <w:pStyle w:val="TableFigureHeading"/>
              <w:jc w:val="center"/>
              <w:rPr>
                <w:b w:val="0"/>
                <w:bCs w:val="0"/>
              </w:rPr>
            </w:pPr>
          </w:p>
          <w:p w14:paraId="4A083330" w14:textId="23D648DB" w:rsidR="00E05B6A" w:rsidRPr="001C6890" w:rsidRDefault="00E05B6A" w:rsidP="00750703">
            <w:pPr>
              <w:pStyle w:val="TableFigureHeading"/>
              <w:jc w:val="center"/>
              <w:rPr>
                <w:b w:val="0"/>
                <w:bCs w:val="0"/>
              </w:rPr>
            </w:pPr>
            <w:r w:rsidRPr="001C6890">
              <w:rPr>
                <w:b w:val="0"/>
                <w:bCs w:val="0"/>
              </w:rPr>
              <w:t>NR</w:t>
            </w:r>
          </w:p>
          <w:p w14:paraId="46361661" w14:textId="45BC43B1" w:rsidR="00E05B6A" w:rsidRPr="001C6890" w:rsidRDefault="00E05B6A" w:rsidP="00750703">
            <w:pPr>
              <w:pStyle w:val="TableFigureHeading"/>
              <w:jc w:val="center"/>
              <w:rPr>
                <w:b w:val="0"/>
                <w:bCs w:val="0"/>
              </w:rPr>
            </w:pPr>
            <w:r w:rsidRPr="001C6890">
              <w:rPr>
                <w:b w:val="0"/>
                <w:bCs w:val="0"/>
              </w:rPr>
              <w:t>57.7 (21</w:t>
            </w:r>
            <w:r w:rsidR="00750703">
              <w:rPr>
                <w:b w:val="0"/>
                <w:bCs w:val="0"/>
              </w:rPr>
              <w:noBreakHyphen/>
            </w:r>
            <w:r w:rsidRPr="001C6890">
              <w:rPr>
                <w:b w:val="0"/>
                <w:bCs w:val="0"/>
              </w:rPr>
              <w:t>85)</w:t>
            </w:r>
          </w:p>
        </w:tc>
      </w:tr>
      <w:tr w:rsidR="00B617ED" w:rsidRPr="001C6890" w14:paraId="100A0A0A" w14:textId="77777777" w:rsidTr="007B3F7A">
        <w:tc>
          <w:tcPr>
            <w:tcW w:w="1980" w:type="dxa"/>
          </w:tcPr>
          <w:p w14:paraId="4C488909" w14:textId="2DC9AA5C" w:rsidR="00E05B6A" w:rsidRPr="001C6890" w:rsidRDefault="00E05B6A" w:rsidP="00750703">
            <w:pPr>
              <w:pStyle w:val="TableFigureHeading"/>
              <w:rPr>
                <w:b w:val="0"/>
                <w:bCs w:val="0"/>
              </w:rPr>
            </w:pPr>
            <w:r w:rsidRPr="001C6890">
              <w:rPr>
                <w:b w:val="0"/>
                <w:bCs w:val="0"/>
              </w:rPr>
              <w:t xml:space="preserve">Age </w:t>
            </w:r>
            <w:r w:rsidRPr="001C6890">
              <w:rPr>
                <w:b w:val="0"/>
                <w:bCs w:val="0"/>
              </w:rPr>
              <w:sym w:font="Symbol" w:char="F0B3"/>
            </w:r>
            <w:r w:rsidRPr="001C6890">
              <w:rPr>
                <w:b w:val="0"/>
                <w:bCs w:val="0"/>
              </w:rPr>
              <w:t xml:space="preserve">65 years or </w:t>
            </w:r>
            <w:r w:rsidRPr="001C6890">
              <w:rPr>
                <w:b w:val="0"/>
                <w:bCs w:val="0"/>
              </w:rPr>
              <w:sym w:font="Symbol" w:char="F0B3"/>
            </w:r>
            <w:r w:rsidRPr="001C6890">
              <w:rPr>
                <w:b w:val="0"/>
                <w:bCs w:val="0"/>
              </w:rPr>
              <w:t>60 for Piekarz, 2011, n (%)</w:t>
            </w:r>
          </w:p>
        </w:tc>
        <w:tc>
          <w:tcPr>
            <w:tcW w:w="1447" w:type="dxa"/>
          </w:tcPr>
          <w:p w14:paraId="5B2C938A" w14:textId="77777777" w:rsidR="00D7665C" w:rsidRDefault="00D7665C" w:rsidP="00750703">
            <w:pPr>
              <w:pStyle w:val="TableFigureHeading"/>
              <w:jc w:val="center"/>
              <w:rPr>
                <w:b w:val="0"/>
                <w:bCs w:val="0"/>
              </w:rPr>
            </w:pPr>
          </w:p>
          <w:p w14:paraId="15BDFC75" w14:textId="305C2CB9" w:rsidR="00E05B6A" w:rsidRPr="001C6890" w:rsidRDefault="00E05B6A" w:rsidP="00750703">
            <w:pPr>
              <w:pStyle w:val="TableFigureHeading"/>
              <w:jc w:val="center"/>
              <w:rPr>
                <w:b w:val="0"/>
                <w:bCs w:val="0"/>
              </w:rPr>
            </w:pPr>
            <w:r w:rsidRPr="001C6890">
              <w:rPr>
                <w:b w:val="0"/>
                <w:bCs w:val="0"/>
              </w:rPr>
              <w:t>49 (38%)</w:t>
            </w:r>
          </w:p>
        </w:tc>
        <w:tc>
          <w:tcPr>
            <w:tcW w:w="1955" w:type="dxa"/>
          </w:tcPr>
          <w:p w14:paraId="1E6924C7" w14:textId="77777777" w:rsidR="00D7665C" w:rsidRDefault="00D7665C" w:rsidP="00750703">
            <w:pPr>
              <w:pStyle w:val="TableFigureHeading"/>
              <w:jc w:val="center"/>
              <w:rPr>
                <w:b w:val="0"/>
                <w:bCs w:val="0"/>
              </w:rPr>
            </w:pPr>
          </w:p>
          <w:p w14:paraId="348AD458" w14:textId="017FC9B0" w:rsidR="00E05B6A" w:rsidRPr="001C6890" w:rsidRDefault="00E05B6A" w:rsidP="00750703">
            <w:pPr>
              <w:pStyle w:val="TableFigureHeading"/>
              <w:jc w:val="center"/>
              <w:rPr>
                <w:b w:val="0"/>
                <w:bCs w:val="0"/>
              </w:rPr>
            </w:pPr>
            <w:r w:rsidRPr="001C6890">
              <w:rPr>
                <w:b w:val="0"/>
                <w:bCs w:val="0"/>
              </w:rPr>
              <w:t>23 (49%)</w:t>
            </w:r>
          </w:p>
        </w:tc>
        <w:tc>
          <w:tcPr>
            <w:tcW w:w="1701" w:type="dxa"/>
          </w:tcPr>
          <w:p w14:paraId="3D330ADE" w14:textId="77777777" w:rsidR="00D7665C" w:rsidRDefault="00D7665C" w:rsidP="00750703">
            <w:pPr>
              <w:pStyle w:val="TableFigureHeading"/>
              <w:jc w:val="center"/>
              <w:rPr>
                <w:b w:val="0"/>
                <w:bCs w:val="0"/>
              </w:rPr>
            </w:pPr>
          </w:p>
          <w:p w14:paraId="440D6D91" w14:textId="3B295F1F" w:rsidR="00E05B6A" w:rsidRPr="001C6890" w:rsidRDefault="00C622A7" w:rsidP="00750703">
            <w:pPr>
              <w:pStyle w:val="TableFigureHeading"/>
              <w:jc w:val="center"/>
              <w:rPr>
                <w:b w:val="0"/>
                <w:bCs w:val="0"/>
              </w:rPr>
            </w:pPr>
            <w:r w:rsidRPr="001C6890">
              <w:rPr>
                <w:b w:val="0"/>
                <w:bCs w:val="0"/>
              </w:rPr>
              <w:t>28 (61%)</w:t>
            </w:r>
          </w:p>
        </w:tc>
        <w:tc>
          <w:tcPr>
            <w:tcW w:w="1934" w:type="dxa"/>
          </w:tcPr>
          <w:p w14:paraId="21EF678B" w14:textId="77777777" w:rsidR="00D7665C" w:rsidRDefault="00D7665C" w:rsidP="00750703">
            <w:pPr>
              <w:pStyle w:val="TableFigureHeading"/>
              <w:jc w:val="center"/>
              <w:rPr>
                <w:b w:val="0"/>
                <w:bCs w:val="0"/>
              </w:rPr>
            </w:pPr>
          </w:p>
          <w:p w14:paraId="4D010484" w14:textId="27812EDC" w:rsidR="00E05B6A" w:rsidRPr="001C6890" w:rsidRDefault="00E05B6A" w:rsidP="00750703">
            <w:pPr>
              <w:pStyle w:val="TableFigureHeading"/>
              <w:jc w:val="center"/>
              <w:rPr>
                <w:b w:val="0"/>
                <w:bCs w:val="0"/>
              </w:rPr>
            </w:pPr>
            <w:r w:rsidRPr="001C6890">
              <w:rPr>
                <w:b w:val="0"/>
                <w:bCs w:val="0"/>
              </w:rPr>
              <w:t>40 (36%)</w:t>
            </w:r>
          </w:p>
        </w:tc>
      </w:tr>
      <w:tr w:rsidR="00B617ED" w:rsidRPr="001C6890" w14:paraId="680F0D6A" w14:textId="77777777" w:rsidTr="007B3F7A">
        <w:tc>
          <w:tcPr>
            <w:tcW w:w="1980" w:type="dxa"/>
          </w:tcPr>
          <w:p w14:paraId="7CB4F615" w14:textId="0EEFDF4D" w:rsidR="00E05B6A" w:rsidRPr="001C6890" w:rsidRDefault="00E05B6A" w:rsidP="00750703">
            <w:pPr>
              <w:pStyle w:val="TableFigureHeading"/>
              <w:rPr>
                <w:b w:val="0"/>
                <w:bCs w:val="0"/>
              </w:rPr>
            </w:pPr>
            <w:r w:rsidRPr="001C6890">
              <w:rPr>
                <w:b w:val="0"/>
                <w:bCs w:val="0"/>
              </w:rPr>
              <w:t>Male, n (%)</w:t>
            </w:r>
          </w:p>
        </w:tc>
        <w:tc>
          <w:tcPr>
            <w:tcW w:w="1447" w:type="dxa"/>
          </w:tcPr>
          <w:p w14:paraId="45517A77" w14:textId="4F271258" w:rsidR="00E05B6A" w:rsidRPr="001C6890" w:rsidRDefault="00E05B6A" w:rsidP="00750703">
            <w:pPr>
              <w:pStyle w:val="TableFigureHeading"/>
              <w:jc w:val="center"/>
              <w:rPr>
                <w:b w:val="0"/>
                <w:bCs w:val="0"/>
              </w:rPr>
            </w:pPr>
            <w:r w:rsidRPr="001C6890">
              <w:rPr>
                <w:b w:val="0"/>
                <w:bCs w:val="0"/>
              </w:rPr>
              <w:t>88 (68%)</w:t>
            </w:r>
          </w:p>
        </w:tc>
        <w:tc>
          <w:tcPr>
            <w:tcW w:w="1955" w:type="dxa"/>
          </w:tcPr>
          <w:p w14:paraId="61D40437" w14:textId="7971A3EE" w:rsidR="00E05B6A" w:rsidRPr="001C6890" w:rsidRDefault="00E05B6A" w:rsidP="00750703">
            <w:pPr>
              <w:pStyle w:val="TableFigureHeading"/>
              <w:jc w:val="center"/>
              <w:rPr>
                <w:b w:val="0"/>
                <w:bCs w:val="0"/>
              </w:rPr>
            </w:pPr>
            <w:r w:rsidRPr="001C6890">
              <w:rPr>
                <w:b w:val="0"/>
                <w:bCs w:val="0"/>
              </w:rPr>
              <w:t>25 (53%)</w:t>
            </w:r>
          </w:p>
        </w:tc>
        <w:tc>
          <w:tcPr>
            <w:tcW w:w="1701" w:type="dxa"/>
          </w:tcPr>
          <w:p w14:paraId="458BFD07" w14:textId="5E20010B" w:rsidR="00E05B6A" w:rsidRPr="001C6890" w:rsidRDefault="00C622A7" w:rsidP="00750703">
            <w:pPr>
              <w:pStyle w:val="TableFigureHeading"/>
              <w:jc w:val="center"/>
              <w:rPr>
                <w:b w:val="0"/>
                <w:bCs w:val="0"/>
              </w:rPr>
            </w:pPr>
            <w:r w:rsidRPr="001C6890">
              <w:rPr>
                <w:b w:val="0"/>
                <w:bCs w:val="0"/>
              </w:rPr>
              <w:t>36 (75%)</w:t>
            </w:r>
          </w:p>
        </w:tc>
        <w:tc>
          <w:tcPr>
            <w:tcW w:w="1934" w:type="dxa"/>
          </w:tcPr>
          <w:p w14:paraId="1DB29BC8" w14:textId="52313A07" w:rsidR="00E05B6A" w:rsidRPr="001C6890" w:rsidRDefault="00E05B6A" w:rsidP="00750703">
            <w:pPr>
              <w:pStyle w:val="TableFigureHeading"/>
              <w:jc w:val="center"/>
              <w:rPr>
                <w:b w:val="0"/>
                <w:bCs w:val="0"/>
              </w:rPr>
            </w:pPr>
            <w:r w:rsidRPr="001C6890">
              <w:rPr>
                <w:b w:val="0"/>
                <w:bCs w:val="0"/>
              </w:rPr>
              <w:t>76 (68%)</w:t>
            </w:r>
          </w:p>
        </w:tc>
      </w:tr>
      <w:tr w:rsidR="00B617ED" w:rsidRPr="001C6890" w14:paraId="083B30A8" w14:textId="77777777" w:rsidTr="007B3F7A">
        <w:tc>
          <w:tcPr>
            <w:tcW w:w="1980" w:type="dxa"/>
          </w:tcPr>
          <w:p w14:paraId="5307AC14" w14:textId="0E3B0613" w:rsidR="00E05B6A" w:rsidRPr="001C6890" w:rsidRDefault="00E05B6A" w:rsidP="00750703">
            <w:pPr>
              <w:pStyle w:val="TableFigureHeading"/>
              <w:rPr>
                <w:b w:val="0"/>
                <w:bCs w:val="0"/>
              </w:rPr>
            </w:pPr>
            <w:r w:rsidRPr="001C6890">
              <w:rPr>
                <w:b w:val="0"/>
                <w:bCs w:val="0"/>
              </w:rPr>
              <w:t>ECOG, n (%)</w:t>
            </w:r>
          </w:p>
          <w:p w14:paraId="4D0BE796" w14:textId="77777777" w:rsidR="00E05B6A" w:rsidRPr="001C6890" w:rsidRDefault="00E05B6A" w:rsidP="00750703">
            <w:pPr>
              <w:pStyle w:val="TableFigureHeading"/>
              <w:jc w:val="right"/>
              <w:rPr>
                <w:b w:val="0"/>
                <w:bCs w:val="0"/>
              </w:rPr>
            </w:pPr>
            <w:r w:rsidRPr="001C6890">
              <w:rPr>
                <w:b w:val="0"/>
                <w:bCs w:val="0"/>
              </w:rPr>
              <w:t>0</w:t>
            </w:r>
          </w:p>
          <w:p w14:paraId="2833FBF6" w14:textId="77777777" w:rsidR="00E05B6A" w:rsidRPr="001C6890" w:rsidRDefault="00E05B6A" w:rsidP="00750703">
            <w:pPr>
              <w:pStyle w:val="TableFigureHeading"/>
              <w:jc w:val="right"/>
              <w:rPr>
                <w:b w:val="0"/>
                <w:bCs w:val="0"/>
              </w:rPr>
            </w:pPr>
            <w:r w:rsidRPr="001C6890">
              <w:rPr>
                <w:b w:val="0"/>
                <w:bCs w:val="0"/>
              </w:rPr>
              <w:t>1</w:t>
            </w:r>
          </w:p>
          <w:p w14:paraId="24827978" w14:textId="6D55CE74" w:rsidR="00E05B6A" w:rsidRPr="001C6890" w:rsidRDefault="00E05B6A" w:rsidP="00750703">
            <w:pPr>
              <w:pStyle w:val="TableFigureHeading"/>
              <w:jc w:val="right"/>
              <w:rPr>
                <w:b w:val="0"/>
                <w:bCs w:val="0"/>
              </w:rPr>
            </w:pPr>
            <w:r w:rsidRPr="001C6890">
              <w:rPr>
                <w:b w:val="0"/>
                <w:bCs w:val="0"/>
              </w:rPr>
              <w:t>2</w:t>
            </w:r>
          </w:p>
        </w:tc>
        <w:tc>
          <w:tcPr>
            <w:tcW w:w="1447" w:type="dxa"/>
          </w:tcPr>
          <w:p w14:paraId="7EA2EBCB" w14:textId="77777777" w:rsidR="00E05B6A" w:rsidRPr="001C6890" w:rsidRDefault="00E05B6A" w:rsidP="00750703">
            <w:pPr>
              <w:pStyle w:val="TableFigureHeading"/>
              <w:jc w:val="center"/>
              <w:rPr>
                <w:b w:val="0"/>
                <w:bCs w:val="0"/>
              </w:rPr>
            </w:pPr>
          </w:p>
          <w:p w14:paraId="701F07D6" w14:textId="77777777" w:rsidR="00E05B6A" w:rsidRPr="001C6890" w:rsidRDefault="00E05B6A" w:rsidP="00750703">
            <w:pPr>
              <w:pStyle w:val="TableFigureHeading"/>
              <w:jc w:val="center"/>
              <w:rPr>
                <w:b w:val="0"/>
                <w:bCs w:val="0"/>
              </w:rPr>
            </w:pPr>
            <w:r w:rsidRPr="001C6890">
              <w:rPr>
                <w:b w:val="0"/>
                <w:bCs w:val="0"/>
              </w:rPr>
              <w:t>46 (35%)</w:t>
            </w:r>
          </w:p>
          <w:p w14:paraId="4B7328D7" w14:textId="77777777" w:rsidR="00E05B6A" w:rsidRPr="001C6890" w:rsidRDefault="00E05B6A" w:rsidP="00750703">
            <w:pPr>
              <w:pStyle w:val="TableFigureHeading"/>
              <w:jc w:val="center"/>
              <w:rPr>
                <w:b w:val="0"/>
                <w:bCs w:val="0"/>
              </w:rPr>
            </w:pPr>
            <w:r w:rsidRPr="001C6890">
              <w:rPr>
                <w:b w:val="0"/>
                <w:bCs w:val="0"/>
              </w:rPr>
              <w:t>66 (51%)</w:t>
            </w:r>
          </w:p>
          <w:p w14:paraId="3C7AC1E4" w14:textId="2629D016" w:rsidR="00E05B6A" w:rsidRPr="001C6890" w:rsidRDefault="00E05B6A" w:rsidP="00750703">
            <w:pPr>
              <w:pStyle w:val="TableFigureHeading"/>
              <w:jc w:val="center"/>
              <w:rPr>
                <w:b w:val="0"/>
                <w:bCs w:val="0"/>
              </w:rPr>
            </w:pPr>
            <w:r w:rsidRPr="001C6890">
              <w:rPr>
                <w:b w:val="0"/>
                <w:bCs w:val="0"/>
              </w:rPr>
              <w:t>17 (13%)</w:t>
            </w:r>
          </w:p>
        </w:tc>
        <w:tc>
          <w:tcPr>
            <w:tcW w:w="1955" w:type="dxa"/>
          </w:tcPr>
          <w:p w14:paraId="5AEF5DEC" w14:textId="77777777" w:rsidR="00E05B6A" w:rsidRPr="001C6890" w:rsidRDefault="00E05B6A" w:rsidP="00750703">
            <w:pPr>
              <w:pStyle w:val="TableFigureHeading"/>
              <w:jc w:val="center"/>
              <w:rPr>
                <w:b w:val="0"/>
                <w:bCs w:val="0"/>
              </w:rPr>
            </w:pPr>
          </w:p>
          <w:p w14:paraId="275970F9" w14:textId="77777777" w:rsidR="00E05B6A" w:rsidRPr="001C6890" w:rsidRDefault="00E05B6A" w:rsidP="00750703">
            <w:pPr>
              <w:pStyle w:val="TableFigureHeading"/>
              <w:jc w:val="center"/>
              <w:rPr>
                <w:b w:val="0"/>
                <w:bCs w:val="0"/>
              </w:rPr>
            </w:pPr>
            <w:r w:rsidRPr="001C6890">
              <w:rPr>
                <w:b w:val="0"/>
                <w:bCs w:val="0"/>
              </w:rPr>
              <w:t>20 (43%)</w:t>
            </w:r>
          </w:p>
          <w:p w14:paraId="64C1B186" w14:textId="77777777" w:rsidR="00E05B6A" w:rsidRPr="001C6890" w:rsidRDefault="00E05B6A" w:rsidP="00750703">
            <w:pPr>
              <w:pStyle w:val="TableFigureHeading"/>
              <w:jc w:val="center"/>
              <w:rPr>
                <w:b w:val="0"/>
                <w:bCs w:val="0"/>
              </w:rPr>
            </w:pPr>
            <w:r w:rsidRPr="001C6890">
              <w:rPr>
                <w:b w:val="0"/>
                <w:bCs w:val="0"/>
              </w:rPr>
              <w:t>23 (49%)</w:t>
            </w:r>
          </w:p>
          <w:p w14:paraId="4C6D24BD" w14:textId="598F5155" w:rsidR="00E05B6A" w:rsidRPr="001C6890" w:rsidRDefault="00E05B6A" w:rsidP="00750703">
            <w:pPr>
              <w:pStyle w:val="TableFigureHeading"/>
              <w:jc w:val="center"/>
              <w:rPr>
                <w:b w:val="0"/>
                <w:bCs w:val="0"/>
              </w:rPr>
            </w:pPr>
            <w:r w:rsidRPr="001C6890">
              <w:rPr>
                <w:b w:val="0"/>
                <w:bCs w:val="0"/>
              </w:rPr>
              <w:t>4 (8.5%)</w:t>
            </w:r>
          </w:p>
        </w:tc>
        <w:tc>
          <w:tcPr>
            <w:tcW w:w="1701" w:type="dxa"/>
          </w:tcPr>
          <w:p w14:paraId="5BF8B0C7" w14:textId="77777777" w:rsidR="00E05B6A" w:rsidRPr="001C6890" w:rsidRDefault="00E05B6A" w:rsidP="00750703">
            <w:pPr>
              <w:pStyle w:val="TableFigureHeading"/>
              <w:jc w:val="center"/>
              <w:rPr>
                <w:b w:val="0"/>
                <w:bCs w:val="0"/>
              </w:rPr>
            </w:pPr>
          </w:p>
          <w:p w14:paraId="0B78070A" w14:textId="0C0392D3" w:rsidR="00C622A7" w:rsidRPr="001C6890" w:rsidRDefault="00C622A7" w:rsidP="00750703">
            <w:pPr>
              <w:pStyle w:val="TableFigureHeading"/>
              <w:jc w:val="center"/>
              <w:rPr>
                <w:b w:val="0"/>
                <w:bCs w:val="0"/>
              </w:rPr>
            </w:pPr>
            <w:r w:rsidRPr="001C6890">
              <w:rPr>
                <w:b w:val="0"/>
                <w:bCs w:val="0"/>
              </w:rPr>
              <w:t>26 (56%)</w:t>
            </w:r>
          </w:p>
          <w:p w14:paraId="46FCCA8F" w14:textId="59D7F931" w:rsidR="00C622A7" w:rsidRPr="001C6890" w:rsidRDefault="00C622A7" w:rsidP="00750703">
            <w:pPr>
              <w:pStyle w:val="TableFigureHeading"/>
              <w:jc w:val="center"/>
              <w:rPr>
                <w:b w:val="0"/>
                <w:bCs w:val="0"/>
              </w:rPr>
            </w:pPr>
            <w:r w:rsidRPr="001C6890">
              <w:rPr>
                <w:b w:val="0"/>
                <w:bCs w:val="0"/>
              </w:rPr>
              <w:t>17 (37%)</w:t>
            </w:r>
          </w:p>
          <w:p w14:paraId="3746910B" w14:textId="1304BD18" w:rsidR="00C622A7" w:rsidRPr="001C6890" w:rsidRDefault="00C622A7" w:rsidP="00750703">
            <w:pPr>
              <w:pStyle w:val="TableFigureHeading"/>
              <w:jc w:val="center"/>
              <w:rPr>
                <w:b w:val="0"/>
                <w:bCs w:val="0"/>
              </w:rPr>
            </w:pPr>
            <w:r w:rsidRPr="001C6890">
              <w:rPr>
                <w:b w:val="0"/>
                <w:bCs w:val="0"/>
              </w:rPr>
              <w:t>7 (15%)</w:t>
            </w:r>
          </w:p>
        </w:tc>
        <w:tc>
          <w:tcPr>
            <w:tcW w:w="1934" w:type="dxa"/>
          </w:tcPr>
          <w:p w14:paraId="4E00278B" w14:textId="2676D142" w:rsidR="00E05B6A" w:rsidRPr="001C6890" w:rsidRDefault="00E05B6A" w:rsidP="00750703">
            <w:pPr>
              <w:pStyle w:val="TableFigureHeading"/>
              <w:jc w:val="center"/>
              <w:rPr>
                <w:b w:val="0"/>
                <w:bCs w:val="0"/>
              </w:rPr>
            </w:pPr>
          </w:p>
          <w:p w14:paraId="69F3EB56" w14:textId="77777777" w:rsidR="00E05B6A" w:rsidRPr="001C6890" w:rsidRDefault="00E05B6A" w:rsidP="00750703">
            <w:pPr>
              <w:pStyle w:val="TableFigureHeading"/>
              <w:jc w:val="center"/>
              <w:rPr>
                <w:b w:val="0"/>
                <w:bCs w:val="0"/>
              </w:rPr>
            </w:pPr>
          </w:p>
          <w:p w14:paraId="1227497E" w14:textId="76F9D882" w:rsidR="00E05B6A" w:rsidRPr="001C6890" w:rsidRDefault="00E05B6A" w:rsidP="00750703">
            <w:pPr>
              <w:pStyle w:val="TableFigureHeading"/>
              <w:jc w:val="center"/>
              <w:rPr>
                <w:b w:val="0"/>
                <w:bCs w:val="0"/>
              </w:rPr>
            </w:pPr>
            <w:r w:rsidRPr="001C6890">
              <w:rPr>
                <w:b w:val="0"/>
                <w:bCs w:val="0"/>
              </w:rPr>
              <w:sym w:font="Symbol" w:char="F0A3"/>
            </w:r>
            <w:r w:rsidRPr="001C6890">
              <w:rPr>
                <w:b w:val="0"/>
                <w:bCs w:val="0"/>
              </w:rPr>
              <w:t>2 required for enrolment</w:t>
            </w:r>
          </w:p>
        </w:tc>
      </w:tr>
      <w:tr w:rsidR="00B617ED" w:rsidRPr="001C6890" w14:paraId="0A4A6749" w14:textId="77777777" w:rsidTr="007B3F7A">
        <w:tc>
          <w:tcPr>
            <w:tcW w:w="1980" w:type="dxa"/>
          </w:tcPr>
          <w:p w14:paraId="50988F59" w14:textId="09191216" w:rsidR="00E05B6A" w:rsidRPr="001C6890" w:rsidRDefault="00E05B6A" w:rsidP="00750703">
            <w:pPr>
              <w:pStyle w:val="TableFigureHeading"/>
              <w:rPr>
                <w:b w:val="0"/>
                <w:bCs w:val="0"/>
              </w:rPr>
            </w:pPr>
            <w:r w:rsidRPr="001C6890">
              <w:rPr>
                <w:b w:val="0"/>
                <w:bCs w:val="0"/>
              </w:rPr>
              <w:t>PTCL Sub</w:t>
            </w:r>
            <w:r w:rsidR="00750703">
              <w:rPr>
                <w:b w:val="0"/>
                <w:bCs w:val="0"/>
              </w:rPr>
              <w:noBreakHyphen/>
            </w:r>
            <w:r w:rsidRPr="001C6890">
              <w:rPr>
                <w:b w:val="0"/>
                <w:bCs w:val="0"/>
              </w:rPr>
              <w:t>type</w:t>
            </w:r>
          </w:p>
          <w:p w14:paraId="54DA136A" w14:textId="77777777" w:rsidR="00E05B6A" w:rsidRPr="001C6890" w:rsidRDefault="00E05B6A" w:rsidP="00750703">
            <w:pPr>
              <w:pStyle w:val="TableFigureHeading"/>
              <w:jc w:val="right"/>
              <w:rPr>
                <w:b w:val="0"/>
                <w:bCs w:val="0"/>
              </w:rPr>
            </w:pPr>
            <w:r w:rsidRPr="001C6890">
              <w:rPr>
                <w:b w:val="0"/>
                <w:bCs w:val="0"/>
              </w:rPr>
              <w:t>PTCL NOS</w:t>
            </w:r>
          </w:p>
          <w:p w14:paraId="4E2BEAB8" w14:textId="77777777" w:rsidR="00E05B6A" w:rsidRPr="001C6890" w:rsidRDefault="00E05B6A" w:rsidP="00750703">
            <w:pPr>
              <w:pStyle w:val="TableFigureHeading"/>
              <w:jc w:val="right"/>
              <w:rPr>
                <w:b w:val="0"/>
                <w:bCs w:val="0"/>
              </w:rPr>
            </w:pPr>
            <w:r w:rsidRPr="001C6890">
              <w:rPr>
                <w:b w:val="0"/>
                <w:bCs w:val="0"/>
              </w:rPr>
              <w:t>AITL</w:t>
            </w:r>
          </w:p>
          <w:p w14:paraId="424AAAB2" w14:textId="77777777" w:rsidR="00E05B6A" w:rsidRPr="001C6890" w:rsidRDefault="00E05B6A" w:rsidP="00750703">
            <w:pPr>
              <w:pStyle w:val="TableFigureHeading"/>
              <w:jc w:val="right"/>
              <w:rPr>
                <w:b w:val="0"/>
                <w:bCs w:val="0"/>
              </w:rPr>
            </w:pPr>
            <w:r w:rsidRPr="001C6890">
              <w:rPr>
                <w:b w:val="0"/>
                <w:bCs w:val="0"/>
              </w:rPr>
              <w:t>ALCL</w:t>
            </w:r>
          </w:p>
          <w:p w14:paraId="3008F4B7" w14:textId="7EE5511B" w:rsidR="00E05B6A" w:rsidRPr="001C6890" w:rsidRDefault="00E05B6A" w:rsidP="00750703">
            <w:pPr>
              <w:pStyle w:val="TableFigureHeading"/>
              <w:jc w:val="right"/>
              <w:rPr>
                <w:b w:val="0"/>
                <w:bCs w:val="0"/>
              </w:rPr>
            </w:pPr>
            <w:r w:rsidRPr="001C6890">
              <w:rPr>
                <w:b w:val="0"/>
                <w:bCs w:val="0"/>
              </w:rPr>
              <w:t>EATL</w:t>
            </w:r>
          </w:p>
          <w:p w14:paraId="61C65440" w14:textId="5A2193C2" w:rsidR="00E05B6A" w:rsidRPr="001C6890" w:rsidRDefault="00E05B6A" w:rsidP="00750703">
            <w:pPr>
              <w:pStyle w:val="TableFigureHeading"/>
              <w:jc w:val="right"/>
              <w:rPr>
                <w:b w:val="0"/>
                <w:bCs w:val="0"/>
              </w:rPr>
            </w:pPr>
            <w:r w:rsidRPr="001C6890">
              <w:rPr>
                <w:b w:val="0"/>
                <w:bCs w:val="0"/>
              </w:rPr>
              <w:t>Other</w:t>
            </w:r>
          </w:p>
        </w:tc>
        <w:tc>
          <w:tcPr>
            <w:tcW w:w="1447" w:type="dxa"/>
          </w:tcPr>
          <w:p w14:paraId="607717EB" w14:textId="77777777" w:rsidR="00E05B6A" w:rsidRPr="001C6890" w:rsidRDefault="00E05B6A" w:rsidP="00750703">
            <w:pPr>
              <w:pStyle w:val="TableFigureHeading"/>
              <w:jc w:val="center"/>
              <w:rPr>
                <w:b w:val="0"/>
                <w:bCs w:val="0"/>
              </w:rPr>
            </w:pPr>
          </w:p>
          <w:p w14:paraId="130A185F" w14:textId="77777777" w:rsidR="00E05B6A" w:rsidRPr="001C6890" w:rsidRDefault="00E05B6A" w:rsidP="00750703">
            <w:pPr>
              <w:pStyle w:val="TableFigureHeading"/>
              <w:jc w:val="center"/>
              <w:rPr>
                <w:b w:val="0"/>
                <w:bCs w:val="0"/>
              </w:rPr>
            </w:pPr>
            <w:r w:rsidRPr="001C6890">
              <w:rPr>
                <w:b w:val="0"/>
                <w:bCs w:val="0"/>
              </w:rPr>
              <w:t>69 (53%)</w:t>
            </w:r>
          </w:p>
          <w:p w14:paraId="46DCB6FE" w14:textId="77777777" w:rsidR="00E05B6A" w:rsidRPr="001C6890" w:rsidRDefault="00E05B6A" w:rsidP="00750703">
            <w:pPr>
              <w:pStyle w:val="TableFigureHeading"/>
              <w:jc w:val="center"/>
              <w:rPr>
                <w:b w:val="0"/>
                <w:bCs w:val="0"/>
              </w:rPr>
            </w:pPr>
            <w:r w:rsidRPr="001C6890">
              <w:rPr>
                <w:b w:val="0"/>
                <w:bCs w:val="0"/>
              </w:rPr>
              <w:t>27 (21%)</w:t>
            </w:r>
          </w:p>
          <w:p w14:paraId="3207EAF2" w14:textId="77777777" w:rsidR="00E05B6A" w:rsidRPr="001C6890" w:rsidRDefault="00E05B6A" w:rsidP="00750703">
            <w:pPr>
              <w:pStyle w:val="TableFigureHeading"/>
              <w:jc w:val="center"/>
              <w:rPr>
                <w:b w:val="0"/>
                <w:bCs w:val="0"/>
              </w:rPr>
            </w:pPr>
            <w:r w:rsidRPr="001C6890">
              <w:rPr>
                <w:b w:val="0"/>
                <w:bCs w:val="0"/>
              </w:rPr>
              <w:t>22 (17%)</w:t>
            </w:r>
          </w:p>
          <w:p w14:paraId="2A7309B6" w14:textId="77777777" w:rsidR="00E05B6A" w:rsidRPr="001C6890" w:rsidRDefault="00E05B6A" w:rsidP="00750703">
            <w:pPr>
              <w:pStyle w:val="TableFigureHeading"/>
              <w:jc w:val="center"/>
              <w:rPr>
                <w:b w:val="0"/>
                <w:bCs w:val="0"/>
              </w:rPr>
            </w:pPr>
            <w:r w:rsidRPr="001C6890">
              <w:rPr>
                <w:b w:val="0"/>
                <w:bCs w:val="0"/>
              </w:rPr>
              <w:t>6 (5%)</w:t>
            </w:r>
          </w:p>
          <w:p w14:paraId="109B166F" w14:textId="3D49D808" w:rsidR="00E05B6A" w:rsidRPr="001C6890" w:rsidRDefault="00E05B6A" w:rsidP="00750703">
            <w:pPr>
              <w:pStyle w:val="TableFigureHeading"/>
              <w:jc w:val="center"/>
              <w:rPr>
                <w:b w:val="0"/>
                <w:bCs w:val="0"/>
              </w:rPr>
            </w:pPr>
            <w:r w:rsidRPr="001C6890">
              <w:rPr>
                <w:b w:val="0"/>
                <w:bCs w:val="0"/>
              </w:rPr>
              <w:t>7 (5%)</w:t>
            </w:r>
          </w:p>
        </w:tc>
        <w:tc>
          <w:tcPr>
            <w:tcW w:w="1955" w:type="dxa"/>
          </w:tcPr>
          <w:p w14:paraId="3466DEBD" w14:textId="77777777" w:rsidR="00E05B6A" w:rsidRPr="001C6890" w:rsidRDefault="00E05B6A" w:rsidP="00750703">
            <w:pPr>
              <w:pStyle w:val="TableFigureHeading"/>
              <w:jc w:val="center"/>
              <w:rPr>
                <w:b w:val="0"/>
                <w:bCs w:val="0"/>
              </w:rPr>
            </w:pPr>
          </w:p>
          <w:p w14:paraId="25C304C7" w14:textId="77777777" w:rsidR="00E05B6A" w:rsidRPr="001C6890" w:rsidRDefault="00E05B6A" w:rsidP="00750703">
            <w:pPr>
              <w:pStyle w:val="TableFigureHeading"/>
              <w:jc w:val="center"/>
              <w:rPr>
                <w:b w:val="0"/>
                <w:bCs w:val="0"/>
              </w:rPr>
            </w:pPr>
            <w:r w:rsidRPr="001C6890">
              <w:rPr>
                <w:b w:val="0"/>
                <w:bCs w:val="0"/>
              </w:rPr>
              <w:t>27 (57%)</w:t>
            </w:r>
          </w:p>
          <w:p w14:paraId="074AE949" w14:textId="77777777" w:rsidR="00E05B6A" w:rsidRPr="001C6890" w:rsidRDefault="00E05B6A" w:rsidP="00750703">
            <w:pPr>
              <w:pStyle w:val="TableFigureHeading"/>
              <w:jc w:val="center"/>
              <w:rPr>
                <w:b w:val="0"/>
                <w:bCs w:val="0"/>
              </w:rPr>
            </w:pPr>
            <w:r w:rsidRPr="001C6890">
              <w:rPr>
                <w:b w:val="0"/>
                <w:bCs w:val="0"/>
              </w:rPr>
              <w:t>7 (15%)</w:t>
            </w:r>
          </w:p>
          <w:p w14:paraId="03CB367C" w14:textId="198400E9" w:rsidR="00E05B6A" w:rsidRPr="001C6890" w:rsidRDefault="00E05B6A" w:rsidP="00750703">
            <w:pPr>
              <w:pStyle w:val="TableFigureHeading"/>
              <w:jc w:val="center"/>
              <w:rPr>
                <w:b w:val="0"/>
                <w:bCs w:val="0"/>
              </w:rPr>
            </w:pPr>
            <w:r w:rsidRPr="001C6890">
              <w:rPr>
                <w:b w:val="0"/>
                <w:bCs w:val="0"/>
              </w:rPr>
              <w:t>4 (8%)</w:t>
            </w:r>
          </w:p>
          <w:p w14:paraId="571A6729" w14:textId="77777777" w:rsidR="00E05B6A" w:rsidRPr="001C6890" w:rsidRDefault="00E05B6A" w:rsidP="00750703">
            <w:pPr>
              <w:pStyle w:val="TableFigureHeading"/>
              <w:jc w:val="center"/>
              <w:rPr>
                <w:b w:val="0"/>
                <w:bCs w:val="0"/>
              </w:rPr>
            </w:pPr>
            <w:r w:rsidRPr="001C6890">
              <w:rPr>
                <w:b w:val="0"/>
                <w:bCs w:val="0"/>
              </w:rPr>
              <w:t>1 (2%)</w:t>
            </w:r>
          </w:p>
          <w:p w14:paraId="28B86B7B" w14:textId="3D2B67E6" w:rsidR="00E05B6A" w:rsidRPr="001C6890" w:rsidRDefault="00E05B6A" w:rsidP="00750703">
            <w:pPr>
              <w:pStyle w:val="TableFigureHeading"/>
              <w:jc w:val="center"/>
              <w:rPr>
                <w:b w:val="0"/>
                <w:bCs w:val="0"/>
              </w:rPr>
            </w:pPr>
            <w:r w:rsidRPr="001C6890">
              <w:rPr>
                <w:b w:val="0"/>
                <w:bCs w:val="0"/>
              </w:rPr>
              <w:t>8 (17%)</w:t>
            </w:r>
          </w:p>
        </w:tc>
        <w:tc>
          <w:tcPr>
            <w:tcW w:w="1701" w:type="dxa"/>
          </w:tcPr>
          <w:p w14:paraId="2F4DE980" w14:textId="77777777" w:rsidR="00C70555" w:rsidRPr="001C6890" w:rsidRDefault="00C70555" w:rsidP="00750703">
            <w:pPr>
              <w:pStyle w:val="TableFigureHeading"/>
              <w:jc w:val="center"/>
              <w:rPr>
                <w:b w:val="0"/>
                <w:bCs w:val="0"/>
              </w:rPr>
            </w:pPr>
          </w:p>
          <w:p w14:paraId="40BDAD95" w14:textId="4E1FA6C6" w:rsidR="00E05B6A" w:rsidRPr="001C6890" w:rsidRDefault="00C622A7" w:rsidP="00750703">
            <w:pPr>
              <w:pStyle w:val="TableFigureHeading"/>
              <w:jc w:val="center"/>
              <w:rPr>
                <w:b w:val="0"/>
                <w:bCs w:val="0"/>
              </w:rPr>
            </w:pPr>
            <w:r w:rsidRPr="001C6890">
              <w:rPr>
                <w:b w:val="0"/>
                <w:bCs w:val="0"/>
              </w:rPr>
              <w:t>NR</w:t>
            </w:r>
          </w:p>
        </w:tc>
        <w:tc>
          <w:tcPr>
            <w:tcW w:w="1934" w:type="dxa"/>
          </w:tcPr>
          <w:p w14:paraId="6A29BA9D" w14:textId="29371216" w:rsidR="00E05B6A" w:rsidRPr="001C6890" w:rsidRDefault="00E05B6A" w:rsidP="00750703">
            <w:pPr>
              <w:pStyle w:val="TableFigureHeading"/>
              <w:jc w:val="center"/>
              <w:rPr>
                <w:b w:val="0"/>
                <w:bCs w:val="0"/>
              </w:rPr>
            </w:pPr>
          </w:p>
          <w:p w14:paraId="09D0AE58" w14:textId="77777777" w:rsidR="00E05B6A" w:rsidRPr="001C6890" w:rsidRDefault="00E05B6A" w:rsidP="00750703">
            <w:pPr>
              <w:pStyle w:val="TableFigureHeading"/>
              <w:jc w:val="center"/>
              <w:rPr>
                <w:b w:val="0"/>
                <w:bCs w:val="0"/>
              </w:rPr>
            </w:pPr>
            <w:r w:rsidRPr="001C6890">
              <w:rPr>
                <w:b w:val="0"/>
                <w:bCs w:val="0"/>
              </w:rPr>
              <w:t>59 (53%)</w:t>
            </w:r>
          </w:p>
          <w:p w14:paraId="0F22BCAD" w14:textId="17890CA4" w:rsidR="00E05B6A" w:rsidRPr="001C6890" w:rsidRDefault="00E05B6A" w:rsidP="00750703">
            <w:pPr>
              <w:pStyle w:val="TableFigureHeading"/>
              <w:jc w:val="center"/>
              <w:rPr>
                <w:b w:val="0"/>
                <w:bCs w:val="0"/>
              </w:rPr>
            </w:pPr>
            <w:r w:rsidRPr="001C6890">
              <w:rPr>
                <w:b w:val="0"/>
                <w:bCs w:val="0"/>
              </w:rPr>
              <w:t>13 (12%)</w:t>
            </w:r>
          </w:p>
          <w:p w14:paraId="1C46C583" w14:textId="53C016D9" w:rsidR="00E05B6A" w:rsidRPr="001C6890" w:rsidRDefault="00E05B6A" w:rsidP="00750703">
            <w:pPr>
              <w:pStyle w:val="TableFigureHeading"/>
              <w:jc w:val="center"/>
              <w:rPr>
                <w:b w:val="0"/>
                <w:bCs w:val="0"/>
              </w:rPr>
            </w:pPr>
            <w:r w:rsidRPr="001C6890">
              <w:rPr>
                <w:b w:val="0"/>
                <w:bCs w:val="0"/>
              </w:rPr>
              <w:t>15 (11.7%)</w:t>
            </w:r>
          </w:p>
          <w:p w14:paraId="276DCBD6" w14:textId="3A319886" w:rsidR="00E05B6A" w:rsidRPr="001C6890" w:rsidRDefault="00E05B6A" w:rsidP="00750703">
            <w:pPr>
              <w:pStyle w:val="TableFigureHeading"/>
              <w:jc w:val="center"/>
              <w:rPr>
                <w:b w:val="0"/>
                <w:bCs w:val="0"/>
              </w:rPr>
            </w:pPr>
            <w:r w:rsidRPr="001C6890">
              <w:rPr>
                <w:b w:val="0"/>
                <w:bCs w:val="0"/>
              </w:rPr>
              <w:t>0</w:t>
            </w:r>
          </w:p>
          <w:p w14:paraId="46000847" w14:textId="58FA4D8E" w:rsidR="00E05B6A" w:rsidRPr="001C6890" w:rsidRDefault="00E05B6A" w:rsidP="00750703">
            <w:pPr>
              <w:pStyle w:val="TableFigureHeading"/>
              <w:jc w:val="center"/>
              <w:rPr>
                <w:b w:val="0"/>
                <w:bCs w:val="0"/>
              </w:rPr>
            </w:pPr>
            <w:r w:rsidRPr="001C6890">
              <w:rPr>
                <w:b w:val="0"/>
                <w:bCs w:val="0"/>
              </w:rPr>
              <w:t>24 (22%)</w:t>
            </w:r>
          </w:p>
        </w:tc>
      </w:tr>
      <w:tr w:rsidR="00B617ED" w:rsidRPr="001C6890" w14:paraId="75C4C3EC" w14:textId="77777777" w:rsidTr="007B3F7A">
        <w:tc>
          <w:tcPr>
            <w:tcW w:w="1980" w:type="dxa"/>
          </w:tcPr>
          <w:p w14:paraId="50B27D5E" w14:textId="6E4FBB7C" w:rsidR="00E05B6A" w:rsidRPr="001C6890" w:rsidRDefault="00E05B6A" w:rsidP="00750703">
            <w:pPr>
              <w:pStyle w:val="TableFigureHeading"/>
              <w:rPr>
                <w:b w:val="0"/>
                <w:bCs w:val="0"/>
              </w:rPr>
            </w:pPr>
            <w:r w:rsidRPr="001C6890">
              <w:rPr>
                <w:b w:val="0"/>
                <w:bCs w:val="0"/>
              </w:rPr>
              <w:t>Prior systemic therapies</w:t>
            </w:r>
          </w:p>
          <w:p w14:paraId="636906AD" w14:textId="62DF2142" w:rsidR="00E05B6A" w:rsidRPr="001C6890" w:rsidRDefault="00E05B6A" w:rsidP="00750703">
            <w:pPr>
              <w:pStyle w:val="TableFigureHeading"/>
              <w:jc w:val="right"/>
              <w:rPr>
                <w:b w:val="0"/>
                <w:bCs w:val="0"/>
              </w:rPr>
            </w:pPr>
            <w:r w:rsidRPr="001C6890">
              <w:rPr>
                <w:b w:val="0"/>
                <w:bCs w:val="0"/>
              </w:rPr>
              <w:t>Median (range)</w:t>
            </w:r>
          </w:p>
        </w:tc>
        <w:tc>
          <w:tcPr>
            <w:tcW w:w="1447" w:type="dxa"/>
          </w:tcPr>
          <w:p w14:paraId="219A9B57" w14:textId="77777777" w:rsidR="00E05B6A" w:rsidRPr="001C6890" w:rsidRDefault="00E05B6A" w:rsidP="00750703">
            <w:pPr>
              <w:pStyle w:val="TableFigureHeading"/>
              <w:jc w:val="center"/>
              <w:rPr>
                <w:b w:val="0"/>
                <w:bCs w:val="0"/>
              </w:rPr>
            </w:pPr>
          </w:p>
          <w:p w14:paraId="4F320CAA" w14:textId="63DB9C9C" w:rsidR="00E05B6A" w:rsidRPr="001C6890" w:rsidRDefault="00E05B6A" w:rsidP="00750703">
            <w:pPr>
              <w:pStyle w:val="TableFigureHeading"/>
              <w:jc w:val="center"/>
              <w:rPr>
                <w:b w:val="0"/>
                <w:bCs w:val="0"/>
              </w:rPr>
            </w:pPr>
            <w:r w:rsidRPr="001C6890">
              <w:rPr>
                <w:b w:val="0"/>
                <w:bCs w:val="0"/>
              </w:rPr>
              <w:t>2 (1</w:t>
            </w:r>
            <w:r w:rsidR="00750703">
              <w:rPr>
                <w:b w:val="0"/>
                <w:bCs w:val="0"/>
              </w:rPr>
              <w:noBreakHyphen/>
            </w:r>
            <w:r w:rsidRPr="001C6890">
              <w:rPr>
                <w:b w:val="0"/>
                <w:bCs w:val="0"/>
              </w:rPr>
              <w:t>8)</w:t>
            </w:r>
          </w:p>
        </w:tc>
        <w:tc>
          <w:tcPr>
            <w:tcW w:w="1955" w:type="dxa"/>
          </w:tcPr>
          <w:p w14:paraId="515A4B5A" w14:textId="77777777" w:rsidR="00E05B6A" w:rsidRPr="001C6890" w:rsidRDefault="00E05B6A" w:rsidP="00750703">
            <w:pPr>
              <w:pStyle w:val="TableFigureHeading"/>
              <w:jc w:val="center"/>
              <w:rPr>
                <w:b w:val="0"/>
                <w:bCs w:val="0"/>
              </w:rPr>
            </w:pPr>
          </w:p>
          <w:p w14:paraId="4E1CAC39" w14:textId="48D79AB9" w:rsidR="00E05B6A" w:rsidRPr="001C6890" w:rsidRDefault="00E05B6A" w:rsidP="00750703">
            <w:pPr>
              <w:pStyle w:val="TableFigureHeading"/>
              <w:jc w:val="center"/>
              <w:rPr>
                <w:b w:val="0"/>
                <w:bCs w:val="0"/>
              </w:rPr>
            </w:pPr>
            <w:r w:rsidRPr="001C6890">
              <w:rPr>
                <w:b w:val="0"/>
                <w:bCs w:val="0"/>
              </w:rPr>
              <w:t>3 (1</w:t>
            </w:r>
            <w:r w:rsidR="00750703">
              <w:rPr>
                <w:b w:val="0"/>
                <w:bCs w:val="0"/>
              </w:rPr>
              <w:noBreakHyphen/>
            </w:r>
            <w:r w:rsidRPr="001C6890">
              <w:rPr>
                <w:b w:val="0"/>
                <w:bCs w:val="0"/>
              </w:rPr>
              <w:t>11)</w:t>
            </w:r>
          </w:p>
        </w:tc>
        <w:tc>
          <w:tcPr>
            <w:tcW w:w="1701" w:type="dxa"/>
          </w:tcPr>
          <w:p w14:paraId="7F726571" w14:textId="77777777" w:rsidR="00861ECF" w:rsidRPr="001C6890" w:rsidRDefault="00861ECF" w:rsidP="00750703">
            <w:pPr>
              <w:pStyle w:val="TableFigureHeading"/>
              <w:jc w:val="center"/>
              <w:rPr>
                <w:b w:val="0"/>
                <w:bCs w:val="0"/>
              </w:rPr>
            </w:pPr>
          </w:p>
          <w:p w14:paraId="223E7365" w14:textId="0FF32F83" w:rsidR="00E05B6A" w:rsidRPr="001C6890" w:rsidRDefault="00C622A7" w:rsidP="00750703">
            <w:pPr>
              <w:pStyle w:val="TableFigureHeading"/>
              <w:jc w:val="center"/>
              <w:rPr>
                <w:b w:val="0"/>
                <w:bCs w:val="0"/>
              </w:rPr>
            </w:pPr>
            <w:r w:rsidRPr="001C6890">
              <w:rPr>
                <w:b w:val="0"/>
                <w:bCs w:val="0"/>
              </w:rPr>
              <w:t>NR</w:t>
            </w:r>
          </w:p>
        </w:tc>
        <w:tc>
          <w:tcPr>
            <w:tcW w:w="1934" w:type="dxa"/>
          </w:tcPr>
          <w:p w14:paraId="5D1C4307" w14:textId="47B913EE" w:rsidR="00E05B6A" w:rsidRPr="001C6890" w:rsidRDefault="00E05B6A" w:rsidP="00750703">
            <w:pPr>
              <w:pStyle w:val="TableFigureHeading"/>
              <w:jc w:val="center"/>
              <w:rPr>
                <w:b w:val="0"/>
                <w:bCs w:val="0"/>
              </w:rPr>
            </w:pPr>
          </w:p>
          <w:p w14:paraId="3D07F813" w14:textId="42757095" w:rsidR="00E05B6A" w:rsidRPr="001C6890" w:rsidRDefault="00E05B6A" w:rsidP="00750703">
            <w:pPr>
              <w:pStyle w:val="TableFigureHeading"/>
              <w:jc w:val="center"/>
              <w:rPr>
                <w:b w:val="0"/>
                <w:bCs w:val="0"/>
              </w:rPr>
            </w:pPr>
            <w:r w:rsidRPr="001C6890">
              <w:rPr>
                <w:b w:val="0"/>
                <w:bCs w:val="0"/>
              </w:rPr>
              <w:t>3 (1</w:t>
            </w:r>
            <w:r w:rsidR="00750703">
              <w:rPr>
                <w:b w:val="0"/>
                <w:bCs w:val="0"/>
              </w:rPr>
              <w:noBreakHyphen/>
            </w:r>
            <w:r w:rsidRPr="001C6890">
              <w:rPr>
                <w:b w:val="0"/>
                <w:bCs w:val="0"/>
              </w:rPr>
              <w:t>12)</w:t>
            </w:r>
          </w:p>
        </w:tc>
      </w:tr>
      <w:tr w:rsidR="00B617ED" w:rsidRPr="001C6890" w14:paraId="73913DAE" w14:textId="77777777" w:rsidTr="007B3F7A">
        <w:tc>
          <w:tcPr>
            <w:tcW w:w="1980" w:type="dxa"/>
          </w:tcPr>
          <w:p w14:paraId="62234E3D" w14:textId="16F8B454" w:rsidR="00E05B6A" w:rsidRPr="001C6890" w:rsidRDefault="00E05B6A" w:rsidP="00750703">
            <w:pPr>
              <w:pStyle w:val="TableFigureHeading"/>
              <w:rPr>
                <w:b w:val="0"/>
                <w:bCs w:val="0"/>
              </w:rPr>
            </w:pPr>
            <w:r w:rsidRPr="001C6890">
              <w:rPr>
                <w:b w:val="0"/>
                <w:bCs w:val="0"/>
              </w:rPr>
              <w:t>Refractory to most recent therapy, n (%)</w:t>
            </w:r>
          </w:p>
        </w:tc>
        <w:tc>
          <w:tcPr>
            <w:tcW w:w="1447" w:type="dxa"/>
          </w:tcPr>
          <w:p w14:paraId="29361A5B" w14:textId="77777777" w:rsidR="00E05B6A" w:rsidRPr="001C6890" w:rsidRDefault="00E05B6A" w:rsidP="00750703">
            <w:pPr>
              <w:pStyle w:val="TableFigureHeading"/>
              <w:jc w:val="center"/>
              <w:rPr>
                <w:b w:val="0"/>
                <w:bCs w:val="0"/>
              </w:rPr>
            </w:pPr>
          </w:p>
          <w:p w14:paraId="7F7D76C3" w14:textId="530B6CF7" w:rsidR="00E05B6A" w:rsidRPr="001C6890" w:rsidRDefault="00E05B6A" w:rsidP="00750703">
            <w:pPr>
              <w:pStyle w:val="TableFigureHeading"/>
              <w:jc w:val="center"/>
              <w:rPr>
                <w:b w:val="0"/>
                <w:bCs w:val="0"/>
              </w:rPr>
            </w:pPr>
            <w:r w:rsidRPr="001C6890">
              <w:rPr>
                <w:b w:val="0"/>
                <w:bCs w:val="0"/>
              </w:rPr>
              <w:t>49 (38%)</w:t>
            </w:r>
          </w:p>
        </w:tc>
        <w:tc>
          <w:tcPr>
            <w:tcW w:w="1955" w:type="dxa"/>
          </w:tcPr>
          <w:p w14:paraId="1C7C484A" w14:textId="77777777" w:rsidR="00E05B6A" w:rsidRPr="001C6890" w:rsidRDefault="00E05B6A" w:rsidP="00750703">
            <w:pPr>
              <w:pStyle w:val="TableFigureHeading"/>
              <w:jc w:val="center"/>
              <w:rPr>
                <w:b w:val="0"/>
                <w:bCs w:val="0"/>
              </w:rPr>
            </w:pPr>
          </w:p>
          <w:p w14:paraId="0B4219AB" w14:textId="435BF806" w:rsidR="00E05B6A" w:rsidRPr="001C6890" w:rsidRDefault="00E05B6A" w:rsidP="00750703">
            <w:pPr>
              <w:pStyle w:val="TableFigureHeading"/>
              <w:jc w:val="center"/>
              <w:rPr>
                <w:b w:val="0"/>
                <w:bCs w:val="0"/>
              </w:rPr>
            </w:pPr>
            <w:r w:rsidRPr="001C6890">
              <w:rPr>
                <w:b w:val="0"/>
                <w:bCs w:val="0"/>
              </w:rPr>
              <w:t>NR</w:t>
            </w:r>
          </w:p>
        </w:tc>
        <w:tc>
          <w:tcPr>
            <w:tcW w:w="1701" w:type="dxa"/>
          </w:tcPr>
          <w:p w14:paraId="63319465" w14:textId="77777777" w:rsidR="00861ECF" w:rsidRPr="001C6890" w:rsidRDefault="00861ECF" w:rsidP="00750703">
            <w:pPr>
              <w:pStyle w:val="TableFigureHeading"/>
              <w:jc w:val="center"/>
              <w:rPr>
                <w:b w:val="0"/>
                <w:bCs w:val="0"/>
              </w:rPr>
            </w:pPr>
          </w:p>
          <w:p w14:paraId="63365185" w14:textId="622C93DE" w:rsidR="00E05B6A" w:rsidRPr="001C6890" w:rsidRDefault="00C622A7" w:rsidP="00750703">
            <w:pPr>
              <w:pStyle w:val="TableFigureHeading"/>
              <w:jc w:val="center"/>
              <w:rPr>
                <w:b w:val="0"/>
                <w:bCs w:val="0"/>
              </w:rPr>
            </w:pPr>
            <w:r w:rsidRPr="001C6890">
              <w:rPr>
                <w:b w:val="0"/>
                <w:bCs w:val="0"/>
              </w:rPr>
              <w:t>NR</w:t>
            </w:r>
          </w:p>
        </w:tc>
        <w:tc>
          <w:tcPr>
            <w:tcW w:w="1934" w:type="dxa"/>
          </w:tcPr>
          <w:p w14:paraId="4B7B023F" w14:textId="50DDACAD" w:rsidR="00E05B6A" w:rsidRPr="001C6890" w:rsidRDefault="00E05B6A" w:rsidP="00750703">
            <w:pPr>
              <w:pStyle w:val="TableFigureHeading"/>
              <w:jc w:val="center"/>
              <w:rPr>
                <w:b w:val="0"/>
                <w:bCs w:val="0"/>
              </w:rPr>
            </w:pPr>
          </w:p>
          <w:p w14:paraId="01DF6E25" w14:textId="740481BD" w:rsidR="00E05B6A" w:rsidRPr="001C6890" w:rsidRDefault="00E05B6A" w:rsidP="00750703">
            <w:pPr>
              <w:pStyle w:val="TableFigureHeading"/>
              <w:jc w:val="center"/>
              <w:rPr>
                <w:b w:val="0"/>
                <w:bCs w:val="0"/>
              </w:rPr>
            </w:pPr>
            <w:r w:rsidRPr="001C6890">
              <w:rPr>
                <w:b w:val="0"/>
                <w:bCs w:val="0"/>
              </w:rPr>
              <w:t>69 (63%)</w:t>
            </w:r>
          </w:p>
        </w:tc>
      </w:tr>
      <w:tr w:rsidR="00B617ED" w:rsidRPr="001C6890" w14:paraId="3B85B69F" w14:textId="77777777" w:rsidTr="007B3F7A">
        <w:tc>
          <w:tcPr>
            <w:tcW w:w="1980" w:type="dxa"/>
          </w:tcPr>
          <w:p w14:paraId="189D1877" w14:textId="234D6C9D" w:rsidR="00E05B6A" w:rsidRPr="001C6890" w:rsidRDefault="00E05B6A" w:rsidP="00750703">
            <w:pPr>
              <w:pStyle w:val="TableFigureHeading"/>
              <w:rPr>
                <w:b w:val="0"/>
                <w:bCs w:val="0"/>
              </w:rPr>
            </w:pPr>
            <w:r w:rsidRPr="001C6890">
              <w:rPr>
                <w:b w:val="0"/>
                <w:bCs w:val="0"/>
              </w:rPr>
              <w:t>Prior ASCT, n (%)</w:t>
            </w:r>
            <w:r w:rsidRPr="001C6890">
              <w:rPr>
                <w:b w:val="0"/>
                <w:bCs w:val="0"/>
                <w:vertAlign w:val="superscript"/>
              </w:rPr>
              <w:t>1</w:t>
            </w:r>
          </w:p>
        </w:tc>
        <w:tc>
          <w:tcPr>
            <w:tcW w:w="1447" w:type="dxa"/>
          </w:tcPr>
          <w:p w14:paraId="5DC05E14" w14:textId="72FE26D0" w:rsidR="00E05B6A" w:rsidRPr="001C6890" w:rsidRDefault="00E05B6A" w:rsidP="00750703">
            <w:pPr>
              <w:pStyle w:val="TableFigureHeading"/>
              <w:jc w:val="center"/>
              <w:rPr>
                <w:b w:val="0"/>
                <w:bCs w:val="0"/>
              </w:rPr>
            </w:pPr>
            <w:r w:rsidRPr="001C6890">
              <w:rPr>
                <w:b w:val="0"/>
                <w:bCs w:val="0"/>
              </w:rPr>
              <w:t>21 (16%)</w:t>
            </w:r>
          </w:p>
        </w:tc>
        <w:tc>
          <w:tcPr>
            <w:tcW w:w="1955" w:type="dxa"/>
          </w:tcPr>
          <w:p w14:paraId="37E5FEBB" w14:textId="0A5E5E0A" w:rsidR="00E05B6A" w:rsidRPr="001C6890" w:rsidRDefault="00E05B6A" w:rsidP="00750703">
            <w:pPr>
              <w:pStyle w:val="TableFigureHeading"/>
              <w:jc w:val="center"/>
              <w:rPr>
                <w:b w:val="0"/>
                <w:bCs w:val="0"/>
              </w:rPr>
            </w:pPr>
            <w:r w:rsidRPr="001C6890">
              <w:rPr>
                <w:b w:val="0"/>
                <w:bCs w:val="0"/>
              </w:rPr>
              <w:t>18 (38%)</w:t>
            </w:r>
          </w:p>
        </w:tc>
        <w:tc>
          <w:tcPr>
            <w:tcW w:w="1701" w:type="dxa"/>
          </w:tcPr>
          <w:p w14:paraId="4670BF6A" w14:textId="1CBEC2DC" w:rsidR="00E05B6A" w:rsidRPr="001C6890" w:rsidRDefault="00C622A7" w:rsidP="00750703">
            <w:pPr>
              <w:pStyle w:val="TableFigureHeading"/>
              <w:jc w:val="center"/>
              <w:rPr>
                <w:b w:val="0"/>
                <w:bCs w:val="0"/>
              </w:rPr>
            </w:pPr>
            <w:r w:rsidRPr="001C6890">
              <w:rPr>
                <w:b w:val="0"/>
                <w:bCs w:val="0"/>
              </w:rPr>
              <w:t>NR</w:t>
            </w:r>
          </w:p>
        </w:tc>
        <w:tc>
          <w:tcPr>
            <w:tcW w:w="1934" w:type="dxa"/>
          </w:tcPr>
          <w:p w14:paraId="0D6A2121" w14:textId="35E25201" w:rsidR="00E05B6A" w:rsidRPr="001C6890" w:rsidRDefault="00E05B6A" w:rsidP="00750703">
            <w:pPr>
              <w:pStyle w:val="TableFigureHeading"/>
              <w:jc w:val="center"/>
              <w:rPr>
                <w:b w:val="0"/>
                <w:bCs w:val="0"/>
              </w:rPr>
            </w:pPr>
            <w:r w:rsidRPr="001C6890">
              <w:rPr>
                <w:b w:val="0"/>
                <w:bCs w:val="0"/>
              </w:rPr>
              <w:t>18 (16%)</w:t>
            </w:r>
          </w:p>
        </w:tc>
      </w:tr>
    </w:tbl>
    <w:p w14:paraId="6E36EE7A" w14:textId="3373CE3D" w:rsidR="009231A2" w:rsidRPr="001C6890" w:rsidRDefault="009231A2" w:rsidP="00750703">
      <w:pPr>
        <w:pStyle w:val="TableFigureFooter"/>
      </w:pPr>
      <w:r w:rsidRPr="001C6890">
        <w:t>Source: Table 2</w:t>
      </w:r>
      <w:r w:rsidR="00750703">
        <w:noBreakHyphen/>
      </w:r>
      <w:r w:rsidRPr="001C6890">
        <w:t>8, pp54</w:t>
      </w:r>
      <w:r w:rsidR="00750703">
        <w:noBreakHyphen/>
      </w:r>
      <w:r w:rsidRPr="001C6890">
        <w:t>55 of the submission.</w:t>
      </w:r>
    </w:p>
    <w:p w14:paraId="54425D21" w14:textId="3964A0C9" w:rsidR="00911F43" w:rsidRDefault="009D744B" w:rsidP="00750703">
      <w:pPr>
        <w:pStyle w:val="TableFigureFooter"/>
      </w:pPr>
      <w:r>
        <w:t>AIT</w:t>
      </w:r>
      <w:r w:rsidR="00DF7C8F">
        <w:t>L</w:t>
      </w:r>
      <w:r>
        <w:t>. = angioimmunoblastic T</w:t>
      </w:r>
      <w:r w:rsidR="00750703">
        <w:noBreakHyphen/>
      </w:r>
      <w:r>
        <w:t>cell lymphoma; ALCL = anaplastic large cell lymphoma; ASCT = autologous stem</w:t>
      </w:r>
      <w:r w:rsidR="00750703">
        <w:noBreakHyphen/>
      </w:r>
      <w:r>
        <w:t>cell transplant; EATL = enteropathy</w:t>
      </w:r>
      <w:r w:rsidR="00750703">
        <w:noBreakHyphen/>
      </w:r>
      <w:r>
        <w:t>associated T</w:t>
      </w:r>
      <w:r w:rsidR="00750703">
        <w:noBreakHyphen/>
      </w:r>
      <w:r>
        <w:t xml:space="preserve">cell lymphoma; </w:t>
      </w:r>
      <w:r w:rsidR="009231A2">
        <w:t>ECOG = Eastern co</w:t>
      </w:r>
      <w:r w:rsidR="00750703">
        <w:noBreakHyphen/>
      </w:r>
      <w:r w:rsidR="009231A2">
        <w:t xml:space="preserve">operative oncology group performance status 0 = </w:t>
      </w:r>
      <w:r>
        <w:t>no restriction compared to pre</w:t>
      </w:r>
      <w:r w:rsidR="00750703">
        <w:noBreakHyphen/>
      </w:r>
      <w:r>
        <w:t xml:space="preserve">disease, </w:t>
      </w:r>
      <w:r w:rsidR="009231A2">
        <w:t xml:space="preserve">1 = </w:t>
      </w:r>
      <w:r>
        <w:t>restricted but able to do light or sedentary work</w:t>
      </w:r>
      <w:r w:rsidR="009231A2">
        <w:t>, 2 =</w:t>
      </w:r>
      <w:r w:rsidR="008B29CB">
        <w:t xml:space="preserve"> </w:t>
      </w:r>
      <w:r>
        <w:t>ambulatory and able to self</w:t>
      </w:r>
      <w:r w:rsidR="00750703">
        <w:noBreakHyphen/>
      </w:r>
      <w:r>
        <w:t xml:space="preserve">care but unable to work, </w:t>
      </w:r>
      <w:r w:rsidR="008B29CB">
        <w:t>&lt;</w:t>
      </w:r>
      <w:r>
        <w:t>50% of waking hours</w:t>
      </w:r>
      <w:r w:rsidR="008B29CB">
        <w:t xml:space="preserve"> in bed or chair</w:t>
      </w:r>
      <w:r w:rsidR="009231A2">
        <w:t xml:space="preserve">, 3 = </w:t>
      </w:r>
      <w:r w:rsidR="008B29CB">
        <w:t xml:space="preserve">some </w:t>
      </w:r>
      <w:r>
        <w:t>self</w:t>
      </w:r>
      <w:r w:rsidR="00750703">
        <w:noBreakHyphen/>
      </w:r>
      <w:r>
        <w:t>care</w:t>
      </w:r>
      <w:r w:rsidR="008B29CB">
        <w:t xml:space="preserve">, </w:t>
      </w:r>
      <w:r w:rsidR="009231A2">
        <w:t xml:space="preserve">&gt;50% </w:t>
      </w:r>
      <w:r>
        <w:t xml:space="preserve">of waking hours in </w:t>
      </w:r>
      <w:r w:rsidR="009231A2">
        <w:t>bed</w:t>
      </w:r>
      <w:r>
        <w:t xml:space="preserve"> or chair</w:t>
      </w:r>
      <w:r w:rsidR="009231A2">
        <w:t xml:space="preserve">, 4 = </w:t>
      </w:r>
      <w:r w:rsidR="008B29CB">
        <w:t>unable to self</w:t>
      </w:r>
      <w:r w:rsidR="00750703">
        <w:noBreakHyphen/>
      </w:r>
      <w:r w:rsidR="008B29CB">
        <w:t>care</w:t>
      </w:r>
      <w:r>
        <w:t>, confined to bed or chair</w:t>
      </w:r>
      <w:r w:rsidR="009231A2">
        <w:t xml:space="preserve">, 5 = death; </w:t>
      </w:r>
      <w:r>
        <w:t xml:space="preserve">NOS = not otherwise specified; </w:t>
      </w:r>
      <w:r w:rsidR="009231A2">
        <w:t xml:space="preserve">NR = not reported; </w:t>
      </w:r>
      <w:r>
        <w:t>PTCL = peripheral T</w:t>
      </w:r>
      <w:r w:rsidR="00750703">
        <w:noBreakHyphen/>
      </w:r>
      <w:r>
        <w:t xml:space="preserve">cell lymphoma. </w:t>
      </w:r>
    </w:p>
    <w:p w14:paraId="4EB07DD7" w14:textId="14EFADC8" w:rsidR="009D744B" w:rsidRPr="00911F43" w:rsidRDefault="00911F43" w:rsidP="00750703">
      <w:pPr>
        <w:pStyle w:val="TableFigureFooter"/>
      </w:pPr>
      <w:r w:rsidRPr="00911F43">
        <w:rPr>
          <w:vertAlign w:val="superscript"/>
        </w:rPr>
        <w:t>1</w:t>
      </w:r>
      <w:r>
        <w:t xml:space="preserve"> In both GPI</w:t>
      </w:r>
      <w:r w:rsidR="00750703">
        <w:noBreakHyphen/>
      </w:r>
      <w:r>
        <w:t>06</w:t>
      </w:r>
      <w:r w:rsidR="00750703">
        <w:noBreakHyphen/>
      </w:r>
      <w:r>
        <w:t xml:space="preserve">002 and PROPEL prior allogeneic stem cell transplant required exclusion. </w:t>
      </w:r>
    </w:p>
    <w:p w14:paraId="6CFF7B48" w14:textId="249E026D" w:rsidR="0098541A" w:rsidRPr="00286CAC" w:rsidRDefault="009D744B" w:rsidP="00750703">
      <w:pPr>
        <w:pStyle w:val="3-BodyText"/>
        <w:spacing w:before="160" w:after="160"/>
        <w:ind w:left="720"/>
      </w:pPr>
      <w:r w:rsidRPr="00286CAC">
        <w:t xml:space="preserve">Notable features </w:t>
      </w:r>
      <w:r w:rsidR="002414CD" w:rsidRPr="00286CAC">
        <w:t>were</w:t>
      </w:r>
      <w:r w:rsidRPr="00286CAC">
        <w:t xml:space="preserve"> the high proportion of patients with ALCL, who</w:t>
      </w:r>
      <w:r w:rsidR="00076068" w:rsidRPr="00286CAC">
        <w:t>,</w:t>
      </w:r>
      <w:r w:rsidRPr="00286CAC">
        <w:t xml:space="preserve"> current guidelines suggest</w:t>
      </w:r>
      <w:r w:rsidR="00076068" w:rsidRPr="00286CAC">
        <w:t>,</w:t>
      </w:r>
      <w:r w:rsidRPr="00286CAC">
        <w:t xml:space="preserve"> should be treated with brentuximab vedotin</w:t>
      </w:r>
      <w:r w:rsidR="0098541A" w:rsidRPr="00286CAC">
        <w:t>,</w:t>
      </w:r>
      <w:r w:rsidR="00D8333A" w:rsidRPr="00286CAC">
        <w:t xml:space="preserve"> the higher proportion of patients with AITL in GPI</w:t>
      </w:r>
      <w:r w:rsidR="00750703">
        <w:noBreakHyphen/>
      </w:r>
      <w:r w:rsidR="00D8333A" w:rsidRPr="00286CAC">
        <w:t>06</w:t>
      </w:r>
      <w:r w:rsidR="00750703">
        <w:noBreakHyphen/>
      </w:r>
      <w:r w:rsidR="00D8333A" w:rsidRPr="00286CAC">
        <w:t>002,</w:t>
      </w:r>
      <w:r w:rsidR="00B1282B" w:rsidRPr="00286CAC">
        <w:t xml:space="preserve"> the high</w:t>
      </w:r>
      <w:r w:rsidR="008B29CB" w:rsidRPr="00286CAC">
        <w:t>er</w:t>
      </w:r>
      <w:r w:rsidR="00B1282B" w:rsidRPr="00286CAC">
        <w:t xml:space="preserve"> number of prior treatments in PROPEL</w:t>
      </w:r>
      <w:r w:rsidR="0098541A" w:rsidRPr="00286CAC">
        <w:t>, and the higher prop</w:t>
      </w:r>
      <w:r w:rsidR="00E0719B" w:rsidRPr="00286CAC">
        <w:t>o</w:t>
      </w:r>
      <w:r w:rsidR="0098541A" w:rsidRPr="00286CAC">
        <w:t>rtion of patients</w:t>
      </w:r>
      <w:r w:rsidR="00E0719B" w:rsidRPr="00286CAC">
        <w:t xml:space="preserve"> </w:t>
      </w:r>
      <w:r w:rsidR="00830B5F" w:rsidRPr="00286CAC">
        <w:t xml:space="preserve">who are </w:t>
      </w:r>
      <w:r w:rsidR="0098541A" w:rsidRPr="00286CAC">
        <w:t xml:space="preserve">refractory to </w:t>
      </w:r>
      <w:r w:rsidR="00E0719B" w:rsidRPr="00286CAC">
        <w:t>the most recent therapy</w:t>
      </w:r>
      <w:r w:rsidR="00CD5BC2" w:rsidRPr="00286CAC">
        <w:t xml:space="preserve"> in PROPEL</w:t>
      </w:r>
      <w:r w:rsidR="00911F43" w:rsidRPr="00286CAC">
        <w:t>.</w:t>
      </w:r>
      <w:r w:rsidR="00CD5BC2" w:rsidRPr="00286CAC">
        <w:t xml:space="preserve"> </w:t>
      </w:r>
    </w:p>
    <w:p w14:paraId="35AC4BD9" w14:textId="63B5DD58" w:rsidR="007B60CD" w:rsidRPr="00E5703B" w:rsidRDefault="00D8333A" w:rsidP="00750703">
      <w:pPr>
        <w:pStyle w:val="3-BodyText"/>
        <w:spacing w:before="160" w:after="160"/>
        <w:ind w:left="720"/>
        <w:rPr>
          <w:rStyle w:val="CommentReference"/>
          <w:rFonts w:asciiTheme="minorHAnsi" w:hAnsiTheme="minorHAnsi"/>
          <w:b w:val="0"/>
          <w:sz w:val="24"/>
          <w:szCs w:val="22"/>
        </w:rPr>
      </w:pPr>
      <w:r w:rsidRPr="00E5703B">
        <w:rPr>
          <w:rStyle w:val="CommentReference"/>
          <w:rFonts w:asciiTheme="minorHAnsi" w:hAnsiTheme="minorHAnsi"/>
          <w:b w:val="0"/>
          <w:sz w:val="24"/>
          <w:szCs w:val="22"/>
        </w:rPr>
        <w:t>In the PETAL consortium</w:t>
      </w:r>
      <w:r w:rsidR="00502C64">
        <w:rPr>
          <w:rStyle w:val="CommentReference"/>
          <w:rFonts w:asciiTheme="minorHAnsi" w:hAnsiTheme="minorHAnsi"/>
          <w:b w:val="0"/>
          <w:sz w:val="24"/>
          <w:szCs w:val="22"/>
        </w:rPr>
        <w:t>,</w:t>
      </w:r>
      <w:r w:rsidRPr="00E5703B">
        <w:rPr>
          <w:rStyle w:val="CommentReference"/>
          <w:rFonts w:asciiTheme="minorHAnsi" w:hAnsiTheme="minorHAnsi"/>
          <w:b w:val="0"/>
          <w:sz w:val="24"/>
          <w:szCs w:val="22"/>
        </w:rPr>
        <w:t xml:space="preserve"> data factors most closely associated with worse outcomes in second</w:t>
      </w:r>
      <w:r w:rsidR="00750703">
        <w:rPr>
          <w:rStyle w:val="CommentReference"/>
          <w:rFonts w:asciiTheme="minorHAnsi" w:hAnsiTheme="minorHAnsi"/>
          <w:b w:val="0"/>
          <w:sz w:val="24"/>
          <w:szCs w:val="22"/>
        </w:rPr>
        <w:noBreakHyphen/>
      </w:r>
      <w:r w:rsidRPr="00E5703B">
        <w:rPr>
          <w:rStyle w:val="CommentReference"/>
          <w:rFonts w:asciiTheme="minorHAnsi" w:hAnsiTheme="minorHAnsi"/>
          <w:b w:val="0"/>
          <w:sz w:val="24"/>
          <w:szCs w:val="22"/>
        </w:rPr>
        <w:t>line treatment were age &gt;60 years, having been refractory to first</w:t>
      </w:r>
      <w:r w:rsidR="00750703">
        <w:rPr>
          <w:rStyle w:val="CommentReference"/>
          <w:rFonts w:asciiTheme="minorHAnsi" w:hAnsiTheme="minorHAnsi"/>
          <w:b w:val="0"/>
          <w:sz w:val="24"/>
          <w:szCs w:val="22"/>
        </w:rPr>
        <w:noBreakHyphen/>
      </w:r>
      <w:r w:rsidRPr="00E5703B">
        <w:rPr>
          <w:rStyle w:val="CommentReference"/>
          <w:rFonts w:asciiTheme="minorHAnsi" w:hAnsiTheme="minorHAnsi"/>
          <w:b w:val="0"/>
          <w:sz w:val="24"/>
          <w:szCs w:val="22"/>
        </w:rPr>
        <w:t>line treatment, having a sub</w:t>
      </w:r>
      <w:r w:rsidR="00750703">
        <w:rPr>
          <w:rStyle w:val="CommentReference"/>
          <w:rFonts w:asciiTheme="minorHAnsi" w:hAnsiTheme="minorHAnsi"/>
          <w:b w:val="0"/>
          <w:sz w:val="24"/>
          <w:szCs w:val="22"/>
        </w:rPr>
        <w:noBreakHyphen/>
      </w:r>
      <w:r w:rsidRPr="00E5703B">
        <w:rPr>
          <w:rStyle w:val="CommentReference"/>
          <w:rFonts w:asciiTheme="minorHAnsi" w:hAnsiTheme="minorHAnsi"/>
          <w:b w:val="0"/>
          <w:sz w:val="24"/>
          <w:szCs w:val="22"/>
        </w:rPr>
        <w:t>type other than AITL, having more than one extra</w:t>
      </w:r>
      <w:r w:rsidR="00750703">
        <w:rPr>
          <w:rStyle w:val="CommentReference"/>
          <w:rFonts w:asciiTheme="minorHAnsi" w:hAnsiTheme="minorHAnsi"/>
          <w:b w:val="0"/>
          <w:sz w:val="24"/>
          <w:szCs w:val="22"/>
        </w:rPr>
        <w:noBreakHyphen/>
      </w:r>
      <w:r w:rsidRPr="00E5703B">
        <w:rPr>
          <w:rStyle w:val="CommentReference"/>
          <w:rFonts w:asciiTheme="minorHAnsi" w:hAnsiTheme="minorHAnsi"/>
          <w:b w:val="0"/>
          <w:sz w:val="24"/>
          <w:szCs w:val="22"/>
        </w:rPr>
        <w:t xml:space="preserve">nodal site of disease, having an absolute lymphocyte count below the lower limit of normal, and Ki67 </w:t>
      </w:r>
      <w:r w:rsidRPr="00286CAC">
        <w:rPr>
          <w:rStyle w:val="CommentReference"/>
          <w:rFonts w:asciiTheme="minorHAnsi" w:hAnsiTheme="minorHAnsi"/>
          <w:b w:val="0"/>
          <w:sz w:val="24"/>
          <w:szCs w:val="22"/>
        </w:rPr>
        <w:sym w:font="Symbol" w:char="F0B3"/>
      </w:r>
      <w:r w:rsidRPr="00E5703B">
        <w:rPr>
          <w:rStyle w:val="CommentReference"/>
          <w:rFonts w:asciiTheme="minorHAnsi" w:hAnsiTheme="minorHAnsi"/>
          <w:b w:val="0"/>
          <w:sz w:val="24"/>
          <w:szCs w:val="22"/>
        </w:rPr>
        <w:t xml:space="preserve">40% (Ki67 is a </w:t>
      </w:r>
      <w:r w:rsidR="007B60CD" w:rsidRPr="00E5703B">
        <w:rPr>
          <w:rStyle w:val="CommentReference"/>
          <w:rFonts w:asciiTheme="minorHAnsi" w:hAnsiTheme="minorHAnsi"/>
          <w:b w:val="0"/>
          <w:sz w:val="24"/>
          <w:szCs w:val="22"/>
        </w:rPr>
        <w:t xml:space="preserve">cellular marker of proliferation; the percentage is the proportion of Ki67 positive </w:t>
      </w:r>
      <w:r w:rsidR="00ED10AA" w:rsidRPr="00E5703B">
        <w:rPr>
          <w:rStyle w:val="CommentReference"/>
          <w:rFonts w:asciiTheme="minorHAnsi" w:hAnsiTheme="minorHAnsi"/>
          <w:b w:val="0"/>
          <w:sz w:val="24"/>
          <w:szCs w:val="22"/>
        </w:rPr>
        <w:t xml:space="preserve">tumour </w:t>
      </w:r>
      <w:r w:rsidR="007B60CD" w:rsidRPr="00E5703B">
        <w:rPr>
          <w:rStyle w:val="CommentReference"/>
          <w:rFonts w:asciiTheme="minorHAnsi" w:hAnsiTheme="minorHAnsi"/>
          <w:b w:val="0"/>
          <w:sz w:val="24"/>
          <w:szCs w:val="22"/>
        </w:rPr>
        <w:t xml:space="preserve">cells). Although data are available only for the first three listed factors, two of the three </w:t>
      </w:r>
      <w:r w:rsidR="00750703">
        <w:rPr>
          <w:rStyle w:val="CommentReference"/>
          <w:rFonts w:asciiTheme="minorHAnsi" w:hAnsiTheme="minorHAnsi"/>
          <w:b w:val="0"/>
          <w:sz w:val="24"/>
          <w:szCs w:val="22"/>
        </w:rPr>
        <w:noBreakHyphen/>
      </w:r>
      <w:r w:rsidR="007B60CD" w:rsidRPr="00E5703B">
        <w:rPr>
          <w:rStyle w:val="CommentReference"/>
          <w:rFonts w:asciiTheme="minorHAnsi" w:hAnsiTheme="minorHAnsi"/>
          <w:b w:val="0"/>
          <w:sz w:val="24"/>
          <w:szCs w:val="22"/>
        </w:rPr>
        <w:t xml:space="preserve"> the higher proportion of patients with AITL and the lower proportion of patients </w:t>
      </w:r>
      <w:r w:rsidR="00830B5F" w:rsidRPr="00E5703B">
        <w:rPr>
          <w:rStyle w:val="CommentReference"/>
          <w:rFonts w:asciiTheme="minorHAnsi" w:hAnsiTheme="minorHAnsi"/>
          <w:b w:val="0"/>
          <w:sz w:val="24"/>
          <w:szCs w:val="22"/>
        </w:rPr>
        <w:t xml:space="preserve">who are </w:t>
      </w:r>
      <w:r w:rsidR="007B60CD" w:rsidRPr="00E5703B">
        <w:rPr>
          <w:rStyle w:val="CommentReference"/>
          <w:rFonts w:asciiTheme="minorHAnsi" w:hAnsiTheme="minorHAnsi"/>
          <w:b w:val="0"/>
          <w:sz w:val="24"/>
          <w:szCs w:val="22"/>
        </w:rPr>
        <w:t>refractory to most recent treatment, would favour romidepsin</w:t>
      </w:r>
      <w:r w:rsidR="00266A85" w:rsidRPr="00E5703B">
        <w:rPr>
          <w:rStyle w:val="CommentReference"/>
          <w:rFonts w:asciiTheme="minorHAnsi" w:hAnsiTheme="minorHAnsi"/>
          <w:b w:val="0"/>
          <w:sz w:val="24"/>
          <w:szCs w:val="22"/>
        </w:rPr>
        <w:t xml:space="preserve">. </w:t>
      </w:r>
    </w:p>
    <w:p w14:paraId="4A4FE085" w14:textId="1C5613CC" w:rsidR="00B60939" w:rsidRPr="0098262F" w:rsidRDefault="00B60939" w:rsidP="00750703">
      <w:pPr>
        <w:pStyle w:val="4-SubsectionHeading"/>
        <w:spacing w:before="160" w:after="160"/>
      </w:pPr>
      <w:bookmarkStart w:id="26" w:name="_Toc22897641"/>
      <w:bookmarkStart w:id="27" w:name="_Toc219197455"/>
      <w:r w:rsidRPr="0098262F">
        <w:lastRenderedPageBreak/>
        <w:t>Comparative effectiveness</w:t>
      </w:r>
      <w:bookmarkEnd w:id="26"/>
      <w:bookmarkEnd w:id="27"/>
    </w:p>
    <w:p w14:paraId="5F5E2B0E" w14:textId="7A9304C6" w:rsidR="009B6D79" w:rsidRPr="00115945" w:rsidRDefault="009B6D79" w:rsidP="00750703">
      <w:pPr>
        <w:pStyle w:val="3-BodyText"/>
        <w:spacing w:before="160" w:after="160"/>
        <w:ind w:left="720"/>
        <w:rPr>
          <w:color w:val="000000" w:themeColor="text1"/>
        </w:rPr>
      </w:pPr>
      <w:r w:rsidRPr="00115945">
        <w:rPr>
          <w:color w:val="000000" w:themeColor="text1"/>
        </w:rPr>
        <w:t xml:space="preserve">Results for complete response, partial response and survival in the </w:t>
      </w:r>
      <w:r w:rsidR="00FB3AA1">
        <w:rPr>
          <w:color w:val="000000" w:themeColor="text1"/>
        </w:rPr>
        <w:t>GPI</w:t>
      </w:r>
      <w:r w:rsidR="00750703">
        <w:rPr>
          <w:color w:val="000000" w:themeColor="text1"/>
        </w:rPr>
        <w:noBreakHyphen/>
      </w:r>
      <w:r w:rsidR="00FB3AA1">
        <w:rPr>
          <w:color w:val="000000" w:themeColor="text1"/>
        </w:rPr>
        <w:t>06</w:t>
      </w:r>
      <w:r w:rsidR="00750703">
        <w:rPr>
          <w:color w:val="000000" w:themeColor="text1"/>
        </w:rPr>
        <w:noBreakHyphen/>
      </w:r>
      <w:r w:rsidR="00FB3AA1">
        <w:rPr>
          <w:color w:val="000000" w:themeColor="text1"/>
        </w:rPr>
        <w:t>0002, Piekarz</w:t>
      </w:r>
      <w:r w:rsidR="00AC717C">
        <w:rPr>
          <w:color w:val="000000" w:themeColor="text1"/>
        </w:rPr>
        <w:t xml:space="preserve"> et al.,</w:t>
      </w:r>
      <w:r w:rsidR="00FB3AA1">
        <w:rPr>
          <w:color w:val="000000" w:themeColor="text1"/>
        </w:rPr>
        <w:t xml:space="preserve"> 2011 and PROPEL </w:t>
      </w:r>
      <w:r w:rsidRPr="00115945">
        <w:rPr>
          <w:color w:val="000000" w:themeColor="text1"/>
        </w:rPr>
        <w:t xml:space="preserve">studies are shown in </w:t>
      </w:r>
      <w:r w:rsidR="002414CD">
        <w:rPr>
          <w:color w:val="000000" w:themeColor="text1"/>
        </w:rPr>
        <w:fldChar w:fldCharType="begin"/>
      </w:r>
      <w:r w:rsidR="002414CD">
        <w:rPr>
          <w:color w:val="000000" w:themeColor="text1"/>
        </w:rPr>
        <w:instrText xml:space="preserve"> REF _Ref216689175 \h </w:instrText>
      </w:r>
      <w:r w:rsidR="002414CD">
        <w:rPr>
          <w:color w:val="000000" w:themeColor="text1"/>
        </w:rPr>
      </w:r>
      <w:r w:rsidR="002414CD">
        <w:rPr>
          <w:color w:val="000000" w:themeColor="text1"/>
        </w:rPr>
        <w:fldChar w:fldCharType="separate"/>
      </w:r>
      <w:r w:rsidR="002414CD">
        <w:t xml:space="preserve">Table </w:t>
      </w:r>
      <w:r w:rsidR="002414CD">
        <w:rPr>
          <w:noProof/>
        </w:rPr>
        <w:t>6</w:t>
      </w:r>
      <w:r w:rsidR="002414CD">
        <w:rPr>
          <w:color w:val="000000" w:themeColor="text1"/>
        </w:rPr>
        <w:fldChar w:fldCharType="end"/>
      </w:r>
      <w:r w:rsidR="002414CD">
        <w:rPr>
          <w:color w:val="000000" w:themeColor="text1"/>
        </w:rPr>
        <w:t>.</w:t>
      </w:r>
    </w:p>
    <w:p w14:paraId="25D9A482" w14:textId="773919BE" w:rsidR="009B6D79" w:rsidRDefault="002414CD" w:rsidP="00750703">
      <w:pPr>
        <w:pStyle w:val="Caption"/>
      </w:pPr>
      <w:bookmarkStart w:id="28" w:name="_Ref216689175"/>
      <w:r>
        <w:t xml:space="preserve">Table </w:t>
      </w:r>
      <w:fldSimple w:instr=" SEQ Table \* ARABIC ">
        <w:r w:rsidR="000B22F7">
          <w:rPr>
            <w:noProof/>
          </w:rPr>
          <w:t>6</w:t>
        </w:r>
      </w:fldSimple>
      <w:bookmarkEnd w:id="28"/>
      <w:r>
        <w:t xml:space="preserve">: </w:t>
      </w:r>
      <w:r w:rsidR="009B6D79">
        <w:t xml:space="preserve">Response and survival in the submitted studies. </w:t>
      </w:r>
    </w:p>
    <w:tbl>
      <w:tblPr>
        <w:tblStyle w:val="TableGrid"/>
        <w:tblW w:w="9067" w:type="dxa"/>
        <w:tblLook w:val="04A0" w:firstRow="1" w:lastRow="0" w:firstColumn="1" w:lastColumn="0" w:noHBand="0" w:noVBand="1"/>
        <w:tblCaption w:val="Table 6: Response and survival in the submitted studies. "/>
      </w:tblPr>
      <w:tblGrid>
        <w:gridCol w:w="4531"/>
        <w:gridCol w:w="1560"/>
        <w:gridCol w:w="1275"/>
        <w:gridCol w:w="1701"/>
      </w:tblGrid>
      <w:tr w:rsidR="008A57E3" w14:paraId="77F14607" w14:textId="77777777" w:rsidTr="004C60D6">
        <w:tc>
          <w:tcPr>
            <w:tcW w:w="4531" w:type="dxa"/>
            <w:vMerge w:val="restart"/>
          </w:tcPr>
          <w:p w14:paraId="40D3F8C5" w14:textId="77777777" w:rsidR="00D116E8" w:rsidRDefault="00D116E8" w:rsidP="00750703">
            <w:pPr>
              <w:pStyle w:val="TableFigureHeading"/>
            </w:pPr>
          </w:p>
        </w:tc>
        <w:tc>
          <w:tcPr>
            <w:tcW w:w="2835" w:type="dxa"/>
            <w:gridSpan w:val="2"/>
          </w:tcPr>
          <w:p w14:paraId="2CE1E7D4" w14:textId="008F5ABF" w:rsidR="00D116E8" w:rsidRDefault="00D116E8" w:rsidP="00750703">
            <w:pPr>
              <w:pStyle w:val="TableFigureHeading"/>
              <w:jc w:val="center"/>
            </w:pPr>
            <w:r>
              <w:t>Romidepsin Studies</w:t>
            </w:r>
          </w:p>
        </w:tc>
        <w:tc>
          <w:tcPr>
            <w:tcW w:w="1701" w:type="dxa"/>
          </w:tcPr>
          <w:p w14:paraId="71878B20" w14:textId="5BE7D20E" w:rsidR="00D116E8" w:rsidRDefault="00D116E8" w:rsidP="00750703">
            <w:pPr>
              <w:pStyle w:val="TableFigureHeading"/>
              <w:jc w:val="center"/>
            </w:pPr>
            <w:r>
              <w:t>Pralatrexate Study</w:t>
            </w:r>
          </w:p>
        </w:tc>
      </w:tr>
      <w:tr w:rsidR="00D116E8" w14:paraId="0D4276D6" w14:textId="77777777" w:rsidTr="004C60D6">
        <w:tc>
          <w:tcPr>
            <w:tcW w:w="4531" w:type="dxa"/>
            <w:vMerge/>
          </w:tcPr>
          <w:p w14:paraId="235776DB" w14:textId="77777777" w:rsidR="00D116E8" w:rsidRDefault="00D116E8" w:rsidP="00750703">
            <w:pPr>
              <w:pStyle w:val="TableFigureHeading"/>
            </w:pPr>
          </w:p>
        </w:tc>
        <w:tc>
          <w:tcPr>
            <w:tcW w:w="1560" w:type="dxa"/>
          </w:tcPr>
          <w:p w14:paraId="52287356" w14:textId="536EB606" w:rsidR="00D116E8" w:rsidRDefault="00D116E8" w:rsidP="00750703">
            <w:pPr>
              <w:pStyle w:val="TableFigureHeading"/>
              <w:jc w:val="center"/>
            </w:pPr>
            <w:r>
              <w:t>GPI</w:t>
            </w:r>
            <w:r w:rsidR="00750703">
              <w:noBreakHyphen/>
            </w:r>
            <w:r>
              <w:t>06</w:t>
            </w:r>
            <w:r w:rsidR="00750703">
              <w:noBreakHyphen/>
            </w:r>
            <w:r>
              <w:t>0002</w:t>
            </w:r>
          </w:p>
          <w:p w14:paraId="6D776488" w14:textId="2191812A" w:rsidR="00D116E8" w:rsidRDefault="00D116E8" w:rsidP="00750703">
            <w:pPr>
              <w:pStyle w:val="TableFigureHeading"/>
              <w:jc w:val="center"/>
            </w:pPr>
            <w:r>
              <w:t>N = 130</w:t>
            </w:r>
          </w:p>
        </w:tc>
        <w:tc>
          <w:tcPr>
            <w:tcW w:w="1275" w:type="dxa"/>
          </w:tcPr>
          <w:p w14:paraId="0DCF8387" w14:textId="762D1385" w:rsidR="00D116E8" w:rsidRDefault="00D116E8" w:rsidP="00750703">
            <w:pPr>
              <w:pStyle w:val="TableFigureHeading"/>
              <w:jc w:val="center"/>
            </w:pPr>
            <w:r>
              <w:t>Piekarz, 2011</w:t>
            </w:r>
          </w:p>
          <w:p w14:paraId="18589F5C" w14:textId="4B4602D9" w:rsidR="00D116E8" w:rsidRDefault="00D116E8" w:rsidP="00750703">
            <w:pPr>
              <w:pStyle w:val="TableFigureHeading"/>
              <w:jc w:val="center"/>
            </w:pPr>
            <w:r>
              <w:t>N = 47</w:t>
            </w:r>
          </w:p>
        </w:tc>
        <w:tc>
          <w:tcPr>
            <w:tcW w:w="1701" w:type="dxa"/>
          </w:tcPr>
          <w:p w14:paraId="5CBB86E5" w14:textId="09169301" w:rsidR="00D116E8" w:rsidRDefault="00D116E8" w:rsidP="00750703">
            <w:pPr>
              <w:pStyle w:val="TableFigureHeading"/>
              <w:jc w:val="center"/>
            </w:pPr>
            <w:r>
              <w:t>PROPEL</w:t>
            </w:r>
          </w:p>
          <w:p w14:paraId="1AE639C2" w14:textId="433A0EE1" w:rsidR="00D116E8" w:rsidRDefault="00D116E8" w:rsidP="00750703">
            <w:pPr>
              <w:pStyle w:val="TableFigureHeading"/>
              <w:jc w:val="center"/>
            </w:pPr>
            <w:r>
              <w:t>N = 111</w:t>
            </w:r>
          </w:p>
        </w:tc>
      </w:tr>
      <w:tr w:rsidR="000922F6" w14:paraId="6E12990A" w14:textId="77777777" w:rsidTr="004C60D6">
        <w:tc>
          <w:tcPr>
            <w:tcW w:w="4531" w:type="dxa"/>
          </w:tcPr>
          <w:p w14:paraId="49D59B6D" w14:textId="6DB620AF" w:rsidR="000922F6" w:rsidRPr="009B6D79" w:rsidRDefault="000922F6" w:rsidP="00750703">
            <w:pPr>
              <w:pStyle w:val="TableFigureHeading"/>
              <w:rPr>
                <w:b w:val="0"/>
                <w:bCs w:val="0"/>
              </w:rPr>
            </w:pPr>
            <w:r w:rsidRPr="009B6D79">
              <w:rPr>
                <w:b w:val="0"/>
                <w:bCs w:val="0"/>
              </w:rPr>
              <w:t>C</w:t>
            </w:r>
            <w:r>
              <w:rPr>
                <w:b w:val="0"/>
                <w:bCs w:val="0"/>
              </w:rPr>
              <w:t xml:space="preserve">R + </w:t>
            </w:r>
            <w:proofErr w:type="spellStart"/>
            <w:r>
              <w:rPr>
                <w:b w:val="0"/>
                <w:bCs w:val="0"/>
              </w:rPr>
              <w:t>CRu</w:t>
            </w:r>
            <w:proofErr w:type="spellEnd"/>
            <w:r w:rsidRPr="009B6D79">
              <w:rPr>
                <w:b w:val="0"/>
                <w:bCs w:val="0"/>
              </w:rPr>
              <w:t>, n (%)</w:t>
            </w:r>
          </w:p>
        </w:tc>
        <w:tc>
          <w:tcPr>
            <w:tcW w:w="1560" w:type="dxa"/>
          </w:tcPr>
          <w:p w14:paraId="22B87A78" w14:textId="7C7A0C38" w:rsidR="000922F6" w:rsidRPr="009B6D79" w:rsidRDefault="000922F6" w:rsidP="00750703">
            <w:pPr>
              <w:pStyle w:val="TableFigureHeading"/>
              <w:jc w:val="center"/>
              <w:rPr>
                <w:b w:val="0"/>
                <w:bCs w:val="0"/>
              </w:rPr>
            </w:pPr>
            <w:r w:rsidRPr="009B6D79">
              <w:rPr>
                <w:b w:val="0"/>
                <w:bCs w:val="0"/>
              </w:rPr>
              <w:t>19 (15%)</w:t>
            </w:r>
          </w:p>
        </w:tc>
        <w:tc>
          <w:tcPr>
            <w:tcW w:w="1275" w:type="dxa"/>
          </w:tcPr>
          <w:p w14:paraId="1A3F0737" w14:textId="7545976C" w:rsidR="000922F6" w:rsidRPr="009B6D79" w:rsidRDefault="000922F6" w:rsidP="00750703">
            <w:pPr>
              <w:pStyle w:val="TableFigureHeading"/>
              <w:jc w:val="center"/>
              <w:rPr>
                <w:b w:val="0"/>
                <w:bCs w:val="0"/>
              </w:rPr>
            </w:pPr>
            <w:r>
              <w:rPr>
                <w:b w:val="0"/>
                <w:bCs w:val="0"/>
              </w:rPr>
              <w:t>8 (18%)</w:t>
            </w:r>
          </w:p>
        </w:tc>
        <w:tc>
          <w:tcPr>
            <w:tcW w:w="1701" w:type="dxa"/>
          </w:tcPr>
          <w:p w14:paraId="7F04969A" w14:textId="2AF9D538" w:rsidR="000922F6" w:rsidRPr="009B6D79" w:rsidRDefault="000922F6" w:rsidP="00750703">
            <w:pPr>
              <w:pStyle w:val="TableFigureHeading"/>
              <w:jc w:val="center"/>
              <w:rPr>
                <w:b w:val="0"/>
                <w:bCs w:val="0"/>
              </w:rPr>
            </w:pPr>
            <w:r>
              <w:rPr>
                <w:b w:val="0"/>
                <w:bCs w:val="0"/>
              </w:rPr>
              <w:t>12 (11%)</w:t>
            </w:r>
          </w:p>
        </w:tc>
      </w:tr>
      <w:tr w:rsidR="000922F6" w14:paraId="72625D25" w14:textId="77777777" w:rsidTr="004C60D6">
        <w:tc>
          <w:tcPr>
            <w:tcW w:w="4531" w:type="dxa"/>
          </w:tcPr>
          <w:p w14:paraId="5A8601A7" w14:textId="2321C4EC" w:rsidR="000922F6" w:rsidRPr="009B6D79" w:rsidRDefault="000922F6" w:rsidP="00750703">
            <w:pPr>
              <w:pStyle w:val="TableFigureHeading"/>
              <w:rPr>
                <w:b w:val="0"/>
                <w:bCs w:val="0"/>
              </w:rPr>
            </w:pPr>
            <w:r w:rsidRPr="009B6D79">
              <w:rPr>
                <w:b w:val="0"/>
                <w:bCs w:val="0"/>
              </w:rPr>
              <w:t>Partial Response, n (%)</w:t>
            </w:r>
          </w:p>
        </w:tc>
        <w:tc>
          <w:tcPr>
            <w:tcW w:w="1560" w:type="dxa"/>
          </w:tcPr>
          <w:p w14:paraId="61FA4898" w14:textId="49CF850A" w:rsidR="000922F6" w:rsidRPr="009B6D79" w:rsidRDefault="000922F6" w:rsidP="00750703">
            <w:pPr>
              <w:pStyle w:val="TableFigureHeading"/>
              <w:jc w:val="center"/>
              <w:rPr>
                <w:b w:val="0"/>
                <w:bCs w:val="0"/>
              </w:rPr>
            </w:pPr>
            <w:r w:rsidRPr="009B6D79">
              <w:rPr>
                <w:b w:val="0"/>
                <w:bCs w:val="0"/>
              </w:rPr>
              <w:t>14 (11%)</w:t>
            </w:r>
          </w:p>
        </w:tc>
        <w:tc>
          <w:tcPr>
            <w:tcW w:w="1275" w:type="dxa"/>
          </w:tcPr>
          <w:p w14:paraId="59BFE2C2" w14:textId="13836216" w:rsidR="000922F6" w:rsidRPr="009B6D79" w:rsidRDefault="000922F6" w:rsidP="00750703">
            <w:pPr>
              <w:pStyle w:val="TableFigureHeading"/>
              <w:jc w:val="center"/>
              <w:rPr>
                <w:b w:val="0"/>
                <w:bCs w:val="0"/>
              </w:rPr>
            </w:pPr>
            <w:r>
              <w:rPr>
                <w:b w:val="0"/>
                <w:bCs w:val="0"/>
              </w:rPr>
              <w:t>9 (20%)</w:t>
            </w:r>
          </w:p>
        </w:tc>
        <w:tc>
          <w:tcPr>
            <w:tcW w:w="1701" w:type="dxa"/>
          </w:tcPr>
          <w:p w14:paraId="316B09C3" w14:textId="2F7218E9" w:rsidR="000922F6" w:rsidRPr="009B6D79" w:rsidRDefault="000922F6" w:rsidP="00750703">
            <w:pPr>
              <w:pStyle w:val="TableFigureHeading"/>
              <w:jc w:val="center"/>
              <w:rPr>
                <w:b w:val="0"/>
                <w:bCs w:val="0"/>
              </w:rPr>
            </w:pPr>
            <w:r>
              <w:rPr>
                <w:b w:val="0"/>
                <w:bCs w:val="0"/>
              </w:rPr>
              <w:t>20 (18%)</w:t>
            </w:r>
          </w:p>
        </w:tc>
      </w:tr>
      <w:tr w:rsidR="000922F6" w14:paraId="2178D416" w14:textId="77777777" w:rsidTr="004C60D6">
        <w:tc>
          <w:tcPr>
            <w:tcW w:w="4531" w:type="dxa"/>
          </w:tcPr>
          <w:p w14:paraId="3D862CEF" w14:textId="0C968FA2" w:rsidR="000922F6" w:rsidRPr="009B6D79" w:rsidRDefault="000922F6" w:rsidP="00750703">
            <w:pPr>
              <w:pStyle w:val="TableFigureHeading"/>
              <w:rPr>
                <w:b w:val="0"/>
                <w:bCs w:val="0"/>
              </w:rPr>
            </w:pPr>
            <w:r>
              <w:rPr>
                <w:b w:val="0"/>
                <w:bCs w:val="0"/>
              </w:rPr>
              <w:t xml:space="preserve">Responses (CR + </w:t>
            </w:r>
            <w:proofErr w:type="spellStart"/>
            <w:r>
              <w:rPr>
                <w:b w:val="0"/>
                <w:bCs w:val="0"/>
              </w:rPr>
              <w:t>CRu</w:t>
            </w:r>
            <w:proofErr w:type="spellEnd"/>
            <w:r>
              <w:rPr>
                <w:b w:val="0"/>
                <w:bCs w:val="0"/>
              </w:rPr>
              <w:t xml:space="preserve"> + PR) in patients refractory to most recent treatment, n/N (%)</w:t>
            </w:r>
          </w:p>
        </w:tc>
        <w:tc>
          <w:tcPr>
            <w:tcW w:w="1560" w:type="dxa"/>
          </w:tcPr>
          <w:p w14:paraId="373DEAE2" w14:textId="77777777" w:rsidR="00AA2B38" w:rsidRDefault="00AA2B38" w:rsidP="00750703">
            <w:pPr>
              <w:pStyle w:val="TableFigureHeading"/>
              <w:jc w:val="center"/>
              <w:rPr>
                <w:b w:val="0"/>
                <w:bCs w:val="0"/>
              </w:rPr>
            </w:pPr>
          </w:p>
          <w:p w14:paraId="5F76AF94" w14:textId="3ABE7291" w:rsidR="000922F6" w:rsidRPr="009B6D79" w:rsidRDefault="000922F6" w:rsidP="00750703">
            <w:pPr>
              <w:pStyle w:val="TableFigureHeading"/>
              <w:jc w:val="center"/>
              <w:rPr>
                <w:b w:val="0"/>
                <w:bCs w:val="0"/>
              </w:rPr>
            </w:pPr>
            <w:r>
              <w:rPr>
                <w:b w:val="0"/>
                <w:bCs w:val="0"/>
              </w:rPr>
              <w:t>14/49 (29%)</w:t>
            </w:r>
          </w:p>
        </w:tc>
        <w:tc>
          <w:tcPr>
            <w:tcW w:w="1275" w:type="dxa"/>
          </w:tcPr>
          <w:p w14:paraId="16D4772A" w14:textId="77777777" w:rsidR="00AA2B38" w:rsidRDefault="00AA2B38" w:rsidP="00750703">
            <w:pPr>
              <w:pStyle w:val="TableFigureHeading"/>
              <w:jc w:val="center"/>
              <w:rPr>
                <w:b w:val="0"/>
                <w:bCs w:val="0"/>
              </w:rPr>
            </w:pPr>
          </w:p>
          <w:p w14:paraId="673AAA0A" w14:textId="5D68C182" w:rsidR="000922F6" w:rsidRDefault="000922F6" w:rsidP="00750703">
            <w:pPr>
              <w:pStyle w:val="TableFigureHeading"/>
              <w:jc w:val="center"/>
              <w:rPr>
                <w:b w:val="0"/>
                <w:bCs w:val="0"/>
              </w:rPr>
            </w:pPr>
            <w:r>
              <w:rPr>
                <w:b w:val="0"/>
                <w:bCs w:val="0"/>
              </w:rPr>
              <w:t>NR</w:t>
            </w:r>
          </w:p>
        </w:tc>
        <w:tc>
          <w:tcPr>
            <w:tcW w:w="1701" w:type="dxa"/>
          </w:tcPr>
          <w:p w14:paraId="553BC9C9" w14:textId="77777777" w:rsidR="00AA2B38" w:rsidRDefault="00AA2B38" w:rsidP="00750703">
            <w:pPr>
              <w:pStyle w:val="TableFigureHeading"/>
              <w:jc w:val="center"/>
              <w:rPr>
                <w:b w:val="0"/>
                <w:bCs w:val="0"/>
              </w:rPr>
            </w:pPr>
          </w:p>
          <w:p w14:paraId="509A2357" w14:textId="6FEC3F0D" w:rsidR="000922F6" w:rsidRDefault="000922F6" w:rsidP="00750703">
            <w:pPr>
              <w:pStyle w:val="TableFigureHeading"/>
              <w:jc w:val="center"/>
              <w:rPr>
                <w:b w:val="0"/>
                <w:bCs w:val="0"/>
              </w:rPr>
            </w:pPr>
            <w:r>
              <w:rPr>
                <w:b w:val="0"/>
                <w:bCs w:val="0"/>
              </w:rPr>
              <w:t>17/69 (25%)</w:t>
            </w:r>
          </w:p>
        </w:tc>
      </w:tr>
      <w:tr w:rsidR="000922F6" w14:paraId="69846477" w14:textId="77777777" w:rsidTr="004C60D6">
        <w:tc>
          <w:tcPr>
            <w:tcW w:w="4531" w:type="dxa"/>
          </w:tcPr>
          <w:p w14:paraId="7427EFD8" w14:textId="4DB81FBC" w:rsidR="000922F6" w:rsidRPr="009B6D79" w:rsidRDefault="000922F6" w:rsidP="00750703">
            <w:pPr>
              <w:pStyle w:val="TableFigureHeading"/>
              <w:rPr>
                <w:b w:val="0"/>
                <w:bCs w:val="0"/>
              </w:rPr>
            </w:pPr>
            <w:r w:rsidRPr="009B6D79">
              <w:rPr>
                <w:b w:val="0"/>
                <w:bCs w:val="0"/>
              </w:rPr>
              <w:t xml:space="preserve">Duration of </w:t>
            </w:r>
            <w:r>
              <w:rPr>
                <w:b w:val="0"/>
                <w:bCs w:val="0"/>
              </w:rPr>
              <w:t xml:space="preserve">Response in Patients with </w:t>
            </w:r>
            <w:r w:rsidRPr="009B6D79">
              <w:rPr>
                <w:b w:val="0"/>
                <w:bCs w:val="0"/>
              </w:rPr>
              <w:t>Complete</w:t>
            </w:r>
            <w:r>
              <w:rPr>
                <w:b w:val="0"/>
                <w:bCs w:val="0"/>
              </w:rPr>
              <w:t xml:space="preserve"> </w:t>
            </w:r>
            <w:r w:rsidRPr="009B6D79">
              <w:rPr>
                <w:b w:val="0"/>
                <w:bCs w:val="0"/>
              </w:rPr>
              <w:t>Response, months</w:t>
            </w:r>
          </w:p>
          <w:p w14:paraId="429C5671" w14:textId="44CBC3E0" w:rsidR="000922F6" w:rsidRPr="009B6D79" w:rsidRDefault="000922F6" w:rsidP="00750703">
            <w:pPr>
              <w:pStyle w:val="TableFigureHeading"/>
              <w:rPr>
                <w:b w:val="0"/>
                <w:bCs w:val="0"/>
              </w:rPr>
            </w:pPr>
            <w:r w:rsidRPr="009B6D79">
              <w:rPr>
                <w:b w:val="0"/>
                <w:bCs w:val="0"/>
              </w:rPr>
              <w:t>Median (range)</w:t>
            </w:r>
          </w:p>
        </w:tc>
        <w:tc>
          <w:tcPr>
            <w:tcW w:w="1560" w:type="dxa"/>
          </w:tcPr>
          <w:p w14:paraId="4CAAA1F7" w14:textId="77777777" w:rsidR="000922F6" w:rsidRPr="009B6D79" w:rsidRDefault="000922F6" w:rsidP="00750703">
            <w:pPr>
              <w:pStyle w:val="TableFigureHeading"/>
              <w:jc w:val="center"/>
              <w:rPr>
                <w:b w:val="0"/>
                <w:bCs w:val="0"/>
              </w:rPr>
            </w:pPr>
          </w:p>
          <w:p w14:paraId="0490AEB2" w14:textId="77777777" w:rsidR="000922F6" w:rsidRDefault="000922F6" w:rsidP="00750703">
            <w:pPr>
              <w:pStyle w:val="TableFigureHeading"/>
              <w:jc w:val="center"/>
              <w:rPr>
                <w:b w:val="0"/>
                <w:bCs w:val="0"/>
              </w:rPr>
            </w:pPr>
          </w:p>
          <w:p w14:paraId="02AD0C97" w14:textId="04EAD40F" w:rsidR="000922F6" w:rsidRPr="009B6D79" w:rsidRDefault="000922F6" w:rsidP="00750703">
            <w:pPr>
              <w:pStyle w:val="TableFigureHeading"/>
              <w:jc w:val="center"/>
              <w:rPr>
                <w:b w:val="0"/>
                <w:bCs w:val="0"/>
              </w:rPr>
            </w:pPr>
            <w:r>
              <w:rPr>
                <w:b w:val="0"/>
                <w:bCs w:val="0"/>
              </w:rPr>
              <w:t>16.6 (0</w:t>
            </w:r>
            <w:r w:rsidR="00750703">
              <w:rPr>
                <w:b w:val="0"/>
                <w:bCs w:val="0"/>
              </w:rPr>
              <w:noBreakHyphen/>
            </w:r>
            <w:r>
              <w:rPr>
                <w:b w:val="0"/>
                <w:bCs w:val="0"/>
              </w:rPr>
              <w:t>34</w:t>
            </w:r>
            <w:r w:rsidRPr="009B6D79">
              <w:rPr>
                <w:b w:val="0"/>
                <w:bCs w:val="0"/>
              </w:rPr>
              <w:t>)</w:t>
            </w:r>
          </w:p>
        </w:tc>
        <w:tc>
          <w:tcPr>
            <w:tcW w:w="1275" w:type="dxa"/>
          </w:tcPr>
          <w:p w14:paraId="28EB4BE0" w14:textId="77777777" w:rsidR="000922F6" w:rsidRDefault="000922F6" w:rsidP="00750703">
            <w:pPr>
              <w:pStyle w:val="TableFigureHeading"/>
              <w:jc w:val="center"/>
              <w:rPr>
                <w:b w:val="0"/>
                <w:bCs w:val="0"/>
              </w:rPr>
            </w:pPr>
          </w:p>
          <w:p w14:paraId="45074360" w14:textId="77777777" w:rsidR="000922F6" w:rsidRDefault="000922F6" w:rsidP="00750703">
            <w:pPr>
              <w:pStyle w:val="TableFigureHeading"/>
              <w:jc w:val="center"/>
              <w:rPr>
                <w:b w:val="0"/>
                <w:bCs w:val="0"/>
              </w:rPr>
            </w:pPr>
          </w:p>
          <w:p w14:paraId="43C8A0AC" w14:textId="0BDF5142" w:rsidR="000922F6" w:rsidRPr="009B6D79" w:rsidRDefault="000922F6" w:rsidP="00750703">
            <w:pPr>
              <w:pStyle w:val="TableFigureHeading"/>
              <w:jc w:val="center"/>
              <w:rPr>
                <w:b w:val="0"/>
                <w:bCs w:val="0"/>
              </w:rPr>
            </w:pPr>
            <w:r>
              <w:rPr>
                <w:b w:val="0"/>
                <w:bCs w:val="0"/>
              </w:rPr>
              <w:t>29.7 (3</w:t>
            </w:r>
            <w:r w:rsidR="00750703">
              <w:rPr>
                <w:b w:val="0"/>
                <w:bCs w:val="0"/>
              </w:rPr>
              <w:noBreakHyphen/>
            </w:r>
            <w:r>
              <w:rPr>
                <w:b w:val="0"/>
                <w:bCs w:val="0"/>
              </w:rPr>
              <w:t>74)</w:t>
            </w:r>
          </w:p>
        </w:tc>
        <w:tc>
          <w:tcPr>
            <w:tcW w:w="1701" w:type="dxa"/>
          </w:tcPr>
          <w:p w14:paraId="5C617AA7" w14:textId="148952F3" w:rsidR="000922F6" w:rsidRDefault="000922F6" w:rsidP="00750703">
            <w:pPr>
              <w:pStyle w:val="TableFigureHeading"/>
              <w:jc w:val="center"/>
              <w:rPr>
                <w:b w:val="0"/>
                <w:bCs w:val="0"/>
              </w:rPr>
            </w:pPr>
          </w:p>
          <w:p w14:paraId="354752BD" w14:textId="77777777" w:rsidR="000922F6" w:rsidRDefault="000922F6" w:rsidP="00750703">
            <w:pPr>
              <w:pStyle w:val="TableFigureHeading"/>
              <w:jc w:val="center"/>
              <w:rPr>
                <w:b w:val="0"/>
                <w:bCs w:val="0"/>
              </w:rPr>
            </w:pPr>
          </w:p>
          <w:p w14:paraId="02C8B996" w14:textId="6FA3C7FF" w:rsidR="000922F6" w:rsidRPr="009B6D79" w:rsidRDefault="000922F6" w:rsidP="00750703">
            <w:pPr>
              <w:pStyle w:val="TableFigureHeading"/>
              <w:jc w:val="center"/>
              <w:rPr>
                <w:b w:val="0"/>
                <w:bCs w:val="0"/>
              </w:rPr>
            </w:pPr>
            <w:r>
              <w:rPr>
                <w:b w:val="0"/>
                <w:bCs w:val="0"/>
              </w:rPr>
              <w:t>10.1 (3.4</w:t>
            </w:r>
            <w:r w:rsidR="00750703">
              <w:rPr>
                <w:b w:val="0"/>
                <w:bCs w:val="0"/>
              </w:rPr>
              <w:noBreakHyphen/>
            </w:r>
            <w:r>
              <w:rPr>
                <w:b w:val="0"/>
                <w:bCs w:val="0"/>
              </w:rPr>
              <w:t>NE)</w:t>
            </w:r>
          </w:p>
        </w:tc>
      </w:tr>
      <w:tr w:rsidR="000922F6" w14:paraId="1EAB1CFB" w14:textId="77777777" w:rsidTr="004C60D6">
        <w:tc>
          <w:tcPr>
            <w:tcW w:w="4531" w:type="dxa"/>
          </w:tcPr>
          <w:p w14:paraId="4A812596" w14:textId="1ECA03D3" w:rsidR="000922F6" w:rsidRPr="009B6D79" w:rsidRDefault="000922F6" w:rsidP="00750703">
            <w:pPr>
              <w:pStyle w:val="TableFigureHeading"/>
              <w:rPr>
                <w:b w:val="0"/>
                <w:bCs w:val="0"/>
              </w:rPr>
            </w:pPr>
            <w:r w:rsidRPr="009B6D79">
              <w:rPr>
                <w:b w:val="0"/>
                <w:bCs w:val="0"/>
              </w:rPr>
              <w:t>Progression</w:t>
            </w:r>
            <w:r w:rsidR="00750703">
              <w:rPr>
                <w:b w:val="0"/>
                <w:bCs w:val="0"/>
              </w:rPr>
              <w:noBreakHyphen/>
            </w:r>
            <w:r w:rsidRPr="009B6D79">
              <w:rPr>
                <w:b w:val="0"/>
                <w:bCs w:val="0"/>
              </w:rPr>
              <w:t>free Survival, months</w:t>
            </w:r>
          </w:p>
          <w:p w14:paraId="170F132F" w14:textId="114C1EE9" w:rsidR="000922F6" w:rsidRPr="009B6D79" w:rsidRDefault="000922F6" w:rsidP="00750703">
            <w:pPr>
              <w:pStyle w:val="TableFigureHeading"/>
              <w:rPr>
                <w:b w:val="0"/>
                <w:bCs w:val="0"/>
              </w:rPr>
            </w:pPr>
            <w:r w:rsidRPr="009B6D79">
              <w:rPr>
                <w:b w:val="0"/>
                <w:bCs w:val="0"/>
              </w:rPr>
              <w:t>Median (</w:t>
            </w:r>
            <w:r>
              <w:rPr>
                <w:b w:val="0"/>
                <w:bCs w:val="0"/>
              </w:rPr>
              <w:t>95% CI)</w:t>
            </w:r>
          </w:p>
        </w:tc>
        <w:tc>
          <w:tcPr>
            <w:tcW w:w="1560" w:type="dxa"/>
          </w:tcPr>
          <w:p w14:paraId="34541B1A" w14:textId="77777777" w:rsidR="000922F6" w:rsidRDefault="000922F6" w:rsidP="00750703">
            <w:pPr>
              <w:pStyle w:val="TableFigureHeading"/>
              <w:jc w:val="center"/>
              <w:rPr>
                <w:b w:val="0"/>
                <w:bCs w:val="0"/>
              </w:rPr>
            </w:pPr>
          </w:p>
          <w:p w14:paraId="385FB669" w14:textId="392D340B" w:rsidR="000922F6" w:rsidRPr="009B6D79" w:rsidRDefault="000922F6" w:rsidP="00750703">
            <w:pPr>
              <w:pStyle w:val="TableFigureHeading"/>
              <w:jc w:val="center"/>
              <w:rPr>
                <w:b w:val="0"/>
                <w:bCs w:val="0"/>
              </w:rPr>
            </w:pPr>
            <w:r>
              <w:rPr>
                <w:b w:val="0"/>
                <w:bCs w:val="0"/>
              </w:rPr>
              <w:t>4.0 (NR)</w:t>
            </w:r>
          </w:p>
        </w:tc>
        <w:tc>
          <w:tcPr>
            <w:tcW w:w="1275" w:type="dxa"/>
          </w:tcPr>
          <w:p w14:paraId="778BF380" w14:textId="77777777" w:rsidR="000922F6" w:rsidRDefault="000922F6" w:rsidP="00750703">
            <w:pPr>
              <w:pStyle w:val="TableFigureHeading"/>
              <w:jc w:val="center"/>
              <w:rPr>
                <w:b w:val="0"/>
                <w:bCs w:val="0"/>
              </w:rPr>
            </w:pPr>
          </w:p>
          <w:p w14:paraId="4AE5A6CC" w14:textId="4F096EA9" w:rsidR="000922F6" w:rsidRPr="009B6D79" w:rsidRDefault="000922F6" w:rsidP="00750703">
            <w:pPr>
              <w:pStyle w:val="TableFigureHeading"/>
              <w:jc w:val="center"/>
              <w:rPr>
                <w:b w:val="0"/>
                <w:bCs w:val="0"/>
              </w:rPr>
            </w:pPr>
            <w:r>
              <w:rPr>
                <w:b w:val="0"/>
                <w:bCs w:val="0"/>
              </w:rPr>
              <w:t>NR</w:t>
            </w:r>
          </w:p>
        </w:tc>
        <w:tc>
          <w:tcPr>
            <w:tcW w:w="1701" w:type="dxa"/>
          </w:tcPr>
          <w:p w14:paraId="70EE1EF2" w14:textId="746B9723" w:rsidR="000922F6" w:rsidRDefault="000922F6" w:rsidP="00750703">
            <w:pPr>
              <w:pStyle w:val="TableFigureHeading"/>
              <w:jc w:val="center"/>
              <w:rPr>
                <w:b w:val="0"/>
                <w:bCs w:val="0"/>
              </w:rPr>
            </w:pPr>
          </w:p>
          <w:p w14:paraId="673CB2FA" w14:textId="221C3BDF" w:rsidR="000922F6" w:rsidRPr="009B6D79" w:rsidRDefault="000922F6" w:rsidP="00750703">
            <w:pPr>
              <w:pStyle w:val="TableFigureHeading"/>
              <w:jc w:val="center"/>
              <w:rPr>
                <w:b w:val="0"/>
                <w:bCs w:val="0"/>
              </w:rPr>
            </w:pPr>
            <w:r>
              <w:rPr>
                <w:b w:val="0"/>
                <w:bCs w:val="0"/>
              </w:rPr>
              <w:t>3.5 (1.7, 4.8)</w:t>
            </w:r>
          </w:p>
        </w:tc>
      </w:tr>
      <w:tr w:rsidR="000922F6" w14:paraId="208BD2B0" w14:textId="77777777" w:rsidTr="004C60D6">
        <w:tc>
          <w:tcPr>
            <w:tcW w:w="4531" w:type="dxa"/>
          </w:tcPr>
          <w:p w14:paraId="15A8E3A4" w14:textId="1D83D925" w:rsidR="000922F6" w:rsidRDefault="000922F6" w:rsidP="00750703">
            <w:pPr>
              <w:pStyle w:val="TableFigureHeading"/>
              <w:rPr>
                <w:b w:val="0"/>
                <w:bCs w:val="0"/>
              </w:rPr>
            </w:pPr>
            <w:r>
              <w:rPr>
                <w:b w:val="0"/>
                <w:bCs w:val="0"/>
              </w:rPr>
              <w:t xml:space="preserve">CR + </w:t>
            </w:r>
            <w:proofErr w:type="spellStart"/>
            <w:r>
              <w:rPr>
                <w:b w:val="0"/>
                <w:bCs w:val="0"/>
              </w:rPr>
              <w:t>CRu</w:t>
            </w:r>
            <w:proofErr w:type="spellEnd"/>
            <w:r>
              <w:rPr>
                <w:b w:val="0"/>
                <w:bCs w:val="0"/>
              </w:rPr>
              <w:t xml:space="preserve"> + Partial Response by PTCL sub</w:t>
            </w:r>
            <w:r w:rsidR="00750703">
              <w:rPr>
                <w:b w:val="0"/>
                <w:bCs w:val="0"/>
              </w:rPr>
              <w:noBreakHyphen/>
            </w:r>
            <w:r>
              <w:rPr>
                <w:b w:val="0"/>
                <w:bCs w:val="0"/>
              </w:rPr>
              <w:t>type, n/N (%)</w:t>
            </w:r>
          </w:p>
          <w:p w14:paraId="2D505A88" w14:textId="77777777" w:rsidR="000922F6" w:rsidRDefault="000922F6" w:rsidP="00750703">
            <w:pPr>
              <w:pStyle w:val="TableFigureHeading"/>
              <w:jc w:val="right"/>
              <w:rPr>
                <w:b w:val="0"/>
                <w:bCs w:val="0"/>
              </w:rPr>
            </w:pPr>
            <w:r>
              <w:rPr>
                <w:b w:val="0"/>
                <w:bCs w:val="0"/>
              </w:rPr>
              <w:t>PTCL NOS</w:t>
            </w:r>
          </w:p>
          <w:p w14:paraId="6CEABBA4" w14:textId="77777777" w:rsidR="000922F6" w:rsidRDefault="000922F6" w:rsidP="00750703">
            <w:pPr>
              <w:pStyle w:val="TableFigureHeading"/>
              <w:jc w:val="right"/>
              <w:rPr>
                <w:b w:val="0"/>
                <w:bCs w:val="0"/>
              </w:rPr>
            </w:pPr>
            <w:r>
              <w:rPr>
                <w:b w:val="0"/>
                <w:bCs w:val="0"/>
              </w:rPr>
              <w:t>AITL</w:t>
            </w:r>
          </w:p>
          <w:p w14:paraId="347845EC" w14:textId="114EA994" w:rsidR="000922F6" w:rsidRDefault="000922F6" w:rsidP="00750703">
            <w:pPr>
              <w:pStyle w:val="TableFigureHeading"/>
              <w:jc w:val="right"/>
              <w:rPr>
                <w:b w:val="0"/>
                <w:bCs w:val="0"/>
              </w:rPr>
            </w:pPr>
            <w:r>
              <w:rPr>
                <w:b w:val="0"/>
                <w:bCs w:val="0"/>
              </w:rPr>
              <w:t>ALK</w:t>
            </w:r>
            <w:r w:rsidR="00750703">
              <w:rPr>
                <w:b w:val="0"/>
                <w:bCs w:val="0"/>
              </w:rPr>
              <w:noBreakHyphen/>
            </w:r>
            <w:r>
              <w:rPr>
                <w:b w:val="0"/>
                <w:bCs w:val="0"/>
              </w:rPr>
              <w:t>negative ALCL</w:t>
            </w:r>
          </w:p>
          <w:p w14:paraId="25837BD6" w14:textId="5BBA3D50" w:rsidR="000922F6" w:rsidRPr="009B6D79" w:rsidRDefault="000922F6" w:rsidP="00750703">
            <w:pPr>
              <w:pStyle w:val="TableFigureHeading"/>
              <w:jc w:val="right"/>
              <w:rPr>
                <w:b w:val="0"/>
                <w:bCs w:val="0"/>
              </w:rPr>
            </w:pPr>
            <w:r>
              <w:rPr>
                <w:b w:val="0"/>
                <w:bCs w:val="0"/>
              </w:rPr>
              <w:t>Other</w:t>
            </w:r>
          </w:p>
        </w:tc>
        <w:tc>
          <w:tcPr>
            <w:tcW w:w="1560" w:type="dxa"/>
          </w:tcPr>
          <w:p w14:paraId="29B4F8AB" w14:textId="77777777" w:rsidR="000922F6" w:rsidRDefault="000922F6" w:rsidP="00750703">
            <w:pPr>
              <w:pStyle w:val="TableFigureHeading"/>
              <w:jc w:val="center"/>
              <w:rPr>
                <w:b w:val="0"/>
                <w:bCs w:val="0"/>
              </w:rPr>
            </w:pPr>
          </w:p>
          <w:p w14:paraId="1A9E45E9" w14:textId="270DA367" w:rsidR="000922F6" w:rsidRDefault="000922F6" w:rsidP="00750703">
            <w:pPr>
              <w:pStyle w:val="TableFigureHeading"/>
              <w:jc w:val="center"/>
              <w:rPr>
                <w:b w:val="0"/>
                <w:bCs w:val="0"/>
              </w:rPr>
            </w:pPr>
            <w:r>
              <w:rPr>
                <w:b w:val="0"/>
                <w:bCs w:val="0"/>
              </w:rPr>
              <w:t>20/69 (29%)</w:t>
            </w:r>
          </w:p>
          <w:p w14:paraId="73A612D3" w14:textId="1D5A2A18" w:rsidR="000922F6" w:rsidRDefault="000922F6" w:rsidP="00750703">
            <w:pPr>
              <w:pStyle w:val="TableFigureHeading"/>
              <w:jc w:val="center"/>
              <w:rPr>
                <w:b w:val="0"/>
                <w:bCs w:val="0"/>
              </w:rPr>
            </w:pPr>
            <w:r>
              <w:rPr>
                <w:b w:val="0"/>
                <w:bCs w:val="0"/>
              </w:rPr>
              <w:t>8/27 (30%)</w:t>
            </w:r>
          </w:p>
          <w:p w14:paraId="1D852311" w14:textId="0BDE484A" w:rsidR="000922F6" w:rsidRDefault="000922F6" w:rsidP="00750703">
            <w:pPr>
              <w:pStyle w:val="TableFigureHeading"/>
              <w:jc w:val="center"/>
              <w:rPr>
                <w:b w:val="0"/>
                <w:bCs w:val="0"/>
              </w:rPr>
            </w:pPr>
            <w:r>
              <w:rPr>
                <w:b w:val="0"/>
                <w:bCs w:val="0"/>
              </w:rPr>
              <w:t>5/21 (24%)</w:t>
            </w:r>
          </w:p>
          <w:p w14:paraId="4032927D" w14:textId="27573053" w:rsidR="000922F6" w:rsidRPr="009B6D79" w:rsidRDefault="000922F6" w:rsidP="00750703">
            <w:pPr>
              <w:pStyle w:val="TableFigureHeading"/>
              <w:jc w:val="center"/>
              <w:rPr>
                <w:b w:val="0"/>
                <w:bCs w:val="0"/>
              </w:rPr>
            </w:pPr>
            <w:r>
              <w:rPr>
                <w:b w:val="0"/>
                <w:bCs w:val="0"/>
              </w:rPr>
              <w:t>0/13 (0%)</w:t>
            </w:r>
          </w:p>
        </w:tc>
        <w:tc>
          <w:tcPr>
            <w:tcW w:w="1275" w:type="dxa"/>
          </w:tcPr>
          <w:p w14:paraId="4B27947E" w14:textId="77777777" w:rsidR="000922F6" w:rsidRDefault="000922F6" w:rsidP="00750703">
            <w:pPr>
              <w:pStyle w:val="TableFigureHeading"/>
              <w:jc w:val="center"/>
              <w:rPr>
                <w:b w:val="0"/>
                <w:bCs w:val="0"/>
              </w:rPr>
            </w:pPr>
          </w:p>
          <w:p w14:paraId="6DE2A090" w14:textId="3B3F4029" w:rsidR="000922F6" w:rsidRDefault="000922F6" w:rsidP="00750703">
            <w:pPr>
              <w:pStyle w:val="TableFigureHeading"/>
              <w:jc w:val="center"/>
              <w:rPr>
                <w:b w:val="0"/>
                <w:bCs w:val="0"/>
              </w:rPr>
            </w:pPr>
            <w:r>
              <w:rPr>
                <w:b w:val="0"/>
                <w:bCs w:val="0"/>
              </w:rPr>
              <w:t>11/27 (41%)</w:t>
            </w:r>
          </w:p>
          <w:p w14:paraId="5A3082F3" w14:textId="2E99A095" w:rsidR="000922F6" w:rsidRDefault="000922F6" w:rsidP="00750703">
            <w:pPr>
              <w:pStyle w:val="TableFigureHeading"/>
              <w:jc w:val="center"/>
              <w:rPr>
                <w:b w:val="0"/>
                <w:bCs w:val="0"/>
              </w:rPr>
            </w:pPr>
            <w:r>
              <w:rPr>
                <w:b w:val="0"/>
                <w:bCs w:val="0"/>
              </w:rPr>
              <w:t>1/6 (17%)</w:t>
            </w:r>
          </w:p>
          <w:p w14:paraId="5C0169E7" w14:textId="01155305" w:rsidR="000922F6" w:rsidRDefault="000922F6" w:rsidP="00750703">
            <w:pPr>
              <w:pStyle w:val="TableFigureHeading"/>
              <w:jc w:val="center"/>
              <w:rPr>
                <w:b w:val="0"/>
                <w:bCs w:val="0"/>
              </w:rPr>
            </w:pPr>
            <w:r>
              <w:rPr>
                <w:b w:val="0"/>
                <w:bCs w:val="0"/>
              </w:rPr>
              <w:t>2/2 (100%)</w:t>
            </w:r>
          </w:p>
          <w:p w14:paraId="6F2AA5C4" w14:textId="53FCBA8A" w:rsidR="000922F6" w:rsidRPr="009B6D79" w:rsidRDefault="000922F6" w:rsidP="00750703">
            <w:pPr>
              <w:pStyle w:val="TableFigureHeading"/>
              <w:jc w:val="center"/>
              <w:rPr>
                <w:b w:val="0"/>
                <w:bCs w:val="0"/>
              </w:rPr>
            </w:pPr>
            <w:r>
              <w:rPr>
                <w:b w:val="0"/>
                <w:bCs w:val="0"/>
              </w:rPr>
              <w:t>2/12 (17%)</w:t>
            </w:r>
          </w:p>
        </w:tc>
        <w:tc>
          <w:tcPr>
            <w:tcW w:w="1701" w:type="dxa"/>
          </w:tcPr>
          <w:p w14:paraId="0F4A0B6F" w14:textId="77777777" w:rsidR="000922F6" w:rsidRDefault="000922F6" w:rsidP="00750703">
            <w:pPr>
              <w:pStyle w:val="TableFigureHeading"/>
              <w:jc w:val="center"/>
              <w:rPr>
                <w:b w:val="0"/>
                <w:bCs w:val="0"/>
              </w:rPr>
            </w:pPr>
          </w:p>
          <w:p w14:paraId="3D3AEC69" w14:textId="59A99905" w:rsidR="000922F6" w:rsidRDefault="000922F6" w:rsidP="00750703">
            <w:pPr>
              <w:pStyle w:val="TableFigureHeading"/>
              <w:jc w:val="center"/>
              <w:rPr>
                <w:b w:val="0"/>
                <w:bCs w:val="0"/>
              </w:rPr>
            </w:pPr>
            <w:r>
              <w:rPr>
                <w:b w:val="0"/>
                <w:bCs w:val="0"/>
              </w:rPr>
              <w:t>19/59 (32%)</w:t>
            </w:r>
          </w:p>
          <w:p w14:paraId="1D890B31" w14:textId="5BD599E8" w:rsidR="000922F6" w:rsidRDefault="000922F6" w:rsidP="00750703">
            <w:pPr>
              <w:pStyle w:val="TableFigureHeading"/>
              <w:jc w:val="center"/>
              <w:rPr>
                <w:b w:val="0"/>
                <w:bCs w:val="0"/>
              </w:rPr>
            </w:pPr>
            <w:r>
              <w:rPr>
                <w:b w:val="0"/>
                <w:bCs w:val="0"/>
              </w:rPr>
              <w:t>1/13 (8%)</w:t>
            </w:r>
          </w:p>
          <w:p w14:paraId="00A15C42" w14:textId="617E4E30" w:rsidR="000922F6" w:rsidRDefault="000922F6" w:rsidP="00750703">
            <w:pPr>
              <w:pStyle w:val="TableFigureHeading"/>
              <w:jc w:val="center"/>
              <w:rPr>
                <w:b w:val="0"/>
                <w:bCs w:val="0"/>
              </w:rPr>
            </w:pPr>
            <w:r>
              <w:rPr>
                <w:b w:val="0"/>
                <w:bCs w:val="0"/>
              </w:rPr>
              <w:t>6/17 (35%)</w:t>
            </w:r>
          </w:p>
          <w:p w14:paraId="522640AB" w14:textId="4D544115" w:rsidR="000922F6" w:rsidRPr="009B6D79" w:rsidRDefault="000922F6" w:rsidP="00750703">
            <w:pPr>
              <w:pStyle w:val="TableFigureHeading"/>
              <w:jc w:val="center"/>
              <w:rPr>
                <w:b w:val="0"/>
                <w:bCs w:val="0"/>
              </w:rPr>
            </w:pPr>
            <w:r>
              <w:rPr>
                <w:b w:val="0"/>
                <w:bCs w:val="0"/>
              </w:rPr>
              <w:t>6/20 (30%)</w:t>
            </w:r>
          </w:p>
        </w:tc>
      </w:tr>
    </w:tbl>
    <w:p w14:paraId="13F62DCF" w14:textId="77777777" w:rsidR="00115945" w:rsidRDefault="007902DA" w:rsidP="00750703">
      <w:pPr>
        <w:pStyle w:val="TableFigureFooter"/>
      </w:pPr>
      <w:r>
        <w:t xml:space="preserve">Source: Constructed during the evaluation from published reports. </w:t>
      </w:r>
    </w:p>
    <w:p w14:paraId="6C861F7F" w14:textId="356D1AD7" w:rsidR="00115945" w:rsidRDefault="00115945" w:rsidP="00750703">
      <w:pPr>
        <w:pStyle w:val="TableFigureFooter"/>
      </w:pPr>
      <w:r>
        <w:t>AITL = angio</w:t>
      </w:r>
      <w:r w:rsidR="00750703">
        <w:noBreakHyphen/>
      </w:r>
      <w:r>
        <w:t>immunoblastic T</w:t>
      </w:r>
      <w:r w:rsidR="00750703">
        <w:noBreakHyphen/>
      </w:r>
      <w:r>
        <w:t xml:space="preserve">cell lymphoma; ALCL = anaplastic large cell lymphoma; ALK = anaplastic lymphoma kinase; CI = confidence interval; </w:t>
      </w:r>
      <w:r w:rsidR="001250AB">
        <w:t xml:space="preserve">CR = complete response; </w:t>
      </w:r>
      <w:proofErr w:type="spellStart"/>
      <w:r w:rsidR="001250AB">
        <w:t>CRu</w:t>
      </w:r>
      <w:proofErr w:type="spellEnd"/>
      <w:r w:rsidR="001250AB">
        <w:t xml:space="preserve">. = unconfirmed complete response; </w:t>
      </w:r>
      <w:r w:rsidR="00076068">
        <w:t xml:space="preserve">NR = not reported; </w:t>
      </w:r>
      <w:r>
        <w:t>PTCL = peripheral T</w:t>
      </w:r>
      <w:r w:rsidR="00750703">
        <w:noBreakHyphen/>
      </w:r>
      <w:r>
        <w:t>cell lymphoma.</w:t>
      </w:r>
    </w:p>
    <w:p w14:paraId="1452C351" w14:textId="36B1A28D" w:rsidR="00B60939" w:rsidRPr="0098262F" w:rsidRDefault="00B60939" w:rsidP="00750703">
      <w:pPr>
        <w:pStyle w:val="4-SubsectionHeading"/>
        <w:spacing w:before="160" w:after="160"/>
      </w:pPr>
      <w:bookmarkStart w:id="29" w:name="_Toc22897642"/>
      <w:bookmarkStart w:id="30" w:name="_Toc219197456"/>
      <w:r w:rsidRPr="0098262F">
        <w:t>Comparative harms</w:t>
      </w:r>
      <w:bookmarkEnd w:id="29"/>
      <w:bookmarkEnd w:id="30"/>
    </w:p>
    <w:p w14:paraId="1CCA6D07" w14:textId="6D0BD72D" w:rsidR="00CD5BC2" w:rsidRPr="00CD5BC2" w:rsidRDefault="003E285E" w:rsidP="00750703">
      <w:pPr>
        <w:pStyle w:val="3-BodyText"/>
        <w:spacing w:before="160" w:after="160"/>
        <w:ind w:left="720"/>
        <w:rPr>
          <w:color w:val="000000" w:themeColor="text1"/>
        </w:rPr>
      </w:pPr>
      <w:r>
        <w:rPr>
          <w:color w:val="000000" w:themeColor="text1"/>
        </w:rPr>
        <w:t>A summary of t</w:t>
      </w:r>
      <w:r w:rsidR="00E3634E">
        <w:rPr>
          <w:color w:val="000000" w:themeColor="text1"/>
        </w:rPr>
        <w:t xml:space="preserve">he </w:t>
      </w:r>
      <w:r w:rsidR="00491FE8">
        <w:rPr>
          <w:color w:val="000000" w:themeColor="text1"/>
        </w:rPr>
        <w:t>common</w:t>
      </w:r>
      <w:r w:rsidR="00E3634E">
        <w:rPr>
          <w:color w:val="000000" w:themeColor="text1"/>
        </w:rPr>
        <w:t xml:space="preserve"> a</w:t>
      </w:r>
      <w:r w:rsidR="00CD5BC2" w:rsidRPr="00CD5BC2">
        <w:rPr>
          <w:color w:val="000000" w:themeColor="text1"/>
        </w:rPr>
        <w:t xml:space="preserve">dverse events in </w:t>
      </w:r>
      <w:r w:rsidR="006124AF">
        <w:rPr>
          <w:color w:val="000000" w:themeColor="text1"/>
        </w:rPr>
        <w:t xml:space="preserve">the </w:t>
      </w:r>
      <w:r w:rsidR="00896D5A">
        <w:rPr>
          <w:color w:val="000000" w:themeColor="text1"/>
        </w:rPr>
        <w:t>GPI</w:t>
      </w:r>
      <w:r w:rsidR="00750703">
        <w:rPr>
          <w:color w:val="000000" w:themeColor="text1"/>
        </w:rPr>
        <w:noBreakHyphen/>
      </w:r>
      <w:r w:rsidR="00896D5A">
        <w:rPr>
          <w:color w:val="000000" w:themeColor="text1"/>
        </w:rPr>
        <w:t>06</w:t>
      </w:r>
      <w:r w:rsidR="00750703">
        <w:rPr>
          <w:color w:val="000000" w:themeColor="text1"/>
        </w:rPr>
        <w:noBreakHyphen/>
      </w:r>
      <w:r w:rsidR="00896D5A">
        <w:rPr>
          <w:color w:val="000000" w:themeColor="text1"/>
        </w:rPr>
        <w:t>0002</w:t>
      </w:r>
      <w:r w:rsidR="00924935">
        <w:rPr>
          <w:color w:val="000000" w:themeColor="text1"/>
        </w:rPr>
        <w:t>, M</w:t>
      </w:r>
      <w:r w:rsidR="00ED7B48">
        <w:rPr>
          <w:color w:val="000000" w:themeColor="text1"/>
        </w:rPr>
        <w:t>aru</w:t>
      </w:r>
      <w:r w:rsidR="00924935">
        <w:rPr>
          <w:color w:val="000000" w:themeColor="text1"/>
        </w:rPr>
        <w:t>yama</w:t>
      </w:r>
      <w:r w:rsidR="00A20FDB">
        <w:rPr>
          <w:color w:val="000000" w:themeColor="text1"/>
        </w:rPr>
        <w:t xml:space="preserve"> et al.</w:t>
      </w:r>
      <w:r w:rsidR="00924935">
        <w:rPr>
          <w:color w:val="000000" w:themeColor="text1"/>
        </w:rPr>
        <w:t>, 2017</w:t>
      </w:r>
      <w:r w:rsidR="00896D5A">
        <w:rPr>
          <w:color w:val="000000" w:themeColor="text1"/>
        </w:rPr>
        <w:t xml:space="preserve"> and PROPEL</w:t>
      </w:r>
      <w:r w:rsidR="00CD5BC2" w:rsidRPr="00CD5BC2">
        <w:rPr>
          <w:color w:val="000000" w:themeColor="text1"/>
        </w:rPr>
        <w:t xml:space="preserve"> </w:t>
      </w:r>
      <w:r w:rsidR="00A75ED4">
        <w:rPr>
          <w:color w:val="000000" w:themeColor="text1"/>
        </w:rPr>
        <w:t xml:space="preserve">studies </w:t>
      </w:r>
      <w:r w:rsidR="00CD5BC2" w:rsidRPr="00CD5BC2">
        <w:rPr>
          <w:color w:val="000000" w:themeColor="text1"/>
        </w:rPr>
        <w:t>are shown in</w:t>
      </w:r>
      <w:r w:rsidR="004D11BA">
        <w:rPr>
          <w:color w:val="000000" w:themeColor="text1"/>
        </w:rPr>
        <w:t xml:space="preserve"> </w:t>
      </w:r>
      <w:r w:rsidR="004D11BA">
        <w:rPr>
          <w:color w:val="000000" w:themeColor="text1"/>
        </w:rPr>
        <w:fldChar w:fldCharType="begin"/>
      </w:r>
      <w:r w:rsidR="004D11BA">
        <w:rPr>
          <w:color w:val="000000" w:themeColor="text1"/>
        </w:rPr>
        <w:instrText xml:space="preserve"> REF _Ref216690091 \h </w:instrText>
      </w:r>
      <w:r w:rsidR="004D11BA">
        <w:rPr>
          <w:color w:val="000000" w:themeColor="text1"/>
        </w:rPr>
      </w:r>
      <w:r w:rsidR="004D11BA">
        <w:rPr>
          <w:color w:val="000000" w:themeColor="text1"/>
        </w:rPr>
        <w:fldChar w:fldCharType="separate"/>
      </w:r>
      <w:r w:rsidR="004D11BA">
        <w:t xml:space="preserve">Table </w:t>
      </w:r>
      <w:r w:rsidR="004D11BA">
        <w:rPr>
          <w:noProof/>
        </w:rPr>
        <w:t>7</w:t>
      </w:r>
      <w:r w:rsidR="004D11BA">
        <w:rPr>
          <w:color w:val="000000" w:themeColor="text1"/>
        </w:rPr>
        <w:fldChar w:fldCharType="end"/>
      </w:r>
      <w:r w:rsidR="004D11BA">
        <w:rPr>
          <w:color w:val="000000" w:themeColor="text1"/>
        </w:rPr>
        <w:t>.</w:t>
      </w:r>
      <w:r w:rsidR="00FC7CFF">
        <w:rPr>
          <w:color w:val="000000" w:themeColor="text1"/>
        </w:rPr>
        <w:t xml:space="preserve"> </w:t>
      </w:r>
      <w:r w:rsidR="009B412C">
        <w:rPr>
          <w:color w:val="000000" w:themeColor="text1"/>
        </w:rPr>
        <w:t xml:space="preserve">Adverse events from </w:t>
      </w:r>
      <w:r w:rsidR="00896D5A">
        <w:rPr>
          <w:color w:val="000000" w:themeColor="text1"/>
        </w:rPr>
        <w:t>Piekarz</w:t>
      </w:r>
      <w:r w:rsidR="00D37145">
        <w:rPr>
          <w:color w:val="000000" w:themeColor="text1"/>
        </w:rPr>
        <w:t xml:space="preserve"> et al.</w:t>
      </w:r>
      <w:r w:rsidR="00896D5A">
        <w:rPr>
          <w:color w:val="000000" w:themeColor="text1"/>
        </w:rPr>
        <w:t>, 2011</w:t>
      </w:r>
      <w:r w:rsidR="009B412C">
        <w:rPr>
          <w:color w:val="000000" w:themeColor="text1"/>
        </w:rPr>
        <w:t xml:space="preserve"> </w:t>
      </w:r>
      <w:r w:rsidR="00F23EBF">
        <w:rPr>
          <w:color w:val="000000" w:themeColor="text1"/>
        </w:rPr>
        <w:t xml:space="preserve">were </w:t>
      </w:r>
      <w:r w:rsidR="009B412C">
        <w:rPr>
          <w:color w:val="000000" w:themeColor="text1"/>
        </w:rPr>
        <w:t xml:space="preserve">not included as </w:t>
      </w:r>
      <w:r w:rsidR="00A1788D">
        <w:rPr>
          <w:color w:val="000000" w:themeColor="text1"/>
        </w:rPr>
        <w:t>the study</w:t>
      </w:r>
      <w:r w:rsidR="00C47C92">
        <w:rPr>
          <w:color w:val="000000" w:themeColor="text1"/>
        </w:rPr>
        <w:t xml:space="preserve"> </w:t>
      </w:r>
      <w:r w:rsidR="00896D5A">
        <w:rPr>
          <w:color w:val="000000" w:themeColor="text1"/>
        </w:rPr>
        <w:t xml:space="preserve">reported only treatment </w:t>
      </w:r>
      <w:r w:rsidR="005306CB">
        <w:rPr>
          <w:color w:val="000000" w:themeColor="text1"/>
        </w:rPr>
        <w:t>related events</w:t>
      </w:r>
      <w:r w:rsidR="003B2090">
        <w:rPr>
          <w:color w:val="000000" w:themeColor="text1"/>
        </w:rPr>
        <w:t xml:space="preserve"> </w:t>
      </w:r>
      <w:r w:rsidR="00896D5A">
        <w:rPr>
          <w:color w:val="000000" w:themeColor="text1"/>
        </w:rPr>
        <w:t>f</w:t>
      </w:r>
      <w:r w:rsidR="003B2090">
        <w:rPr>
          <w:color w:val="000000" w:themeColor="text1"/>
        </w:rPr>
        <w:t>rom</w:t>
      </w:r>
      <w:r w:rsidR="00896D5A">
        <w:rPr>
          <w:color w:val="000000" w:themeColor="text1"/>
        </w:rPr>
        <w:t xml:space="preserve"> each patient</w:t>
      </w:r>
      <w:r w:rsidR="00E558D7">
        <w:rPr>
          <w:color w:val="000000" w:themeColor="text1"/>
        </w:rPr>
        <w:t>’s</w:t>
      </w:r>
      <w:r w:rsidR="00896D5A">
        <w:rPr>
          <w:color w:val="000000" w:themeColor="text1"/>
        </w:rPr>
        <w:t xml:space="preserve"> </w:t>
      </w:r>
      <w:r w:rsidR="00E558D7">
        <w:rPr>
          <w:color w:val="000000" w:themeColor="text1"/>
        </w:rPr>
        <w:t>first treatment cycle.</w:t>
      </w:r>
      <w:r w:rsidR="00896D5A">
        <w:rPr>
          <w:color w:val="000000" w:themeColor="text1"/>
        </w:rPr>
        <w:t xml:space="preserve"> </w:t>
      </w:r>
    </w:p>
    <w:p w14:paraId="310B2246" w14:textId="572766B0" w:rsidR="00B60939" w:rsidRDefault="004D11BA" w:rsidP="00750703">
      <w:pPr>
        <w:pStyle w:val="Caption"/>
        <w:rPr>
          <w:rStyle w:val="CommentReference"/>
          <w:b/>
          <w:szCs w:val="24"/>
        </w:rPr>
      </w:pPr>
      <w:bookmarkStart w:id="31" w:name="_Ref216690091"/>
      <w:r>
        <w:t xml:space="preserve">Table </w:t>
      </w:r>
      <w:fldSimple w:instr=" SEQ Table \* ARABIC ">
        <w:r w:rsidR="000B22F7">
          <w:rPr>
            <w:noProof/>
          </w:rPr>
          <w:t>7</w:t>
        </w:r>
      </w:fldSimple>
      <w:bookmarkEnd w:id="31"/>
      <w:r>
        <w:t xml:space="preserve">: </w:t>
      </w:r>
      <w:r w:rsidR="00CD5BC2">
        <w:rPr>
          <w:rStyle w:val="CommentReference"/>
          <w:b/>
          <w:szCs w:val="24"/>
        </w:rPr>
        <w:t>A</w:t>
      </w:r>
      <w:r w:rsidR="005D26B4" w:rsidRPr="0098262F">
        <w:rPr>
          <w:rStyle w:val="CommentReference"/>
          <w:b/>
          <w:szCs w:val="24"/>
        </w:rPr>
        <w:t xml:space="preserve">dverse events in the </w:t>
      </w:r>
      <w:r w:rsidR="00CD5BC2">
        <w:rPr>
          <w:rStyle w:val="CommentReference"/>
          <w:b/>
          <w:szCs w:val="24"/>
        </w:rPr>
        <w:t>studies</w:t>
      </w:r>
    </w:p>
    <w:tbl>
      <w:tblPr>
        <w:tblStyle w:val="TableGrid"/>
        <w:tblW w:w="5000" w:type="pct"/>
        <w:tblLook w:val="04A0" w:firstRow="1" w:lastRow="0" w:firstColumn="1" w:lastColumn="0" w:noHBand="0" w:noVBand="1"/>
        <w:tblCaption w:val="Table 7: Adverse events in the studies"/>
      </w:tblPr>
      <w:tblGrid>
        <w:gridCol w:w="2013"/>
        <w:gridCol w:w="1078"/>
        <w:gridCol w:w="67"/>
        <w:gridCol w:w="1014"/>
        <w:gridCol w:w="1607"/>
        <w:gridCol w:w="1445"/>
        <w:gridCol w:w="1793"/>
      </w:tblGrid>
      <w:tr w:rsidR="008A57E3" w:rsidRPr="00AC43D9" w14:paraId="108B3733" w14:textId="77777777" w:rsidTr="00E17D69">
        <w:tc>
          <w:tcPr>
            <w:tcW w:w="1116" w:type="pct"/>
            <w:vMerge w:val="restart"/>
          </w:tcPr>
          <w:p w14:paraId="63C96C62" w14:textId="77777777" w:rsidR="00E17D69" w:rsidRPr="00AC43D9" w:rsidRDefault="00E17D69" w:rsidP="00750703">
            <w:pPr>
              <w:pStyle w:val="TableFigureHeading"/>
              <w:rPr>
                <w:rStyle w:val="CommentReference"/>
                <w:b/>
                <w:szCs w:val="24"/>
              </w:rPr>
            </w:pPr>
          </w:p>
        </w:tc>
        <w:tc>
          <w:tcPr>
            <w:tcW w:w="2088" w:type="pct"/>
            <w:gridSpan w:val="4"/>
          </w:tcPr>
          <w:p w14:paraId="3058838E" w14:textId="64DEC1AC" w:rsidR="00E17D69" w:rsidRPr="00AC43D9" w:rsidRDefault="00E17D69" w:rsidP="00750703">
            <w:pPr>
              <w:pStyle w:val="TableFigureHeading"/>
              <w:jc w:val="center"/>
              <w:rPr>
                <w:rStyle w:val="CommentReference"/>
                <w:b/>
                <w:szCs w:val="24"/>
              </w:rPr>
            </w:pPr>
            <w:r w:rsidRPr="00AC43D9">
              <w:rPr>
                <w:rStyle w:val="CommentReference"/>
                <w:b/>
                <w:szCs w:val="24"/>
              </w:rPr>
              <w:t>Romidepsin Studies</w:t>
            </w:r>
          </w:p>
        </w:tc>
        <w:tc>
          <w:tcPr>
            <w:tcW w:w="1795" w:type="pct"/>
            <w:gridSpan w:val="2"/>
          </w:tcPr>
          <w:p w14:paraId="4EBBAA90" w14:textId="0543A06B" w:rsidR="00E17D69" w:rsidRPr="00AC43D9" w:rsidRDefault="00E17D69" w:rsidP="00750703">
            <w:pPr>
              <w:pStyle w:val="TableFigureHeading"/>
              <w:jc w:val="center"/>
              <w:rPr>
                <w:rStyle w:val="CommentReference"/>
                <w:b/>
                <w:szCs w:val="24"/>
              </w:rPr>
            </w:pPr>
            <w:r w:rsidRPr="00AC43D9">
              <w:rPr>
                <w:rStyle w:val="CommentReference"/>
                <w:b/>
                <w:szCs w:val="24"/>
              </w:rPr>
              <w:t>Pralatrexate Study</w:t>
            </w:r>
          </w:p>
        </w:tc>
      </w:tr>
      <w:tr w:rsidR="008A66FA" w:rsidRPr="00AC43D9" w14:paraId="64D9883A" w14:textId="77777777" w:rsidTr="00E17D69">
        <w:tc>
          <w:tcPr>
            <w:tcW w:w="1116" w:type="pct"/>
            <w:vMerge/>
          </w:tcPr>
          <w:p w14:paraId="246F7F22" w14:textId="77777777" w:rsidR="00E17D69" w:rsidRPr="00AC43D9" w:rsidRDefault="00E17D69" w:rsidP="00750703">
            <w:pPr>
              <w:pStyle w:val="TableFigureHeading"/>
              <w:rPr>
                <w:rStyle w:val="CommentReference"/>
                <w:b/>
                <w:szCs w:val="24"/>
              </w:rPr>
            </w:pPr>
          </w:p>
        </w:tc>
        <w:tc>
          <w:tcPr>
            <w:tcW w:w="1197" w:type="pct"/>
            <w:gridSpan w:val="3"/>
          </w:tcPr>
          <w:p w14:paraId="01D81B30" w14:textId="507BD9A6" w:rsidR="00E17D69" w:rsidRPr="00AC43D9" w:rsidRDefault="00E17D69" w:rsidP="00750703">
            <w:pPr>
              <w:pStyle w:val="TableFigureHeading"/>
              <w:jc w:val="center"/>
              <w:rPr>
                <w:rStyle w:val="CommentReference"/>
                <w:b/>
                <w:szCs w:val="24"/>
              </w:rPr>
            </w:pPr>
            <w:r w:rsidRPr="00AC43D9">
              <w:rPr>
                <w:rStyle w:val="CommentReference"/>
                <w:b/>
                <w:szCs w:val="24"/>
              </w:rPr>
              <w:t>GPI</w:t>
            </w:r>
            <w:r w:rsidR="00750703">
              <w:rPr>
                <w:rStyle w:val="CommentReference"/>
                <w:b/>
                <w:szCs w:val="24"/>
              </w:rPr>
              <w:noBreakHyphen/>
            </w:r>
            <w:r w:rsidRPr="00AC43D9">
              <w:rPr>
                <w:rStyle w:val="CommentReference"/>
                <w:b/>
                <w:szCs w:val="24"/>
              </w:rPr>
              <w:t>06</w:t>
            </w:r>
            <w:r w:rsidR="00750703">
              <w:rPr>
                <w:rStyle w:val="CommentReference"/>
                <w:b/>
                <w:szCs w:val="24"/>
              </w:rPr>
              <w:noBreakHyphen/>
            </w:r>
            <w:r w:rsidRPr="00AC43D9">
              <w:rPr>
                <w:rStyle w:val="CommentReference"/>
                <w:b/>
                <w:szCs w:val="24"/>
              </w:rPr>
              <w:t>0002</w:t>
            </w:r>
          </w:p>
          <w:p w14:paraId="646D017C" w14:textId="39C85C07" w:rsidR="00E17D69" w:rsidRPr="00AC43D9" w:rsidRDefault="00E17D69" w:rsidP="00750703">
            <w:pPr>
              <w:pStyle w:val="TableFigureHeading"/>
              <w:jc w:val="center"/>
              <w:rPr>
                <w:rStyle w:val="CommentReference"/>
                <w:b/>
                <w:szCs w:val="24"/>
              </w:rPr>
            </w:pPr>
            <w:r w:rsidRPr="00AC43D9">
              <w:rPr>
                <w:rStyle w:val="CommentReference"/>
                <w:b/>
                <w:szCs w:val="24"/>
              </w:rPr>
              <w:t>N = 130</w:t>
            </w:r>
          </w:p>
        </w:tc>
        <w:tc>
          <w:tcPr>
            <w:tcW w:w="891" w:type="pct"/>
          </w:tcPr>
          <w:p w14:paraId="0AF1A571" w14:textId="4E20BC2E" w:rsidR="00E17D69" w:rsidRPr="00AC43D9" w:rsidRDefault="00E17D69" w:rsidP="00750703">
            <w:pPr>
              <w:pStyle w:val="TableFigureHeading"/>
              <w:jc w:val="center"/>
              <w:rPr>
                <w:rStyle w:val="CommentReference"/>
                <w:b/>
                <w:szCs w:val="24"/>
              </w:rPr>
            </w:pPr>
            <w:r w:rsidRPr="00AC43D9">
              <w:rPr>
                <w:rStyle w:val="CommentReference"/>
                <w:b/>
                <w:szCs w:val="24"/>
              </w:rPr>
              <w:t>Maruyama, 2017</w:t>
            </w:r>
          </w:p>
          <w:p w14:paraId="7787EEAD" w14:textId="5EACD9EC" w:rsidR="00E17D69" w:rsidRPr="00AC43D9" w:rsidRDefault="00E17D69" w:rsidP="00750703">
            <w:pPr>
              <w:pStyle w:val="TableFigureHeading"/>
              <w:jc w:val="center"/>
              <w:rPr>
                <w:rStyle w:val="CommentReference"/>
                <w:b/>
                <w:szCs w:val="24"/>
              </w:rPr>
            </w:pPr>
            <w:r w:rsidRPr="00AC43D9">
              <w:rPr>
                <w:rStyle w:val="CommentReference"/>
                <w:b/>
                <w:szCs w:val="24"/>
              </w:rPr>
              <w:t>N = 46</w:t>
            </w:r>
          </w:p>
        </w:tc>
        <w:tc>
          <w:tcPr>
            <w:tcW w:w="1795" w:type="pct"/>
            <w:gridSpan w:val="2"/>
          </w:tcPr>
          <w:p w14:paraId="3191D10B" w14:textId="4619C4ED" w:rsidR="00E17D69" w:rsidRPr="00AC43D9" w:rsidRDefault="00E17D69" w:rsidP="00750703">
            <w:pPr>
              <w:pStyle w:val="TableFigureHeading"/>
              <w:jc w:val="center"/>
              <w:rPr>
                <w:rStyle w:val="CommentReference"/>
                <w:b/>
                <w:szCs w:val="24"/>
              </w:rPr>
            </w:pPr>
            <w:r w:rsidRPr="00AC43D9">
              <w:rPr>
                <w:rStyle w:val="CommentReference"/>
                <w:b/>
                <w:szCs w:val="24"/>
              </w:rPr>
              <w:t>PROPEL</w:t>
            </w:r>
          </w:p>
          <w:p w14:paraId="3257941A" w14:textId="113A9581" w:rsidR="00E17D69" w:rsidRPr="00AC43D9" w:rsidRDefault="00E17D69" w:rsidP="00750703">
            <w:pPr>
              <w:pStyle w:val="TableFigureHeading"/>
              <w:jc w:val="center"/>
              <w:rPr>
                <w:rStyle w:val="CommentReference"/>
                <w:b/>
                <w:szCs w:val="24"/>
              </w:rPr>
            </w:pPr>
            <w:r w:rsidRPr="00AC43D9">
              <w:rPr>
                <w:rStyle w:val="CommentReference"/>
                <w:b/>
                <w:szCs w:val="24"/>
              </w:rPr>
              <w:t>N = 111</w:t>
            </w:r>
          </w:p>
        </w:tc>
      </w:tr>
      <w:tr w:rsidR="008A66FA" w:rsidRPr="00AC43D9" w14:paraId="7C16FDA7" w14:textId="77777777" w:rsidTr="00E17D69">
        <w:tc>
          <w:tcPr>
            <w:tcW w:w="1116" w:type="pct"/>
          </w:tcPr>
          <w:p w14:paraId="064D0E4E" w14:textId="77777777" w:rsidR="00924935" w:rsidRPr="00AC43D9" w:rsidRDefault="00924935" w:rsidP="00750703">
            <w:pPr>
              <w:pStyle w:val="TableFigureHeading"/>
              <w:rPr>
                <w:rStyle w:val="CommentReference"/>
                <w:b/>
                <w:szCs w:val="24"/>
              </w:rPr>
            </w:pPr>
          </w:p>
        </w:tc>
        <w:tc>
          <w:tcPr>
            <w:tcW w:w="598" w:type="pct"/>
          </w:tcPr>
          <w:p w14:paraId="54A5FBFF" w14:textId="164D2DA9" w:rsidR="00924935" w:rsidRPr="00AC43D9" w:rsidRDefault="00924935" w:rsidP="00750703">
            <w:pPr>
              <w:pStyle w:val="TableFigureHeading"/>
              <w:jc w:val="center"/>
              <w:rPr>
                <w:rStyle w:val="CommentReference"/>
                <w:b/>
                <w:szCs w:val="24"/>
              </w:rPr>
            </w:pPr>
            <w:r w:rsidRPr="00AC43D9">
              <w:rPr>
                <w:rStyle w:val="CommentReference"/>
                <w:b/>
                <w:szCs w:val="24"/>
              </w:rPr>
              <w:t>All events</w:t>
            </w:r>
          </w:p>
        </w:tc>
        <w:tc>
          <w:tcPr>
            <w:tcW w:w="599" w:type="pct"/>
            <w:gridSpan w:val="2"/>
          </w:tcPr>
          <w:p w14:paraId="552A81AE" w14:textId="14F85033" w:rsidR="00924935" w:rsidRPr="00AC43D9" w:rsidRDefault="00924935" w:rsidP="00750703">
            <w:pPr>
              <w:pStyle w:val="TableFigureHeading"/>
              <w:jc w:val="center"/>
              <w:rPr>
                <w:rStyle w:val="CommentReference"/>
                <w:b/>
                <w:szCs w:val="24"/>
              </w:rPr>
            </w:pPr>
            <w:r w:rsidRPr="00AC43D9">
              <w:rPr>
                <w:rStyle w:val="CommentReference"/>
                <w:b/>
                <w:szCs w:val="24"/>
              </w:rPr>
              <w:t xml:space="preserve">Grade </w:t>
            </w:r>
            <w:r w:rsidRPr="00AC43D9">
              <w:rPr>
                <w:rStyle w:val="CommentReference"/>
                <w:b/>
                <w:szCs w:val="24"/>
              </w:rPr>
              <w:sym w:font="Symbol" w:char="F0B3"/>
            </w:r>
            <w:r w:rsidRPr="00AC43D9">
              <w:rPr>
                <w:rStyle w:val="CommentReference"/>
                <w:b/>
                <w:szCs w:val="24"/>
              </w:rPr>
              <w:t>3</w:t>
            </w:r>
          </w:p>
        </w:tc>
        <w:tc>
          <w:tcPr>
            <w:tcW w:w="891" w:type="pct"/>
          </w:tcPr>
          <w:p w14:paraId="5ABDC4A7" w14:textId="034FCDD1" w:rsidR="00924935" w:rsidRPr="00AC43D9" w:rsidRDefault="00924935" w:rsidP="00750703">
            <w:pPr>
              <w:pStyle w:val="TableFigureHeading"/>
              <w:jc w:val="center"/>
              <w:rPr>
                <w:rStyle w:val="CommentReference"/>
                <w:b/>
                <w:szCs w:val="24"/>
              </w:rPr>
            </w:pPr>
            <w:r w:rsidRPr="00AC43D9">
              <w:rPr>
                <w:rStyle w:val="CommentReference"/>
                <w:b/>
                <w:szCs w:val="24"/>
              </w:rPr>
              <w:t>All events</w:t>
            </w:r>
          </w:p>
        </w:tc>
        <w:tc>
          <w:tcPr>
            <w:tcW w:w="801" w:type="pct"/>
          </w:tcPr>
          <w:p w14:paraId="2231E060" w14:textId="65EC7956" w:rsidR="00924935" w:rsidRPr="00AC43D9" w:rsidRDefault="00924935" w:rsidP="00750703">
            <w:pPr>
              <w:pStyle w:val="TableFigureHeading"/>
              <w:jc w:val="center"/>
              <w:rPr>
                <w:rStyle w:val="CommentReference"/>
                <w:b/>
                <w:szCs w:val="24"/>
              </w:rPr>
            </w:pPr>
            <w:r w:rsidRPr="00AC43D9">
              <w:rPr>
                <w:rStyle w:val="CommentReference"/>
                <w:b/>
                <w:szCs w:val="24"/>
              </w:rPr>
              <w:t>All events</w:t>
            </w:r>
          </w:p>
        </w:tc>
        <w:tc>
          <w:tcPr>
            <w:tcW w:w="994" w:type="pct"/>
          </w:tcPr>
          <w:p w14:paraId="3D2E2FB5" w14:textId="38DF8B7D" w:rsidR="00924935" w:rsidRPr="00AC43D9" w:rsidRDefault="00924935" w:rsidP="00750703">
            <w:pPr>
              <w:pStyle w:val="TableFigureHeading"/>
              <w:jc w:val="center"/>
              <w:rPr>
                <w:rStyle w:val="CommentReference"/>
                <w:b/>
                <w:szCs w:val="24"/>
              </w:rPr>
            </w:pPr>
            <w:r w:rsidRPr="00AC43D9">
              <w:rPr>
                <w:rStyle w:val="CommentReference"/>
                <w:b/>
                <w:szCs w:val="24"/>
              </w:rPr>
              <w:t xml:space="preserve">Grade </w:t>
            </w:r>
            <w:r w:rsidRPr="00AC43D9">
              <w:rPr>
                <w:rStyle w:val="CommentReference"/>
                <w:b/>
                <w:szCs w:val="24"/>
              </w:rPr>
              <w:sym w:font="Symbol" w:char="F0B3"/>
            </w:r>
            <w:r w:rsidRPr="00AC43D9">
              <w:rPr>
                <w:rStyle w:val="CommentReference"/>
                <w:b/>
                <w:szCs w:val="24"/>
              </w:rPr>
              <w:t>3</w:t>
            </w:r>
          </w:p>
        </w:tc>
      </w:tr>
      <w:tr w:rsidR="008A66FA" w:rsidRPr="00AC43D9" w14:paraId="3E29B6F7" w14:textId="77777777" w:rsidTr="00E17D69">
        <w:tc>
          <w:tcPr>
            <w:tcW w:w="1116" w:type="pct"/>
          </w:tcPr>
          <w:p w14:paraId="5D9C88BB" w14:textId="770C9D3F" w:rsidR="00924935" w:rsidRPr="00AC43D9" w:rsidRDefault="00924935" w:rsidP="00750703">
            <w:pPr>
              <w:pStyle w:val="TableFigureHeading"/>
              <w:rPr>
                <w:rStyle w:val="CommentReference"/>
                <w:bCs w:val="0"/>
                <w:szCs w:val="24"/>
              </w:rPr>
            </w:pPr>
            <w:r w:rsidRPr="00AC43D9">
              <w:rPr>
                <w:rStyle w:val="CommentReference"/>
                <w:bCs w:val="0"/>
                <w:szCs w:val="24"/>
              </w:rPr>
              <w:t>Vomiting</w:t>
            </w:r>
          </w:p>
        </w:tc>
        <w:tc>
          <w:tcPr>
            <w:tcW w:w="635" w:type="pct"/>
            <w:gridSpan w:val="2"/>
          </w:tcPr>
          <w:p w14:paraId="41FA8914" w14:textId="2F215E35" w:rsidR="00924935" w:rsidRPr="00AC43D9" w:rsidRDefault="00924935" w:rsidP="00750703">
            <w:pPr>
              <w:pStyle w:val="TableFigureHeading"/>
              <w:jc w:val="center"/>
              <w:rPr>
                <w:rStyle w:val="CommentReference"/>
                <w:bCs w:val="0"/>
                <w:szCs w:val="24"/>
              </w:rPr>
            </w:pPr>
            <w:r w:rsidRPr="00AC43D9">
              <w:rPr>
                <w:rStyle w:val="CommentReference"/>
                <w:bCs w:val="0"/>
                <w:szCs w:val="24"/>
              </w:rPr>
              <w:t>51 (39%)</w:t>
            </w:r>
          </w:p>
        </w:tc>
        <w:tc>
          <w:tcPr>
            <w:tcW w:w="562" w:type="pct"/>
          </w:tcPr>
          <w:p w14:paraId="59365542" w14:textId="74388BB6" w:rsidR="00924935" w:rsidRPr="00AC43D9" w:rsidRDefault="00924935" w:rsidP="00750703">
            <w:pPr>
              <w:pStyle w:val="TableFigureHeading"/>
              <w:jc w:val="center"/>
              <w:rPr>
                <w:rStyle w:val="CommentReference"/>
                <w:bCs w:val="0"/>
                <w:szCs w:val="24"/>
              </w:rPr>
            </w:pPr>
            <w:r w:rsidRPr="00AC43D9">
              <w:rPr>
                <w:rStyle w:val="CommentReference"/>
                <w:bCs w:val="0"/>
                <w:szCs w:val="24"/>
              </w:rPr>
              <w:t>6 (5%)</w:t>
            </w:r>
          </w:p>
        </w:tc>
        <w:tc>
          <w:tcPr>
            <w:tcW w:w="891" w:type="pct"/>
          </w:tcPr>
          <w:p w14:paraId="206B8488" w14:textId="5372FD54" w:rsidR="00924935" w:rsidRPr="00AC43D9" w:rsidRDefault="00924935" w:rsidP="00750703">
            <w:pPr>
              <w:pStyle w:val="TableFigureHeading"/>
              <w:jc w:val="center"/>
              <w:rPr>
                <w:rStyle w:val="CommentReference"/>
                <w:bCs w:val="0"/>
                <w:szCs w:val="24"/>
              </w:rPr>
            </w:pPr>
            <w:r w:rsidRPr="00AC43D9">
              <w:rPr>
                <w:rStyle w:val="CommentReference"/>
                <w:bCs w:val="0"/>
                <w:szCs w:val="24"/>
              </w:rPr>
              <w:t>18 (38%)</w:t>
            </w:r>
          </w:p>
        </w:tc>
        <w:tc>
          <w:tcPr>
            <w:tcW w:w="801" w:type="pct"/>
          </w:tcPr>
          <w:p w14:paraId="327C1335" w14:textId="013EA29A" w:rsidR="00924935" w:rsidRPr="00AC43D9" w:rsidRDefault="00924935" w:rsidP="00750703">
            <w:pPr>
              <w:pStyle w:val="TableFigureHeading"/>
              <w:jc w:val="center"/>
              <w:rPr>
                <w:rStyle w:val="CommentReference"/>
                <w:bCs w:val="0"/>
                <w:szCs w:val="24"/>
              </w:rPr>
            </w:pPr>
            <w:r w:rsidRPr="00AC43D9">
              <w:rPr>
                <w:rStyle w:val="CommentReference"/>
                <w:bCs w:val="0"/>
                <w:szCs w:val="24"/>
              </w:rPr>
              <w:t>28 (25%)</w:t>
            </w:r>
          </w:p>
        </w:tc>
        <w:tc>
          <w:tcPr>
            <w:tcW w:w="994" w:type="pct"/>
          </w:tcPr>
          <w:p w14:paraId="68AC89A7" w14:textId="24F1BAEF" w:rsidR="00924935" w:rsidRPr="00AC43D9" w:rsidRDefault="00924935" w:rsidP="00750703">
            <w:pPr>
              <w:pStyle w:val="TableFigureHeading"/>
              <w:jc w:val="center"/>
              <w:rPr>
                <w:rStyle w:val="CommentReference"/>
                <w:bCs w:val="0"/>
                <w:szCs w:val="24"/>
              </w:rPr>
            </w:pPr>
            <w:r w:rsidRPr="00AC43D9">
              <w:rPr>
                <w:rStyle w:val="CommentReference"/>
                <w:bCs w:val="0"/>
                <w:szCs w:val="24"/>
              </w:rPr>
              <w:t>2 (2%)</w:t>
            </w:r>
          </w:p>
        </w:tc>
      </w:tr>
      <w:tr w:rsidR="008A66FA" w:rsidRPr="00AC43D9" w14:paraId="64E48B8E" w14:textId="77777777" w:rsidTr="00E17D69">
        <w:tc>
          <w:tcPr>
            <w:tcW w:w="1116" w:type="pct"/>
          </w:tcPr>
          <w:p w14:paraId="615CFFC4" w14:textId="00EA2DA8" w:rsidR="00924935" w:rsidRPr="00AC43D9" w:rsidRDefault="00924935" w:rsidP="00750703">
            <w:pPr>
              <w:pStyle w:val="TableFigureHeading"/>
              <w:rPr>
                <w:rStyle w:val="CommentReference"/>
                <w:bCs w:val="0"/>
                <w:szCs w:val="24"/>
              </w:rPr>
            </w:pPr>
            <w:r w:rsidRPr="00AC43D9">
              <w:rPr>
                <w:rStyle w:val="CommentReference"/>
                <w:bCs w:val="0"/>
                <w:szCs w:val="24"/>
              </w:rPr>
              <w:t>Diarrhoea</w:t>
            </w:r>
          </w:p>
        </w:tc>
        <w:tc>
          <w:tcPr>
            <w:tcW w:w="635" w:type="pct"/>
            <w:gridSpan w:val="2"/>
          </w:tcPr>
          <w:p w14:paraId="63E651C8" w14:textId="343373A9" w:rsidR="00924935" w:rsidRPr="00AC43D9" w:rsidRDefault="00924935" w:rsidP="00750703">
            <w:pPr>
              <w:pStyle w:val="TableFigureHeading"/>
              <w:jc w:val="center"/>
              <w:rPr>
                <w:rStyle w:val="CommentReference"/>
                <w:bCs w:val="0"/>
                <w:szCs w:val="24"/>
              </w:rPr>
            </w:pPr>
            <w:r w:rsidRPr="00AC43D9">
              <w:rPr>
                <w:rStyle w:val="CommentReference"/>
                <w:bCs w:val="0"/>
                <w:szCs w:val="24"/>
              </w:rPr>
              <w:t>47 (36%)</w:t>
            </w:r>
          </w:p>
        </w:tc>
        <w:tc>
          <w:tcPr>
            <w:tcW w:w="562" w:type="pct"/>
          </w:tcPr>
          <w:p w14:paraId="47CCDA78" w14:textId="6BE8178A" w:rsidR="00924935" w:rsidRPr="00AC43D9" w:rsidRDefault="00924935" w:rsidP="00750703">
            <w:pPr>
              <w:pStyle w:val="TableFigureHeading"/>
              <w:jc w:val="center"/>
              <w:rPr>
                <w:rStyle w:val="CommentReference"/>
                <w:bCs w:val="0"/>
                <w:szCs w:val="24"/>
              </w:rPr>
            </w:pPr>
            <w:r w:rsidRPr="00AC43D9">
              <w:rPr>
                <w:rStyle w:val="CommentReference"/>
                <w:bCs w:val="0"/>
                <w:szCs w:val="24"/>
              </w:rPr>
              <w:t>3 (2%)</w:t>
            </w:r>
          </w:p>
        </w:tc>
        <w:tc>
          <w:tcPr>
            <w:tcW w:w="891" w:type="pct"/>
          </w:tcPr>
          <w:p w14:paraId="01016FFB" w14:textId="1C1A7A64" w:rsidR="00924935" w:rsidRPr="00AC43D9" w:rsidRDefault="00924935" w:rsidP="00750703">
            <w:pPr>
              <w:pStyle w:val="TableFigureHeading"/>
              <w:jc w:val="center"/>
              <w:rPr>
                <w:rStyle w:val="CommentReference"/>
                <w:bCs w:val="0"/>
                <w:szCs w:val="24"/>
              </w:rPr>
            </w:pPr>
            <w:r w:rsidRPr="00AC43D9">
              <w:rPr>
                <w:rStyle w:val="CommentReference"/>
                <w:bCs w:val="0"/>
                <w:szCs w:val="24"/>
              </w:rPr>
              <w:t>16 (34%)</w:t>
            </w:r>
          </w:p>
        </w:tc>
        <w:tc>
          <w:tcPr>
            <w:tcW w:w="801" w:type="pct"/>
          </w:tcPr>
          <w:p w14:paraId="3CD122C1" w14:textId="5D00174F" w:rsidR="00924935" w:rsidRPr="00AC43D9" w:rsidRDefault="00924935" w:rsidP="00750703">
            <w:pPr>
              <w:pStyle w:val="TableFigureHeading"/>
              <w:jc w:val="center"/>
              <w:rPr>
                <w:rStyle w:val="CommentReference"/>
                <w:bCs w:val="0"/>
                <w:szCs w:val="24"/>
              </w:rPr>
            </w:pPr>
            <w:r w:rsidRPr="00AC43D9">
              <w:rPr>
                <w:rStyle w:val="CommentReference"/>
                <w:bCs w:val="0"/>
                <w:szCs w:val="24"/>
              </w:rPr>
              <w:t>25 (23%)</w:t>
            </w:r>
          </w:p>
        </w:tc>
        <w:tc>
          <w:tcPr>
            <w:tcW w:w="994" w:type="pct"/>
          </w:tcPr>
          <w:p w14:paraId="4B8FC0CE" w14:textId="5DF4C501" w:rsidR="00924935" w:rsidRPr="00AC43D9" w:rsidRDefault="00924935" w:rsidP="00750703">
            <w:pPr>
              <w:pStyle w:val="TableFigureHeading"/>
              <w:jc w:val="center"/>
              <w:rPr>
                <w:rStyle w:val="CommentReference"/>
                <w:bCs w:val="0"/>
                <w:szCs w:val="24"/>
              </w:rPr>
            </w:pPr>
            <w:r w:rsidRPr="00AC43D9">
              <w:rPr>
                <w:rStyle w:val="CommentReference"/>
                <w:bCs w:val="0"/>
                <w:szCs w:val="24"/>
              </w:rPr>
              <w:t>2 (2%)</w:t>
            </w:r>
          </w:p>
        </w:tc>
      </w:tr>
      <w:tr w:rsidR="008A66FA" w:rsidRPr="00AC43D9" w14:paraId="44BE9597" w14:textId="77777777" w:rsidTr="00E17D69">
        <w:tc>
          <w:tcPr>
            <w:tcW w:w="1116" w:type="pct"/>
          </w:tcPr>
          <w:p w14:paraId="2ECAB5EE" w14:textId="160462EC" w:rsidR="00924935" w:rsidRPr="00AC43D9" w:rsidRDefault="00924935" w:rsidP="00750703">
            <w:pPr>
              <w:pStyle w:val="TableFigureHeading"/>
              <w:rPr>
                <w:rStyle w:val="CommentReference"/>
                <w:bCs w:val="0"/>
                <w:szCs w:val="24"/>
              </w:rPr>
            </w:pPr>
            <w:r w:rsidRPr="00AC43D9">
              <w:rPr>
                <w:rStyle w:val="CommentReference"/>
                <w:bCs w:val="0"/>
                <w:szCs w:val="24"/>
              </w:rPr>
              <w:t>Fatigue</w:t>
            </w:r>
          </w:p>
        </w:tc>
        <w:tc>
          <w:tcPr>
            <w:tcW w:w="635" w:type="pct"/>
            <w:gridSpan w:val="2"/>
          </w:tcPr>
          <w:p w14:paraId="3F4FA0FD" w14:textId="153FBD4D" w:rsidR="00924935" w:rsidRPr="00AC43D9" w:rsidRDefault="00924935" w:rsidP="00750703">
            <w:pPr>
              <w:pStyle w:val="TableFigureHeading"/>
              <w:jc w:val="center"/>
              <w:rPr>
                <w:rStyle w:val="CommentReference"/>
                <w:bCs w:val="0"/>
                <w:szCs w:val="24"/>
              </w:rPr>
            </w:pPr>
            <w:r w:rsidRPr="00AC43D9">
              <w:rPr>
                <w:rStyle w:val="CommentReference"/>
                <w:bCs w:val="0"/>
                <w:szCs w:val="24"/>
              </w:rPr>
              <w:t>72 (55%)</w:t>
            </w:r>
          </w:p>
        </w:tc>
        <w:tc>
          <w:tcPr>
            <w:tcW w:w="562" w:type="pct"/>
          </w:tcPr>
          <w:p w14:paraId="31B24227" w14:textId="20D15C8B" w:rsidR="00924935" w:rsidRPr="00AC43D9" w:rsidRDefault="00924935" w:rsidP="00750703">
            <w:pPr>
              <w:pStyle w:val="TableFigureHeading"/>
              <w:jc w:val="center"/>
              <w:rPr>
                <w:rStyle w:val="CommentReference"/>
                <w:bCs w:val="0"/>
                <w:szCs w:val="24"/>
              </w:rPr>
            </w:pPr>
            <w:r w:rsidRPr="00AC43D9">
              <w:rPr>
                <w:rStyle w:val="CommentReference"/>
                <w:bCs w:val="0"/>
                <w:szCs w:val="24"/>
              </w:rPr>
              <w:t>11 (8%)</w:t>
            </w:r>
          </w:p>
        </w:tc>
        <w:tc>
          <w:tcPr>
            <w:tcW w:w="891" w:type="pct"/>
          </w:tcPr>
          <w:p w14:paraId="2B4487F0" w14:textId="130D8283" w:rsidR="00924935" w:rsidRPr="00AC43D9" w:rsidRDefault="00924935" w:rsidP="00750703">
            <w:pPr>
              <w:pStyle w:val="TableFigureHeading"/>
              <w:jc w:val="center"/>
              <w:rPr>
                <w:rStyle w:val="CommentReference"/>
                <w:bCs w:val="0"/>
                <w:szCs w:val="24"/>
              </w:rPr>
            </w:pPr>
            <w:r w:rsidRPr="00AC43D9">
              <w:rPr>
                <w:rStyle w:val="CommentReference"/>
                <w:bCs w:val="0"/>
                <w:szCs w:val="24"/>
              </w:rPr>
              <w:t>13 (28%)</w:t>
            </w:r>
          </w:p>
        </w:tc>
        <w:tc>
          <w:tcPr>
            <w:tcW w:w="801" w:type="pct"/>
          </w:tcPr>
          <w:p w14:paraId="02BDA1CF" w14:textId="60EC8943" w:rsidR="00924935" w:rsidRPr="00AC43D9" w:rsidRDefault="00924935" w:rsidP="00750703">
            <w:pPr>
              <w:pStyle w:val="TableFigureHeading"/>
              <w:jc w:val="center"/>
              <w:rPr>
                <w:rStyle w:val="CommentReference"/>
                <w:bCs w:val="0"/>
                <w:szCs w:val="24"/>
              </w:rPr>
            </w:pPr>
            <w:r w:rsidRPr="00AC43D9">
              <w:rPr>
                <w:rStyle w:val="CommentReference"/>
                <w:bCs w:val="0"/>
                <w:szCs w:val="24"/>
              </w:rPr>
              <w:t>40 (36%)</w:t>
            </w:r>
          </w:p>
        </w:tc>
        <w:tc>
          <w:tcPr>
            <w:tcW w:w="994" w:type="pct"/>
          </w:tcPr>
          <w:p w14:paraId="15DC6FED" w14:textId="484E478D" w:rsidR="00924935" w:rsidRPr="00AC43D9" w:rsidRDefault="00924935" w:rsidP="00750703">
            <w:pPr>
              <w:pStyle w:val="TableFigureHeading"/>
              <w:jc w:val="center"/>
              <w:rPr>
                <w:rStyle w:val="CommentReference"/>
                <w:bCs w:val="0"/>
                <w:szCs w:val="24"/>
              </w:rPr>
            </w:pPr>
            <w:r w:rsidRPr="00AC43D9">
              <w:rPr>
                <w:rStyle w:val="CommentReference"/>
                <w:bCs w:val="0"/>
                <w:szCs w:val="24"/>
              </w:rPr>
              <w:t>6 (5%)</w:t>
            </w:r>
          </w:p>
        </w:tc>
      </w:tr>
      <w:tr w:rsidR="008A66FA" w:rsidRPr="00AC43D9" w14:paraId="05289E58" w14:textId="77777777" w:rsidTr="00E17D69">
        <w:tc>
          <w:tcPr>
            <w:tcW w:w="1116" w:type="pct"/>
          </w:tcPr>
          <w:p w14:paraId="5E7D8810" w14:textId="5CC827E1" w:rsidR="00924935" w:rsidRPr="00AC43D9" w:rsidRDefault="00924935" w:rsidP="00750703">
            <w:pPr>
              <w:pStyle w:val="TableFigureHeading"/>
              <w:rPr>
                <w:rStyle w:val="CommentReference"/>
                <w:bCs w:val="0"/>
                <w:szCs w:val="24"/>
              </w:rPr>
            </w:pPr>
            <w:r w:rsidRPr="00AC43D9">
              <w:rPr>
                <w:rStyle w:val="CommentReference"/>
                <w:bCs w:val="0"/>
                <w:szCs w:val="24"/>
              </w:rPr>
              <w:t>Thrombocytopenia</w:t>
            </w:r>
          </w:p>
        </w:tc>
        <w:tc>
          <w:tcPr>
            <w:tcW w:w="635" w:type="pct"/>
            <w:gridSpan w:val="2"/>
          </w:tcPr>
          <w:p w14:paraId="196FF8D4" w14:textId="79DFDAC6" w:rsidR="00924935" w:rsidRPr="00AC43D9" w:rsidRDefault="00924935" w:rsidP="00750703">
            <w:pPr>
              <w:pStyle w:val="TableFigureHeading"/>
              <w:jc w:val="center"/>
              <w:rPr>
                <w:rStyle w:val="CommentReference"/>
                <w:bCs w:val="0"/>
                <w:szCs w:val="24"/>
              </w:rPr>
            </w:pPr>
            <w:r w:rsidRPr="00AC43D9">
              <w:rPr>
                <w:rStyle w:val="CommentReference"/>
                <w:bCs w:val="0"/>
                <w:szCs w:val="24"/>
              </w:rPr>
              <w:t>53 (41%)</w:t>
            </w:r>
          </w:p>
        </w:tc>
        <w:tc>
          <w:tcPr>
            <w:tcW w:w="562" w:type="pct"/>
          </w:tcPr>
          <w:p w14:paraId="10D9AF39" w14:textId="0B22725B" w:rsidR="00924935" w:rsidRPr="00AC43D9" w:rsidRDefault="00924935" w:rsidP="00750703">
            <w:pPr>
              <w:pStyle w:val="TableFigureHeading"/>
              <w:jc w:val="center"/>
              <w:rPr>
                <w:rStyle w:val="CommentReference"/>
                <w:bCs w:val="0"/>
                <w:szCs w:val="24"/>
              </w:rPr>
            </w:pPr>
            <w:r w:rsidRPr="00AC43D9">
              <w:rPr>
                <w:rStyle w:val="CommentReference"/>
                <w:bCs w:val="0"/>
                <w:szCs w:val="24"/>
              </w:rPr>
              <w:t>32 (24%)</w:t>
            </w:r>
          </w:p>
        </w:tc>
        <w:tc>
          <w:tcPr>
            <w:tcW w:w="891" w:type="pct"/>
          </w:tcPr>
          <w:p w14:paraId="675628D3" w14:textId="71E7FB76" w:rsidR="00924935" w:rsidRPr="00AC43D9" w:rsidRDefault="00924935" w:rsidP="00750703">
            <w:pPr>
              <w:pStyle w:val="TableFigureHeading"/>
              <w:jc w:val="center"/>
              <w:rPr>
                <w:rStyle w:val="CommentReference"/>
                <w:bCs w:val="0"/>
                <w:szCs w:val="24"/>
              </w:rPr>
            </w:pPr>
            <w:r w:rsidRPr="00AC43D9">
              <w:rPr>
                <w:rStyle w:val="CommentReference"/>
                <w:bCs w:val="0"/>
                <w:szCs w:val="24"/>
              </w:rPr>
              <w:t>4</w:t>
            </w:r>
            <w:r w:rsidRPr="00AC43D9">
              <w:rPr>
                <w:rStyle w:val="CommentReference"/>
                <w:szCs w:val="24"/>
              </w:rPr>
              <w:t>6 (100%)</w:t>
            </w:r>
          </w:p>
        </w:tc>
        <w:tc>
          <w:tcPr>
            <w:tcW w:w="801" w:type="pct"/>
          </w:tcPr>
          <w:p w14:paraId="1E302289" w14:textId="4D0FF93E" w:rsidR="00924935" w:rsidRPr="00AC43D9" w:rsidRDefault="00924935" w:rsidP="00750703">
            <w:pPr>
              <w:pStyle w:val="TableFigureHeading"/>
              <w:jc w:val="center"/>
              <w:rPr>
                <w:rStyle w:val="CommentReference"/>
                <w:bCs w:val="0"/>
                <w:szCs w:val="24"/>
              </w:rPr>
            </w:pPr>
            <w:r w:rsidRPr="00AC43D9">
              <w:rPr>
                <w:rStyle w:val="CommentReference"/>
                <w:bCs w:val="0"/>
                <w:szCs w:val="24"/>
              </w:rPr>
              <w:t>45 (41%)</w:t>
            </w:r>
          </w:p>
        </w:tc>
        <w:tc>
          <w:tcPr>
            <w:tcW w:w="994" w:type="pct"/>
          </w:tcPr>
          <w:p w14:paraId="1BE040F4" w14:textId="70AAE6DA" w:rsidR="00924935" w:rsidRPr="00AC43D9" w:rsidRDefault="00924935" w:rsidP="00750703">
            <w:pPr>
              <w:pStyle w:val="TableFigureHeading"/>
              <w:jc w:val="center"/>
              <w:rPr>
                <w:rStyle w:val="CommentReference"/>
                <w:bCs w:val="0"/>
                <w:szCs w:val="24"/>
              </w:rPr>
            </w:pPr>
            <w:r w:rsidRPr="00AC43D9">
              <w:rPr>
                <w:rStyle w:val="CommentReference"/>
                <w:bCs w:val="0"/>
                <w:szCs w:val="24"/>
              </w:rPr>
              <w:t>36 (32%)</w:t>
            </w:r>
          </w:p>
        </w:tc>
      </w:tr>
      <w:tr w:rsidR="008A66FA" w:rsidRPr="00AC43D9" w14:paraId="4E8A3E54" w14:textId="77777777" w:rsidTr="00E17D69">
        <w:tc>
          <w:tcPr>
            <w:tcW w:w="1116" w:type="pct"/>
          </w:tcPr>
          <w:p w14:paraId="024F574F" w14:textId="22EE2C73" w:rsidR="00924935" w:rsidRPr="00AC43D9" w:rsidRDefault="00924935" w:rsidP="00750703">
            <w:pPr>
              <w:pStyle w:val="TableFigureHeading"/>
              <w:rPr>
                <w:rStyle w:val="CommentReference"/>
                <w:bCs w:val="0"/>
                <w:szCs w:val="24"/>
              </w:rPr>
            </w:pPr>
            <w:r w:rsidRPr="00AC43D9">
              <w:rPr>
                <w:rStyle w:val="CommentReference"/>
                <w:bCs w:val="0"/>
                <w:szCs w:val="24"/>
              </w:rPr>
              <w:t>Neutropenia</w:t>
            </w:r>
          </w:p>
        </w:tc>
        <w:tc>
          <w:tcPr>
            <w:tcW w:w="635" w:type="pct"/>
            <w:gridSpan w:val="2"/>
          </w:tcPr>
          <w:p w14:paraId="2B523038" w14:textId="0FE98CA0" w:rsidR="00924935" w:rsidRPr="00AC43D9" w:rsidRDefault="00924935" w:rsidP="00750703">
            <w:pPr>
              <w:pStyle w:val="TableFigureHeading"/>
              <w:jc w:val="center"/>
              <w:rPr>
                <w:rStyle w:val="CommentReference"/>
                <w:bCs w:val="0"/>
                <w:szCs w:val="24"/>
              </w:rPr>
            </w:pPr>
            <w:r w:rsidRPr="00AC43D9">
              <w:rPr>
                <w:rStyle w:val="CommentReference"/>
                <w:bCs w:val="0"/>
                <w:szCs w:val="24"/>
              </w:rPr>
              <w:t>39 (30%)</w:t>
            </w:r>
          </w:p>
        </w:tc>
        <w:tc>
          <w:tcPr>
            <w:tcW w:w="562" w:type="pct"/>
          </w:tcPr>
          <w:p w14:paraId="38D53429" w14:textId="769D8898" w:rsidR="00924935" w:rsidRPr="00AC43D9" w:rsidRDefault="00924935" w:rsidP="00750703">
            <w:pPr>
              <w:pStyle w:val="TableFigureHeading"/>
              <w:jc w:val="center"/>
              <w:rPr>
                <w:rStyle w:val="CommentReference"/>
                <w:bCs w:val="0"/>
                <w:szCs w:val="24"/>
              </w:rPr>
            </w:pPr>
            <w:r w:rsidRPr="00AC43D9">
              <w:rPr>
                <w:rStyle w:val="CommentReference"/>
                <w:bCs w:val="0"/>
                <w:szCs w:val="24"/>
              </w:rPr>
              <w:t>26 (20%)</w:t>
            </w:r>
          </w:p>
        </w:tc>
        <w:tc>
          <w:tcPr>
            <w:tcW w:w="891" w:type="pct"/>
          </w:tcPr>
          <w:p w14:paraId="3C978E8D" w14:textId="7EFAEF14" w:rsidR="00924935" w:rsidRPr="00AC43D9" w:rsidRDefault="00924935" w:rsidP="00750703">
            <w:pPr>
              <w:pStyle w:val="TableFigureHeading"/>
              <w:jc w:val="center"/>
              <w:rPr>
                <w:rStyle w:val="CommentReference"/>
                <w:bCs w:val="0"/>
                <w:szCs w:val="24"/>
              </w:rPr>
            </w:pPr>
            <w:r w:rsidRPr="00AC43D9">
              <w:rPr>
                <w:rStyle w:val="CommentReference"/>
                <w:bCs w:val="0"/>
                <w:szCs w:val="24"/>
              </w:rPr>
              <w:t>37 (78%)</w:t>
            </w:r>
          </w:p>
        </w:tc>
        <w:tc>
          <w:tcPr>
            <w:tcW w:w="801" w:type="pct"/>
          </w:tcPr>
          <w:p w14:paraId="56E0F8C6" w14:textId="4CBB2F07" w:rsidR="00924935" w:rsidRPr="00AC43D9" w:rsidRDefault="00924935" w:rsidP="00750703">
            <w:pPr>
              <w:pStyle w:val="TableFigureHeading"/>
              <w:jc w:val="center"/>
              <w:rPr>
                <w:rStyle w:val="CommentReference"/>
                <w:bCs w:val="0"/>
                <w:szCs w:val="24"/>
              </w:rPr>
            </w:pPr>
            <w:r w:rsidRPr="00AC43D9">
              <w:rPr>
                <w:rStyle w:val="CommentReference"/>
                <w:bCs w:val="0"/>
                <w:szCs w:val="24"/>
              </w:rPr>
              <w:t>26 (25%)</w:t>
            </w:r>
          </w:p>
        </w:tc>
        <w:tc>
          <w:tcPr>
            <w:tcW w:w="994" w:type="pct"/>
          </w:tcPr>
          <w:p w14:paraId="1636C758" w14:textId="7706AA5E" w:rsidR="00924935" w:rsidRPr="00AC43D9" w:rsidRDefault="00924935" w:rsidP="00750703">
            <w:pPr>
              <w:pStyle w:val="TableFigureHeading"/>
              <w:jc w:val="center"/>
              <w:rPr>
                <w:rStyle w:val="CommentReference"/>
                <w:bCs w:val="0"/>
                <w:szCs w:val="24"/>
              </w:rPr>
            </w:pPr>
            <w:r w:rsidRPr="00AC43D9">
              <w:rPr>
                <w:rStyle w:val="CommentReference"/>
                <w:bCs w:val="0"/>
                <w:szCs w:val="24"/>
              </w:rPr>
              <w:t>24 (22%)</w:t>
            </w:r>
          </w:p>
        </w:tc>
      </w:tr>
      <w:tr w:rsidR="008A66FA" w:rsidRPr="00AC43D9" w14:paraId="059014B7" w14:textId="77777777" w:rsidTr="00E17D69">
        <w:tc>
          <w:tcPr>
            <w:tcW w:w="1116" w:type="pct"/>
          </w:tcPr>
          <w:p w14:paraId="288601AC" w14:textId="49DD7A11" w:rsidR="00924935" w:rsidRPr="00AC43D9" w:rsidRDefault="00924935" w:rsidP="00750703">
            <w:pPr>
              <w:pStyle w:val="TableFigureHeading"/>
              <w:rPr>
                <w:rStyle w:val="CommentReference"/>
                <w:bCs w:val="0"/>
                <w:szCs w:val="24"/>
              </w:rPr>
            </w:pPr>
            <w:r w:rsidRPr="00AC43D9">
              <w:rPr>
                <w:rStyle w:val="CommentReference"/>
                <w:bCs w:val="0"/>
                <w:szCs w:val="24"/>
              </w:rPr>
              <w:t>Anaemia</w:t>
            </w:r>
          </w:p>
        </w:tc>
        <w:tc>
          <w:tcPr>
            <w:tcW w:w="635" w:type="pct"/>
            <w:gridSpan w:val="2"/>
          </w:tcPr>
          <w:p w14:paraId="03E7027A" w14:textId="6E3B30F7" w:rsidR="00924935" w:rsidRPr="00AC43D9" w:rsidRDefault="00924935" w:rsidP="00750703">
            <w:pPr>
              <w:pStyle w:val="TableFigureHeading"/>
              <w:jc w:val="center"/>
              <w:rPr>
                <w:rStyle w:val="CommentReference"/>
                <w:bCs w:val="0"/>
                <w:szCs w:val="24"/>
              </w:rPr>
            </w:pPr>
            <w:r w:rsidRPr="00AC43D9">
              <w:rPr>
                <w:rStyle w:val="CommentReference"/>
                <w:bCs w:val="0"/>
                <w:szCs w:val="24"/>
              </w:rPr>
              <w:t>32 (24%)</w:t>
            </w:r>
          </w:p>
        </w:tc>
        <w:tc>
          <w:tcPr>
            <w:tcW w:w="562" w:type="pct"/>
          </w:tcPr>
          <w:p w14:paraId="37FADF34" w14:textId="20FFFE17" w:rsidR="00924935" w:rsidRPr="00AC43D9" w:rsidRDefault="00924935" w:rsidP="00750703">
            <w:pPr>
              <w:pStyle w:val="TableFigureHeading"/>
              <w:jc w:val="center"/>
              <w:rPr>
                <w:rStyle w:val="CommentReference"/>
                <w:bCs w:val="0"/>
                <w:szCs w:val="24"/>
              </w:rPr>
            </w:pPr>
            <w:r w:rsidRPr="00AC43D9">
              <w:rPr>
                <w:rStyle w:val="CommentReference"/>
                <w:bCs w:val="0"/>
                <w:szCs w:val="24"/>
              </w:rPr>
              <w:t>14 (11%)</w:t>
            </w:r>
          </w:p>
        </w:tc>
        <w:tc>
          <w:tcPr>
            <w:tcW w:w="891" w:type="pct"/>
          </w:tcPr>
          <w:p w14:paraId="7D49A692" w14:textId="22D19735" w:rsidR="00924935" w:rsidRPr="00AC43D9" w:rsidRDefault="00924935" w:rsidP="00750703">
            <w:pPr>
              <w:pStyle w:val="TableFigureHeading"/>
              <w:jc w:val="center"/>
              <w:rPr>
                <w:rStyle w:val="CommentReference"/>
                <w:bCs w:val="0"/>
                <w:szCs w:val="24"/>
              </w:rPr>
            </w:pPr>
            <w:r w:rsidRPr="00AC43D9">
              <w:rPr>
                <w:rStyle w:val="CommentReference"/>
                <w:bCs w:val="0"/>
                <w:szCs w:val="24"/>
              </w:rPr>
              <w:t>15 (32%)</w:t>
            </w:r>
          </w:p>
        </w:tc>
        <w:tc>
          <w:tcPr>
            <w:tcW w:w="801" w:type="pct"/>
          </w:tcPr>
          <w:p w14:paraId="0016E74C" w14:textId="03415BE5" w:rsidR="00924935" w:rsidRPr="00AC43D9" w:rsidRDefault="00924935" w:rsidP="00750703">
            <w:pPr>
              <w:pStyle w:val="TableFigureHeading"/>
              <w:jc w:val="center"/>
              <w:rPr>
                <w:rStyle w:val="CommentReference"/>
                <w:bCs w:val="0"/>
                <w:szCs w:val="24"/>
              </w:rPr>
            </w:pPr>
            <w:r w:rsidRPr="00AC43D9">
              <w:rPr>
                <w:rStyle w:val="CommentReference"/>
                <w:bCs w:val="0"/>
                <w:szCs w:val="24"/>
              </w:rPr>
              <w:t>38 (34%)</w:t>
            </w:r>
          </w:p>
        </w:tc>
        <w:tc>
          <w:tcPr>
            <w:tcW w:w="994" w:type="pct"/>
          </w:tcPr>
          <w:p w14:paraId="0C467200" w14:textId="4D81A76F" w:rsidR="00924935" w:rsidRPr="00AC43D9" w:rsidRDefault="00924935" w:rsidP="00750703">
            <w:pPr>
              <w:pStyle w:val="TableFigureHeading"/>
              <w:jc w:val="center"/>
              <w:rPr>
                <w:rStyle w:val="CommentReference"/>
                <w:bCs w:val="0"/>
                <w:szCs w:val="24"/>
              </w:rPr>
            </w:pPr>
            <w:r w:rsidRPr="00AC43D9">
              <w:rPr>
                <w:rStyle w:val="CommentReference"/>
                <w:bCs w:val="0"/>
                <w:szCs w:val="24"/>
              </w:rPr>
              <w:t>20 (18%)</w:t>
            </w:r>
          </w:p>
        </w:tc>
      </w:tr>
      <w:tr w:rsidR="008A66FA" w:rsidRPr="00AC43D9" w14:paraId="459C42E5" w14:textId="77777777" w:rsidTr="00E17D69">
        <w:tc>
          <w:tcPr>
            <w:tcW w:w="1116" w:type="pct"/>
          </w:tcPr>
          <w:p w14:paraId="03775221" w14:textId="1B74F08A" w:rsidR="00924935" w:rsidRPr="00AC43D9" w:rsidRDefault="00924935" w:rsidP="00750703">
            <w:pPr>
              <w:pStyle w:val="TableFigureHeading"/>
              <w:rPr>
                <w:rStyle w:val="CommentReference"/>
                <w:bCs w:val="0"/>
                <w:szCs w:val="24"/>
              </w:rPr>
            </w:pPr>
            <w:r w:rsidRPr="00AC43D9">
              <w:rPr>
                <w:rStyle w:val="CommentReference"/>
                <w:bCs w:val="0"/>
                <w:szCs w:val="24"/>
              </w:rPr>
              <w:t>Mucositis</w:t>
            </w:r>
          </w:p>
        </w:tc>
        <w:tc>
          <w:tcPr>
            <w:tcW w:w="635" w:type="pct"/>
            <w:gridSpan w:val="2"/>
          </w:tcPr>
          <w:p w14:paraId="729E3367" w14:textId="54C06F5C" w:rsidR="00924935" w:rsidRPr="00AC43D9" w:rsidRDefault="00924935" w:rsidP="00750703">
            <w:pPr>
              <w:pStyle w:val="TableFigureHeading"/>
              <w:jc w:val="center"/>
              <w:rPr>
                <w:rStyle w:val="CommentReference"/>
                <w:bCs w:val="0"/>
                <w:szCs w:val="24"/>
              </w:rPr>
            </w:pPr>
            <w:r w:rsidRPr="00AC43D9">
              <w:rPr>
                <w:rStyle w:val="CommentReference"/>
                <w:bCs w:val="0"/>
                <w:szCs w:val="24"/>
              </w:rPr>
              <w:t>13 (10%)</w:t>
            </w:r>
          </w:p>
        </w:tc>
        <w:tc>
          <w:tcPr>
            <w:tcW w:w="562" w:type="pct"/>
          </w:tcPr>
          <w:p w14:paraId="13965E75" w14:textId="757CFD73" w:rsidR="00924935" w:rsidRPr="00AC43D9" w:rsidRDefault="00924935" w:rsidP="00750703">
            <w:pPr>
              <w:pStyle w:val="TableFigureHeading"/>
              <w:jc w:val="center"/>
              <w:rPr>
                <w:rStyle w:val="CommentReference"/>
                <w:bCs w:val="0"/>
                <w:szCs w:val="24"/>
              </w:rPr>
            </w:pPr>
            <w:r w:rsidRPr="00AC43D9">
              <w:rPr>
                <w:rStyle w:val="CommentReference"/>
                <w:bCs w:val="0"/>
                <w:szCs w:val="24"/>
              </w:rPr>
              <w:t>0</w:t>
            </w:r>
          </w:p>
        </w:tc>
        <w:tc>
          <w:tcPr>
            <w:tcW w:w="891" w:type="pct"/>
          </w:tcPr>
          <w:p w14:paraId="19709381" w14:textId="04214F85" w:rsidR="00924935" w:rsidRPr="00AC43D9" w:rsidRDefault="00924935" w:rsidP="00750703">
            <w:pPr>
              <w:pStyle w:val="TableFigureHeading"/>
              <w:jc w:val="center"/>
              <w:rPr>
                <w:rStyle w:val="CommentReference"/>
                <w:bCs w:val="0"/>
                <w:szCs w:val="24"/>
              </w:rPr>
            </w:pPr>
            <w:r w:rsidRPr="00AC43D9">
              <w:rPr>
                <w:rStyle w:val="CommentReference"/>
                <w:bCs w:val="0"/>
                <w:szCs w:val="24"/>
              </w:rPr>
              <w:t>8 (17%)</w:t>
            </w:r>
          </w:p>
        </w:tc>
        <w:tc>
          <w:tcPr>
            <w:tcW w:w="801" w:type="pct"/>
          </w:tcPr>
          <w:p w14:paraId="614E90EC" w14:textId="29BF93E2" w:rsidR="00924935" w:rsidRPr="00AC43D9" w:rsidRDefault="00924935" w:rsidP="00750703">
            <w:pPr>
              <w:pStyle w:val="TableFigureHeading"/>
              <w:jc w:val="center"/>
              <w:rPr>
                <w:rStyle w:val="CommentReference"/>
                <w:bCs w:val="0"/>
                <w:szCs w:val="24"/>
              </w:rPr>
            </w:pPr>
            <w:r w:rsidRPr="00AC43D9">
              <w:rPr>
                <w:rStyle w:val="CommentReference"/>
                <w:bCs w:val="0"/>
                <w:szCs w:val="24"/>
              </w:rPr>
              <w:t>79 (71%)</w:t>
            </w:r>
          </w:p>
        </w:tc>
        <w:tc>
          <w:tcPr>
            <w:tcW w:w="994" w:type="pct"/>
          </w:tcPr>
          <w:p w14:paraId="7B960720" w14:textId="43C7A79A" w:rsidR="00924935" w:rsidRPr="00AC43D9" w:rsidRDefault="00924935" w:rsidP="00750703">
            <w:pPr>
              <w:pStyle w:val="TableFigureHeading"/>
              <w:jc w:val="center"/>
              <w:rPr>
                <w:rStyle w:val="CommentReference"/>
                <w:bCs w:val="0"/>
                <w:szCs w:val="24"/>
              </w:rPr>
            </w:pPr>
            <w:r w:rsidRPr="00AC43D9">
              <w:rPr>
                <w:rStyle w:val="CommentReference"/>
                <w:bCs w:val="0"/>
                <w:szCs w:val="24"/>
              </w:rPr>
              <w:t>24 (22%)</w:t>
            </w:r>
          </w:p>
        </w:tc>
      </w:tr>
    </w:tbl>
    <w:p w14:paraId="3ACD574B" w14:textId="0F2F793A" w:rsidR="002E7EEA" w:rsidRDefault="005D26B4" w:rsidP="00750703">
      <w:pPr>
        <w:pStyle w:val="FooterTableFigure"/>
        <w:spacing w:after="0"/>
        <w:rPr>
          <w:rFonts w:eastAsia="Calibri"/>
        </w:rPr>
      </w:pPr>
      <w:r w:rsidRPr="0098262F">
        <w:t>Source:</w:t>
      </w:r>
      <w:r w:rsidR="00896D5A">
        <w:t xml:space="preserve"> Constructed during the evaluation from published reports</w:t>
      </w:r>
      <w:r w:rsidR="00266A85">
        <w:t xml:space="preserve">. </w:t>
      </w:r>
    </w:p>
    <w:p w14:paraId="5C0B7EB8" w14:textId="5A0BE137" w:rsidR="000226C1" w:rsidRPr="00286CAC" w:rsidRDefault="000226C1" w:rsidP="00750703">
      <w:pPr>
        <w:pStyle w:val="3-BodyText"/>
        <w:spacing w:before="160" w:after="160"/>
        <w:ind w:left="720"/>
      </w:pPr>
      <w:r w:rsidRPr="00286CAC">
        <w:t>Adverse events were similar</w:t>
      </w:r>
      <w:r w:rsidR="00F82315">
        <w:t xml:space="preserve"> across the studies</w:t>
      </w:r>
      <w:r w:rsidRPr="00286CAC">
        <w:t xml:space="preserve">, except that mucositis was </w:t>
      </w:r>
      <w:r w:rsidR="00AC0741" w:rsidRPr="00286CAC">
        <w:t xml:space="preserve">more </w:t>
      </w:r>
      <w:r w:rsidRPr="00286CAC">
        <w:t>common</w:t>
      </w:r>
      <w:r w:rsidR="00AC0741" w:rsidRPr="00286CAC">
        <w:t xml:space="preserve"> </w:t>
      </w:r>
      <w:r w:rsidRPr="00286CAC">
        <w:t xml:space="preserve">in PROPEL and was a common cause of reduction of pralatrexate dose and an occasional cause of treatment withdrawal. </w:t>
      </w:r>
    </w:p>
    <w:p w14:paraId="5B3F659A" w14:textId="6BBA9D0C" w:rsidR="00D715FA" w:rsidRPr="00286CAC" w:rsidRDefault="00D715FA" w:rsidP="00750703">
      <w:pPr>
        <w:pStyle w:val="3-BodyText"/>
        <w:spacing w:before="160" w:after="160"/>
        <w:ind w:left="720"/>
      </w:pPr>
      <w:r w:rsidRPr="00286CAC">
        <w:lastRenderedPageBreak/>
        <w:t>Cardiac adverse events were not noted in GPI</w:t>
      </w:r>
      <w:r w:rsidR="00750703">
        <w:noBreakHyphen/>
      </w:r>
      <w:r w:rsidRPr="00286CAC">
        <w:t>06</w:t>
      </w:r>
      <w:r w:rsidR="00750703">
        <w:noBreakHyphen/>
      </w:r>
      <w:r w:rsidRPr="00286CAC">
        <w:t>0002</w:t>
      </w:r>
      <w:r w:rsidR="005608A2">
        <w:t>, although tachycardia was noted as a treatment emergent adverse event</w:t>
      </w:r>
      <w:r w:rsidRPr="00286CAC">
        <w:t>. However, in the first study of romidepsin in cutaneous T</w:t>
      </w:r>
      <w:r w:rsidR="00750703">
        <w:noBreakHyphen/>
      </w:r>
      <w:r w:rsidRPr="00286CAC">
        <w:t>cell lymphoma, in which the exclusions related to the cardiac effects of romidepsin were not applied, ST or T wave changes in the ECG were reported in 80% of patients and QT prolongation in 9%, and there were two cases of supr</w:t>
      </w:r>
      <w:r w:rsidR="000C46E6" w:rsidRPr="00286CAC">
        <w:t>a</w:t>
      </w:r>
      <w:r w:rsidRPr="00286CAC">
        <w:t xml:space="preserve">ventricular </w:t>
      </w:r>
      <w:r w:rsidR="000C46E6" w:rsidRPr="00286CAC">
        <w:t xml:space="preserve">arrhythmia </w:t>
      </w:r>
      <w:r w:rsidRPr="00286CAC">
        <w:t xml:space="preserve">and three of ventricular </w:t>
      </w:r>
      <w:r w:rsidR="000C46E6" w:rsidRPr="00286CAC">
        <w:t>arrhythmia</w:t>
      </w:r>
      <w:r w:rsidRPr="00286CAC">
        <w:t>.</w:t>
      </w:r>
      <w:r w:rsidRPr="00286CAC">
        <w:rPr>
          <w:rStyle w:val="FootnoteReference"/>
        </w:rPr>
        <w:footnoteReference w:id="14"/>
      </w:r>
      <w:r w:rsidRPr="00286CAC">
        <w:t xml:space="preserve"> </w:t>
      </w:r>
      <w:r w:rsidR="000C46E6" w:rsidRPr="00286CAC">
        <w:t>In Piekarz</w:t>
      </w:r>
      <w:r w:rsidR="00D37145">
        <w:t xml:space="preserve"> et al.</w:t>
      </w:r>
      <w:r w:rsidR="000C46E6" w:rsidRPr="00286CAC">
        <w:t>, 2011, one patient with an extensive history of vascular disease died unexpectedly during romidepsin treatment, as a result of which patients with cardiovascular disease were</w:t>
      </w:r>
      <w:r w:rsidR="00BD7580" w:rsidRPr="00286CAC">
        <w:t xml:space="preserve"> </w:t>
      </w:r>
      <w:r w:rsidR="000C46E6" w:rsidRPr="00286CAC">
        <w:t>excluded from the study. Cardiac adverse events due to romidepsin may be more frequent in widespread clinical use than in the studies if at</w:t>
      </w:r>
      <w:r w:rsidR="00750703">
        <w:noBreakHyphen/>
      </w:r>
      <w:r w:rsidR="000C46E6" w:rsidRPr="00286CAC">
        <w:t>risk patients are less carefully excluded</w:t>
      </w:r>
      <w:r w:rsidR="00000533" w:rsidRPr="00286CAC">
        <w:t xml:space="preserve">. </w:t>
      </w:r>
      <w:r w:rsidR="00924935" w:rsidRPr="00286CAC">
        <w:t>In M</w:t>
      </w:r>
      <w:r w:rsidR="00ED7B48" w:rsidRPr="00286CAC">
        <w:t>aru</w:t>
      </w:r>
      <w:r w:rsidR="00924935" w:rsidRPr="00286CAC">
        <w:t>yama</w:t>
      </w:r>
      <w:r w:rsidR="00D37145">
        <w:t xml:space="preserve"> et al.</w:t>
      </w:r>
      <w:r w:rsidR="00924935" w:rsidRPr="00286CAC">
        <w:t>, 2017 there were four cases of atrial fibrillation and two of supr</w:t>
      </w:r>
      <w:r w:rsidR="0009383B" w:rsidRPr="00286CAC">
        <w:t>a</w:t>
      </w:r>
      <w:r w:rsidR="00924935" w:rsidRPr="00286CAC">
        <w:t xml:space="preserve">ventricular extrasystole reported as adverse events. </w:t>
      </w:r>
    </w:p>
    <w:p w14:paraId="30F44717" w14:textId="07BAE636" w:rsidR="002E7EEA" w:rsidRPr="00286CAC" w:rsidRDefault="002E7EEA" w:rsidP="00750703">
      <w:pPr>
        <w:pStyle w:val="3-BodyText"/>
        <w:spacing w:before="160" w:after="160"/>
        <w:ind w:left="720"/>
      </w:pPr>
      <w:r w:rsidRPr="00286CAC">
        <w:t xml:space="preserve">Available data for </w:t>
      </w:r>
      <w:r w:rsidR="00E11F11" w:rsidRPr="00286CAC">
        <w:t>dose reductions, treatment withdrawal and death are shown in</w:t>
      </w:r>
      <w:r w:rsidR="00750703">
        <w:t xml:space="preserve"> </w:t>
      </w:r>
      <w:r w:rsidR="004D11BA" w:rsidRPr="00286CAC">
        <w:fldChar w:fldCharType="begin"/>
      </w:r>
      <w:r w:rsidR="004D11BA" w:rsidRPr="00286CAC">
        <w:instrText xml:space="preserve"> REF _Ref216690180 \h </w:instrText>
      </w:r>
      <w:r w:rsidR="00286CAC" w:rsidRPr="00286CAC">
        <w:instrText xml:space="preserve"> \* MERGEFORMAT </w:instrText>
      </w:r>
      <w:r w:rsidR="004D11BA" w:rsidRPr="00286CAC">
        <w:fldChar w:fldCharType="separate"/>
      </w:r>
      <w:r w:rsidR="004D11BA" w:rsidRPr="00286CAC">
        <w:t xml:space="preserve">Table </w:t>
      </w:r>
      <w:r w:rsidR="004D11BA" w:rsidRPr="00286CAC">
        <w:rPr>
          <w:noProof/>
        </w:rPr>
        <w:t>8</w:t>
      </w:r>
      <w:r w:rsidR="004D11BA" w:rsidRPr="00286CAC">
        <w:fldChar w:fldCharType="end"/>
      </w:r>
      <w:r w:rsidR="003779C1" w:rsidRPr="00286CAC">
        <w:t>.</w:t>
      </w:r>
    </w:p>
    <w:p w14:paraId="28C43712" w14:textId="1D8BD0C6" w:rsidR="00E11F11" w:rsidRDefault="004D11BA" w:rsidP="00750703">
      <w:pPr>
        <w:pStyle w:val="Caption"/>
      </w:pPr>
      <w:bookmarkStart w:id="32" w:name="_Ref216690180"/>
      <w:r>
        <w:t xml:space="preserve">Table </w:t>
      </w:r>
      <w:fldSimple w:instr=" SEQ Table \* ARABIC ">
        <w:r w:rsidR="000B22F7">
          <w:rPr>
            <w:noProof/>
          </w:rPr>
          <w:t>8</w:t>
        </w:r>
      </w:fldSimple>
      <w:bookmarkEnd w:id="32"/>
      <w:r>
        <w:t xml:space="preserve">: </w:t>
      </w:r>
      <w:r w:rsidR="00E11F11">
        <w:t>Dose reductions, withdrawals and deaths in the studies</w:t>
      </w:r>
    </w:p>
    <w:tbl>
      <w:tblPr>
        <w:tblStyle w:val="TableGrid"/>
        <w:tblW w:w="0" w:type="auto"/>
        <w:tblLook w:val="04A0" w:firstRow="1" w:lastRow="0" w:firstColumn="1" w:lastColumn="0" w:noHBand="0" w:noVBand="1"/>
        <w:tblCaption w:val="Table 8: Dose reductions, withdrawals and deaths in the studies"/>
      </w:tblPr>
      <w:tblGrid>
        <w:gridCol w:w="3104"/>
        <w:gridCol w:w="1156"/>
        <w:gridCol w:w="1413"/>
        <w:gridCol w:w="1528"/>
        <w:gridCol w:w="1816"/>
      </w:tblGrid>
      <w:tr w:rsidR="008A57E3" w:rsidRPr="003C32C6" w14:paraId="10F7339B" w14:textId="77777777" w:rsidTr="001D4ADC">
        <w:tc>
          <w:tcPr>
            <w:tcW w:w="3114" w:type="dxa"/>
            <w:vMerge w:val="restart"/>
          </w:tcPr>
          <w:p w14:paraId="28DB9916" w14:textId="77777777" w:rsidR="00E17D69" w:rsidRPr="003C32C6" w:rsidRDefault="00E17D69" w:rsidP="00750703">
            <w:pPr>
              <w:pStyle w:val="TableFigureHeading"/>
            </w:pPr>
          </w:p>
        </w:tc>
        <w:tc>
          <w:tcPr>
            <w:tcW w:w="4082" w:type="dxa"/>
            <w:gridSpan w:val="3"/>
          </w:tcPr>
          <w:p w14:paraId="7CF8017A" w14:textId="15E44BD9" w:rsidR="00E17D69" w:rsidRPr="003C32C6" w:rsidRDefault="00E17D69" w:rsidP="00750703">
            <w:pPr>
              <w:pStyle w:val="TableFigureHeading"/>
              <w:jc w:val="center"/>
              <w:rPr>
                <w:rStyle w:val="CommentReference"/>
                <w:b/>
                <w:szCs w:val="24"/>
              </w:rPr>
            </w:pPr>
            <w:r w:rsidRPr="003C32C6">
              <w:rPr>
                <w:rStyle w:val="CommentReference"/>
                <w:b/>
                <w:szCs w:val="24"/>
              </w:rPr>
              <w:t>Romidepsin Studies</w:t>
            </w:r>
          </w:p>
        </w:tc>
        <w:tc>
          <w:tcPr>
            <w:tcW w:w="1821" w:type="dxa"/>
          </w:tcPr>
          <w:p w14:paraId="515DA7B2" w14:textId="012D7BA2" w:rsidR="00E17D69" w:rsidRPr="003C32C6" w:rsidRDefault="00E17D69" w:rsidP="00750703">
            <w:pPr>
              <w:pStyle w:val="TableFigureHeading"/>
              <w:jc w:val="center"/>
              <w:rPr>
                <w:rStyle w:val="CommentReference"/>
                <w:b/>
                <w:szCs w:val="24"/>
              </w:rPr>
            </w:pPr>
            <w:r w:rsidRPr="003C32C6">
              <w:rPr>
                <w:rStyle w:val="CommentReference"/>
                <w:b/>
                <w:szCs w:val="24"/>
              </w:rPr>
              <w:t>Pralatrexate Study</w:t>
            </w:r>
          </w:p>
        </w:tc>
      </w:tr>
      <w:tr w:rsidR="00B617ED" w:rsidRPr="003C32C6" w14:paraId="04D270A4" w14:textId="77777777" w:rsidTr="001D4ADC">
        <w:tc>
          <w:tcPr>
            <w:tcW w:w="3114" w:type="dxa"/>
            <w:vMerge/>
          </w:tcPr>
          <w:p w14:paraId="07D40358" w14:textId="77777777" w:rsidR="00E17D69" w:rsidRPr="003C32C6" w:rsidRDefault="00E17D69" w:rsidP="00750703">
            <w:pPr>
              <w:pStyle w:val="TableFigureHeading"/>
            </w:pPr>
          </w:p>
        </w:tc>
        <w:tc>
          <w:tcPr>
            <w:tcW w:w="1134" w:type="dxa"/>
          </w:tcPr>
          <w:p w14:paraId="509210B7" w14:textId="55ACB123" w:rsidR="00E17D69" w:rsidRPr="003C32C6" w:rsidRDefault="00E17D69" w:rsidP="00750703">
            <w:pPr>
              <w:pStyle w:val="TableFigureHeading"/>
              <w:jc w:val="center"/>
              <w:rPr>
                <w:rStyle w:val="CommentReference"/>
                <w:b/>
                <w:szCs w:val="24"/>
              </w:rPr>
            </w:pPr>
            <w:r w:rsidRPr="003C32C6">
              <w:rPr>
                <w:rStyle w:val="CommentReference"/>
                <w:b/>
                <w:szCs w:val="24"/>
              </w:rPr>
              <w:t>GPI</w:t>
            </w:r>
            <w:r w:rsidR="00750703">
              <w:rPr>
                <w:rStyle w:val="CommentReference"/>
                <w:b/>
                <w:szCs w:val="24"/>
              </w:rPr>
              <w:noBreakHyphen/>
            </w:r>
            <w:r w:rsidRPr="003C32C6">
              <w:rPr>
                <w:rStyle w:val="CommentReference"/>
                <w:b/>
                <w:szCs w:val="24"/>
              </w:rPr>
              <w:t>06</w:t>
            </w:r>
            <w:r w:rsidR="00750703">
              <w:rPr>
                <w:rStyle w:val="CommentReference"/>
                <w:b/>
                <w:szCs w:val="24"/>
              </w:rPr>
              <w:noBreakHyphen/>
            </w:r>
            <w:r w:rsidRPr="003C32C6">
              <w:rPr>
                <w:rStyle w:val="CommentReference"/>
                <w:b/>
                <w:szCs w:val="24"/>
              </w:rPr>
              <w:t>0002</w:t>
            </w:r>
          </w:p>
          <w:p w14:paraId="6B90FABE" w14:textId="0E98162C" w:rsidR="00E17D69" w:rsidRPr="003C32C6" w:rsidRDefault="00E17D69" w:rsidP="00750703">
            <w:pPr>
              <w:pStyle w:val="TableFigureHeading"/>
              <w:jc w:val="center"/>
            </w:pPr>
            <w:r w:rsidRPr="003C32C6">
              <w:rPr>
                <w:rStyle w:val="CommentReference"/>
                <w:b/>
                <w:szCs w:val="24"/>
              </w:rPr>
              <w:t>N = 130</w:t>
            </w:r>
          </w:p>
        </w:tc>
        <w:tc>
          <w:tcPr>
            <w:tcW w:w="1417" w:type="dxa"/>
          </w:tcPr>
          <w:p w14:paraId="7B9759B7" w14:textId="77777777" w:rsidR="00E17D69" w:rsidRPr="003C32C6" w:rsidRDefault="00E17D69" w:rsidP="00750703">
            <w:pPr>
              <w:pStyle w:val="TableFigureHeading"/>
              <w:jc w:val="center"/>
              <w:rPr>
                <w:rStyle w:val="CommentReference"/>
                <w:b/>
                <w:szCs w:val="24"/>
              </w:rPr>
            </w:pPr>
            <w:r w:rsidRPr="003C32C6">
              <w:rPr>
                <w:rStyle w:val="CommentReference"/>
                <w:b/>
                <w:szCs w:val="24"/>
              </w:rPr>
              <w:t>Piekarz, 2011</w:t>
            </w:r>
          </w:p>
          <w:p w14:paraId="33F03892" w14:textId="7859C979" w:rsidR="00E17D69" w:rsidRPr="003C32C6" w:rsidRDefault="00E17D69" w:rsidP="00750703">
            <w:pPr>
              <w:pStyle w:val="TableFigureHeading"/>
              <w:jc w:val="center"/>
            </w:pPr>
            <w:r w:rsidRPr="003C32C6">
              <w:rPr>
                <w:rStyle w:val="CommentReference"/>
                <w:b/>
                <w:szCs w:val="24"/>
              </w:rPr>
              <w:t>N = 47</w:t>
            </w:r>
          </w:p>
        </w:tc>
        <w:tc>
          <w:tcPr>
            <w:tcW w:w="1531" w:type="dxa"/>
          </w:tcPr>
          <w:p w14:paraId="54FAE79A" w14:textId="2E1D8DD9" w:rsidR="00E17D69" w:rsidRPr="003C32C6" w:rsidRDefault="00E17D69" w:rsidP="00750703">
            <w:pPr>
              <w:pStyle w:val="TableFigureHeading"/>
              <w:jc w:val="center"/>
              <w:rPr>
                <w:rStyle w:val="CommentReference"/>
                <w:b/>
                <w:szCs w:val="24"/>
              </w:rPr>
            </w:pPr>
            <w:r w:rsidRPr="003C32C6">
              <w:rPr>
                <w:rStyle w:val="CommentReference"/>
                <w:b/>
                <w:szCs w:val="24"/>
              </w:rPr>
              <w:t>Maruyama, 2017</w:t>
            </w:r>
          </w:p>
          <w:p w14:paraId="418786DA" w14:textId="75269D08" w:rsidR="00E17D69" w:rsidRPr="003C32C6" w:rsidRDefault="00E17D69" w:rsidP="00750703">
            <w:pPr>
              <w:pStyle w:val="TableFigureHeading"/>
              <w:jc w:val="center"/>
              <w:rPr>
                <w:rStyle w:val="CommentReference"/>
                <w:b/>
                <w:szCs w:val="24"/>
              </w:rPr>
            </w:pPr>
            <w:r w:rsidRPr="003C32C6">
              <w:rPr>
                <w:rStyle w:val="CommentReference"/>
                <w:b/>
                <w:szCs w:val="24"/>
              </w:rPr>
              <w:t>N = 46</w:t>
            </w:r>
          </w:p>
        </w:tc>
        <w:tc>
          <w:tcPr>
            <w:tcW w:w="1821" w:type="dxa"/>
          </w:tcPr>
          <w:p w14:paraId="27931ADF" w14:textId="63C2C189" w:rsidR="00E17D69" w:rsidRPr="003C32C6" w:rsidRDefault="00E17D69" w:rsidP="00750703">
            <w:pPr>
              <w:pStyle w:val="TableFigureHeading"/>
              <w:jc w:val="center"/>
              <w:rPr>
                <w:rStyle w:val="CommentReference"/>
                <w:b/>
                <w:szCs w:val="24"/>
              </w:rPr>
            </w:pPr>
            <w:r w:rsidRPr="003C32C6">
              <w:rPr>
                <w:rStyle w:val="CommentReference"/>
                <w:b/>
                <w:szCs w:val="24"/>
              </w:rPr>
              <w:t>PROPEL</w:t>
            </w:r>
          </w:p>
          <w:p w14:paraId="21B701F2" w14:textId="517AB6DA" w:rsidR="00E17D69" w:rsidRPr="003C32C6" w:rsidRDefault="00E17D69" w:rsidP="00750703">
            <w:pPr>
              <w:pStyle w:val="TableFigureHeading"/>
              <w:jc w:val="center"/>
            </w:pPr>
            <w:r w:rsidRPr="003C32C6">
              <w:rPr>
                <w:rStyle w:val="CommentReference"/>
                <w:b/>
                <w:szCs w:val="24"/>
              </w:rPr>
              <w:t>N = 111</w:t>
            </w:r>
          </w:p>
        </w:tc>
      </w:tr>
      <w:tr w:rsidR="00B617ED" w:rsidRPr="003C32C6" w14:paraId="289E0D50" w14:textId="77777777" w:rsidTr="001D4ADC">
        <w:tc>
          <w:tcPr>
            <w:tcW w:w="3114" w:type="dxa"/>
          </w:tcPr>
          <w:p w14:paraId="2DA6B289" w14:textId="77777777" w:rsidR="00630900" w:rsidRPr="003C32C6" w:rsidRDefault="00630900" w:rsidP="00750703">
            <w:pPr>
              <w:pStyle w:val="TableFigureHeading"/>
              <w:rPr>
                <w:b w:val="0"/>
                <w:bCs w:val="0"/>
              </w:rPr>
            </w:pPr>
            <w:r w:rsidRPr="003C32C6">
              <w:rPr>
                <w:b w:val="0"/>
                <w:bCs w:val="0"/>
              </w:rPr>
              <w:t>Dose reduction due to AE, n (%)</w:t>
            </w:r>
          </w:p>
          <w:p w14:paraId="32DBE8C6" w14:textId="77777777" w:rsidR="00630900" w:rsidRPr="003C32C6" w:rsidRDefault="00630900" w:rsidP="00750703">
            <w:pPr>
              <w:pStyle w:val="TableFigureHeading"/>
              <w:jc w:val="right"/>
              <w:rPr>
                <w:b w:val="0"/>
                <w:bCs w:val="0"/>
              </w:rPr>
            </w:pPr>
            <w:r w:rsidRPr="003C32C6">
              <w:rPr>
                <w:b w:val="0"/>
                <w:bCs w:val="0"/>
              </w:rPr>
              <w:t>Thrombocytopenia</w:t>
            </w:r>
          </w:p>
          <w:p w14:paraId="1838013F" w14:textId="2612C216" w:rsidR="00630900" w:rsidRPr="003C32C6" w:rsidRDefault="00630900" w:rsidP="00750703">
            <w:pPr>
              <w:pStyle w:val="TableFigureHeading"/>
              <w:jc w:val="right"/>
              <w:rPr>
                <w:b w:val="0"/>
                <w:bCs w:val="0"/>
              </w:rPr>
            </w:pPr>
            <w:r w:rsidRPr="003C32C6">
              <w:rPr>
                <w:b w:val="0"/>
                <w:bCs w:val="0"/>
              </w:rPr>
              <w:t>Mucositis</w:t>
            </w:r>
          </w:p>
        </w:tc>
        <w:tc>
          <w:tcPr>
            <w:tcW w:w="1134" w:type="dxa"/>
          </w:tcPr>
          <w:p w14:paraId="6D6FC08C" w14:textId="77777777" w:rsidR="00630900" w:rsidRPr="003C32C6" w:rsidRDefault="00630900" w:rsidP="00750703">
            <w:pPr>
              <w:pStyle w:val="TableFigureHeading"/>
              <w:jc w:val="center"/>
              <w:rPr>
                <w:b w:val="0"/>
                <w:bCs w:val="0"/>
              </w:rPr>
            </w:pPr>
            <w:r w:rsidRPr="003C32C6">
              <w:rPr>
                <w:b w:val="0"/>
                <w:bCs w:val="0"/>
              </w:rPr>
              <w:t>14 (11%)</w:t>
            </w:r>
          </w:p>
          <w:p w14:paraId="52A9C073" w14:textId="77777777" w:rsidR="00630900" w:rsidRPr="003C32C6" w:rsidRDefault="00630900" w:rsidP="00750703">
            <w:pPr>
              <w:pStyle w:val="TableFigureHeading"/>
              <w:jc w:val="center"/>
              <w:rPr>
                <w:b w:val="0"/>
                <w:bCs w:val="0"/>
              </w:rPr>
            </w:pPr>
            <w:r w:rsidRPr="003C32C6">
              <w:rPr>
                <w:b w:val="0"/>
                <w:bCs w:val="0"/>
              </w:rPr>
              <w:t>4 (3%)</w:t>
            </w:r>
          </w:p>
          <w:p w14:paraId="3794942C" w14:textId="5548D4A4" w:rsidR="00630900" w:rsidRPr="003C32C6" w:rsidRDefault="00630900" w:rsidP="00750703">
            <w:pPr>
              <w:pStyle w:val="TableFigureHeading"/>
              <w:jc w:val="center"/>
              <w:rPr>
                <w:b w:val="0"/>
                <w:bCs w:val="0"/>
              </w:rPr>
            </w:pPr>
            <w:r w:rsidRPr="003C32C6">
              <w:rPr>
                <w:b w:val="0"/>
                <w:bCs w:val="0"/>
              </w:rPr>
              <w:t>0</w:t>
            </w:r>
          </w:p>
        </w:tc>
        <w:tc>
          <w:tcPr>
            <w:tcW w:w="1417" w:type="dxa"/>
          </w:tcPr>
          <w:p w14:paraId="6B8E996A" w14:textId="77777777" w:rsidR="00630900" w:rsidRPr="003C32C6" w:rsidRDefault="00630900" w:rsidP="00750703">
            <w:pPr>
              <w:pStyle w:val="TableFigureHeading"/>
              <w:jc w:val="center"/>
              <w:rPr>
                <w:b w:val="0"/>
                <w:bCs w:val="0"/>
              </w:rPr>
            </w:pPr>
            <w:r w:rsidRPr="003C32C6">
              <w:rPr>
                <w:b w:val="0"/>
                <w:bCs w:val="0"/>
              </w:rPr>
              <w:t>20 (42%)</w:t>
            </w:r>
          </w:p>
          <w:p w14:paraId="3BF3851F" w14:textId="77777777" w:rsidR="00630900" w:rsidRPr="003C32C6" w:rsidRDefault="00630900" w:rsidP="00750703">
            <w:pPr>
              <w:pStyle w:val="TableFigureHeading"/>
              <w:jc w:val="center"/>
              <w:rPr>
                <w:b w:val="0"/>
                <w:bCs w:val="0"/>
              </w:rPr>
            </w:pPr>
            <w:r w:rsidRPr="003C32C6">
              <w:rPr>
                <w:b w:val="0"/>
                <w:bCs w:val="0"/>
              </w:rPr>
              <w:t>16 (34%)</w:t>
            </w:r>
          </w:p>
          <w:p w14:paraId="5A051DFF" w14:textId="0846BD99" w:rsidR="00630900" w:rsidRPr="003C32C6" w:rsidRDefault="00630900" w:rsidP="00750703">
            <w:pPr>
              <w:pStyle w:val="TableFigureHeading"/>
              <w:jc w:val="center"/>
              <w:rPr>
                <w:b w:val="0"/>
                <w:bCs w:val="0"/>
              </w:rPr>
            </w:pPr>
            <w:r w:rsidRPr="003C32C6">
              <w:rPr>
                <w:b w:val="0"/>
                <w:bCs w:val="0"/>
              </w:rPr>
              <w:t>0</w:t>
            </w:r>
          </w:p>
        </w:tc>
        <w:tc>
          <w:tcPr>
            <w:tcW w:w="1531" w:type="dxa"/>
          </w:tcPr>
          <w:p w14:paraId="6919C856" w14:textId="77777777" w:rsidR="00630900" w:rsidRPr="003C32C6" w:rsidRDefault="00630900" w:rsidP="00750703">
            <w:pPr>
              <w:pStyle w:val="TableFigureHeading"/>
              <w:jc w:val="center"/>
              <w:rPr>
                <w:b w:val="0"/>
                <w:bCs w:val="0"/>
              </w:rPr>
            </w:pPr>
            <w:r w:rsidRPr="003C32C6">
              <w:rPr>
                <w:b w:val="0"/>
                <w:bCs w:val="0"/>
              </w:rPr>
              <w:t>21 (46%)</w:t>
            </w:r>
          </w:p>
          <w:p w14:paraId="552038EA" w14:textId="77777777" w:rsidR="00630900" w:rsidRPr="003C32C6" w:rsidRDefault="00630900" w:rsidP="00750703">
            <w:pPr>
              <w:pStyle w:val="TableFigureHeading"/>
              <w:jc w:val="center"/>
              <w:rPr>
                <w:b w:val="0"/>
                <w:bCs w:val="0"/>
              </w:rPr>
            </w:pPr>
            <w:r w:rsidRPr="003C32C6">
              <w:rPr>
                <w:b w:val="0"/>
                <w:bCs w:val="0"/>
              </w:rPr>
              <w:t>NR</w:t>
            </w:r>
          </w:p>
          <w:p w14:paraId="3655A155" w14:textId="4543986E" w:rsidR="00630900" w:rsidRPr="003C32C6" w:rsidRDefault="00630900" w:rsidP="00750703">
            <w:pPr>
              <w:pStyle w:val="TableFigureHeading"/>
              <w:jc w:val="center"/>
              <w:rPr>
                <w:b w:val="0"/>
                <w:bCs w:val="0"/>
              </w:rPr>
            </w:pPr>
            <w:r w:rsidRPr="003C32C6">
              <w:rPr>
                <w:b w:val="0"/>
                <w:bCs w:val="0"/>
              </w:rPr>
              <w:t>NR</w:t>
            </w:r>
          </w:p>
        </w:tc>
        <w:tc>
          <w:tcPr>
            <w:tcW w:w="1821" w:type="dxa"/>
          </w:tcPr>
          <w:p w14:paraId="33C4EA97" w14:textId="074D2A1F" w:rsidR="00630900" w:rsidRPr="003C32C6" w:rsidRDefault="00630900" w:rsidP="00750703">
            <w:pPr>
              <w:pStyle w:val="TableFigureHeading"/>
              <w:jc w:val="center"/>
              <w:rPr>
                <w:b w:val="0"/>
                <w:bCs w:val="0"/>
              </w:rPr>
            </w:pPr>
            <w:r w:rsidRPr="003C32C6">
              <w:rPr>
                <w:b w:val="0"/>
                <w:bCs w:val="0"/>
              </w:rPr>
              <w:t>35 (32%)</w:t>
            </w:r>
          </w:p>
          <w:p w14:paraId="34BC364B" w14:textId="5527A985" w:rsidR="00630900" w:rsidRPr="003C32C6" w:rsidRDefault="00630900" w:rsidP="00750703">
            <w:pPr>
              <w:pStyle w:val="TableFigureHeading"/>
              <w:jc w:val="center"/>
              <w:rPr>
                <w:b w:val="0"/>
                <w:bCs w:val="0"/>
              </w:rPr>
            </w:pPr>
            <w:r w:rsidRPr="003C32C6">
              <w:rPr>
                <w:b w:val="0"/>
                <w:bCs w:val="0"/>
              </w:rPr>
              <w:t>2 (2%)</w:t>
            </w:r>
          </w:p>
          <w:p w14:paraId="115C9A74" w14:textId="7CA1D75E" w:rsidR="00630900" w:rsidRPr="003C32C6" w:rsidRDefault="00630900" w:rsidP="00750703">
            <w:pPr>
              <w:pStyle w:val="TableFigureHeading"/>
              <w:jc w:val="center"/>
              <w:rPr>
                <w:b w:val="0"/>
                <w:bCs w:val="0"/>
              </w:rPr>
            </w:pPr>
            <w:r w:rsidRPr="003C32C6">
              <w:rPr>
                <w:b w:val="0"/>
                <w:bCs w:val="0"/>
              </w:rPr>
              <w:t>25 (23%)</w:t>
            </w:r>
          </w:p>
        </w:tc>
      </w:tr>
      <w:tr w:rsidR="00B617ED" w:rsidRPr="003C32C6" w14:paraId="4F00E72B" w14:textId="77777777" w:rsidTr="001D4ADC">
        <w:tc>
          <w:tcPr>
            <w:tcW w:w="3114" w:type="dxa"/>
          </w:tcPr>
          <w:p w14:paraId="17CB9201" w14:textId="77777777" w:rsidR="00630900" w:rsidRPr="003C32C6" w:rsidRDefault="00630900" w:rsidP="00750703">
            <w:pPr>
              <w:pStyle w:val="TableFigureHeading"/>
              <w:rPr>
                <w:b w:val="0"/>
                <w:bCs w:val="0"/>
              </w:rPr>
            </w:pPr>
            <w:r w:rsidRPr="003C32C6">
              <w:rPr>
                <w:b w:val="0"/>
                <w:bCs w:val="0"/>
              </w:rPr>
              <w:t>Treatment withdrawal due to AE, n (%)</w:t>
            </w:r>
          </w:p>
          <w:p w14:paraId="04861020" w14:textId="77777777" w:rsidR="00630900" w:rsidRPr="003C32C6" w:rsidRDefault="00630900" w:rsidP="00750703">
            <w:pPr>
              <w:pStyle w:val="TableFigureHeading"/>
              <w:jc w:val="right"/>
              <w:rPr>
                <w:b w:val="0"/>
                <w:bCs w:val="0"/>
              </w:rPr>
            </w:pPr>
            <w:r w:rsidRPr="003C32C6">
              <w:rPr>
                <w:b w:val="0"/>
                <w:bCs w:val="0"/>
              </w:rPr>
              <w:t>Thrombocytopenia</w:t>
            </w:r>
          </w:p>
          <w:p w14:paraId="5271803E" w14:textId="5201CFAD" w:rsidR="00630900" w:rsidRPr="003C32C6" w:rsidRDefault="00630900" w:rsidP="00750703">
            <w:pPr>
              <w:pStyle w:val="TableFigureHeading"/>
              <w:jc w:val="right"/>
              <w:rPr>
                <w:b w:val="0"/>
                <w:bCs w:val="0"/>
              </w:rPr>
            </w:pPr>
            <w:r w:rsidRPr="003C32C6">
              <w:rPr>
                <w:b w:val="0"/>
                <w:bCs w:val="0"/>
              </w:rPr>
              <w:t>Mucositis</w:t>
            </w:r>
          </w:p>
        </w:tc>
        <w:tc>
          <w:tcPr>
            <w:tcW w:w="1134" w:type="dxa"/>
          </w:tcPr>
          <w:p w14:paraId="627856C6" w14:textId="77777777" w:rsidR="00630900" w:rsidRPr="003C32C6" w:rsidRDefault="00630900" w:rsidP="00750703">
            <w:pPr>
              <w:pStyle w:val="TableFigureHeading"/>
              <w:jc w:val="center"/>
              <w:rPr>
                <w:b w:val="0"/>
                <w:bCs w:val="0"/>
              </w:rPr>
            </w:pPr>
            <w:r w:rsidRPr="003C32C6">
              <w:rPr>
                <w:b w:val="0"/>
                <w:bCs w:val="0"/>
              </w:rPr>
              <w:t>25 (19%)</w:t>
            </w:r>
          </w:p>
          <w:p w14:paraId="15F99F2C" w14:textId="77777777" w:rsidR="00630900" w:rsidRPr="003C32C6" w:rsidRDefault="00630900" w:rsidP="00750703">
            <w:pPr>
              <w:pStyle w:val="TableFigureHeading"/>
              <w:jc w:val="center"/>
              <w:rPr>
                <w:b w:val="0"/>
                <w:bCs w:val="0"/>
              </w:rPr>
            </w:pPr>
            <w:r w:rsidRPr="003C32C6">
              <w:rPr>
                <w:b w:val="0"/>
                <w:bCs w:val="0"/>
              </w:rPr>
              <w:t>3 (2%)</w:t>
            </w:r>
          </w:p>
          <w:p w14:paraId="67519D9E" w14:textId="245C1548" w:rsidR="00630900" w:rsidRPr="003C32C6" w:rsidRDefault="00630900" w:rsidP="00750703">
            <w:pPr>
              <w:pStyle w:val="TableFigureHeading"/>
              <w:jc w:val="center"/>
              <w:rPr>
                <w:b w:val="0"/>
                <w:bCs w:val="0"/>
              </w:rPr>
            </w:pPr>
            <w:r w:rsidRPr="003C32C6">
              <w:rPr>
                <w:b w:val="0"/>
                <w:bCs w:val="0"/>
              </w:rPr>
              <w:t>0</w:t>
            </w:r>
          </w:p>
        </w:tc>
        <w:tc>
          <w:tcPr>
            <w:tcW w:w="1417" w:type="dxa"/>
          </w:tcPr>
          <w:p w14:paraId="47313323" w14:textId="77777777" w:rsidR="00630900" w:rsidRPr="003C32C6" w:rsidRDefault="00630900" w:rsidP="00750703">
            <w:pPr>
              <w:pStyle w:val="TableFigureHeading"/>
              <w:jc w:val="center"/>
              <w:rPr>
                <w:b w:val="0"/>
                <w:bCs w:val="0"/>
              </w:rPr>
            </w:pPr>
            <w:r w:rsidRPr="003C32C6">
              <w:rPr>
                <w:b w:val="0"/>
                <w:bCs w:val="0"/>
              </w:rPr>
              <w:t>4 (8%)</w:t>
            </w:r>
          </w:p>
          <w:p w14:paraId="6CFA5435" w14:textId="77777777" w:rsidR="00630900" w:rsidRPr="003C32C6" w:rsidRDefault="00630900" w:rsidP="00750703">
            <w:pPr>
              <w:pStyle w:val="TableFigureHeading"/>
              <w:jc w:val="center"/>
              <w:rPr>
                <w:b w:val="0"/>
                <w:bCs w:val="0"/>
              </w:rPr>
            </w:pPr>
            <w:r w:rsidRPr="003C32C6">
              <w:rPr>
                <w:b w:val="0"/>
                <w:bCs w:val="0"/>
              </w:rPr>
              <w:t>2 (4%)</w:t>
            </w:r>
          </w:p>
          <w:p w14:paraId="4118A119" w14:textId="5A7D69A7" w:rsidR="00630900" w:rsidRPr="003C32C6" w:rsidRDefault="00630900" w:rsidP="00750703">
            <w:pPr>
              <w:pStyle w:val="TableFigureHeading"/>
              <w:jc w:val="center"/>
              <w:rPr>
                <w:b w:val="0"/>
                <w:bCs w:val="0"/>
              </w:rPr>
            </w:pPr>
            <w:r w:rsidRPr="003C32C6">
              <w:rPr>
                <w:b w:val="0"/>
                <w:bCs w:val="0"/>
              </w:rPr>
              <w:t>0</w:t>
            </w:r>
          </w:p>
        </w:tc>
        <w:tc>
          <w:tcPr>
            <w:tcW w:w="1531" w:type="dxa"/>
          </w:tcPr>
          <w:p w14:paraId="163D46A4" w14:textId="263D06D5" w:rsidR="00630900" w:rsidRPr="003C32C6" w:rsidRDefault="00630900" w:rsidP="00750703">
            <w:pPr>
              <w:pStyle w:val="TableFigureHeading"/>
              <w:jc w:val="center"/>
              <w:rPr>
                <w:b w:val="0"/>
                <w:bCs w:val="0"/>
              </w:rPr>
            </w:pPr>
            <w:r w:rsidRPr="003C32C6">
              <w:rPr>
                <w:b w:val="0"/>
                <w:bCs w:val="0"/>
              </w:rPr>
              <w:t>13 (28%)</w:t>
            </w:r>
          </w:p>
          <w:p w14:paraId="3BBEEF78" w14:textId="77777777" w:rsidR="00630900" w:rsidRPr="003C32C6" w:rsidRDefault="00630900" w:rsidP="00750703">
            <w:pPr>
              <w:pStyle w:val="TableFigureHeading"/>
              <w:jc w:val="center"/>
              <w:rPr>
                <w:b w:val="0"/>
                <w:bCs w:val="0"/>
              </w:rPr>
            </w:pPr>
            <w:r w:rsidRPr="003C32C6">
              <w:rPr>
                <w:b w:val="0"/>
                <w:bCs w:val="0"/>
              </w:rPr>
              <w:t>NR</w:t>
            </w:r>
          </w:p>
          <w:p w14:paraId="3E7FFAA6" w14:textId="205E2E8D" w:rsidR="00630900" w:rsidRPr="003C32C6" w:rsidRDefault="00630900" w:rsidP="00750703">
            <w:pPr>
              <w:pStyle w:val="TableFigureHeading"/>
              <w:jc w:val="center"/>
              <w:rPr>
                <w:b w:val="0"/>
                <w:bCs w:val="0"/>
              </w:rPr>
            </w:pPr>
            <w:r w:rsidRPr="003C32C6">
              <w:rPr>
                <w:b w:val="0"/>
                <w:bCs w:val="0"/>
              </w:rPr>
              <w:t>NR</w:t>
            </w:r>
          </w:p>
        </w:tc>
        <w:tc>
          <w:tcPr>
            <w:tcW w:w="1821" w:type="dxa"/>
          </w:tcPr>
          <w:p w14:paraId="579AB5BD" w14:textId="0E1B0AF4" w:rsidR="00630900" w:rsidRPr="003C32C6" w:rsidRDefault="00630900" w:rsidP="00750703">
            <w:pPr>
              <w:pStyle w:val="TableFigureHeading"/>
              <w:jc w:val="center"/>
              <w:rPr>
                <w:b w:val="0"/>
                <w:bCs w:val="0"/>
              </w:rPr>
            </w:pPr>
            <w:r w:rsidRPr="003C32C6">
              <w:rPr>
                <w:b w:val="0"/>
                <w:bCs w:val="0"/>
              </w:rPr>
              <w:t>26 (23%)</w:t>
            </w:r>
          </w:p>
          <w:p w14:paraId="5F2E8866" w14:textId="77777777" w:rsidR="00630900" w:rsidRPr="003C32C6" w:rsidRDefault="00630900" w:rsidP="00750703">
            <w:pPr>
              <w:pStyle w:val="TableFigureHeading"/>
              <w:jc w:val="center"/>
              <w:rPr>
                <w:b w:val="0"/>
                <w:bCs w:val="0"/>
              </w:rPr>
            </w:pPr>
            <w:r w:rsidRPr="003C32C6">
              <w:rPr>
                <w:b w:val="0"/>
                <w:bCs w:val="0"/>
              </w:rPr>
              <w:t>5 (5%)</w:t>
            </w:r>
          </w:p>
          <w:p w14:paraId="68E908BB" w14:textId="3A893043" w:rsidR="00630900" w:rsidRPr="003C32C6" w:rsidRDefault="00630900" w:rsidP="00750703">
            <w:pPr>
              <w:pStyle w:val="TableFigureHeading"/>
              <w:jc w:val="center"/>
              <w:rPr>
                <w:b w:val="0"/>
                <w:bCs w:val="0"/>
              </w:rPr>
            </w:pPr>
            <w:r w:rsidRPr="003C32C6">
              <w:rPr>
                <w:b w:val="0"/>
                <w:bCs w:val="0"/>
              </w:rPr>
              <w:t>6 (6%)</w:t>
            </w:r>
          </w:p>
        </w:tc>
      </w:tr>
      <w:tr w:rsidR="00B617ED" w:rsidRPr="003C32C6" w14:paraId="21BDD11C" w14:textId="77777777" w:rsidTr="001D4ADC">
        <w:tc>
          <w:tcPr>
            <w:tcW w:w="3114" w:type="dxa"/>
          </w:tcPr>
          <w:p w14:paraId="70B13269" w14:textId="7E532A34" w:rsidR="00630900" w:rsidRPr="003C32C6" w:rsidRDefault="00630900" w:rsidP="00750703">
            <w:pPr>
              <w:pStyle w:val="TableFigureHeading"/>
              <w:rPr>
                <w:b w:val="0"/>
                <w:bCs w:val="0"/>
              </w:rPr>
            </w:pPr>
            <w:r w:rsidRPr="003C32C6">
              <w:rPr>
                <w:b w:val="0"/>
                <w:bCs w:val="0"/>
              </w:rPr>
              <w:t>Death during treatment or within 30 days of last treatment, n (%)</w:t>
            </w:r>
          </w:p>
        </w:tc>
        <w:tc>
          <w:tcPr>
            <w:tcW w:w="1134" w:type="dxa"/>
          </w:tcPr>
          <w:p w14:paraId="58E7E585" w14:textId="1F55C8CE" w:rsidR="00630900" w:rsidRPr="003C32C6" w:rsidRDefault="00630900" w:rsidP="00750703">
            <w:pPr>
              <w:pStyle w:val="TableFigureHeading"/>
              <w:jc w:val="center"/>
              <w:rPr>
                <w:b w:val="0"/>
                <w:bCs w:val="0"/>
              </w:rPr>
            </w:pPr>
            <w:r w:rsidRPr="003C32C6">
              <w:rPr>
                <w:b w:val="0"/>
                <w:bCs w:val="0"/>
              </w:rPr>
              <w:t>8 (6%)</w:t>
            </w:r>
          </w:p>
        </w:tc>
        <w:tc>
          <w:tcPr>
            <w:tcW w:w="1417" w:type="dxa"/>
          </w:tcPr>
          <w:p w14:paraId="535D176D" w14:textId="3EA1FB3D" w:rsidR="00630900" w:rsidRPr="003C32C6" w:rsidRDefault="00630900" w:rsidP="00750703">
            <w:pPr>
              <w:pStyle w:val="TableFigureHeading"/>
              <w:jc w:val="center"/>
              <w:rPr>
                <w:b w:val="0"/>
                <w:bCs w:val="0"/>
              </w:rPr>
            </w:pPr>
            <w:r w:rsidRPr="003C32C6">
              <w:rPr>
                <w:b w:val="0"/>
                <w:bCs w:val="0"/>
              </w:rPr>
              <w:t>7 (15%)</w:t>
            </w:r>
          </w:p>
        </w:tc>
        <w:tc>
          <w:tcPr>
            <w:tcW w:w="1531" w:type="dxa"/>
          </w:tcPr>
          <w:p w14:paraId="22E3B679" w14:textId="63EE013D" w:rsidR="00630900" w:rsidRPr="003C32C6" w:rsidRDefault="00630900" w:rsidP="00750703">
            <w:pPr>
              <w:pStyle w:val="TableFigureHeading"/>
              <w:jc w:val="center"/>
              <w:rPr>
                <w:b w:val="0"/>
                <w:bCs w:val="0"/>
              </w:rPr>
            </w:pPr>
            <w:r w:rsidRPr="003C32C6">
              <w:rPr>
                <w:b w:val="0"/>
                <w:bCs w:val="0"/>
              </w:rPr>
              <w:t>2 (4%)</w:t>
            </w:r>
          </w:p>
        </w:tc>
        <w:tc>
          <w:tcPr>
            <w:tcW w:w="1821" w:type="dxa"/>
          </w:tcPr>
          <w:p w14:paraId="355890F5" w14:textId="4EBF7B22" w:rsidR="00630900" w:rsidRPr="003C32C6" w:rsidRDefault="00630900" w:rsidP="00750703">
            <w:pPr>
              <w:pStyle w:val="TableFigureHeading"/>
              <w:jc w:val="center"/>
              <w:rPr>
                <w:b w:val="0"/>
                <w:bCs w:val="0"/>
              </w:rPr>
            </w:pPr>
            <w:r w:rsidRPr="003C32C6">
              <w:rPr>
                <w:b w:val="0"/>
                <w:bCs w:val="0"/>
              </w:rPr>
              <w:t>8 (7%)</w:t>
            </w:r>
          </w:p>
        </w:tc>
      </w:tr>
    </w:tbl>
    <w:p w14:paraId="7AEC8607" w14:textId="62FC702E" w:rsidR="004D11BA" w:rsidRPr="008D1A2A" w:rsidRDefault="00896D5A" w:rsidP="00750703">
      <w:pPr>
        <w:pStyle w:val="TableFigureFooter"/>
      </w:pPr>
      <w:r w:rsidRPr="0098262F">
        <w:t>Source:</w:t>
      </w:r>
      <w:r>
        <w:t xml:space="preserve"> Constructed during the evaluation from published reports. AE = adverse event</w:t>
      </w:r>
      <w:r w:rsidR="00630900">
        <w:t xml:space="preserve">; NR = not reported. </w:t>
      </w:r>
    </w:p>
    <w:p w14:paraId="04908C7F" w14:textId="415B9B7D" w:rsidR="007F1017" w:rsidRPr="0098262F" w:rsidRDefault="007F1017" w:rsidP="00750703">
      <w:pPr>
        <w:pStyle w:val="4-SubsectionHeading"/>
        <w:spacing w:before="160" w:after="160"/>
      </w:pPr>
      <w:bookmarkStart w:id="33" w:name="_Toc22897643"/>
      <w:bookmarkStart w:id="34" w:name="_Toc219197457"/>
      <w:r w:rsidRPr="0098262F">
        <w:t>Benefits/harms</w:t>
      </w:r>
      <w:bookmarkEnd w:id="33"/>
      <w:bookmarkEnd w:id="34"/>
    </w:p>
    <w:p w14:paraId="3B653B96" w14:textId="72C247AB" w:rsidR="00FC1884" w:rsidRPr="0098262F" w:rsidRDefault="00311D9B" w:rsidP="00750703">
      <w:pPr>
        <w:pStyle w:val="3-BodyText"/>
        <w:spacing w:before="160" w:after="160"/>
        <w:ind w:left="720"/>
      </w:pPr>
      <w:r w:rsidRPr="0098262F">
        <w:t xml:space="preserve">A benefits and harms table </w:t>
      </w:r>
      <w:r w:rsidR="002104FD">
        <w:t>wa</w:t>
      </w:r>
      <w:r w:rsidRPr="0098262F">
        <w:t>s not presented as the submission made a claim of non</w:t>
      </w:r>
      <w:r w:rsidR="00750703">
        <w:noBreakHyphen/>
      </w:r>
      <w:r w:rsidRPr="0098262F">
        <w:t>inferiority.</w:t>
      </w:r>
      <w:r w:rsidR="00E926A5" w:rsidRPr="0098262F">
        <w:t xml:space="preserve"> </w:t>
      </w:r>
    </w:p>
    <w:p w14:paraId="7A1772B6" w14:textId="23BB3145" w:rsidR="00B60939" w:rsidRPr="0098262F" w:rsidRDefault="00B60939" w:rsidP="00750703">
      <w:pPr>
        <w:pStyle w:val="4-SubsectionHeading"/>
        <w:spacing w:before="160" w:after="160"/>
      </w:pPr>
      <w:bookmarkStart w:id="35" w:name="_Toc22897644"/>
      <w:bookmarkStart w:id="36" w:name="_Toc219197458"/>
      <w:r w:rsidRPr="0098262F">
        <w:t>Clinical claim</w:t>
      </w:r>
      <w:bookmarkEnd w:id="35"/>
      <w:bookmarkEnd w:id="36"/>
    </w:p>
    <w:p w14:paraId="289EAA5E" w14:textId="2E99E57D" w:rsidR="007C70FF" w:rsidRPr="00286CAC" w:rsidRDefault="00EA7359" w:rsidP="00750703">
      <w:pPr>
        <w:pStyle w:val="3-BodyText"/>
        <w:spacing w:before="160" w:after="160"/>
        <w:ind w:left="720"/>
        <w:rPr>
          <w:color w:val="000000" w:themeColor="text1"/>
        </w:rPr>
      </w:pPr>
      <w:r>
        <w:t xml:space="preserve">The </w:t>
      </w:r>
      <w:r w:rsidR="00FD3032" w:rsidRPr="00386500">
        <w:rPr>
          <w:color w:val="000000" w:themeColor="text1"/>
        </w:rPr>
        <w:t>submission claimed that, compared to pralatrexate, romidepsin is associated with n</w:t>
      </w:r>
      <w:r w:rsidR="00FD3032" w:rsidRPr="00386500">
        <w:rPr>
          <w:color w:val="000000" w:themeColor="text1"/>
          <w:lang w:val="en-GB"/>
        </w:rPr>
        <w:t>on</w:t>
      </w:r>
      <w:r w:rsidR="00750703">
        <w:rPr>
          <w:color w:val="000000" w:themeColor="text1"/>
          <w:lang w:val="en-GB"/>
        </w:rPr>
        <w:noBreakHyphen/>
      </w:r>
      <w:r w:rsidR="00FD3032" w:rsidRPr="00386500">
        <w:rPr>
          <w:color w:val="000000" w:themeColor="text1"/>
          <w:lang w:val="en-GB"/>
        </w:rPr>
        <w:t xml:space="preserve">inferior effectiveness and </w:t>
      </w:r>
      <w:r w:rsidR="00FD3032" w:rsidRPr="00386500">
        <w:rPr>
          <w:color w:val="000000" w:themeColor="text1"/>
        </w:rPr>
        <w:t>different, but non</w:t>
      </w:r>
      <w:r w:rsidR="00750703">
        <w:rPr>
          <w:color w:val="000000" w:themeColor="text1"/>
        </w:rPr>
        <w:noBreakHyphen/>
      </w:r>
      <w:r w:rsidR="00FD3032" w:rsidRPr="00386500">
        <w:rPr>
          <w:color w:val="000000" w:themeColor="text1"/>
        </w:rPr>
        <w:t>inferior safety</w:t>
      </w:r>
      <w:r w:rsidR="008E527C" w:rsidRPr="00286CAC">
        <w:rPr>
          <w:color w:val="000000" w:themeColor="text1"/>
        </w:rPr>
        <w:t xml:space="preserve">. </w:t>
      </w:r>
    </w:p>
    <w:p w14:paraId="1DCE8473" w14:textId="4BAAF785" w:rsidR="008F3626" w:rsidRPr="008F63A6" w:rsidRDefault="008D7D25" w:rsidP="00750703">
      <w:pPr>
        <w:pStyle w:val="3-BodyText"/>
        <w:spacing w:before="160" w:after="160"/>
        <w:ind w:left="720"/>
        <w:rPr>
          <w:color w:val="000000" w:themeColor="text1"/>
        </w:rPr>
      </w:pPr>
      <w:r w:rsidRPr="008F63A6">
        <w:rPr>
          <w:color w:val="000000" w:themeColor="text1"/>
        </w:rPr>
        <w:t xml:space="preserve">The </w:t>
      </w:r>
      <w:r w:rsidR="00F94963" w:rsidRPr="008F63A6">
        <w:rPr>
          <w:color w:val="000000" w:themeColor="text1"/>
        </w:rPr>
        <w:t xml:space="preserve">ESC agreed with the evaluation that the </w:t>
      </w:r>
      <w:r w:rsidRPr="008F63A6">
        <w:rPr>
          <w:color w:val="000000" w:themeColor="text1"/>
        </w:rPr>
        <w:t xml:space="preserve">claim </w:t>
      </w:r>
      <w:proofErr w:type="gramStart"/>
      <w:r w:rsidRPr="008F63A6">
        <w:rPr>
          <w:color w:val="000000" w:themeColor="text1"/>
        </w:rPr>
        <w:t>with regard to</w:t>
      </w:r>
      <w:proofErr w:type="gramEnd"/>
      <w:r w:rsidRPr="008F63A6">
        <w:rPr>
          <w:color w:val="000000" w:themeColor="text1"/>
        </w:rPr>
        <w:t xml:space="preserve"> efficacy was not adequately supported by the data presented</w:t>
      </w:r>
      <w:r w:rsidR="000C0E21" w:rsidRPr="008F63A6">
        <w:rPr>
          <w:color w:val="000000" w:themeColor="text1"/>
        </w:rPr>
        <w:t>.</w:t>
      </w:r>
    </w:p>
    <w:p w14:paraId="07ED882D" w14:textId="0C451FF4" w:rsidR="004841CB" w:rsidRPr="008F63A6" w:rsidRDefault="004841CB" w:rsidP="00750703">
      <w:pPr>
        <w:pStyle w:val="3-BodyText"/>
        <w:spacing w:before="160" w:after="160"/>
        <w:ind w:left="720"/>
        <w:rPr>
          <w:color w:val="000000" w:themeColor="text1"/>
        </w:rPr>
      </w:pPr>
      <w:r w:rsidRPr="008F63A6">
        <w:rPr>
          <w:color w:val="000000" w:themeColor="text1"/>
        </w:rPr>
        <w:lastRenderedPageBreak/>
        <w:t xml:space="preserve">The </w:t>
      </w:r>
      <w:r w:rsidR="00632E6F" w:rsidRPr="008F63A6">
        <w:rPr>
          <w:color w:val="000000" w:themeColor="text1"/>
        </w:rPr>
        <w:t xml:space="preserve">ESC agreed with the evaluation that the </w:t>
      </w:r>
      <w:r w:rsidRPr="008F63A6">
        <w:rPr>
          <w:color w:val="000000" w:themeColor="text1"/>
        </w:rPr>
        <w:t xml:space="preserve">claim </w:t>
      </w:r>
      <w:proofErr w:type="gramStart"/>
      <w:r w:rsidRPr="008F63A6">
        <w:rPr>
          <w:color w:val="000000" w:themeColor="text1"/>
        </w:rPr>
        <w:t>with regard to</w:t>
      </w:r>
      <w:proofErr w:type="gramEnd"/>
      <w:r w:rsidRPr="008F63A6">
        <w:rPr>
          <w:color w:val="000000" w:themeColor="text1"/>
        </w:rPr>
        <w:t xml:space="preserve"> safety was not adequately supported by the data presented, but considering the clinical context </w:t>
      </w:r>
      <w:r w:rsidR="00162119" w:rsidRPr="008F63A6">
        <w:rPr>
          <w:color w:val="000000" w:themeColor="text1"/>
        </w:rPr>
        <w:t xml:space="preserve">that </w:t>
      </w:r>
      <w:r w:rsidRPr="008F63A6">
        <w:rPr>
          <w:color w:val="000000" w:themeColor="text1"/>
        </w:rPr>
        <w:t xml:space="preserve">it is probably reasonable to conclude that differences in safety between romidepsin and pralatrexate do not provide a reason to </w:t>
      </w:r>
      <w:r w:rsidR="00D715FA" w:rsidRPr="008F63A6">
        <w:rPr>
          <w:color w:val="000000" w:themeColor="text1"/>
        </w:rPr>
        <w:t>prefer one to the other</w:t>
      </w:r>
      <w:r w:rsidR="001855EF" w:rsidRPr="008F63A6">
        <w:rPr>
          <w:color w:val="000000" w:themeColor="text1"/>
        </w:rPr>
        <w:t xml:space="preserve"> in this patient </w:t>
      </w:r>
      <w:proofErr w:type="gramStart"/>
      <w:r w:rsidR="001855EF" w:rsidRPr="008F63A6">
        <w:rPr>
          <w:color w:val="000000" w:themeColor="text1"/>
        </w:rPr>
        <w:t>population as a whole</w:t>
      </w:r>
      <w:proofErr w:type="gramEnd"/>
      <w:r w:rsidRPr="008F63A6">
        <w:rPr>
          <w:color w:val="000000" w:themeColor="text1"/>
        </w:rPr>
        <w:t>.</w:t>
      </w:r>
    </w:p>
    <w:p w14:paraId="7AB715CA" w14:textId="26DE6F2F" w:rsidR="00B97428" w:rsidRDefault="000A3777" w:rsidP="00750703">
      <w:pPr>
        <w:pStyle w:val="3-BodyText"/>
        <w:ind w:left="720"/>
        <w:rPr>
          <w:color w:val="000000" w:themeColor="text1"/>
        </w:rPr>
      </w:pPr>
      <w:r w:rsidRPr="008F63A6">
        <w:rPr>
          <w:color w:val="000000" w:themeColor="text1"/>
        </w:rPr>
        <w:t>Overall, t</w:t>
      </w:r>
      <w:r w:rsidR="00B97428" w:rsidRPr="008F63A6">
        <w:rPr>
          <w:color w:val="000000" w:themeColor="text1"/>
        </w:rPr>
        <w:t xml:space="preserve">he ESC considered that the clinical data presented did not allow for a meaningful comparison </w:t>
      </w:r>
      <w:r w:rsidR="00F7079D" w:rsidRPr="008F63A6">
        <w:rPr>
          <w:color w:val="000000" w:themeColor="text1"/>
        </w:rPr>
        <w:t xml:space="preserve">of romidepsin </w:t>
      </w:r>
      <w:r w:rsidR="00580462" w:rsidRPr="008F63A6">
        <w:rPr>
          <w:color w:val="000000" w:themeColor="text1"/>
        </w:rPr>
        <w:t>to</w:t>
      </w:r>
      <w:r w:rsidR="00F7079D" w:rsidRPr="008F63A6">
        <w:rPr>
          <w:color w:val="000000" w:themeColor="text1"/>
        </w:rPr>
        <w:t xml:space="preserve"> pralatrexate </w:t>
      </w:r>
      <w:r w:rsidR="00B97428" w:rsidRPr="008F63A6">
        <w:rPr>
          <w:color w:val="000000" w:themeColor="text1"/>
        </w:rPr>
        <w:t xml:space="preserve">to be made. Whilst acknowledging the limitations of the data presented, the ESC was of the view that in the context of a disease where patients have poor survival and limited treatment </w:t>
      </w:r>
      <w:r w:rsidRPr="008F63A6">
        <w:rPr>
          <w:color w:val="000000" w:themeColor="text1"/>
        </w:rPr>
        <w:t>options, romidepsin</w:t>
      </w:r>
      <w:r w:rsidR="00B97428" w:rsidRPr="008F63A6">
        <w:rPr>
          <w:color w:val="000000" w:themeColor="text1"/>
        </w:rPr>
        <w:t xml:space="preserve"> would provide clinicians with another valuable treatment option and improve equity of access for patients. The ESC noted that some hospitals are funding romidepsin.</w:t>
      </w:r>
    </w:p>
    <w:p w14:paraId="2748B606" w14:textId="18037264" w:rsidR="005F1EB6" w:rsidRDefault="005F1EB6" w:rsidP="00750703">
      <w:pPr>
        <w:pStyle w:val="3-BodyText"/>
        <w:ind w:left="720"/>
        <w:rPr>
          <w:color w:val="000000" w:themeColor="text1"/>
        </w:rPr>
      </w:pPr>
      <w:r>
        <w:rPr>
          <w:color w:val="000000" w:themeColor="text1"/>
        </w:rPr>
        <w:t xml:space="preserve">The PBAC </w:t>
      </w:r>
      <w:r w:rsidR="007C1C3B">
        <w:rPr>
          <w:color w:val="000000" w:themeColor="text1"/>
        </w:rPr>
        <w:t>considered that t</w:t>
      </w:r>
      <w:r w:rsidR="007C1C3B" w:rsidRPr="007C1C3B">
        <w:rPr>
          <w:color w:val="000000" w:themeColor="text1"/>
        </w:rPr>
        <w:t>he claim of non</w:t>
      </w:r>
      <w:r w:rsidR="00750703">
        <w:rPr>
          <w:color w:val="000000" w:themeColor="text1"/>
        </w:rPr>
        <w:noBreakHyphen/>
      </w:r>
      <w:r w:rsidR="007C1C3B" w:rsidRPr="007C1C3B">
        <w:rPr>
          <w:color w:val="000000" w:themeColor="text1"/>
        </w:rPr>
        <w:t xml:space="preserve">inferior comparative effectiveness was difficult to conclude based on the data available, </w:t>
      </w:r>
      <w:r w:rsidR="0019514A">
        <w:rPr>
          <w:color w:val="000000" w:themeColor="text1"/>
        </w:rPr>
        <w:t xml:space="preserve">but </w:t>
      </w:r>
      <w:r w:rsidR="00590407">
        <w:rPr>
          <w:color w:val="000000" w:themeColor="text1"/>
        </w:rPr>
        <w:t>on balance, was likely to be reasonable.</w:t>
      </w:r>
    </w:p>
    <w:p w14:paraId="5365F1B4" w14:textId="2B3AF4AD" w:rsidR="00CB0E5A" w:rsidRPr="0000692B" w:rsidRDefault="00CB0E5A" w:rsidP="00750703">
      <w:pPr>
        <w:pStyle w:val="3-BodyText"/>
        <w:ind w:left="720"/>
        <w:rPr>
          <w:snapToGrid w:val="0"/>
        </w:rPr>
      </w:pPr>
      <w:bookmarkStart w:id="37" w:name="_Hlk76376200"/>
      <w:r w:rsidRPr="0000692B">
        <w:rPr>
          <w:iCs/>
          <w:snapToGrid w:val="0"/>
        </w:rPr>
        <w:t>The</w:t>
      </w:r>
      <w:r w:rsidRPr="0000692B">
        <w:rPr>
          <w:snapToGrid w:val="0"/>
        </w:rPr>
        <w:t xml:space="preserve"> PBAC </w:t>
      </w:r>
      <w:r w:rsidR="002701AE">
        <w:rPr>
          <w:snapToGrid w:val="0"/>
        </w:rPr>
        <w:t xml:space="preserve">agreed with the ESC that </w:t>
      </w:r>
      <w:r w:rsidR="0000692B" w:rsidRPr="0000692B">
        <w:rPr>
          <w:snapToGrid w:val="0"/>
        </w:rPr>
        <w:t>the claim of different but non</w:t>
      </w:r>
      <w:r w:rsidR="00750703">
        <w:rPr>
          <w:snapToGrid w:val="0"/>
        </w:rPr>
        <w:noBreakHyphen/>
      </w:r>
      <w:r w:rsidR="0000692B" w:rsidRPr="0000692B">
        <w:rPr>
          <w:snapToGrid w:val="0"/>
        </w:rPr>
        <w:t>inferior comparative safety was not adequately supported by the data presented</w:t>
      </w:r>
      <w:r w:rsidRPr="0000692B">
        <w:rPr>
          <w:snapToGrid w:val="0"/>
        </w:rPr>
        <w:t>.</w:t>
      </w:r>
    </w:p>
    <w:p w14:paraId="74A1172E" w14:textId="128C170E" w:rsidR="00B60939" w:rsidRPr="00286CAC" w:rsidRDefault="00B60939" w:rsidP="00750703">
      <w:pPr>
        <w:pStyle w:val="4-SubsectionHeading"/>
        <w:spacing w:before="160" w:after="160"/>
        <w:rPr>
          <w:i w:val="0"/>
        </w:rPr>
      </w:pPr>
      <w:bookmarkStart w:id="38" w:name="_Toc22897645"/>
      <w:bookmarkStart w:id="39" w:name="_Toc219197459"/>
      <w:bookmarkEnd w:id="37"/>
      <w:r w:rsidRPr="00286CAC">
        <w:rPr>
          <w:i w:val="0"/>
        </w:rPr>
        <w:t>Economic analysis</w:t>
      </w:r>
      <w:bookmarkEnd w:id="38"/>
      <w:bookmarkEnd w:id="39"/>
      <w:r w:rsidR="00491B3A" w:rsidRPr="00286CAC">
        <w:rPr>
          <w:i w:val="0"/>
        </w:rPr>
        <w:t xml:space="preserve"> </w:t>
      </w:r>
    </w:p>
    <w:p w14:paraId="67679208" w14:textId="27A46B68" w:rsidR="0060327B" w:rsidRPr="00286CAC" w:rsidRDefault="00FC5A37" w:rsidP="00750703">
      <w:pPr>
        <w:pStyle w:val="3-BodyText"/>
        <w:spacing w:before="160" w:after="160"/>
        <w:ind w:left="720"/>
        <w:rPr>
          <w:b/>
          <w:bCs/>
          <w:color w:val="0066FF"/>
        </w:rPr>
      </w:pPr>
      <w:r w:rsidRPr="00286CAC">
        <w:t xml:space="preserve">The submission presented a </w:t>
      </w:r>
      <w:r w:rsidR="00C34213">
        <w:t xml:space="preserve">CMA </w:t>
      </w:r>
      <w:r w:rsidRPr="00286CAC">
        <w:t xml:space="preserve">comparing romidepsin with pralatrexate. </w:t>
      </w:r>
      <w:r w:rsidR="0060327B" w:rsidRPr="00286CAC">
        <w:t>The key components and assumptions used in the approach are shown in</w:t>
      </w:r>
      <w:r w:rsidR="0032442E" w:rsidRPr="00286CAC">
        <w:t xml:space="preserve"> </w:t>
      </w:r>
      <w:r w:rsidR="001C0359" w:rsidRPr="00286CAC">
        <w:fldChar w:fldCharType="begin"/>
      </w:r>
      <w:r w:rsidR="001C0359" w:rsidRPr="00286CAC">
        <w:instrText xml:space="preserve"> REF _Ref216699965 \h </w:instrText>
      </w:r>
      <w:r w:rsidR="00286CAC" w:rsidRPr="00286CAC">
        <w:instrText xml:space="preserve"> \* MERGEFORMAT </w:instrText>
      </w:r>
      <w:r w:rsidR="001C0359" w:rsidRPr="00286CAC">
        <w:fldChar w:fldCharType="separate"/>
      </w:r>
      <w:r w:rsidR="000B22F7">
        <w:fldChar w:fldCharType="begin"/>
      </w:r>
      <w:r w:rsidR="000B22F7">
        <w:instrText xml:space="preserve"> REF _Ref216699965 \h </w:instrText>
      </w:r>
      <w:r w:rsidR="000B22F7">
        <w:fldChar w:fldCharType="separate"/>
      </w:r>
      <w:r w:rsidR="000B22F7">
        <w:t xml:space="preserve">Table </w:t>
      </w:r>
      <w:r w:rsidR="000B22F7">
        <w:rPr>
          <w:noProof/>
        </w:rPr>
        <w:t>9</w:t>
      </w:r>
      <w:r w:rsidR="000B22F7">
        <w:fldChar w:fldCharType="end"/>
      </w:r>
      <w:r w:rsidR="001C0359" w:rsidRPr="00286CAC">
        <w:fldChar w:fldCharType="end"/>
      </w:r>
      <w:r w:rsidR="00000533" w:rsidRPr="00286CAC">
        <w:t xml:space="preserve">. </w:t>
      </w:r>
    </w:p>
    <w:p w14:paraId="402E5F98" w14:textId="3B65B8F9" w:rsidR="0060327B" w:rsidRPr="000B22F7" w:rsidRDefault="000B22F7" w:rsidP="00750703">
      <w:pPr>
        <w:pStyle w:val="Caption"/>
        <w:rPr>
          <w:rStyle w:val="CommentReference"/>
          <w:b/>
          <w:szCs w:val="18"/>
        </w:rPr>
      </w:pPr>
      <w:bookmarkStart w:id="40" w:name="_Ref216699965"/>
      <w:r>
        <w:t xml:space="preserve">Table </w:t>
      </w:r>
      <w:fldSimple w:instr=" SEQ Table \* ARABIC ">
        <w:r>
          <w:rPr>
            <w:noProof/>
          </w:rPr>
          <w:t>9</w:t>
        </w:r>
      </w:fldSimple>
      <w:bookmarkEnd w:id="40"/>
      <w:r w:rsidR="001C0359">
        <w:t xml:space="preserve">: </w:t>
      </w:r>
      <w:r w:rsidR="0060327B" w:rsidRPr="0098262F">
        <w:rPr>
          <w:rStyle w:val="CommentReference"/>
          <w:b/>
          <w:szCs w:val="24"/>
        </w:rPr>
        <w:t>Key components and assumptions of the cost</w:t>
      </w:r>
      <w:r w:rsidR="00750703">
        <w:rPr>
          <w:rStyle w:val="CommentReference"/>
          <w:b/>
          <w:szCs w:val="24"/>
        </w:rPr>
        <w:noBreakHyphen/>
      </w:r>
      <w:r w:rsidR="0060327B" w:rsidRPr="0098262F">
        <w:rPr>
          <w:rStyle w:val="CommentReference"/>
          <w:b/>
          <w:szCs w:val="24"/>
        </w:rPr>
        <w:t>minimisation approach</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Key components and assumptions of the cost minimisation approach"/>
      </w:tblPr>
      <w:tblGrid>
        <w:gridCol w:w="2547"/>
        <w:gridCol w:w="6379"/>
      </w:tblGrid>
      <w:tr w:rsidR="00B617ED" w:rsidRPr="005C6AC7" w14:paraId="6D2C998E" w14:textId="77777777" w:rsidTr="00C341AE">
        <w:tc>
          <w:tcPr>
            <w:tcW w:w="2547" w:type="dxa"/>
            <w:vAlign w:val="center"/>
          </w:tcPr>
          <w:p w14:paraId="4E162003" w14:textId="77777777" w:rsidR="0060327B" w:rsidRPr="005C6AC7" w:rsidRDefault="0060327B" w:rsidP="00750703">
            <w:pPr>
              <w:pStyle w:val="Tabletext"/>
              <w:rPr>
                <w:b/>
                <w:bCs/>
              </w:rPr>
            </w:pPr>
            <w:r w:rsidRPr="005C6AC7">
              <w:rPr>
                <w:b/>
                <w:bCs/>
              </w:rPr>
              <w:t>Component</w:t>
            </w:r>
          </w:p>
        </w:tc>
        <w:tc>
          <w:tcPr>
            <w:tcW w:w="6379" w:type="dxa"/>
            <w:vAlign w:val="center"/>
          </w:tcPr>
          <w:p w14:paraId="41D6EC1B" w14:textId="77777777" w:rsidR="0060327B" w:rsidRPr="005C6AC7" w:rsidRDefault="0060327B" w:rsidP="00750703">
            <w:pPr>
              <w:pStyle w:val="Tabletext"/>
              <w:rPr>
                <w:b/>
                <w:bCs/>
              </w:rPr>
            </w:pPr>
            <w:r w:rsidRPr="005C6AC7">
              <w:rPr>
                <w:b/>
                <w:bCs/>
              </w:rPr>
              <w:t>Claim or assumption</w:t>
            </w:r>
          </w:p>
        </w:tc>
      </w:tr>
      <w:tr w:rsidR="00B617ED" w:rsidRPr="0060327B" w14:paraId="75F63DF1" w14:textId="77777777" w:rsidTr="00C341AE">
        <w:tc>
          <w:tcPr>
            <w:tcW w:w="2547" w:type="dxa"/>
            <w:vAlign w:val="center"/>
          </w:tcPr>
          <w:p w14:paraId="630BBCF1" w14:textId="76906C95" w:rsidR="0060327B" w:rsidRPr="0060327B" w:rsidRDefault="00C341AE" w:rsidP="00750703">
            <w:pPr>
              <w:pStyle w:val="Tabletext"/>
            </w:pPr>
            <w:r>
              <w:t>Clinical</w:t>
            </w:r>
            <w:r w:rsidRPr="0060327B">
              <w:t xml:space="preserve"> </w:t>
            </w:r>
            <w:r w:rsidR="0060327B" w:rsidRPr="0060327B">
              <w:t>claim: effectiveness</w:t>
            </w:r>
          </w:p>
        </w:tc>
        <w:tc>
          <w:tcPr>
            <w:tcW w:w="6379" w:type="dxa"/>
            <w:vAlign w:val="center"/>
          </w:tcPr>
          <w:p w14:paraId="545C5A04" w14:textId="7049060A" w:rsidR="0060327B" w:rsidRPr="0060327B" w:rsidRDefault="00505E8C" w:rsidP="00750703">
            <w:pPr>
              <w:pStyle w:val="Tabletext"/>
              <w:rPr>
                <w:i/>
                <w:iCs/>
              </w:rPr>
            </w:pPr>
            <w:r>
              <w:t>E</w:t>
            </w:r>
            <w:r w:rsidR="0060327B" w:rsidRPr="0060327B">
              <w:t>ffectiveness is assumed to be non</w:t>
            </w:r>
            <w:r w:rsidR="00750703">
              <w:noBreakHyphen/>
            </w:r>
            <w:r w:rsidR="0060327B" w:rsidRPr="0060327B">
              <w:t>inferior</w:t>
            </w:r>
            <w:r w:rsidR="003E39F1">
              <w:t xml:space="preserve"> to pralatrexate</w:t>
            </w:r>
            <w:r w:rsidR="00266A85">
              <w:t xml:space="preserve">. </w:t>
            </w:r>
          </w:p>
        </w:tc>
      </w:tr>
      <w:tr w:rsidR="00B617ED" w:rsidRPr="0060327B" w14:paraId="6F0580A5" w14:textId="77777777" w:rsidTr="00C341AE">
        <w:tc>
          <w:tcPr>
            <w:tcW w:w="2547" w:type="dxa"/>
            <w:vAlign w:val="center"/>
          </w:tcPr>
          <w:p w14:paraId="02B33560" w14:textId="0072C962" w:rsidR="0060327B" w:rsidRPr="0060327B" w:rsidRDefault="00C341AE" w:rsidP="00750703">
            <w:pPr>
              <w:pStyle w:val="Tabletext"/>
            </w:pPr>
            <w:r>
              <w:t>Clinical</w:t>
            </w:r>
            <w:r w:rsidRPr="0060327B">
              <w:t xml:space="preserve"> </w:t>
            </w:r>
            <w:r w:rsidR="0060327B" w:rsidRPr="0060327B">
              <w:t>claim: safety</w:t>
            </w:r>
          </w:p>
        </w:tc>
        <w:tc>
          <w:tcPr>
            <w:tcW w:w="6379" w:type="dxa"/>
            <w:vAlign w:val="center"/>
          </w:tcPr>
          <w:p w14:paraId="301349DD" w14:textId="2273837A" w:rsidR="0060327B" w:rsidRPr="0060327B" w:rsidRDefault="00505E8C" w:rsidP="00750703">
            <w:pPr>
              <w:pStyle w:val="Tabletext"/>
            </w:pPr>
            <w:r>
              <w:t>S</w:t>
            </w:r>
            <w:r w:rsidR="0060327B" w:rsidRPr="0060327B">
              <w:t xml:space="preserve">afety is assumed to be </w:t>
            </w:r>
            <w:r w:rsidR="0060327B">
              <w:t xml:space="preserve">different but </w:t>
            </w:r>
            <w:proofErr w:type="spellStart"/>
            <w:r w:rsidR="0060327B">
              <w:t>no</w:t>
            </w:r>
            <w:r w:rsidR="00712B8C">
              <w:t>n</w:t>
            </w:r>
            <w:proofErr w:type="spellEnd"/>
            <w:r w:rsidR="00750703">
              <w:noBreakHyphen/>
            </w:r>
            <w:r w:rsidR="0060327B">
              <w:t xml:space="preserve"> inferior</w:t>
            </w:r>
            <w:r w:rsidR="00B17F18">
              <w:t xml:space="preserve"> to pralatrexate</w:t>
            </w:r>
            <w:r w:rsidR="0060327B">
              <w:t xml:space="preserve">. </w:t>
            </w:r>
          </w:p>
        </w:tc>
      </w:tr>
      <w:tr w:rsidR="00B617ED" w:rsidRPr="0060327B" w14:paraId="45DD6330" w14:textId="77777777" w:rsidTr="00C341AE">
        <w:tc>
          <w:tcPr>
            <w:tcW w:w="2547" w:type="dxa"/>
            <w:vAlign w:val="center"/>
          </w:tcPr>
          <w:p w14:paraId="41253739" w14:textId="77777777" w:rsidR="0060327B" w:rsidRPr="0060327B" w:rsidRDefault="0060327B" w:rsidP="00750703">
            <w:pPr>
              <w:pStyle w:val="Tabletext"/>
            </w:pPr>
            <w:r w:rsidRPr="0060327B">
              <w:t>Evidence base</w:t>
            </w:r>
          </w:p>
        </w:tc>
        <w:tc>
          <w:tcPr>
            <w:tcW w:w="6379" w:type="dxa"/>
            <w:vAlign w:val="center"/>
          </w:tcPr>
          <w:p w14:paraId="4BC45428" w14:textId="43A0E70D" w:rsidR="0060327B" w:rsidRPr="0060327B" w:rsidRDefault="0060327B" w:rsidP="00750703">
            <w:pPr>
              <w:pStyle w:val="Tabletext"/>
            </w:pPr>
            <w:r>
              <w:t xml:space="preserve">Informal indirect comparison </w:t>
            </w:r>
          </w:p>
        </w:tc>
      </w:tr>
      <w:tr w:rsidR="00B617ED" w:rsidRPr="0060327B" w14:paraId="6617C3E8" w14:textId="77777777" w:rsidTr="00C341AE">
        <w:tc>
          <w:tcPr>
            <w:tcW w:w="2547" w:type="dxa"/>
            <w:vAlign w:val="center"/>
          </w:tcPr>
          <w:p w14:paraId="59330E6A" w14:textId="1FEC4FB9" w:rsidR="0060327B" w:rsidRPr="0060327B" w:rsidRDefault="0060327B" w:rsidP="00750703">
            <w:pPr>
              <w:pStyle w:val="Tabletext"/>
            </w:pPr>
            <w:r w:rsidRPr="0060327B">
              <w:t>Equi</w:t>
            </w:r>
            <w:r w:rsidR="00750703">
              <w:noBreakHyphen/>
            </w:r>
            <w:r w:rsidRPr="0060327B">
              <w:t>effective doses</w:t>
            </w:r>
          </w:p>
        </w:tc>
        <w:tc>
          <w:tcPr>
            <w:tcW w:w="6379" w:type="dxa"/>
            <w:vAlign w:val="center"/>
          </w:tcPr>
          <w:p w14:paraId="16BCDA84" w14:textId="5D5D2727" w:rsidR="0060327B" w:rsidRPr="0060327B" w:rsidRDefault="0060327B" w:rsidP="00750703">
            <w:pPr>
              <w:pStyle w:val="Tabletext"/>
              <w:rPr>
                <w:i/>
                <w:iCs/>
              </w:rPr>
            </w:pPr>
            <w:r w:rsidRPr="0060327B">
              <w:t>Romidepsin 14 mg/m² IV (Days 1, 8, 15; 28</w:t>
            </w:r>
            <w:r w:rsidR="00750703">
              <w:noBreakHyphen/>
            </w:r>
            <w:r w:rsidRPr="0060327B">
              <w:t>day cycle) is considered equi</w:t>
            </w:r>
            <w:r w:rsidR="00750703">
              <w:noBreakHyphen/>
            </w:r>
            <w:r w:rsidRPr="0060327B">
              <w:t>effective to pralatrexate 30 mg/m² IV (once weekly for 6 weeks, followed by a 1</w:t>
            </w:r>
            <w:r w:rsidR="00750703">
              <w:noBreakHyphen/>
            </w:r>
            <w:r w:rsidRPr="0060327B">
              <w:t>week rest; 7</w:t>
            </w:r>
            <w:r w:rsidR="00750703">
              <w:noBreakHyphen/>
            </w:r>
            <w:r w:rsidRPr="0060327B">
              <w:t>week cycle</w:t>
            </w:r>
            <w:r w:rsidR="00266A85">
              <w:t xml:space="preserve">. </w:t>
            </w:r>
          </w:p>
        </w:tc>
      </w:tr>
      <w:tr w:rsidR="00B617ED" w:rsidRPr="0060327B" w14:paraId="4B398B94" w14:textId="77777777" w:rsidTr="00C341AE">
        <w:tc>
          <w:tcPr>
            <w:tcW w:w="2547" w:type="dxa"/>
            <w:vAlign w:val="center"/>
          </w:tcPr>
          <w:p w14:paraId="38C37FD6" w14:textId="77777777" w:rsidR="0060327B" w:rsidRPr="0060327B" w:rsidRDefault="0060327B" w:rsidP="00750703">
            <w:pPr>
              <w:pStyle w:val="Tabletext"/>
            </w:pPr>
            <w:r w:rsidRPr="0060327B">
              <w:t>Direct medicine costs</w:t>
            </w:r>
          </w:p>
        </w:tc>
        <w:tc>
          <w:tcPr>
            <w:tcW w:w="6379" w:type="dxa"/>
            <w:vAlign w:val="center"/>
          </w:tcPr>
          <w:p w14:paraId="3F0C0571" w14:textId="68DA810E" w:rsidR="0060327B" w:rsidRPr="0060327B" w:rsidRDefault="0060327B" w:rsidP="00750703">
            <w:pPr>
              <w:pStyle w:val="Tabletext"/>
            </w:pPr>
            <w:r>
              <w:t xml:space="preserve">Based on </w:t>
            </w:r>
            <w:r w:rsidR="00336FAE">
              <w:t xml:space="preserve">standard dosing </w:t>
            </w:r>
            <w:r w:rsidR="00121DC2">
              <w:t xml:space="preserve">for </w:t>
            </w:r>
            <w:r>
              <w:t>a</w:t>
            </w:r>
            <w:r w:rsidR="008A4431">
              <w:t>n average</w:t>
            </w:r>
            <w:r>
              <w:t xml:space="preserve"> patient with a body surface area of 1.8</w:t>
            </w:r>
            <w:r w:rsidR="006E6830">
              <w:t xml:space="preserve"> </w:t>
            </w:r>
            <w:r>
              <w:t>m</w:t>
            </w:r>
            <w:r>
              <w:rPr>
                <w:vertAlign w:val="superscript"/>
              </w:rPr>
              <w:t>2</w:t>
            </w:r>
            <w:r>
              <w:t>.</w:t>
            </w:r>
          </w:p>
        </w:tc>
      </w:tr>
      <w:tr w:rsidR="00B617ED" w:rsidRPr="0060327B" w14:paraId="5F838653" w14:textId="77777777" w:rsidTr="00C341AE">
        <w:tc>
          <w:tcPr>
            <w:tcW w:w="2547" w:type="dxa"/>
            <w:vAlign w:val="center"/>
          </w:tcPr>
          <w:p w14:paraId="79AC8A33" w14:textId="77777777" w:rsidR="0060327B" w:rsidRPr="0060327B" w:rsidRDefault="0060327B" w:rsidP="00750703">
            <w:pPr>
              <w:pStyle w:val="Tabletext"/>
            </w:pPr>
            <w:r w:rsidRPr="0060327B">
              <w:t>Other costs or cost offsets</w:t>
            </w:r>
          </w:p>
        </w:tc>
        <w:tc>
          <w:tcPr>
            <w:tcW w:w="6379" w:type="dxa"/>
            <w:vAlign w:val="center"/>
          </w:tcPr>
          <w:p w14:paraId="2E8CF14D" w14:textId="77777777" w:rsidR="0060327B" w:rsidRDefault="0060327B" w:rsidP="00750703">
            <w:pPr>
              <w:pStyle w:val="Tabletext"/>
            </w:pPr>
            <w:r>
              <w:t>Administration</w:t>
            </w:r>
          </w:p>
          <w:p w14:paraId="7011D815" w14:textId="77777777" w:rsidR="0060327B" w:rsidRDefault="0060327B" w:rsidP="00750703">
            <w:pPr>
              <w:pStyle w:val="Tabletext"/>
            </w:pPr>
            <w:r>
              <w:t>Tests for screening or monitoring</w:t>
            </w:r>
          </w:p>
          <w:p w14:paraId="779B97E9" w14:textId="77777777" w:rsidR="0060327B" w:rsidRDefault="0060327B" w:rsidP="00750703">
            <w:pPr>
              <w:pStyle w:val="Tabletext"/>
            </w:pPr>
            <w:r>
              <w:t>Concomitant medication</w:t>
            </w:r>
          </w:p>
          <w:p w14:paraId="6B3EB3C5" w14:textId="271FB045" w:rsidR="0060327B" w:rsidRPr="0060327B" w:rsidRDefault="0060327B" w:rsidP="00750703">
            <w:pPr>
              <w:pStyle w:val="Tabletext"/>
            </w:pPr>
            <w:r>
              <w:t>Management of key adverse events</w:t>
            </w:r>
          </w:p>
        </w:tc>
      </w:tr>
    </w:tbl>
    <w:p w14:paraId="53C4FE6F" w14:textId="383834CE" w:rsidR="0060327B" w:rsidRPr="0098262F" w:rsidRDefault="0060327B" w:rsidP="00750703">
      <w:pPr>
        <w:pStyle w:val="FooterTableFigure"/>
        <w:spacing w:after="0"/>
        <w:rPr>
          <w:sz w:val="20"/>
        </w:rPr>
      </w:pPr>
      <w:r w:rsidRPr="0098262F">
        <w:t>Source: Table</w:t>
      </w:r>
      <w:r>
        <w:t xml:space="preserve"> 3.1,</w:t>
      </w:r>
      <w:r w:rsidRPr="0098262F">
        <w:t xml:space="preserve"> </w:t>
      </w:r>
      <w:r>
        <w:t>p80 of the submission</w:t>
      </w:r>
      <w:r w:rsidRPr="0098262F">
        <w:t>.</w:t>
      </w:r>
    </w:p>
    <w:p w14:paraId="42E9986B" w14:textId="06268D96" w:rsidR="003B5933" w:rsidRPr="003B5933" w:rsidRDefault="0060327B" w:rsidP="00750703">
      <w:pPr>
        <w:pStyle w:val="3-BodyText"/>
        <w:ind w:left="720"/>
        <w:rPr>
          <w:b/>
          <w:bCs/>
        </w:rPr>
      </w:pPr>
      <w:r w:rsidRPr="00286CAC">
        <w:t>The equi</w:t>
      </w:r>
      <w:r w:rsidR="00750703">
        <w:noBreakHyphen/>
      </w:r>
      <w:r w:rsidRPr="00286CAC">
        <w:t>effective doses were based on the doses in the Product Information</w:t>
      </w:r>
      <w:r w:rsidR="004C2FAB">
        <w:t xml:space="preserve"> for romidepsin and pralatrexate</w:t>
      </w:r>
      <w:r w:rsidR="00296F34">
        <w:t>, and the submission included no allowance for differences in dose intensity</w:t>
      </w:r>
      <w:r w:rsidRPr="00286CAC">
        <w:t>.</w:t>
      </w:r>
    </w:p>
    <w:p w14:paraId="419F848C" w14:textId="0D621227" w:rsidR="0060327B" w:rsidRPr="00286CAC" w:rsidRDefault="0060327B" w:rsidP="00750703">
      <w:pPr>
        <w:pStyle w:val="3-BodyText"/>
        <w:spacing w:before="160" w:after="160"/>
        <w:ind w:left="720"/>
      </w:pPr>
      <w:bookmarkStart w:id="41" w:name="_Ref214093918"/>
      <w:r w:rsidRPr="00286CAC">
        <w:t xml:space="preserve">The frequency of mucositis in pralatrexate patients used in the analysis was consistent with that observed in the PROPEL study but there was no evidence that all patients with mucositis required </w:t>
      </w:r>
      <w:r w:rsidR="00B4463D">
        <w:t xml:space="preserve">hospital </w:t>
      </w:r>
      <w:r w:rsidRPr="00286CAC">
        <w:t>admission</w:t>
      </w:r>
      <w:r w:rsidR="002C5AF1" w:rsidRPr="00286CAC">
        <w:t>,</w:t>
      </w:r>
      <w:r w:rsidR="00E86B33" w:rsidRPr="00286CAC">
        <w:t xml:space="preserve"> and the number of admissions was not included in the data analysis</w:t>
      </w:r>
      <w:r w:rsidR="00266A85" w:rsidRPr="00286CAC">
        <w:t xml:space="preserve">. </w:t>
      </w:r>
      <w:r w:rsidRPr="00286CAC">
        <w:t>This cost may therefore be overestimated</w:t>
      </w:r>
      <w:bookmarkEnd w:id="41"/>
      <w:r w:rsidR="00000533" w:rsidRPr="00286CAC">
        <w:t xml:space="preserve">. </w:t>
      </w:r>
    </w:p>
    <w:p w14:paraId="677D7A0D" w14:textId="1D448E4C" w:rsidR="00DC3E37" w:rsidRPr="00286CAC" w:rsidRDefault="00DC3E37" w:rsidP="00750703">
      <w:pPr>
        <w:pStyle w:val="3-BodyText"/>
        <w:ind w:left="720"/>
      </w:pPr>
      <w:r>
        <w:lastRenderedPageBreak/>
        <w:t>The submission used the median PFS for both romidepsin and pralatrexate in GPI</w:t>
      </w:r>
      <w:r w:rsidR="00750703">
        <w:noBreakHyphen/>
      </w:r>
      <w:r>
        <w:t>06</w:t>
      </w:r>
      <w:r w:rsidR="00750703">
        <w:noBreakHyphen/>
      </w:r>
      <w:r>
        <w:t>0002 and PROPEL, as cited in Table 6, Romidepsin PSD, December 2017 PBAC Meeting, as a proxy for duration of treatment. Based on a cycle length of 28 days for romidepsin and 49 days for pralatrexate, the submission determined that the median PFS of 3.5 months equated to 3.8 cycles and 2.17 cycles respectively. Based on the estimated number of cycles, the</w:t>
      </w:r>
      <w:r w:rsidRPr="00286CAC">
        <w:t xml:space="preserve"> submission</w:t>
      </w:r>
      <w:r>
        <w:t xml:space="preserve"> estimated </w:t>
      </w:r>
      <w:r w:rsidRPr="00286CAC">
        <w:t xml:space="preserve">the number of vials per patient </w:t>
      </w:r>
      <w:r>
        <w:t xml:space="preserve">to be </w:t>
      </w:r>
      <w:r w:rsidRPr="00286CAC">
        <w:t>34.23</w:t>
      </w:r>
      <w:r>
        <w:t xml:space="preserve"> for romidepsin</w:t>
      </w:r>
      <w:r w:rsidRPr="00286CAC">
        <w:t xml:space="preserve"> and 39.12 for pralatrexat</w:t>
      </w:r>
      <w:r>
        <w:t>e</w:t>
      </w:r>
      <w:r w:rsidRPr="00286CAC">
        <w:t>.</w:t>
      </w:r>
      <w:r w:rsidR="00750703">
        <w:t xml:space="preserve"> </w:t>
      </w:r>
    </w:p>
    <w:p w14:paraId="4F42BA42" w14:textId="533054D4" w:rsidR="00FD54EE" w:rsidRPr="00286CAC" w:rsidRDefault="00B13FCC" w:rsidP="00750703">
      <w:pPr>
        <w:pStyle w:val="3-BodyText"/>
        <w:spacing w:before="160" w:after="160"/>
        <w:ind w:left="720"/>
      </w:pPr>
      <w:r w:rsidRPr="00286CAC">
        <w:t xml:space="preserve">Differences in </w:t>
      </w:r>
      <w:r w:rsidR="00981F48">
        <w:t>body surface area (</w:t>
      </w:r>
      <w:r w:rsidRPr="00286CAC">
        <w:t>BSA</w:t>
      </w:r>
      <w:r w:rsidR="00981F48">
        <w:t>)</w:t>
      </w:r>
      <w:r w:rsidR="001C0359" w:rsidRPr="00286CAC">
        <w:t xml:space="preserve"> would </w:t>
      </w:r>
      <w:r w:rsidRPr="00286CAC">
        <w:t>have minimal effect on usage. The mean BSA of Australian cancer patients has been reported to be 1.80</w:t>
      </w:r>
      <w:r w:rsidR="00656C1F" w:rsidRPr="00286CAC">
        <w:t xml:space="preserve"> m</w:t>
      </w:r>
      <w:r w:rsidR="00656C1F" w:rsidRPr="00286CAC">
        <w:rPr>
          <w:vertAlign w:val="superscript"/>
        </w:rPr>
        <w:t>2</w:t>
      </w:r>
      <w:r w:rsidRPr="00286CAC">
        <w:t>.</w:t>
      </w:r>
      <w:r w:rsidRPr="00286CAC">
        <w:rPr>
          <w:rStyle w:val="FootnoteReference"/>
        </w:rPr>
        <w:footnoteReference w:id="15"/>
      </w:r>
      <w:r w:rsidRPr="00286CAC">
        <w:t xml:space="preserve"> In a UK study mean values were the same, and the distribution of BSA was close to normal with a standard deviation of 0.18.</w:t>
      </w:r>
      <w:r w:rsidRPr="00286CAC">
        <w:rPr>
          <w:rStyle w:val="FootnoteReference"/>
        </w:rPr>
        <w:footnoteReference w:id="16"/>
      </w:r>
      <w:r w:rsidRPr="00286CAC">
        <w:t xml:space="preserve"> That is, 95% of patients</w:t>
      </w:r>
      <w:r w:rsidR="00FD54EE" w:rsidRPr="00286CAC">
        <w:t xml:space="preserve"> will have BSA between 1.44 and 2.16</w:t>
      </w:r>
      <w:r w:rsidR="00656C1F" w:rsidRPr="00286CAC">
        <w:t xml:space="preserve"> m</w:t>
      </w:r>
      <w:r w:rsidR="00656C1F" w:rsidRPr="00286CAC">
        <w:rPr>
          <w:vertAlign w:val="superscript"/>
        </w:rPr>
        <w:t>2</w:t>
      </w:r>
      <w:r w:rsidR="00FD54EE" w:rsidRPr="00286CAC">
        <w:t>. That range corresponds to a range of romidepsin dose</w:t>
      </w:r>
      <w:r w:rsidR="00A82A22" w:rsidRPr="00286CAC">
        <w:t>s</w:t>
      </w:r>
      <w:r w:rsidR="00FD54EE" w:rsidRPr="00286CAC">
        <w:t xml:space="preserve"> of 20 mg to 30 mg, so</w:t>
      </w:r>
      <w:r w:rsidR="006A62CF" w:rsidRPr="00286CAC">
        <w:t>, although wastage will vary,</w:t>
      </w:r>
      <w:r w:rsidR="00FD54EE" w:rsidRPr="00286CAC">
        <w:t xml:space="preserve"> the great majority of patients will use three vials per treatment. The</w:t>
      </w:r>
      <w:r w:rsidR="00A82A22" w:rsidRPr="00286CAC">
        <w:t xml:space="preserve"> dose</w:t>
      </w:r>
      <w:r w:rsidR="00FD54EE" w:rsidRPr="00286CAC">
        <w:t xml:space="preserve"> range for pralatrexate</w:t>
      </w:r>
      <w:r w:rsidR="00A82A22" w:rsidRPr="00286CAC">
        <w:t xml:space="preserve"> for 95% of patients</w:t>
      </w:r>
      <w:r w:rsidR="00FD54EE" w:rsidRPr="00286CAC">
        <w:t xml:space="preserve"> is 43 mg to 65 mg,</w:t>
      </w:r>
      <w:r w:rsidR="00B037A2" w:rsidRPr="00286CAC">
        <w:t xml:space="preserve"> </w:t>
      </w:r>
      <w:r w:rsidR="00FD54EE" w:rsidRPr="00286CAC">
        <w:t>so the great majority of patients will use three vials per dose.</w:t>
      </w:r>
    </w:p>
    <w:p w14:paraId="3B5C53E9" w14:textId="5B1B7290" w:rsidR="00493E8F" w:rsidRPr="00286CAC" w:rsidRDefault="00E86B33" w:rsidP="00750703">
      <w:pPr>
        <w:pStyle w:val="3-BodyText"/>
        <w:spacing w:before="160" w:after="160"/>
        <w:ind w:left="720"/>
      </w:pPr>
      <w:r w:rsidRPr="00286CAC">
        <w:t>The results of the CMA are shown in</w:t>
      </w:r>
      <w:r w:rsidR="001C0359" w:rsidRPr="00286CAC">
        <w:t xml:space="preserve"> </w:t>
      </w:r>
      <w:r w:rsidR="001C0359" w:rsidRPr="00286CAC">
        <w:fldChar w:fldCharType="begin"/>
      </w:r>
      <w:r w:rsidR="001C0359" w:rsidRPr="00286CAC">
        <w:instrText xml:space="preserve"> REF _Ref216700169 \h </w:instrText>
      </w:r>
      <w:r w:rsidR="00286CAC">
        <w:instrText xml:space="preserve"> \* MERGEFORMAT </w:instrText>
      </w:r>
      <w:r w:rsidR="001C0359" w:rsidRPr="00286CAC">
        <w:fldChar w:fldCharType="separate"/>
      </w:r>
      <w:r w:rsidR="001C0359" w:rsidRPr="00286CAC">
        <w:t xml:space="preserve">Table </w:t>
      </w:r>
      <w:r w:rsidR="001C0359" w:rsidRPr="00286CAC">
        <w:rPr>
          <w:noProof/>
        </w:rPr>
        <w:t>1</w:t>
      </w:r>
      <w:r w:rsidR="00BC4690">
        <w:rPr>
          <w:noProof/>
        </w:rPr>
        <w:t>0</w:t>
      </w:r>
      <w:r w:rsidR="001C0359" w:rsidRPr="00286CAC">
        <w:fldChar w:fldCharType="end"/>
      </w:r>
      <w:r w:rsidR="001C0359" w:rsidRPr="00286CAC">
        <w:t>.</w:t>
      </w:r>
      <w:r w:rsidR="000A7B10" w:rsidRPr="00286CAC">
        <w:t xml:space="preserve"> </w:t>
      </w:r>
    </w:p>
    <w:p w14:paraId="0FE53E1E" w14:textId="404DDABB" w:rsidR="00E86B33" w:rsidRDefault="001C0359" w:rsidP="00634B91">
      <w:pPr>
        <w:pStyle w:val="Caption"/>
      </w:pPr>
      <w:bookmarkStart w:id="42" w:name="_Ref216700169"/>
      <w:r>
        <w:lastRenderedPageBreak/>
        <w:t xml:space="preserve">Table </w:t>
      </w:r>
      <w:fldSimple w:instr=" SEQ Table \* ARABIC ">
        <w:r w:rsidR="000B22F7">
          <w:rPr>
            <w:noProof/>
          </w:rPr>
          <w:t>10</w:t>
        </w:r>
      </w:fldSimple>
      <w:bookmarkEnd w:id="42"/>
      <w:r>
        <w:t xml:space="preserve">: </w:t>
      </w:r>
      <w:r w:rsidR="00E86B33">
        <w:t xml:space="preserve">Results of the </w:t>
      </w:r>
      <w:r w:rsidR="00BC4690">
        <w:t>cost</w:t>
      </w:r>
      <w:r w:rsidR="00750703">
        <w:noBreakHyphen/>
      </w:r>
      <w:r w:rsidR="00BC4690">
        <w:t>minimisation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Results of the cost minimisation approach"/>
      </w:tblPr>
      <w:tblGrid>
        <w:gridCol w:w="5240"/>
        <w:gridCol w:w="1985"/>
        <w:gridCol w:w="1792"/>
      </w:tblGrid>
      <w:tr w:rsidR="00FC45BA" w14:paraId="782C29D3" w14:textId="77777777" w:rsidTr="004D3D54">
        <w:tc>
          <w:tcPr>
            <w:tcW w:w="5240" w:type="dxa"/>
            <w:vMerge w:val="restart"/>
            <w:tcBorders>
              <w:top w:val="single" w:sz="4" w:space="0" w:color="auto"/>
              <w:left w:val="single" w:sz="4" w:space="0" w:color="auto"/>
              <w:right w:val="single" w:sz="4" w:space="0" w:color="auto"/>
            </w:tcBorders>
            <w:vAlign w:val="center"/>
          </w:tcPr>
          <w:p w14:paraId="26E862F4" w14:textId="10E3CB28" w:rsidR="00FC45BA" w:rsidRDefault="00FC45BA" w:rsidP="00634B91">
            <w:pPr>
              <w:pStyle w:val="PBACTableText"/>
              <w:keepNext/>
              <w:tabs>
                <w:tab w:val="left" w:pos="142"/>
              </w:tabs>
              <w:spacing w:before="0" w:after="0"/>
            </w:pPr>
            <w:r>
              <w:t>Proposed equi</w:t>
            </w:r>
            <w:r w:rsidR="00750703">
              <w:noBreakHyphen/>
            </w:r>
            <w:r>
              <w:t>effective doses</w:t>
            </w:r>
            <w:r w:rsidR="00750703">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C28EEFA" w14:textId="77777777" w:rsidR="00FC45BA" w:rsidRDefault="00FC45BA" w:rsidP="00634B91">
            <w:pPr>
              <w:pStyle w:val="PBACTableText"/>
              <w:keepNext/>
              <w:spacing w:before="0" w:after="0"/>
              <w:jc w:val="center"/>
              <w:rPr>
                <w:b/>
              </w:rPr>
            </w:pPr>
            <w:r>
              <w:rPr>
                <w:b/>
              </w:rPr>
              <w:t>Pralatrexate</w:t>
            </w:r>
          </w:p>
        </w:tc>
        <w:tc>
          <w:tcPr>
            <w:tcW w:w="1792" w:type="dxa"/>
            <w:tcBorders>
              <w:top w:val="single" w:sz="4" w:space="0" w:color="auto"/>
              <w:left w:val="single" w:sz="4" w:space="0" w:color="auto"/>
              <w:bottom w:val="single" w:sz="4" w:space="0" w:color="auto"/>
              <w:right w:val="single" w:sz="4" w:space="0" w:color="auto"/>
            </w:tcBorders>
            <w:vAlign w:val="center"/>
            <w:hideMark/>
          </w:tcPr>
          <w:p w14:paraId="0964B97A" w14:textId="77777777" w:rsidR="00FC45BA" w:rsidRDefault="00FC45BA" w:rsidP="00634B91">
            <w:pPr>
              <w:pStyle w:val="PBACTableText"/>
              <w:keepNext/>
              <w:spacing w:before="0" w:after="0"/>
              <w:jc w:val="center"/>
              <w:rPr>
                <w:b/>
              </w:rPr>
            </w:pPr>
            <w:r>
              <w:rPr>
                <w:b/>
              </w:rPr>
              <w:t>Romidepsin</w:t>
            </w:r>
          </w:p>
        </w:tc>
      </w:tr>
      <w:tr w:rsidR="00FC45BA" w14:paraId="09DC952D" w14:textId="77777777" w:rsidTr="004D3D54">
        <w:tc>
          <w:tcPr>
            <w:tcW w:w="5240" w:type="dxa"/>
            <w:vMerge/>
            <w:tcBorders>
              <w:left w:val="single" w:sz="4" w:space="0" w:color="auto"/>
              <w:bottom w:val="single" w:sz="4" w:space="0" w:color="auto"/>
              <w:right w:val="single" w:sz="4" w:space="0" w:color="auto"/>
            </w:tcBorders>
            <w:vAlign w:val="center"/>
            <w:hideMark/>
          </w:tcPr>
          <w:p w14:paraId="514D7FCF" w14:textId="77777777" w:rsidR="00FC45BA" w:rsidRDefault="00FC45BA" w:rsidP="00634B91">
            <w:pPr>
              <w:pStyle w:val="PBACTableText"/>
              <w:keepNext/>
              <w:tabs>
                <w:tab w:val="left" w:pos="142"/>
              </w:tabs>
              <w:spacing w:before="0" w:after="0"/>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52D014A" w14:textId="7B001B1E" w:rsidR="00FC45BA" w:rsidRDefault="00FC45BA" w:rsidP="00634B91">
            <w:pPr>
              <w:pStyle w:val="PBACTableText"/>
              <w:keepNext/>
              <w:spacing w:before="0" w:after="0"/>
              <w:jc w:val="center"/>
            </w:pPr>
            <w:r>
              <w:t>6 doses at 30 mg/m</w:t>
            </w:r>
            <w:r w:rsidRPr="00CE12A2">
              <w:rPr>
                <w:vertAlign w:val="superscript"/>
              </w:rPr>
              <w:t>2</w:t>
            </w:r>
            <w:r>
              <w:t xml:space="preserve"> every 49</w:t>
            </w:r>
            <w:r w:rsidR="00750703">
              <w:noBreakHyphen/>
            </w:r>
            <w:r>
              <w:t>day cycle for 3.5 months</w:t>
            </w:r>
          </w:p>
          <w:p w14:paraId="4A974C99" w14:textId="77777777" w:rsidR="00FC45BA" w:rsidRDefault="00FC45BA" w:rsidP="00634B91">
            <w:pPr>
              <w:pStyle w:val="PBACTableText"/>
              <w:keepNext/>
              <w:spacing w:before="0" w:after="0"/>
              <w:jc w:val="center"/>
            </w:pPr>
            <w:r>
              <w:t xml:space="preserve"> (2.17 cycles)</w:t>
            </w:r>
          </w:p>
        </w:tc>
        <w:tc>
          <w:tcPr>
            <w:tcW w:w="1792" w:type="dxa"/>
            <w:tcBorders>
              <w:top w:val="single" w:sz="4" w:space="0" w:color="auto"/>
              <w:left w:val="single" w:sz="4" w:space="0" w:color="auto"/>
              <w:bottom w:val="single" w:sz="4" w:space="0" w:color="auto"/>
              <w:right w:val="single" w:sz="4" w:space="0" w:color="auto"/>
            </w:tcBorders>
            <w:vAlign w:val="center"/>
            <w:hideMark/>
          </w:tcPr>
          <w:p w14:paraId="296265D2" w14:textId="55E82627" w:rsidR="00FC45BA" w:rsidRDefault="00FC45BA" w:rsidP="00634B91">
            <w:pPr>
              <w:pStyle w:val="PBACTableText"/>
              <w:keepNext/>
              <w:spacing w:before="0" w:after="0"/>
              <w:jc w:val="center"/>
            </w:pPr>
            <w:r>
              <w:t>3 doses at 14 mg/m</w:t>
            </w:r>
            <w:r w:rsidRPr="00CE12A2">
              <w:rPr>
                <w:vertAlign w:val="superscript"/>
              </w:rPr>
              <w:t>2</w:t>
            </w:r>
            <w:r>
              <w:t xml:space="preserve"> every 28</w:t>
            </w:r>
            <w:r w:rsidR="00750703">
              <w:noBreakHyphen/>
            </w:r>
            <w:r>
              <w:t>day cycle for 3.5 months</w:t>
            </w:r>
          </w:p>
          <w:p w14:paraId="3EE8F3C5" w14:textId="77777777" w:rsidR="00FC45BA" w:rsidRPr="00F62064" w:rsidRDefault="00FC45BA" w:rsidP="00634B91">
            <w:pPr>
              <w:pStyle w:val="PBACTableText"/>
              <w:keepNext/>
              <w:spacing w:before="0" w:after="0"/>
              <w:jc w:val="center"/>
              <w:rPr>
                <w:highlight w:val="yellow"/>
              </w:rPr>
            </w:pPr>
            <w:r>
              <w:t>(3.80 cycles)</w:t>
            </w:r>
          </w:p>
        </w:tc>
      </w:tr>
      <w:tr w:rsidR="00FC45BA" w:rsidRPr="00AB34C7" w14:paraId="1742D9AE" w14:textId="77777777" w:rsidTr="004D3D54">
        <w:tc>
          <w:tcPr>
            <w:tcW w:w="9017" w:type="dxa"/>
            <w:gridSpan w:val="3"/>
            <w:tcBorders>
              <w:top w:val="single" w:sz="4" w:space="0" w:color="auto"/>
              <w:left w:val="single" w:sz="4" w:space="0" w:color="auto"/>
              <w:bottom w:val="single" w:sz="4" w:space="0" w:color="auto"/>
              <w:right w:val="single" w:sz="4" w:space="0" w:color="auto"/>
            </w:tcBorders>
            <w:vAlign w:val="center"/>
            <w:hideMark/>
          </w:tcPr>
          <w:p w14:paraId="6E539332" w14:textId="77777777" w:rsidR="00FC45BA" w:rsidRPr="00AB34C7" w:rsidRDefault="00FC45BA" w:rsidP="00634B91">
            <w:pPr>
              <w:pStyle w:val="PBACTableText"/>
              <w:keepNext/>
              <w:tabs>
                <w:tab w:val="left" w:pos="142"/>
              </w:tabs>
              <w:spacing w:before="0" w:after="0"/>
              <w:rPr>
                <w:b/>
              </w:rPr>
            </w:pPr>
            <w:r w:rsidRPr="00AB34C7">
              <w:rPr>
                <w:b/>
              </w:rPr>
              <w:t>Treatment cost (</w:t>
            </w:r>
            <w:r>
              <w:rPr>
                <w:b/>
              </w:rPr>
              <w:t>pralatrexate</w:t>
            </w:r>
            <w:r w:rsidRPr="00AB34C7">
              <w:rPr>
                <w:b/>
              </w:rPr>
              <w:t>)</w:t>
            </w:r>
          </w:p>
        </w:tc>
      </w:tr>
      <w:tr w:rsidR="00FC45BA" w:rsidRPr="00AB34C7" w14:paraId="2C4934D3" w14:textId="77777777" w:rsidTr="004D3D54">
        <w:tc>
          <w:tcPr>
            <w:tcW w:w="5240" w:type="dxa"/>
            <w:tcBorders>
              <w:top w:val="single" w:sz="4" w:space="0" w:color="auto"/>
              <w:left w:val="single" w:sz="4" w:space="0" w:color="auto"/>
              <w:bottom w:val="single" w:sz="4" w:space="0" w:color="auto"/>
              <w:right w:val="single" w:sz="4" w:space="0" w:color="auto"/>
            </w:tcBorders>
            <w:vAlign w:val="center"/>
            <w:hideMark/>
          </w:tcPr>
          <w:p w14:paraId="7AA5AD11" w14:textId="557C90C9" w:rsidR="00FC45BA" w:rsidRPr="00AB34C7" w:rsidRDefault="00FC45BA" w:rsidP="00634B91">
            <w:pPr>
              <w:pStyle w:val="PBACTableText"/>
              <w:keepNext/>
              <w:tabs>
                <w:tab w:val="left" w:pos="142"/>
              </w:tabs>
              <w:spacing w:before="0" w:after="0"/>
              <w:rPr>
                <w:vertAlign w:val="superscript"/>
              </w:rPr>
            </w:pPr>
            <w:r>
              <w:t>Dispensed price of pralatrexate</w:t>
            </w:r>
            <w:r w:rsidRPr="00AB34C7">
              <w:t xml:space="preserve"> per course </w:t>
            </w:r>
            <w:r>
              <w:t>(13.04 x $3,197.73</w:t>
            </w:r>
            <w:r w:rsidRPr="00AB34C7">
              <w:t>)</w:t>
            </w:r>
            <w:r>
              <w:t xml:space="preserve"> </w:t>
            </w:r>
            <w:r w:rsidRPr="00AB34C7">
              <w:rPr>
                <w:vertAlign w:val="superscript"/>
              </w:rPr>
              <w:t>a</w:t>
            </w:r>
            <w:r>
              <w:rPr>
                <w:vertAlign w:val="superscript"/>
              </w:rPr>
              <w:t>,</w:t>
            </w:r>
            <w:r w:rsidR="00291D7F">
              <w:rPr>
                <w:vertAlign w:val="superscript"/>
              </w:rPr>
              <w:t xml:space="preserve"> </w:t>
            </w:r>
            <w:r>
              <w:rPr>
                <w:vertAlign w:val="superscript"/>
              </w:rPr>
              <w:t>b</w:t>
            </w:r>
          </w:p>
        </w:tc>
        <w:tc>
          <w:tcPr>
            <w:tcW w:w="1985" w:type="dxa"/>
            <w:tcBorders>
              <w:top w:val="single" w:sz="4" w:space="0" w:color="auto"/>
              <w:left w:val="single" w:sz="4" w:space="0" w:color="auto"/>
              <w:bottom w:val="single" w:sz="4" w:space="0" w:color="auto"/>
              <w:right w:val="single" w:sz="4" w:space="0" w:color="auto"/>
            </w:tcBorders>
            <w:vAlign w:val="center"/>
          </w:tcPr>
          <w:p w14:paraId="40ED629B" w14:textId="77777777" w:rsidR="00FC45BA" w:rsidRPr="00AB34C7" w:rsidRDefault="00FC45BA" w:rsidP="00634B91">
            <w:pPr>
              <w:pStyle w:val="PBACTableText"/>
              <w:keepNext/>
              <w:spacing w:before="0" w:after="0"/>
              <w:jc w:val="center"/>
            </w:pPr>
            <w:r w:rsidRPr="00AB34C7">
              <w:t>$</w:t>
            </w:r>
            <w:r>
              <w:t>41,713.25</w:t>
            </w:r>
          </w:p>
        </w:tc>
        <w:tc>
          <w:tcPr>
            <w:tcW w:w="1792" w:type="dxa"/>
            <w:tcBorders>
              <w:top w:val="single" w:sz="4" w:space="0" w:color="auto"/>
              <w:left w:val="single" w:sz="4" w:space="0" w:color="auto"/>
              <w:bottom w:val="single" w:sz="4" w:space="0" w:color="auto"/>
              <w:right w:val="single" w:sz="4" w:space="0" w:color="auto"/>
            </w:tcBorders>
            <w:vAlign w:val="center"/>
          </w:tcPr>
          <w:p w14:paraId="6DECB0D8" w14:textId="77777777" w:rsidR="00FC45BA" w:rsidRPr="00AB34C7" w:rsidRDefault="00FC45BA" w:rsidP="00634B91">
            <w:pPr>
              <w:pStyle w:val="PBACTableText"/>
              <w:keepNext/>
              <w:spacing w:before="0" w:after="0"/>
              <w:jc w:val="center"/>
            </w:pPr>
          </w:p>
        </w:tc>
      </w:tr>
      <w:tr w:rsidR="00FC45BA" w:rsidRPr="00AB34C7" w14:paraId="2A2B1F39" w14:textId="77777777" w:rsidTr="004D3D54">
        <w:tc>
          <w:tcPr>
            <w:tcW w:w="5240" w:type="dxa"/>
            <w:tcBorders>
              <w:top w:val="single" w:sz="4" w:space="0" w:color="auto"/>
              <w:left w:val="single" w:sz="4" w:space="0" w:color="auto"/>
              <w:bottom w:val="single" w:sz="4" w:space="0" w:color="auto"/>
              <w:right w:val="single" w:sz="4" w:space="0" w:color="auto"/>
            </w:tcBorders>
            <w:vAlign w:val="center"/>
          </w:tcPr>
          <w:p w14:paraId="0F7C3AED" w14:textId="6B86BD47" w:rsidR="00FC45BA" w:rsidRPr="00AB34C7" w:rsidRDefault="00FC45BA" w:rsidP="00634B91">
            <w:pPr>
              <w:pStyle w:val="PBACTableText"/>
              <w:keepNext/>
              <w:tabs>
                <w:tab w:val="left" w:pos="142"/>
              </w:tabs>
              <w:spacing w:before="0" w:after="0"/>
            </w:pPr>
            <w:r>
              <w:t xml:space="preserve">Administration cost: MBS 13950 (13.04 x $126) </w:t>
            </w:r>
            <w:r w:rsidRPr="004C5D81">
              <w:rPr>
                <w:vertAlign w:val="superscript"/>
              </w:rPr>
              <w:t>a</w:t>
            </w:r>
            <w:r w:rsidR="009E4BCE">
              <w:rPr>
                <w:vertAlign w:val="superscript"/>
              </w:rPr>
              <w:t>,</w:t>
            </w:r>
            <w:r w:rsidR="00291D7F">
              <w:rPr>
                <w:vertAlign w:val="superscript"/>
              </w:rPr>
              <w:t xml:space="preserve"> </w:t>
            </w:r>
            <w:r>
              <w:rPr>
                <w:vertAlign w:val="superscript"/>
              </w:rPr>
              <w:t>c</w:t>
            </w:r>
          </w:p>
        </w:tc>
        <w:tc>
          <w:tcPr>
            <w:tcW w:w="1985" w:type="dxa"/>
            <w:tcBorders>
              <w:top w:val="single" w:sz="4" w:space="0" w:color="auto"/>
              <w:left w:val="single" w:sz="4" w:space="0" w:color="auto"/>
              <w:bottom w:val="single" w:sz="4" w:space="0" w:color="auto"/>
              <w:right w:val="single" w:sz="4" w:space="0" w:color="auto"/>
            </w:tcBorders>
            <w:vAlign w:val="center"/>
          </w:tcPr>
          <w:p w14:paraId="2BED5963" w14:textId="77777777" w:rsidR="00FC45BA" w:rsidRPr="00AB34C7" w:rsidRDefault="00FC45BA" w:rsidP="00634B91">
            <w:pPr>
              <w:pStyle w:val="PBACTableText"/>
              <w:keepNext/>
              <w:spacing w:before="0" w:after="0"/>
              <w:jc w:val="center"/>
            </w:pPr>
            <w:r w:rsidRPr="00E86B33">
              <w:t>$1,643.63</w:t>
            </w:r>
          </w:p>
        </w:tc>
        <w:tc>
          <w:tcPr>
            <w:tcW w:w="1792" w:type="dxa"/>
            <w:tcBorders>
              <w:top w:val="single" w:sz="4" w:space="0" w:color="auto"/>
              <w:left w:val="single" w:sz="4" w:space="0" w:color="auto"/>
              <w:bottom w:val="single" w:sz="4" w:space="0" w:color="auto"/>
              <w:right w:val="single" w:sz="4" w:space="0" w:color="auto"/>
            </w:tcBorders>
            <w:vAlign w:val="center"/>
          </w:tcPr>
          <w:p w14:paraId="4B8AE2C9" w14:textId="77777777" w:rsidR="00FC45BA" w:rsidRPr="00AB34C7" w:rsidRDefault="00FC45BA" w:rsidP="00634B91">
            <w:pPr>
              <w:pStyle w:val="PBACTableText"/>
              <w:keepNext/>
              <w:spacing w:before="0" w:after="0"/>
              <w:jc w:val="center"/>
            </w:pPr>
          </w:p>
        </w:tc>
      </w:tr>
      <w:tr w:rsidR="00FC45BA" w:rsidRPr="00AB34C7" w14:paraId="11400832" w14:textId="77777777" w:rsidTr="00D14710">
        <w:tc>
          <w:tcPr>
            <w:tcW w:w="5240" w:type="dxa"/>
            <w:tcBorders>
              <w:top w:val="single" w:sz="4" w:space="0" w:color="auto"/>
              <w:left w:val="single" w:sz="4" w:space="0" w:color="auto"/>
              <w:bottom w:val="single" w:sz="4" w:space="0" w:color="auto"/>
              <w:right w:val="single" w:sz="4" w:space="0" w:color="auto"/>
            </w:tcBorders>
            <w:vAlign w:val="center"/>
          </w:tcPr>
          <w:p w14:paraId="53599E41" w14:textId="77777777" w:rsidR="00FC45BA" w:rsidRPr="00D14710" w:rsidRDefault="00FC45BA" w:rsidP="00634B91">
            <w:pPr>
              <w:pStyle w:val="PBACTableText"/>
              <w:keepNext/>
              <w:tabs>
                <w:tab w:val="left" w:pos="142"/>
              </w:tabs>
              <w:spacing w:before="0" w:after="0"/>
            </w:pPr>
            <w:r w:rsidRPr="00D14710">
              <w:t xml:space="preserve">Concurrent cost of Vitamin B12 ($7.99/3 x 7/10 x (2.17 cycles plus 1) </w:t>
            </w:r>
            <w:r w:rsidRPr="00D14710">
              <w:rPr>
                <w:vertAlign w:val="superscript"/>
              </w:rPr>
              <w:t>d</w:t>
            </w:r>
          </w:p>
        </w:tc>
        <w:tc>
          <w:tcPr>
            <w:tcW w:w="1985" w:type="dxa"/>
            <w:tcBorders>
              <w:top w:val="single" w:sz="4" w:space="0" w:color="auto"/>
              <w:left w:val="single" w:sz="4" w:space="0" w:color="auto"/>
              <w:bottom w:val="single" w:sz="4" w:space="0" w:color="auto"/>
              <w:right w:val="single" w:sz="4" w:space="0" w:color="auto"/>
            </w:tcBorders>
          </w:tcPr>
          <w:p w14:paraId="30190792" w14:textId="77777777" w:rsidR="00FC45BA" w:rsidRPr="00D14710" w:rsidRDefault="00FC45BA" w:rsidP="00634B91">
            <w:pPr>
              <w:pStyle w:val="PBACTableText"/>
              <w:keepNext/>
              <w:spacing w:before="0" w:after="0"/>
              <w:jc w:val="center"/>
            </w:pPr>
            <w:r w:rsidRPr="00D14710">
              <w:t>$6.72</w:t>
            </w:r>
          </w:p>
        </w:tc>
        <w:tc>
          <w:tcPr>
            <w:tcW w:w="1792" w:type="dxa"/>
            <w:tcBorders>
              <w:top w:val="single" w:sz="4" w:space="0" w:color="auto"/>
              <w:left w:val="single" w:sz="4" w:space="0" w:color="auto"/>
              <w:bottom w:val="single" w:sz="4" w:space="0" w:color="auto"/>
              <w:right w:val="single" w:sz="4" w:space="0" w:color="auto"/>
            </w:tcBorders>
            <w:vAlign w:val="center"/>
          </w:tcPr>
          <w:p w14:paraId="4B442B5A" w14:textId="77777777" w:rsidR="00FC45BA" w:rsidRPr="00D14710" w:rsidRDefault="00FC45BA" w:rsidP="00634B91">
            <w:pPr>
              <w:pStyle w:val="PBACTableText"/>
              <w:keepNext/>
              <w:spacing w:before="0" w:after="0"/>
              <w:jc w:val="center"/>
            </w:pPr>
          </w:p>
        </w:tc>
      </w:tr>
      <w:tr w:rsidR="00FC45BA" w:rsidRPr="00AB34C7" w14:paraId="31675D6D" w14:textId="77777777" w:rsidTr="00D14710">
        <w:tc>
          <w:tcPr>
            <w:tcW w:w="5240" w:type="dxa"/>
            <w:tcBorders>
              <w:top w:val="single" w:sz="4" w:space="0" w:color="auto"/>
              <w:left w:val="single" w:sz="4" w:space="0" w:color="auto"/>
              <w:bottom w:val="single" w:sz="4" w:space="0" w:color="auto"/>
              <w:right w:val="single" w:sz="4" w:space="0" w:color="auto"/>
            </w:tcBorders>
            <w:vAlign w:val="center"/>
          </w:tcPr>
          <w:p w14:paraId="60871A3D" w14:textId="133C9E4B" w:rsidR="00FC45BA" w:rsidRPr="00D14710" w:rsidRDefault="00FC45BA" w:rsidP="00634B91">
            <w:pPr>
              <w:pStyle w:val="PBACTableText"/>
              <w:keepNext/>
              <w:tabs>
                <w:tab w:val="left" w:pos="142"/>
              </w:tabs>
              <w:spacing w:before="0" w:after="0"/>
            </w:pPr>
            <w:r w:rsidRPr="00D14710">
              <w:t>Concurrent cost of Folic acid ($5.99</w:t>
            </w:r>
            <w:r w:rsidR="000C5D91" w:rsidRPr="00D14710">
              <w:t xml:space="preserve"> </w:t>
            </w:r>
            <w:r w:rsidRPr="00D14710">
              <w:t>/</w:t>
            </w:r>
            <w:r w:rsidR="000C5D91" w:rsidRPr="00D14710">
              <w:t xml:space="preserve"> </w:t>
            </w:r>
            <w:r w:rsidRPr="00D14710">
              <w:t xml:space="preserve">(100/2) x 2.17 cycles) </w:t>
            </w:r>
            <w:r w:rsidRPr="00D14710">
              <w:rPr>
                <w:vertAlign w:val="superscript"/>
              </w:rPr>
              <w:t>e</w:t>
            </w:r>
          </w:p>
        </w:tc>
        <w:tc>
          <w:tcPr>
            <w:tcW w:w="1985" w:type="dxa"/>
            <w:tcBorders>
              <w:top w:val="single" w:sz="4" w:space="0" w:color="auto"/>
              <w:left w:val="single" w:sz="4" w:space="0" w:color="auto"/>
              <w:bottom w:val="single" w:sz="4" w:space="0" w:color="auto"/>
              <w:right w:val="single" w:sz="4" w:space="0" w:color="auto"/>
            </w:tcBorders>
          </w:tcPr>
          <w:p w14:paraId="3A067937" w14:textId="77777777" w:rsidR="00FC45BA" w:rsidRPr="00D14710" w:rsidRDefault="00FC45BA" w:rsidP="00634B91">
            <w:pPr>
              <w:pStyle w:val="PBACTableText"/>
              <w:keepNext/>
              <w:spacing w:before="0" w:after="0"/>
              <w:jc w:val="center"/>
            </w:pPr>
            <w:r w:rsidRPr="00D14710">
              <w:t>$12.76</w:t>
            </w:r>
          </w:p>
        </w:tc>
        <w:tc>
          <w:tcPr>
            <w:tcW w:w="1792" w:type="dxa"/>
            <w:tcBorders>
              <w:top w:val="single" w:sz="4" w:space="0" w:color="auto"/>
              <w:left w:val="single" w:sz="4" w:space="0" w:color="auto"/>
              <w:bottom w:val="single" w:sz="4" w:space="0" w:color="auto"/>
              <w:right w:val="single" w:sz="4" w:space="0" w:color="auto"/>
            </w:tcBorders>
            <w:vAlign w:val="center"/>
          </w:tcPr>
          <w:p w14:paraId="256511C4" w14:textId="77777777" w:rsidR="00FC45BA" w:rsidRPr="00D14710" w:rsidRDefault="00FC45BA" w:rsidP="00634B91">
            <w:pPr>
              <w:pStyle w:val="PBACTableText"/>
              <w:keepNext/>
              <w:spacing w:before="0" w:after="0"/>
              <w:jc w:val="center"/>
            </w:pPr>
          </w:p>
        </w:tc>
      </w:tr>
      <w:tr w:rsidR="00FC45BA" w:rsidRPr="00AB34C7" w14:paraId="646C4B3E" w14:textId="77777777" w:rsidTr="00D14710">
        <w:tc>
          <w:tcPr>
            <w:tcW w:w="5240" w:type="dxa"/>
            <w:tcBorders>
              <w:top w:val="single" w:sz="4" w:space="0" w:color="auto"/>
              <w:left w:val="single" w:sz="4" w:space="0" w:color="auto"/>
              <w:bottom w:val="single" w:sz="4" w:space="0" w:color="auto"/>
              <w:right w:val="single" w:sz="4" w:space="0" w:color="auto"/>
            </w:tcBorders>
            <w:vAlign w:val="center"/>
          </w:tcPr>
          <w:p w14:paraId="6577F48A" w14:textId="77777777" w:rsidR="00FC45BA" w:rsidRPr="000823AD" w:rsidRDefault="00FC45BA" w:rsidP="00634B91">
            <w:pPr>
              <w:pStyle w:val="PBACTableText"/>
              <w:keepNext/>
              <w:tabs>
                <w:tab w:val="left" w:pos="142"/>
              </w:tabs>
              <w:spacing w:before="0" w:after="0"/>
            </w:pPr>
            <w:r w:rsidRPr="000823AD">
              <w:t xml:space="preserve">Calcium folinate cost ($45.60 x 12 x 2.17 cycles) </w:t>
            </w:r>
            <w:r w:rsidRPr="000823AD">
              <w:rPr>
                <w:vertAlign w:val="superscript"/>
              </w:rPr>
              <w:t>f</w:t>
            </w:r>
          </w:p>
        </w:tc>
        <w:tc>
          <w:tcPr>
            <w:tcW w:w="1985" w:type="dxa"/>
            <w:tcBorders>
              <w:top w:val="single" w:sz="4" w:space="0" w:color="auto"/>
              <w:left w:val="single" w:sz="4" w:space="0" w:color="auto"/>
              <w:bottom w:val="single" w:sz="4" w:space="0" w:color="auto"/>
              <w:right w:val="single" w:sz="4" w:space="0" w:color="auto"/>
            </w:tcBorders>
          </w:tcPr>
          <w:p w14:paraId="45ED3916" w14:textId="77777777" w:rsidR="00FC45BA" w:rsidRPr="000823AD" w:rsidRDefault="00FC45BA" w:rsidP="00634B91">
            <w:pPr>
              <w:pStyle w:val="PBACTableText"/>
              <w:keepNext/>
              <w:spacing w:before="0" w:after="0"/>
              <w:jc w:val="center"/>
            </w:pPr>
            <w:r w:rsidRPr="000823AD">
              <w:t>$1,189.67</w:t>
            </w:r>
          </w:p>
        </w:tc>
        <w:tc>
          <w:tcPr>
            <w:tcW w:w="1792" w:type="dxa"/>
            <w:tcBorders>
              <w:top w:val="single" w:sz="4" w:space="0" w:color="auto"/>
              <w:left w:val="single" w:sz="4" w:space="0" w:color="auto"/>
              <w:bottom w:val="single" w:sz="4" w:space="0" w:color="auto"/>
              <w:right w:val="single" w:sz="4" w:space="0" w:color="auto"/>
            </w:tcBorders>
            <w:vAlign w:val="center"/>
          </w:tcPr>
          <w:p w14:paraId="38B3CA7F" w14:textId="77777777" w:rsidR="00FC45BA" w:rsidRPr="000823AD" w:rsidRDefault="00FC45BA" w:rsidP="00634B91">
            <w:pPr>
              <w:pStyle w:val="PBACTableText"/>
              <w:keepNext/>
              <w:spacing w:before="0" w:after="0"/>
              <w:jc w:val="center"/>
            </w:pPr>
          </w:p>
        </w:tc>
      </w:tr>
      <w:tr w:rsidR="00FC45BA" w:rsidRPr="00AB34C7" w14:paraId="1B42FEAB" w14:textId="77777777" w:rsidTr="00D14710">
        <w:tc>
          <w:tcPr>
            <w:tcW w:w="5240" w:type="dxa"/>
            <w:tcBorders>
              <w:top w:val="single" w:sz="4" w:space="0" w:color="auto"/>
              <w:left w:val="single" w:sz="4" w:space="0" w:color="auto"/>
              <w:bottom w:val="single" w:sz="4" w:space="0" w:color="auto"/>
              <w:right w:val="single" w:sz="4" w:space="0" w:color="auto"/>
            </w:tcBorders>
            <w:vAlign w:val="center"/>
          </w:tcPr>
          <w:p w14:paraId="298F72F3" w14:textId="77777777" w:rsidR="00FC45BA" w:rsidRPr="000823AD" w:rsidRDefault="00FC45BA" w:rsidP="00634B91">
            <w:pPr>
              <w:pStyle w:val="PBACTableText"/>
              <w:keepNext/>
              <w:tabs>
                <w:tab w:val="left" w:pos="142"/>
              </w:tabs>
              <w:spacing w:before="0" w:after="0"/>
            </w:pPr>
            <w:r w:rsidRPr="000823AD">
              <w:t xml:space="preserve">Mucositis admission cost (0.22% x $8,596.50) </w:t>
            </w:r>
            <w:r w:rsidRPr="000823AD">
              <w:rPr>
                <w:vertAlign w:val="superscript"/>
              </w:rPr>
              <w:t>g</w:t>
            </w:r>
          </w:p>
        </w:tc>
        <w:tc>
          <w:tcPr>
            <w:tcW w:w="1985" w:type="dxa"/>
            <w:tcBorders>
              <w:top w:val="single" w:sz="4" w:space="0" w:color="auto"/>
              <w:left w:val="single" w:sz="4" w:space="0" w:color="auto"/>
              <w:bottom w:val="single" w:sz="4" w:space="0" w:color="auto"/>
              <w:right w:val="single" w:sz="4" w:space="0" w:color="auto"/>
            </w:tcBorders>
          </w:tcPr>
          <w:p w14:paraId="7F399D8E" w14:textId="77777777" w:rsidR="00FC45BA" w:rsidRPr="000823AD" w:rsidRDefault="00FC45BA" w:rsidP="00634B91">
            <w:pPr>
              <w:pStyle w:val="PBACTableText"/>
              <w:keepNext/>
              <w:spacing w:before="0" w:after="0"/>
              <w:jc w:val="center"/>
            </w:pPr>
            <w:r w:rsidRPr="000823AD">
              <w:t>$1,891.23</w:t>
            </w:r>
          </w:p>
        </w:tc>
        <w:tc>
          <w:tcPr>
            <w:tcW w:w="1792" w:type="dxa"/>
            <w:tcBorders>
              <w:top w:val="single" w:sz="4" w:space="0" w:color="auto"/>
              <w:left w:val="single" w:sz="4" w:space="0" w:color="auto"/>
              <w:bottom w:val="single" w:sz="4" w:space="0" w:color="auto"/>
              <w:right w:val="single" w:sz="4" w:space="0" w:color="auto"/>
            </w:tcBorders>
            <w:vAlign w:val="center"/>
          </w:tcPr>
          <w:p w14:paraId="605E4326" w14:textId="77777777" w:rsidR="00FC45BA" w:rsidRPr="000823AD" w:rsidRDefault="00FC45BA" w:rsidP="00634B91">
            <w:pPr>
              <w:pStyle w:val="PBACTableText"/>
              <w:keepNext/>
              <w:spacing w:before="0" w:after="0"/>
              <w:jc w:val="center"/>
            </w:pPr>
          </w:p>
        </w:tc>
      </w:tr>
      <w:tr w:rsidR="00FC45BA" w:rsidRPr="00AB34C7" w14:paraId="193D3E48" w14:textId="77777777" w:rsidTr="00D14710">
        <w:tc>
          <w:tcPr>
            <w:tcW w:w="5240" w:type="dxa"/>
            <w:tcBorders>
              <w:top w:val="single" w:sz="4" w:space="0" w:color="auto"/>
              <w:left w:val="single" w:sz="4" w:space="0" w:color="auto"/>
              <w:bottom w:val="single" w:sz="4" w:space="0" w:color="auto"/>
              <w:right w:val="single" w:sz="4" w:space="0" w:color="auto"/>
            </w:tcBorders>
            <w:vAlign w:val="center"/>
            <w:hideMark/>
          </w:tcPr>
          <w:p w14:paraId="7430B53E" w14:textId="77777777" w:rsidR="00FC45BA" w:rsidRPr="000823AD" w:rsidRDefault="00FC45BA" w:rsidP="00634B91">
            <w:pPr>
              <w:pStyle w:val="PBACTableText"/>
              <w:keepNext/>
              <w:tabs>
                <w:tab w:val="left" w:pos="142"/>
              </w:tabs>
              <w:spacing w:before="0" w:after="0"/>
            </w:pPr>
            <w:r w:rsidRPr="000823AD">
              <w:t>Total treatment cost per course</w:t>
            </w:r>
          </w:p>
        </w:tc>
        <w:tc>
          <w:tcPr>
            <w:tcW w:w="1985" w:type="dxa"/>
            <w:tcBorders>
              <w:top w:val="single" w:sz="4" w:space="0" w:color="auto"/>
              <w:left w:val="single" w:sz="4" w:space="0" w:color="auto"/>
              <w:bottom w:val="single" w:sz="4" w:space="0" w:color="auto"/>
              <w:right w:val="single" w:sz="4" w:space="0" w:color="auto"/>
            </w:tcBorders>
            <w:vAlign w:val="center"/>
          </w:tcPr>
          <w:p w14:paraId="0BA60489" w14:textId="77777777" w:rsidR="00FC45BA" w:rsidRPr="000823AD" w:rsidRDefault="00FC45BA" w:rsidP="00634B91">
            <w:pPr>
              <w:pStyle w:val="PBACTableText"/>
              <w:keepNext/>
              <w:spacing w:before="0" w:after="0"/>
              <w:jc w:val="center"/>
            </w:pPr>
            <w:r w:rsidRPr="000823AD">
              <w:t>$46,457.25</w:t>
            </w:r>
          </w:p>
        </w:tc>
        <w:tc>
          <w:tcPr>
            <w:tcW w:w="1792" w:type="dxa"/>
            <w:tcBorders>
              <w:top w:val="single" w:sz="4" w:space="0" w:color="auto"/>
              <w:left w:val="single" w:sz="4" w:space="0" w:color="auto"/>
              <w:bottom w:val="single" w:sz="4" w:space="0" w:color="auto"/>
              <w:right w:val="single" w:sz="4" w:space="0" w:color="auto"/>
            </w:tcBorders>
            <w:vAlign w:val="center"/>
          </w:tcPr>
          <w:p w14:paraId="7B08BCBB" w14:textId="77777777" w:rsidR="00FC45BA" w:rsidRPr="000823AD" w:rsidRDefault="00FC45BA" w:rsidP="00634B91">
            <w:pPr>
              <w:pStyle w:val="PBACTableText"/>
              <w:keepNext/>
              <w:spacing w:before="0" w:after="0"/>
              <w:jc w:val="center"/>
            </w:pPr>
          </w:p>
        </w:tc>
      </w:tr>
      <w:tr w:rsidR="00FC45BA" w:rsidRPr="00AB34C7" w14:paraId="3CDD0412" w14:textId="77777777" w:rsidTr="00D14710">
        <w:tc>
          <w:tcPr>
            <w:tcW w:w="9017" w:type="dxa"/>
            <w:gridSpan w:val="3"/>
            <w:tcBorders>
              <w:top w:val="single" w:sz="4" w:space="0" w:color="auto"/>
              <w:left w:val="single" w:sz="4" w:space="0" w:color="auto"/>
              <w:bottom w:val="single" w:sz="4" w:space="0" w:color="auto"/>
              <w:right w:val="single" w:sz="4" w:space="0" w:color="auto"/>
            </w:tcBorders>
            <w:vAlign w:val="center"/>
            <w:hideMark/>
          </w:tcPr>
          <w:p w14:paraId="5D8B1CCE" w14:textId="6B24210A" w:rsidR="00FC45BA" w:rsidRPr="000823AD" w:rsidRDefault="00FC45BA" w:rsidP="00634B91">
            <w:pPr>
              <w:pStyle w:val="PBACTableText"/>
              <w:keepNext/>
              <w:tabs>
                <w:tab w:val="left" w:pos="142"/>
              </w:tabs>
              <w:spacing w:before="0" w:after="0"/>
              <w:rPr>
                <w:b/>
              </w:rPr>
            </w:pPr>
            <w:r w:rsidRPr="000823AD">
              <w:rPr>
                <w:b/>
              </w:rPr>
              <w:t>Cost</w:t>
            </w:r>
            <w:r w:rsidR="00750703" w:rsidRPr="000823AD">
              <w:rPr>
                <w:b/>
              </w:rPr>
              <w:noBreakHyphen/>
            </w:r>
            <w:r w:rsidRPr="000823AD">
              <w:rPr>
                <w:b/>
              </w:rPr>
              <w:t>minimisation (romidepsin)</w:t>
            </w:r>
          </w:p>
        </w:tc>
      </w:tr>
      <w:tr w:rsidR="00FC45BA" w:rsidRPr="00AB34C7" w14:paraId="2E0D1A8C" w14:textId="77777777" w:rsidTr="00D14710">
        <w:tc>
          <w:tcPr>
            <w:tcW w:w="5240" w:type="dxa"/>
            <w:tcBorders>
              <w:top w:val="single" w:sz="4" w:space="0" w:color="auto"/>
              <w:left w:val="single" w:sz="4" w:space="0" w:color="auto"/>
              <w:bottom w:val="single" w:sz="4" w:space="0" w:color="auto"/>
              <w:right w:val="single" w:sz="4" w:space="0" w:color="auto"/>
            </w:tcBorders>
            <w:vAlign w:val="center"/>
          </w:tcPr>
          <w:p w14:paraId="05F1FC56" w14:textId="77777777" w:rsidR="00FC45BA" w:rsidRPr="000823AD" w:rsidRDefault="00FC45BA" w:rsidP="00634B91">
            <w:pPr>
              <w:pStyle w:val="PBACTableText"/>
              <w:keepNext/>
              <w:tabs>
                <w:tab w:val="left" w:pos="142"/>
              </w:tabs>
              <w:spacing w:before="0" w:after="0"/>
            </w:pPr>
            <w:r w:rsidRPr="000823AD">
              <w:t>Total treatment cost per course</w:t>
            </w:r>
          </w:p>
        </w:tc>
        <w:tc>
          <w:tcPr>
            <w:tcW w:w="1985" w:type="dxa"/>
            <w:tcBorders>
              <w:top w:val="single" w:sz="4" w:space="0" w:color="auto"/>
              <w:left w:val="single" w:sz="4" w:space="0" w:color="auto"/>
              <w:bottom w:val="single" w:sz="4" w:space="0" w:color="auto"/>
              <w:right w:val="single" w:sz="4" w:space="0" w:color="auto"/>
            </w:tcBorders>
            <w:vAlign w:val="center"/>
          </w:tcPr>
          <w:p w14:paraId="2F6A21E5" w14:textId="77777777" w:rsidR="00FC45BA" w:rsidRPr="000823AD" w:rsidRDefault="00FC45BA" w:rsidP="00634B91">
            <w:pPr>
              <w:pStyle w:val="PBACTableText"/>
              <w:keepNext/>
              <w:spacing w:before="0" w:after="0"/>
              <w:jc w:val="center"/>
            </w:pPr>
          </w:p>
        </w:tc>
        <w:tc>
          <w:tcPr>
            <w:tcW w:w="1792" w:type="dxa"/>
            <w:tcBorders>
              <w:top w:val="single" w:sz="4" w:space="0" w:color="auto"/>
              <w:left w:val="single" w:sz="4" w:space="0" w:color="auto"/>
              <w:bottom w:val="single" w:sz="4" w:space="0" w:color="auto"/>
              <w:right w:val="single" w:sz="4" w:space="0" w:color="auto"/>
            </w:tcBorders>
            <w:vAlign w:val="center"/>
          </w:tcPr>
          <w:p w14:paraId="15A31FF1" w14:textId="69397BF1" w:rsidR="00FC45BA" w:rsidRPr="000823AD" w:rsidRDefault="00FC45BA" w:rsidP="00634B91">
            <w:pPr>
              <w:pStyle w:val="PBACTableText"/>
              <w:keepNext/>
              <w:spacing w:before="0" w:after="0"/>
              <w:jc w:val="center"/>
              <w:rPr>
                <w:vertAlign w:val="superscript"/>
              </w:rPr>
            </w:pPr>
            <w:r w:rsidRPr="000823AD">
              <w:t>$46,456.07</w:t>
            </w:r>
          </w:p>
        </w:tc>
      </w:tr>
      <w:tr w:rsidR="00FC45BA" w:rsidRPr="00AB34C7" w14:paraId="6919AA83" w14:textId="77777777" w:rsidTr="00D14710">
        <w:tc>
          <w:tcPr>
            <w:tcW w:w="5240" w:type="dxa"/>
            <w:tcBorders>
              <w:top w:val="single" w:sz="4" w:space="0" w:color="auto"/>
              <w:left w:val="single" w:sz="4" w:space="0" w:color="auto"/>
              <w:bottom w:val="single" w:sz="4" w:space="0" w:color="auto"/>
              <w:right w:val="single" w:sz="4" w:space="0" w:color="auto"/>
            </w:tcBorders>
            <w:vAlign w:val="center"/>
          </w:tcPr>
          <w:p w14:paraId="47C036F7" w14:textId="7C5ECE2B" w:rsidR="00FC45BA" w:rsidRPr="000823AD" w:rsidRDefault="00FC45BA" w:rsidP="00634B91">
            <w:pPr>
              <w:pStyle w:val="PBACTableText"/>
              <w:keepNext/>
              <w:tabs>
                <w:tab w:val="left" w:pos="142"/>
              </w:tabs>
              <w:spacing w:before="0" w:after="0"/>
            </w:pPr>
            <w:r w:rsidRPr="000823AD">
              <w:t xml:space="preserve">Dispensed price of romidepsin per course (11.41 x $3,937.38) </w:t>
            </w:r>
            <w:r w:rsidRPr="000823AD">
              <w:rPr>
                <w:vertAlign w:val="superscript"/>
              </w:rPr>
              <w:t>h,</w:t>
            </w:r>
            <w:r w:rsidR="00291D7F" w:rsidRPr="000823AD">
              <w:rPr>
                <w:vertAlign w:val="superscript"/>
              </w:rPr>
              <w:t xml:space="preserve"> </w:t>
            </w:r>
            <w:r w:rsidRPr="000823AD">
              <w:rPr>
                <w:vertAlign w:val="superscript"/>
              </w:rPr>
              <w:t>i</w:t>
            </w:r>
          </w:p>
        </w:tc>
        <w:tc>
          <w:tcPr>
            <w:tcW w:w="1985" w:type="dxa"/>
            <w:tcBorders>
              <w:top w:val="single" w:sz="4" w:space="0" w:color="auto"/>
              <w:left w:val="single" w:sz="4" w:space="0" w:color="auto"/>
              <w:bottom w:val="single" w:sz="4" w:space="0" w:color="auto"/>
              <w:right w:val="single" w:sz="4" w:space="0" w:color="auto"/>
            </w:tcBorders>
            <w:vAlign w:val="center"/>
          </w:tcPr>
          <w:p w14:paraId="34096DDC" w14:textId="77777777" w:rsidR="00FC45BA" w:rsidRPr="000823AD" w:rsidRDefault="00FC45BA" w:rsidP="00634B91">
            <w:pPr>
              <w:pStyle w:val="PBACTableText"/>
              <w:keepNext/>
              <w:spacing w:before="0" w:after="0"/>
              <w:jc w:val="center"/>
            </w:pPr>
          </w:p>
        </w:tc>
        <w:tc>
          <w:tcPr>
            <w:tcW w:w="1792" w:type="dxa"/>
            <w:tcBorders>
              <w:top w:val="single" w:sz="4" w:space="0" w:color="auto"/>
              <w:left w:val="single" w:sz="4" w:space="0" w:color="auto"/>
              <w:bottom w:val="single" w:sz="4" w:space="0" w:color="auto"/>
              <w:right w:val="single" w:sz="4" w:space="0" w:color="auto"/>
            </w:tcBorders>
            <w:vAlign w:val="center"/>
          </w:tcPr>
          <w:p w14:paraId="68C85960" w14:textId="5D54BAEB" w:rsidR="00FC45BA" w:rsidRPr="000823AD" w:rsidRDefault="00FC45BA" w:rsidP="00634B91">
            <w:pPr>
              <w:pStyle w:val="PBACTableText"/>
              <w:keepNext/>
              <w:spacing w:before="0" w:after="0"/>
              <w:jc w:val="center"/>
              <w:rPr>
                <w:vertAlign w:val="superscript"/>
              </w:rPr>
            </w:pPr>
            <w:r w:rsidRPr="000823AD">
              <w:t>$44,951.50</w:t>
            </w:r>
          </w:p>
        </w:tc>
      </w:tr>
      <w:tr w:rsidR="00FC45BA" w:rsidRPr="00AB34C7" w14:paraId="042B5D3E" w14:textId="77777777" w:rsidTr="00D14710">
        <w:tc>
          <w:tcPr>
            <w:tcW w:w="5240" w:type="dxa"/>
            <w:tcBorders>
              <w:top w:val="single" w:sz="4" w:space="0" w:color="auto"/>
              <w:left w:val="single" w:sz="4" w:space="0" w:color="auto"/>
              <w:bottom w:val="single" w:sz="4" w:space="0" w:color="auto"/>
              <w:right w:val="single" w:sz="4" w:space="0" w:color="auto"/>
            </w:tcBorders>
            <w:vAlign w:val="center"/>
          </w:tcPr>
          <w:p w14:paraId="18AF6059" w14:textId="3F911165" w:rsidR="00FC45BA" w:rsidRPr="000823AD" w:rsidRDefault="00FC45BA" w:rsidP="00634B91">
            <w:pPr>
              <w:pStyle w:val="PBACTableText"/>
              <w:keepNext/>
              <w:tabs>
                <w:tab w:val="left" w:pos="142"/>
              </w:tabs>
              <w:spacing w:before="0" w:after="0"/>
            </w:pPr>
            <w:r w:rsidRPr="000823AD">
              <w:t xml:space="preserve">Administration cost: MBS 13950 (11.41 x $126) </w:t>
            </w:r>
            <w:r w:rsidRPr="000823AD">
              <w:rPr>
                <w:vertAlign w:val="superscript"/>
              </w:rPr>
              <w:t>c,</w:t>
            </w:r>
            <w:r w:rsidR="00291D7F" w:rsidRPr="000823AD">
              <w:rPr>
                <w:vertAlign w:val="superscript"/>
              </w:rPr>
              <w:t xml:space="preserve"> </w:t>
            </w:r>
            <w:r w:rsidRPr="000823AD">
              <w:rPr>
                <w:vertAlign w:val="superscript"/>
              </w:rPr>
              <w:t>h</w:t>
            </w:r>
          </w:p>
        </w:tc>
        <w:tc>
          <w:tcPr>
            <w:tcW w:w="1985" w:type="dxa"/>
            <w:tcBorders>
              <w:top w:val="single" w:sz="4" w:space="0" w:color="auto"/>
              <w:left w:val="single" w:sz="4" w:space="0" w:color="auto"/>
              <w:bottom w:val="single" w:sz="4" w:space="0" w:color="auto"/>
              <w:right w:val="single" w:sz="4" w:space="0" w:color="auto"/>
            </w:tcBorders>
            <w:vAlign w:val="center"/>
          </w:tcPr>
          <w:p w14:paraId="1B0FFA5F" w14:textId="77777777" w:rsidR="00FC45BA" w:rsidRPr="000823AD" w:rsidRDefault="00FC45BA" w:rsidP="00634B91">
            <w:pPr>
              <w:pStyle w:val="PBACTableText"/>
              <w:keepNext/>
              <w:spacing w:before="0" w:after="0"/>
              <w:jc w:val="center"/>
            </w:pPr>
          </w:p>
        </w:tc>
        <w:tc>
          <w:tcPr>
            <w:tcW w:w="1792" w:type="dxa"/>
            <w:tcBorders>
              <w:top w:val="single" w:sz="4" w:space="0" w:color="auto"/>
              <w:left w:val="single" w:sz="4" w:space="0" w:color="auto"/>
              <w:bottom w:val="single" w:sz="4" w:space="0" w:color="auto"/>
              <w:right w:val="single" w:sz="4" w:space="0" w:color="auto"/>
            </w:tcBorders>
            <w:vAlign w:val="center"/>
          </w:tcPr>
          <w:p w14:paraId="4F04BF4A" w14:textId="77777777" w:rsidR="00FC45BA" w:rsidRPr="000823AD" w:rsidRDefault="00FC45BA" w:rsidP="00634B91">
            <w:pPr>
              <w:pStyle w:val="PBACTableText"/>
              <w:keepNext/>
              <w:spacing w:before="0" w:after="0"/>
              <w:jc w:val="center"/>
            </w:pPr>
            <w:r w:rsidRPr="000823AD">
              <w:t>$1,438.17</w:t>
            </w:r>
          </w:p>
        </w:tc>
      </w:tr>
      <w:tr w:rsidR="00FC45BA" w:rsidRPr="00AB34C7" w14:paraId="6BCDEF98" w14:textId="77777777" w:rsidTr="00D14710">
        <w:tc>
          <w:tcPr>
            <w:tcW w:w="5240" w:type="dxa"/>
            <w:tcBorders>
              <w:top w:val="single" w:sz="4" w:space="0" w:color="auto"/>
              <w:left w:val="single" w:sz="4" w:space="0" w:color="auto"/>
              <w:bottom w:val="single" w:sz="4" w:space="0" w:color="auto"/>
              <w:right w:val="single" w:sz="4" w:space="0" w:color="auto"/>
            </w:tcBorders>
            <w:vAlign w:val="center"/>
          </w:tcPr>
          <w:p w14:paraId="0EA4C175" w14:textId="7EBE69AA" w:rsidR="00FC45BA" w:rsidRPr="000823AD" w:rsidRDefault="00FC45BA" w:rsidP="00634B91">
            <w:pPr>
              <w:pStyle w:val="PBACTableText"/>
              <w:keepNext/>
              <w:tabs>
                <w:tab w:val="left" w:pos="142"/>
              </w:tabs>
              <w:spacing w:before="0" w:after="0"/>
            </w:pPr>
            <w:r w:rsidRPr="000823AD">
              <w:t>Cost of anti</w:t>
            </w:r>
            <w:r w:rsidR="00750703" w:rsidRPr="000823AD">
              <w:noBreakHyphen/>
            </w:r>
            <w:r w:rsidRPr="000823AD">
              <w:t>emetic (3 x $3.50 x 3.80 cycles)</w:t>
            </w:r>
            <w:r w:rsidRPr="000823AD">
              <w:rPr>
                <w:vertAlign w:val="superscript"/>
              </w:rPr>
              <w:t xml:space="preserve"> j</w:t>
            </w:r>
          </w:p>
        </w:tc>
        <w:tc>
          <w:tcPr>
            <w:tcW w:w="1985" w:type="dxa"/>
            <w:tcBorders>
              <w:top w:val="single" w:sz="4" w:space="0" w:color="auto"/>
              <w:left w:val="single" w:sz="4" w:space="0" w:color="auto"/>
              <w:bottom w:val="single" w:sz="4" w:space="0" w:color="auto"/>
              <w:right w:val="single" w:sz="4" w:space="0" w:color="auto"/>
            </w:tcBorders>
            <w:vAlign w:val="center"/>
          </w:tcPr>
          <w:p w14:paraId="619E663D" w14:textId="77777777" w:rsidR="00FC45BA" w:rsidRPr="000823AD" w:rsidRDefault="00FC45BA" w:rsidP="00634B91">
            <w:pPr>
              <w:pStyle w:val="PBACTableText"/>
              <w:keepNext/>
              <w:spacing w:before="0" w:after="0"/>
              <w:jc w:val="center"/>
            </w:pPr>
          </w:p>
        </w:tc>
        <w:tc>
          <w:tcPr>
            <w:tcW w:w="1792" w:type="dxa"/>
            <w:tcBorders>
              <w:top w:val="single" w:sz="4" w:space="0" w:color="auto"/>
              <w:left w:val="single" w:sz="4" w:space="0" w:color="auto"/>
              <w:bottom w:val="single" w:sz="4" w:space="0" w:color="auto"/>
              <w:right w:val="single" w:sz="4" w:space="0" w:color="auto"/>
            </w:tcBorders>
            <w:vAlign w:val="center"/>
          </w:tcPr>
          <w:p w14:paraId="14C52FF8" w14:textId="77777777" w:rsidR="00FC45BA" w:rsidRPr="000823AD" w:rsidRDefault="00FC45BA" w:rsidP="00634B91">
            <w:pPr>
              <w:pStyle w:val="PBACTableText"/>
              <w:keepNext/>
              <w:spacing w:before="0" w:after="0"/>
              <w:jc w:val="center"/>
            </w:pPr>
            <w:r w:rsidRPr="000823AD">
              <w:t>$39.95</w:t>
            </w:r>
          </w:p>
        </w:tc>
      </w:tr>
      <w:tr w:rsidR="00FC45BA" w:rsidRPr="00AB34C7" w14:paraId="229BEDFD" w14:textId="77777777" w:rsidTr="00D14710">
        <w:tc>
          <w:tcPr>
            <w:tcW w:w="5240" w:type="dxa"/>
            <w:tcBorders>
              <w:top w:val="single" w:sz="4" w:space="0" w:color="auto"/>
              <w:left w:val="single" w:sz="4" w:space="0" w:color="auto"/>
              <w:bottom w:val="single" w:sz="4" w:space="0" w:color="auto"/>
              <w:right w:val="single" w:sz="4" w:space="0" w:color="auto"/>
            </w:tcBorders>
            <w:vAlign w:val="center"/>
          </w:tcPr>
          <w:p w14:paraId="566D8464" w14:textId="77777777" w:rsidR="00FC45BA" w:rsidRPr="00D14710" w:rsidRDefault="00FC45BA" w:rsidP="00634B91">
            <w:pPr>
              <w:pStyle w:val="PBACTableText"/>
              <w:keepNext/>
              <w:tabs>
                <w:tab w:val="left" w:pos="142"/>
              </w:tabs>
              <w:spacing w:before="0" w:after="0"/>
            </w:pPr>
            <w:r w:rsidRPr="00D14710">
              <w:t xml:space="preserve">Baseline ECG cost (100% x $36.45) </w:t>
            </w:r>
            <w:r w:rsidRPr="00D14710">
              <w:rPr>
                <w:vertAlign w:val="superscript"/>
              </w:rPr>
              <w:t>k</w:t>
            </w:r>
          </w:p>
        </w:tc>
        <w:tc>
          <w:tcPr>
            <w:tcW w:w="1985" w:type="dxa"/>
            <w:tcBorders>
              <w:top w:val="single" w:sz="4" w:space="0" w:color="auto"/>
              <w:left w:val="single" w:sz="4" w:space="0" w:color="auto"/>
              <w:bottom w:val="single" w:sz="4" w:space="0" w:color="auto"/>
              <w:right w:val="single" w:sz="4" w:space="0" w:color="auto"/>
            </w:tcBorders>
            <w:vAlign w:val="center"/>
          </w:tcPr>
          <w:p w14:paraId="427CD901" w14:textId="77777777" w:rsidR="00FC45BA" w:rsidRPr="00D14710" w:rsidRDefault="00FC45BA" w:rsidP="00634B91">
            <w:pPr>
              <w:pStyle w:val="PBACTableText"/>
              <w:keepNext/>
              <w:spacing w:before="0" w:after="0"/>
              <w:jc w:val="center"/>
            </w:pPr>
          </w:p>
        </w:tc>
        <w:tc>
          <w:tcPr>
            <w:tcW w:w="1792" w:type="dxa"/>
            <w:tcBorders>
              <w:top w:val="single" w:sz="4" w:space="0" w:color="auto"/>
              <w:left w:val="single" w:sz="4" w:space="0" w:color="auto"/>
              <w:bottom w:val="single" w:sz="4" w:space="0" w:color="auto"/>
              <w:right w:val="single" w:sz="4" w:space="0" w:color="auto"/>
            </w:tcBorders>
            <w:vAlign w:val="center"/>
          </w:tcPr>
          <w:p w14:paraId="4A9DCBB0" w14:textId="77777777" w:rsidR="00FC45BA" w:rsidRPr="00D14710" w:rsidRDefault="00FC45BA" w:rsidP="00634B91">
            <w:pPr>
              <w:pStyle w:val="PBACTableText"/>
              <w:keepNext/>
              <w:spacing w:before="0" w:after="0"/>
              <w:jc w:val="center"/>
            </w:pPr>
            <w:r w:rsidRPr="00D14710">
              <w:t>$36.45</w:t>
            </w:r>
          </w:p>
        </w:tc>
      </w:tr>
    </w:tbl>
    <w:p w14:paraId="5305CE96" w14:textId="1AF942C5" w:rsidR="00FC45BA" w:rsidRPr="00AB34C7" w:rsidRDefault="00FC45BA" w:rsidP="00634B91">
      <w:pPr>
        <w:pStyle w:val="COMTablefooter"/>
        <w:keepNext/>
      </w:pPr>
      <w:r w:rsidRPr="00AB34C7">
        <w:t xml:space="preserve">Source: </w:t>
      </w:r>
      <w:r>
        <w:t>Calculated from the Attachment 4</w:t>
      </w:r>
      <w:r w:rsidRPr="00AB34C7">
        <w:t xml:space="preserve"> economic analysis Excel workbook</w:t>
      </w:r>
      <w:r>
        <w:t xml:space="preserve"> included in the submission with treatment costs calculated using non</w:t>
      </w:r>
      <w:r w:rsidR="00750703">
        <w:noBreakHyphen/>
      </w:r>
      <w:r>
        <w:t>rounded numbers for doses and cycles.</w:t>
      </w:r>
    </w:p>
    <w:p w14:paraId="20D33BDE" w14:textId="32EA74E6" w:rsidR="00FC45BA" w:rsidRDefault="00FC45BA" w:rsidP="00634B91">
      <w:pPr>
        <w:pStyle w:val="COMTablefooter"/>
        <w:keepNext/>
      </w:pPr>
      <w:r w:rsidRPr="00AB34C7">
        <w:rPr>
          <w:vertAlign w:val="superscript"/>
        </w:rPr>
        <w:t>a</w:t>
      </w:r>
      <w:r w:rsidRPr="00AB34C7">
        <w:t xml:space="preserve"> </w:t>
      </w:r>
      <w:r>
        <w:t xml:space="preserve">13.04 doses </w:t>
      </w:r>
      <w:r w:rsidR="00750703">
        <w:noBreakHyphen/>
      </w:r>
      <w:r>
        <w:t xml:space="preserve"> derived as follows: 6 x 2.17 cycles. Cycles calculated as follows: 365.25/49 x (3.5/12)</w:t>
      </w:r>
      <w:r w:rsidRPr="00AB34C7">
        <w:t>.</w:t>
      </w:r>
    </w:p>
    <w:p w14:paraId="62AC7249" w14:textId="1AF80450" w:rsidR="00FC45BA" w:rsidRDefault="00FC45BA" w:rsidP="00634B91">
      <w:pPr>
        <w:pStyle w:val="COMTablefooter"/>
        <w:keepNext/>
      </w:pPr>
      <w:r w:rsidRPr="00AB34C7">
        <w:rPr>
          <w:vertAlign w:val="superscript"/>
        </w:rPr>
        <w:t>b</w:t>
      </w:r>
      <w:r w:rsidRPr="00AB34C7">
        <w:t xml:space="preserve"> </w:t>
      </w:r>
      <w:r>
        <w:t>3 vials of pralatrexate 20 mg per dose based on an average body surface area of 1.8 m</w:t>
      </w:r>
      <w:r w:rsidRPr="00CE12A2">
        <w:rPr>
          <w:vertAlign w:val="superscript"/>
        </w:rPr>
        <w:t>2</w:t>
      </w:r>
      <w:r>
        <w:rPr>
          <w:vertAlign w:val="superscript"/>
        </w:rPr>
        <w:t xml:space="preserve"> </w:t>
      </w:r>
      <w:r w:rsidRPr="006A3AD3">
        <w:t>(rounded</w:t>
      </w:r>
      <w:r>
        <w:rPr>
          <w:vertAlign w:val="superscript"/>
        </w:rPr>
        <w:t xml:space="preserve"> </w:t>
      </w:r>
      <w:r>
        <w:t>up from 2.7 vials per dose based on efficient funding of chemotherapy principles). Pralatrexate cost based on approved ex</w:t>
      </w:r>
      <w:r w:rsidR="00750703">
        <w:noBreakHyphen/>
      </w:r>
      <w:r>
        <w:t>manufacturer price of $1,035.50 x 3 vials plus $91.23 preparation fee.</w:t>
      </w:r>
    </w:p>
    <w:p w14:paraId="0CA95508" w14:textId="77777777" w:rsidR="00FC45BA" w:rsidRDefault="00FC45BA" w:rsidP="00634B91">
      <w:pPr>
        <w:pStyle w:val="COMTablefooter"/>
        <w:keepNext/>
      </w:pPr>
      <w:r>
        <w:rPr>
          <w:vertAlign w:val="superscript"/>
        </w:rPr>
        <w:t>c</w:t>
      </w:r>
      <w:r>
        <w:t xml:space="preserve"> MBS 13950</w:t>
      </w:r>
    </w:p>
    <w:p w14:paraId="572FC6B5" w14:textId="60CEB4F8" w:rsidR="00FC45BA" w:rsidRDefault="00FC45BA" w:rsidP="00634B91">
      <w:pPr>
        <w:pStyle w:val="COMTablefooter"/>
        <w:keepNext/>
      </w:pPr>
      <w:r w:rsidRPr="00086D49">
        <w:rPr>
          <w:vertAlign w:val="superscript"/>
        </w:rPr>
        <w:t xml:space="preserve">d </w:t>
      </w:r>
      <w:r w:rsidRPr="00C05A11">
        <w:t>Vitamin B12</w:t>
      </w:r>
      <w:r>
        <w:t xml:space="preserve"> injection </w:t>
      </w:r>
      <w:r w:rsidRPr="00457BC5">
        <w:t>10 weeks prior to the first dose and every 8</w:t>
      </w:r>
      <w:r w:rsidR="00750703">
        <w:noBreakHyphen/>
      </w:r>
      <w:r w:rsidRPr="00457BC5">
        <w:t>10 weeks thereafter</w:t>
      </w:r>
    </w:p>
    <w:p w14:paraId="5EE6ED70" w14:textId="77777777" w:rsidR="00FC45BA" w:rsidRPr="00204DEE" w:rsidRDefault="00FC45BA" w:rsidP="00634B91">
      <w:pPr>
        <w:pStyle w:val="COMTablefooter"/>
        <w:keepNext/>
      </w:pPr>
      <w:r w:rsidRPr="0058100B">
        <w:rPr>
          <w:vertAlign w:val="superscript"/>
        </w:rPr>
        <w:t>e</w:t>
      </w:r>
      <w:r>
        <w:t xml:space="preserve"> </w:t>
      </w:r>
      <w:r w:rsidRPr="00204DEE">
        <w:t>Folic acid</w:t>
      </w:r>
      <w:r>
        <w:t xml:space="preserve"> 1 mg per day</w:t>
      </w:r>
      <w:r w:rsidRPr="00204DEE">
        <w:t xml:space="preserve"> for 10 days prior and 30 days following </w:t>
      </w:r>
      <w:r>
        <w:t>pralatrexate</w:t>
      </w:r>
    </w:p>
    <w:p w14:paraId="5C2FB9CD" w14:textId="77777777" w:rsidR="00FC45BA" w:rsidRDefault="00FC45BA" w:rsidP="00634B91">
      <w:pPr>
        <w:pStyle w:val="COMTablefooter"/>
        <w:keepNext/>
      </w:pPr>
      <w:r>
        <w:rPr>
          <w:vertAlign w:val="superscript"/>
        </w:rPr>
        <w:t>f</w:t>
      </w:r>
      <w:r>
        <w:t xml:space="preserve"> Calcium folinate 90 mg per day x 12 days per cycle administration x 2.17 cycles, based on the recommendation in the EviQ protocol</w:t>
      </w:r>
    </w:p>
    <w:p w14:paraId="2DF7DEB1" w14:textId="77777777" w:rsidR="00FC45BA" w:rsidRPr="000E76D3" w:rsidRDefault="00FC45BA" w:rsidP="00634B91">
      <w:pPr>
        <w:pStyle w:val="COMTablefooter"/>
        <w:keepNext/>
      </w:pPr>
      <w:r>
        <w:rPr>
          <w:sz w:val="16"/>
          <w:szCs w:val="20"/>
          <w:vertAlign w:val="superscript"/>
        </w:rPr>
        <w:t>g</w:t>
      </w:r>
      <w:r w:rsidRPr="000E76D3">
        <w:t xml:space="preserve"> Admission for Grade 3 or 4 mucositis in 22% of pralatrexate patients; NHCDC Cost Data, Weighted cost of admission for PTCL</w:t>
      </w:r>
    </w:p>
    <w:p w14:paraId="1926F163" w14:textId="51BAF078" w:rsidR="00FC45BA" w:rsidRDefault="00FC45BA" w:rsidP="00634B91">
      <w:pPr>
        <w:pStyle w:val="COMTablefooter"/>
        <w:keepNext/>
      </w:pPr>
      <w:r>
        <w:rPr>
          <w:vertAlign w:val="superscript"/>
        </w:rPr>
        <w:t>h</w:t>
      </w:r>
      <w:r>
        <w:t xml:space="preserve"> 11.41 doses </w:t>
      </w:r>
      <w:r w:rsidR="00750703">
        <w:noBreakHyphen/>
      </w:r>
      <w:r>
        <w:t xml:space="preserve"> derived as follows: 3 x 3.8 cycles. Cycles calculated as follows: 365.25/28 x (3.5/12)</w:t>
      </w:r>
    </w:p>
    <w:p w14:paraId="06072894" w14:textId="4A8BA67A" w:rsidR="00FC45BA" w:rsidRDefault="00FC45BA" w:rsidP="00634B91">
      <w:pPr>
        <w:pStyle w:val="COMTablefooter"/>
        <w:keepNext/>
      </w:pPr>
      <w:r>
        <w:rPr>
          <w:vertAlign w:val="superscript"/>
        </w:rPr>
        <w:t>i</w:t>
      </w:r>
      <w:r>
        <w:t xml:space="preserve"> </w:t>
      </w:r>
      <w:r w:rsidRPr="00CE12A2">
        <w:t>3</w:t>
      </w:r>
      <w:r>
        <w:t xml:space="preserve"> vials of romidepsin 10 mg per dose based on an average body surface area of 1.8 m</w:t>
      </w:r>
      <w:r w:rsidRPr="00CE12A2">
        <w:rPr>
          <w:vertAlign w:val="superscript"/>
        </w:rPr>
        <w:t>2</w:t>
      </w:r>
      <w:r>
        <w:t xml:space="preserve"> (rounded up from 2.52 vials per dose based on efficient funding of chemotherapy principles). Romidepsin cost based on ex</w:t>
      </w:r>
      <w:r w:rsidR="00750703">
        <w:noBreakHyphen/>
      </w:r>
      <w:r>
        <w:t>manufacturer price of $1,282.05 x 3 plus $91.23 preparation fee</w:t>
      </w:r>
    </w:p>
    <w:p w14:paraId="5BAC5F6D" w14:textId="77777777" w:rsidR="00FC45BA" w:rsidRDefault="00FC45BA" w:rsidP="00634B91">
      <w:pPr>
        <w:pStyle w:val="COMTablefooter"/>
        <w:keepNext/>
      </w:pPr>
      <w:r>
        <w:rPr>
          <w:vertAlign w:val="superscript"/>
        </w:rPr>
        <w:t xml:space="preserve">j </w:t>
      </w:r>
      <w:r>
        <w:t>4 x 4 mg ondansetron per dose</w:t>
      </w:r>
    </w:p>
    <w:p w14:paraId="02CEDCDF" w14:textId="4CB0AF48" w:rsidR="00031D67" w:rsidRPr="00031D67" w:rsidRDefault="00FC45BA" w:rsidP="00634B91">
      <w:pPr>
        <w:pStyle w:val="COMTablefooter"/>
        <w:keepNext/>
      </w:pPr>
      <w:r>
        <w:rPr>
          <w:vertAlign w:val="superscript"/>
        </w:rPr>
        <w:t xml:space="preserve">k </w:t>
      </w:r>
      <w:r w:rsidRPr="00457BC5">
        <w:t>MBS Item 11704</w:t>
      </w:r>
      <w:r w:rsidR="00314EBE" w:rsidRPr="00314EBE">
        <w:t xml:space="preserve"> </w:t>
      </w:r>
    </w:p>
    <w:p w14:paraId="69A783A4" w14:textId="48ECA3F6" w:rsidR="00E86B33" w:rsidRPr="004515F1" w:rsidRDefault="00E86B33" w:rsidP="00750703">
      <w:pPr>
        <w:pStyle w:val="3-BodyText"/>
        <w:spacing w:before="160" w:after="160"/>
        <w:ind w:left="720"/>
        <w:rPr>
          <w:color w:val="0066FF"/>
        </w:rPr>
      </w:pPr>
      <w:r w:rsidRPr="00286CAC">
        <w:t>As noted in para</w:t>
      </w:r>
      <w:r w:rsidR="006D47BE">
        <w:t>graph</w:t>
      </w:r>
      <w:r w:rsidRPr="00286CAC">
        <w:t xml:space="preserve"> </w:t>
      </w:r>
      <w:r w:rsidRPr="00286CAC">
        <w:fldChar w:fldCharType="begin"/>
      </w:r>
      <w:r w:rsidRPr="00286CAC">
        <w:instrText xml:space="preserve"> REF _Ref214093918 \r \h  \* MERGEFORMAT </w:instrText>
      </w:r>
      <w:r w:rsidRPr="00286CAC">
        <w:fldChar w:fldCharType="separate"/>
      </w:r>
      <w:r w:rsidR="00634B91">
        <w:t>6.30</w:t>
      </w:r>
      <w:r w:rsidRPr="00286CAC">
        <w:fldChar w:fldCharType="end"/>
      </w:r>
      <w:r w:rsidRPr="00286CAC">
        <w:t xml:space="preserve">, the analysis </w:t>
      </w:r>
      <w:r w:rsidR="00170CA6" w:rsidRPr="00286CAC">
        <w:t>includes</w:t>
      </w:r>
      <w:r w:rsidRPr="00286CAC">
        <w:t xml:space="preserve"> </w:t>
      </w:r>
      <w:r w:rsidR="005D0B46">
        <w:t xml:space="preserve">hospital </w:t>
      </w:r>
      <w:r w:rsidRPr="00286CAC">
        <w:t xml:space="preserve">admission costs for </w:t>
      </w:r>
      <w:r w:rsidR="00365745">
        <w:t xml:space="preserve">patients with </w:t>
      </w:r>
      <w:r w:rsidR="008C5CFA">
        <w:t>severe</w:t>
      </w:r>
      <w:r w:rsidR="00BA5887">
        <w:t xml:space="preserve"> </w:t>
      </w:r>
      <w:r w:rsidRPr="00286CAC">
        <w:t>mucositis. Removing these costs</w:t>
      </w:r>
      <w:r w:rsidR="004F6FD3" w:rsidRPr="00286CAC">
        <w:t xml:space="preserve"> as well as the </w:t>
      </w:r>
      <w:r w:rsidR="00116328">
        <w:t>over</w:t>
      </w:r>
      <w:r w:rsidR="00750703">
        <w:noBreakHyphen/>
      </w:r>
      <w:r w:rsidR="00116328">
        <w:t>the</w:t>
      </w:r>
      <w:r w:rsidR="00750703">
        <w:noBreakHyphen/>
      </w:r>
      <w:r w:rsidR="00116328">
        <w:t>counter</w:t>
      </w:r>
      <w:r w:rsidR="001F420C">
        <w:t xml:space="preserve"> </w:t>
      </w:r>
      <w:r w:rsidR="004F6FD3" w:rsidRPr="00286CAC">
        <w:t xml:space="preserve">cost of the folic acid tablets </w:t>
      </w:r>
      <w:r w:rsidRPr="00286CAC">
        <w:t xml:space="preserve">and recalculating the price per vial would reduce the price by </w:t>
      </w:r>
      <w:r w:rsidRPr="00613588">
        <w:t>approximately $60 (to $1</w:t>
      </w:r>
      <w:r w:rsidR="00326707" w:rsidRPr="00613588">
        <w:t>,</w:t>
      </w:r>
      <w:r w:rsidRPr="00613588">
        <w:t>226</w:t>
      </w:r>
      <w:r w:rsidR="00FC7CFF" w:rsidRPr="00613588">
        <w:t>.85).</w:t>
      </w:r>
      <w:r w:rsidR="00593643" w:rsidRPr="00613588">
        <w:t xml:space="preserve"> The Pre</w:t>
      </w:r>
      <w:r w:rsidR="00750703" w:rsidRPr="00613588">
        <w:noBreakHyphen/>
      </w:r>
      <w:r w:rsidR="00593643" w:rsidRPr="00613588">
        <w:t>PBAC Response argued that patients with R/R PTCL are typically clinically fragile and heavily</w:t>
      </w:r>
      <w:r w:rsidR="00593643" w:rsidRPr="00E17102">
        <w:t xml:space="preserve"> pre</w:t>
      </w:r>
      <w:r w:rsidR="00750703">
        <w:noBreakHyphen/>
      </w:r>
      <w:r w:rsidR="00593643" w:rsidRPr="00E17102">
        <w:t>treated</w:t>
      </w:r>
      <w:r w:rsidR="00593643">
        <w:t xml:space="preserve"> and that it is</w:t>
      </w:r>
      <w:r w:rsidR="00593643" w:rsidRPr="00E17102">
        <w:t xml:space="preserve"> reasonable to assume that a hospital admission would result from Grade 3 or 4 mucositis.</w:t>
      </w:r>
      <w:r w:rsidR="00750703">
        <w:t xml:space="preserve"> </w:t>
      </w:r>
    </w:p>
    <w:p w14:paraId="1D80C3BA" w14:textId="3897EF44" w:rsidR="004515F1" w:rsidRPr="008F63A6" w:rsidRDefault="004515F1" w:rsidP="00750703">
      <w:pPr>
        <w:pStyle w:val="3-BodyText"/>
        <w:spacing w:before="160" w:after="160"/>
        <w:ind w:left="720"/>
        <w:rPr>
          <w:color w:val="0066FF"/>
        </w:rPr>
      </w:pPr>
      <w:r w:rsidRPr="008F63A6">
        <w:t xml:space="preserve">The ESC noted that </w:t>
      </w:r>
      <w:r w:rsidR="00945BDF" w:rsidRPr="008F63A6">
        <w:t xml:space="preserve">the median PFS for romidepsin, which was used as a proxy for duration of treatment, was 4 months </w:t>
      </w:r>
      <w:r w:rsidR="004444F8" w:rsidRPr="008F63A6">
        <w:t>rather than 3.5 months, and that adjusting this parameter would reduce the cost</w:t>
      </w:r>
      <w:r w:rsidR="00750703">
        <w:noBreakHyphen/>
      </w:r>
      <w:r w:rsidR="004444F8" w:rsidRPr="008F63A6">
        <w:t>minimised EMP for romidepsin</w:t>
      </w:r>
      <w:r w:rsidR="00316E34" w:rsidRPr="008F63A6">
        <w:t>.</w:t>
      </w:r>
      <w:r w:rsidR="00AD48A3" w:rsidRPr="008F63A6">
        <w:t xml:space="preserve"> The ESC considered it would have been more appropriate to use the </w:t>
      </w:r>
      <w:r w:rsidR="00053E5A" w:rsidRPr="008F63A6">
        <w:t xml:space="preserve">reported durations of treatment rather than </w:t>
      </w:r>
      <w:r w:rsidR="00CF5C07" w:rsidRPr="008F63A6">
        <w:t xml:space="preserve">median </w:t>
      </w:r>
      <w:r w:rsidR="00053E5A" w:rsidRPr="008F63A6">
        <w:t xml:space="preserve">PFS and noted that </w:t>
      </w:r>
      <w:r w:rsidR="00AD48A3" w:rsidRPr="008F63A6">
        <w:t>mean</w:t>
      </w:r>
      <w:r w:rsidR="00D603B0" w:rsidRPr="008F63A6">
        <w:t xml:space="preserve"> duration of treatment</w:t>
      </w:r>
      <w:r w:rsidR="00053E5A" w:rsidRPr="008F63A6">
        <w:t xml:space="preserve"> </w:t>
      </w:r>
      <w:r w:rsidR="00D603B0" w:rsidRPr="008F63A6">
        <w:t xml:space="preserve">was 4.2 months </w:t>
      </w:r>
      <w:r w:rsidR="00855285" w:rsidRPr="008F63A6">
        <w:t>(127.</w:t>
      </w:r>
      <w:r w:rsidR="004204A1" w:rsidRPr="008F63A6">
        <w:t xml:space="preserve">8 days) </w:t>
      </w:r>
      <w:r w:rsidR="00D603B0" w:rsidRPr="008F63A6">
        <w:t xml:space="preserve">for </w:t>
      </w:r>
      <w:proofErr w:type="spellStart"/>
      <w:r w:rsidR="00D603B0" w:rsidRPr="008F63A6">
        <w:t>romidepsin</w:t>
      </w:r>
      <w:proofErr w:type="spellEnd"/>
      <w:r w:rsidR="00D603B0" w:rsidRPr="008F63A6">
        <w:t xml:space="preserve"> (based on </w:t>
      </w:r>
      <w:proofErr w:type="spellStart"/>
      <w:r w:rsidR="00D603B0" w:rsidRPr="008F63A6">
        <w:t>Coiffier</w:t>
      </w:r>
      <w:proofErr w:type="spellEnd"/>
      <w:r w:rsidR="00D603B0" w:rsidRPr="008F63A6">
        <w:t xml:space="preserve"> et al.</w:t>
      </w:r>
      <w:r w:rsidR="0050631A" w:rsidRPr="008F63A6">
        <w:t>,</w:t>
      </w:r>
      <w:r w:rsidR="00D603B0" w:rsidRPr="008F63A6">
        <w:t xml:space="preserve"> 2012) and </w:t>
      </w:r>
      <w:r w:rsidR="00BB713A" w:rsidRPr="008F63A6">
        <w:t xml:space="preserve">mean duration of treatment for pralatrexate was </w:t>
      </w:r>
      <w:r w:rsidR="00BE14DC" w:rsidRPr="008F63A6">
        <w:t xml:space="preserve">112.7 days (based on </w:t>
      </w:r>
      <w:r w:rsidR="00384B99" w:rsidRPr="008F63A6">
        <w:t xml:space="preserve">2.3 cycles of 49 days, as derived </w:t>
      </w:r>
      <w:r w:rsidR="00384B99" w:rsidRPr="008F63A6">
        <w:lastRenderedPageBreak/>
        <w:t>from individual patient data</w:t>
      </w:r>
      <w:r w:rsidR="00A56654" w:rsidRPr="008F63A6">
        <w:t xml:space="preserve"> from PROPEL, and as reported in paragraph 5.</w:t>
      </w:r>
      <w:r w:rsidR="00B450D5" w:rsidRPr="008F63A6">
        <w:t>11 of the Pralatrexate PSD, Dec 2017</w:t>
      </w:r>
      <w:r w:rsidR="00BB15F6" w:rsidRPr="008F63A6">
        <w:t>)</w:t>
      </w:r>
      <w:r w:rsidR="00D603B0" w:rsidRPr="008F63A6">
        <w:t>.</w:t>
      </w:r>
      <w:r w:rsidR="009D7B2D">
        <w:t xml:space="preserve"> The Pre</w:t>
      </w:r>
      <w:r w:rsidR="00750703">
        <w:noBreakHyphen/>
      </w:r>
      <w:r w:rsidR="009D7B2D">
        <w:t xml:space="preserve">PBAC Response </w:t>
      </w:r>
      <w:r w:rsidR="00786C28">
        <w:t xml:space="preserve">stated that the </w:t>
      </w:r>
      <w:r w:rsidR="00C86EB5">
        <w:t xml:space="preserve">median PFS of 4 months that was reported in </w:t>
      </w:r>
      <w:proofErr w:type="spellStart"/>
      <w:r w:rsidR="00C86EB5">
        <w:t>Coiffer</w:t>
      </w:r>
      <w:proofErr w:type="spellEnd"/>
      <w:r w:rsidR="00C86EB5">
        <w:t xml:space="preserve"> et al., 2012 was </w:t>
      </w:r>
      <w:r w:rsidR="00D10B51">
        <w:t xml:space="preserve">rounded up from the median PFS </w:t>
      </w:r>
      <w:r w:rsidR="00152C31">
        <w:t>of 3.5</w:t>
      </w:r>
      <w:r w:rsidR="00C5146F">
        <w:t xml:space="preserve"> months</w:t>
      </w:r>
      <w:r w:rsidR="00152C31">
        <w:t xml:space="preserve"> </w:t>
      </w:r>
      <w:r w:rsidR="00904F9B">
        <w:t xml:space="preserve">reported in the </w:t>
      </w:r>
      <w:r w:rsidR="00152C31">
        <w:t>previous submissions for romidepsin.</w:t>
      </w:r>
      <w:r w:rsidR="00086CF9">
        <w:t xml:space="preserve"> The PBAC considered that</w:t>
      </w:r>
      <w:r w:rsidR="00F82CB7">
        <w:t xml:space="preserve"> </w:t>
      </w:r>
      <w:r w:rsidR="002C7485">
        <w:t xml:space="preserve">it would be reasonable to use </w:t>
      </w:r>
      <w:r w:rsidR="00F82CB7">
        <w:t xml:space="preserve">median PFS </w:t>
      </w:r>
      <w:r w:rsidR="00254EAE">
        <w:t xml:space="preserve">of 3.5 months </w:t>
      </w:r>
      <w:r w:rsidR="00F82CB7">
        <w:t xml:space="preserve">for both romidepsin and pralatrexate </w:t>
      </w:r>
      <w:r w:rsidR="00615E90">
        <w:t>as a</w:t>
      </w:r>
      <w:r w:rsidR="002C7485">
        <w:t xml:space="preserve"> proxy for duration of treatmen</w:t>
      </w:r>
      <w:r w:rsidR="00254EAE">
        <w:t>t.</w:t>
      </w:r>
      <w:r w:rsidR="00615E90">
        <w:t xml:space="preserve"> </w:t>
      </w:r>
    </w:p>
    <w:p w14:paraId="4BC079CD" w14:textId="48278146" w:rsidR="003D57CB" w:rsidRPr="00613588" w:rsidRDefault="00C357AA" w:rsidP="00750703">
      <w:pPr>
        <w:pStyle w:val="3-BodyText"/>
        <w:spacing w:before="160" w:after="160"/>
        <w:ind w:left="720"/>
      </w:pPr>
      <w:r>
        <w:t>The CMA was undertaken using dispensed prices.</w:t>
      </w:r>
      <w:r w:rsidRPr="00C357AA">
        <w:t xml:space="preserve"> Pricing agreements are made by Government under the </w:t>
      </w:r>
      <w:r w:rsidRPr="00C357AA">
        <w:rPr>
          <w:i/>
          <w:iCs/>
        </w:rPr>
        <w:t>National Health Act 1953</w:t>
      </w:r>
      <w:r w:rsidRPr="00C357AA">
        <w:t xml:space="preserve"> at the ex</w:t>
      </w:r>
      <w:r w:rsidR="00750703">
        <w:noBreakHyphen/>
      </w:r>
      <w:r w:rsidRPr="00C357AA">
        <w:t xml:space="preserve">manufacturer level and, as such, the prices would be agreed on this basis. </w:t>
      </w:r>
      <w:r w:rsidR="00536E61" w:rsidRPr="00613588">
        <w:t xml:space="preserve">Recalculating the submission’s </w:t>
      </w:r>
      <w:r w:rsidR="00873482" w:rsidRPr="00613588">
        <w:rPr>
          <w:color w:val="000000" w:themeColor="text1"/>
        </w:rPr>
        <w:t>CMA at the EMP level would give an EMP for romidepsin of $1,277.74/vial</w:t>
      </w:r>
      <w:r w:rsidR="00CA72CE" w:rsidRPr="00613588">
        <w:rPr>
          <w:color w:val="000000" w:themeColor="text1"/>
        </w:rPr>
        <w:t>.</w:t>
      </w:r>
    </w:p>
    <w:p w14:paraId="472842D7" w14:textId="17EA9ABF" w:rsidR="00C25D9C" w:rsidRPr="0098262F" w:rsidRDefault="00C25D9C" w:rsidP="00750703">
      <w:pPr>
        <w:pStyle w:val="4-SubsectionHeading"/>
        <w:spacing w:before="160" w:after="160"/>
      </w:pPr>
      <w:bookmarkStart w:id="43" w:name="_Toc22897646"/>
      <w:bookmarkStart w:id="44" w:name="_Toc219197460"/>
      <w:r w:rsidRPr="0098262F">
        <w:t>Drug</w:t>
      </w:r>
      <w:r w:rsidR="00E86B33">
        <w:t xml:space="preserve"> </w:t>
      </w:r>
      <w:r w:rsidRPr="0098262F">
        <w:t>cost/patient/course</w:t>
      </w:r>
      <w:bookmarkEnd w:id="43"/>
      <w:bookmarkEnd w:id="44"/>
    </w:p>
    <w:p w14:paraId="6568B901" w14:textId="3FECB1EB" w:rsidR="0062419C" w:rsidRPr="0062419C" w:rsidRDefault="00E86B33" w:rsidP="00750703">
      <w:pPr>
        <w:pStyle w:val="3-BodyText"/>
        <w:spacing w:before="160" w:after="160"/>
        <w:ind w:left="720"/>
        <w:rPr>
          <w:i/>
          <w:iCs/>
          <w:color w:val="0066FF"/>
        </w:rPr>
      </w:pPr>
      <w:bookmarkStart w:id="45" w:name="_Hlk107307804"/>
      <w:r>
        <w:t>Based on the CMA in</w:t>
      </w:r>
      <w:r w:rsidR="001C0359">
        <w:t xml:space="preserve"> </w:t>
      </w:r>
      <w:r w:rsidR="001C0359">
        <w:fldChar w:fldCharType="begin"/>
      </w:r>
      <w:r w:rsidR="001C0359">
        <w:instrText xml:space="preserve"> REF _Ref216700169 \h </w:instrText>
      </w:r>
      <w:r w:rsidR="001C0359">
        <w:fldChar w:fldCharType="separate"/>
      </w:r>
      <w:r w:rsidR="001C0359">
        <w:t xml:space="preserve">Table </w:t>
      </w:r>
      <w:r w:rsidR="001C0359">
        <w:rPr>
          <w:noProof/>
        </w:rPr>
        <w:t>1</w:t>
      </w:r>
      <w:r w:rsidR="00771AF0">
        <w:rPr>
          <w:noProof/>
        </w:rPr>
        <w:t>0</w:t>
      </w:r>
      <w:r w:rsidR="001C0359">
        <w:fldChar w:fldCharType="end"/>
      </w:r>
      <w:r>
        <w:t xml:space="preserve"> the drug cost per patient per course </w:t>
      </w:r>
      <w:r w:rsidR="00FC7CFF">
        <w:t xml:space="preserve">was estimated as </w:t>
      </w:r>
      <w:r w:rsidRPr="00E86B33">
        <w:t>$</w:t>
      </w:r>
      <w:r w:rsidRPr="00613588">
        <w:t>4</w:t>
      </w:r>
      <w:r w:rsidR="00C8476D" w:rsidRPr="00613588">
        <w:t>4,951.50</w:t>
      </w:r>
      <w:r w:rsidRPr="00613588">
        <w:t>.</w:t>
      </w:r>
      <w:r w:rsidR="00C22AEB" w:rsidRPr="001E08F9">
        <w:t xml:space="preserve"> </w:t>
      </w:r>
    </w:p>
    <w:p w14:paraId="268768EF" w14:textId="3626F292" w:rsidR="00B60939" w:rsidRPr="0098262F" w:rsidRDefault="00B60939" w:rsidP="00750703">
      <w:pPr>
        <w:pStyle w:val="4-SubsectionHeading"/>
        <w:spacing w:before="160" w:after="160"/>
      </w:pPr>
      <w:bookmarkStart w:id="46" w:name="_Toc22897647"/>
      <w:bookmarkStart w:id="47" w:name="_Toc219197461"/>
      <w:bookmarkEnd w:id="45"/>
      <w:r w:rsidRPr="0098262F">
        <w:t>Estimated PBS usage &amp; financial implications</w:t>
      </w:r>
      <w:bookmarkEnd w:id="46"/>
      <w:bookmarkEnd w:id="47"/>
    </w:p>
    <w:p w14:paraId="5CCE766E" w14:textId="24340BDF" w:rsidR="007A776C" w:rsidRPr="007A776C" w:rsidRDefault="00C25D9C" w:rsidP="00750703">
      <w:pPr>
        <w:pStyle w:val="3-BodyText"/>
        <w:spacing w:before="160" w:after="160"/>
        <w:ind w:left="720"/>
        <w:rPr>
          <w:color w:val="0066FF"/>
        </w:rPr>
      </w:pPr>
      <w:r w:rsidRPr="0098262F">
        <w:t>Th</w:t>
      </w:r>
      <w:r w:rsidR="0037604E">
        <w:t>e</w:t>
      </w:r>
      <w:r w:rsidRPr="0098262F">
        <w:t xml:space="preserve"> submission </w:t>
      </w:r>
      <w:r w:rsidR="000E061B">
        <w:t xml:space="preserve">was not </w:t>
      </w:r>
      <w:r w:rsidRPr="0098262F">
        <w:t>considered by DUSC</w:t>
      </w:r>
      <w:r w:rsidRPr="0098262F">
        <w:rPr>
          <w:color w:val="0070C0"/>
        </w:rPr>
        <w:t>.</w:t>
      </w:r>
      <w:r w:rsidR="00BC591F" w:rsidRPr="0098262F">
        <w:rPr>
          <w:color w:val="0070C0"/>
        </w:rPr>
        <w:t xml:space="preserve"> </w:t>
      </w:r>
    </w:p>
    <w:p w14:paraId="04B31D2D" w14:textId="1D4A558B" w:rsidR="0072416F" w:rsidRPr="00C93113" w:rsidRDefault="007A776C" w:rsidP="00750703">
      <w:pPr>
        <w:pStyle w:val="3-BodyText"/>
        <w:spacing w:before="160" w:after="160"/>
        <w:ind w:left="720"/>
      </w:pPr>
      <w:r>
        <w:t xml:space="preserve">The submission presented a market share approach to estimate the likely utilisation and financial impact of listing romidepsin, </w:t>
      </w:r>
      <w:proofErr w:type="gramStart"/>
      <w:r>
        <w:t>assuming</w:t>
      </w:r>
      <w:r w:rsidR="00565A9A">
        <w:t xml:space="preserve"> </w:t>
      </w:r>
      <w:r>
        <w:t>that</w:t>
      </w:r>
      <w:proofErr w:type="gramEnd"/>
      <w:r>
        <w:t xml:space="preserve"> romidepsin would substitute for pralatrexate</w:t>
      </w:r>
      <w:r w:rsidR="00000533">
        <w:t xml:space="preserve">. </w:t>
      </w:r>
      <w:r>
        <w:t>The key inputs used in the estimates are shown in</w:t>
      </w:r>
      <w:r w:rsidR="00AE5419">
        <w:t xml:space="preserve"> </w:t>
      </w:r>
      <w:r w:rsidR="001C0359">
        <w:fldChar w:fldCharType="begin"/>
      </w:r>
      <w:r w:rsidR="001C0359">
        <w:instrText xml:space="preserve"> REF _Ref216700477 \h </w:instrText>
      </w:r>
      <w:r w:rsidR="001C0359">
        <w:fldChar w:fldCharType="separate"/>
      </w:r>
      <w:r w:rsidR="001C0359">
        <w:t xml:space="preserve">Table </w:t>
      </w:r>
      <w:r w:rsidR="001C0359">
        <w:rPr>
          <w:noProof/>
        </w:rPr>
        <w:t>1</w:t>
      </w:r>
      <w:r w:rsidR="00043C1D">
        <w:rPr>
          <w:noProof/>
        </w:rPr>
        <w:t>1</w:t>
      </w:r>
      <w:r w:rsidR="001C0359">
        <w:fldChar w:fldCharType="end"/>
      </w:r>
      <w:r w:rsidR="001C0359">
        <w:t>.</w:t>
      </w:r>
    </w:p>
    <w:p w14:paraId="418DBC00" w14:textId="77777777" w:rsidR="007369A9" w:rsidRDefault="007369A9" w:rsidP="00750703">
      <w:pPr>
        <w:jc w:val="left"/>
        <w:rPr>
          <w:rFonts w:ascii="Arial Narrow" w:hAnsi="Arial Narrow"/>
          <w:b/>
          <w:bCs/>
          <w:sz w:val="20"/>
          <w:szCs w:val="18"/>
        </w:rPr>
      </w:pPr>
      <w:bookmarkStart w:id="48" w:name="_Ref216700477"/>
      <w:r>
        <w:br w:type="page"/>
      </w:r>
    </w:p>
    <w:p w14:paraId="3393BCE7" w14:textId="33B621ED" w:rsidR="00E42F73" w:rsidRPr="00001082" w:rsidRDefault="001C0359" w:rsidP="00750703">
      <w:pPr>
        <w:pStyle w:val="Caption"/>
        <w:rPr>
          <w:rStyle w:val="CommentReference"/>
          <w:b/>
          <w:szCs w:val="24"/>
        </w:rPr>
      </w:pPr>
      <w:r w:rsidRPr="00001082">
        <w:lastRenderedPageBreak/>
        <w:t xml:space="preserve">Table </w:t>
      </w:r>
      <w:fldSimple w:instr=" SEQ Table \* ARABIC ">
        <w:r w:rsidR="000B22F7">
          <w:rPr>
            <w:noProof/>
          </w:rPr>
          <w:t>11</w:t>
        </w:r>
      </w:fldSimple>
      <w:bookmarkEnd w:id="48"/>
      <w:r w:rsidRPr="00001082">
        <w:t xml:space="preserve">: </w:t>
      </w:r>
      <w:r w:rsidR="00E42F73" w:rsidRPr="00001082">
        <w:rPr>
          <w:rStyle w:val="CommentReference"/>
          <w:b/>
          <w:szCs w:val="24"/>
        </w:rPr>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inputs for financial estimates"/>
      </w:tblPr>
      <w:tblGrid>
        <w:gridCol w:w="1713"/>
        <w:gridCol w:w="4094"/>
        <w:gridCol w:w="3210"/>
      </w:tblGrid>
      <w:tr w:rsidR="00E42F73" w:rsidRPr="00FA2341" w14:paraId="7AFD013A" w14:textId="77777777" w:rsidTr="009C3A3A">
        <w:trPr>
          <w:tblHeader/>
        </w:trPr>
        <w:tc>
          <w:tcPr>
            <w:tcW w:w="950" w:type="pct"/>
            <w:vAlign w:val="center"/>
          </w:tcPr>
          <w:p w14:paraId="45C2C4CE" w14:textId="370E9AAB" w:rsidR="00E42F73" w:rsidRPr="00FA2341" w:rsidRDefault="004658B5" w:rsidP="00750703">
            <w:pPr>
              <w:pStyle w:val="In-tableHeading"/>
            </w:pPr>
            <w:r w:rsidRPr="00FA2341">
              <w:t>Parameter</w:t>
            </w:r>
          </w:p>
        </w:tc>
        <w:tc>
          <w:tcPr>
            <w:tcW w:w="2270" w:type="pct"/>
            <w:vAlign w:val="center"/>
          </w:tcPr>
          <w:p w14:paraId="5C04F956" w14:textId="559E8DB1" w:rsidR="00E42F73" w:rsidRPr="00FA2341" w:rsidRDefault="004658B5" w:rsidP="00750703">
            <w:pPr>
              <w:pStyle w:val="In-tableHeading"/>
            </w:pPr>
            <w:r w:rsidRPr="00FA2341">
              <w:t>Value applied and source</w:t>
            </w:r>
          </w:p>
        </w:tc>
        <w:tc>
          <w:tcPr>
            <w:tcW w:w="1780" w:type="pct"/>
            <w:vAlign w:val="center"/>
          </w:tcPr>
          <w:p w14:paraId="45DE44AA" w14:textId="4713F72E" w:rsidR="00E42F73" w:rsidRPr="00FA2341" w:rsidRDefault="004658B5" w:rsidP="00750703">
            <w:pPr>
              <w:pStyle w:val="In-tableHeading"/>
            </w:pPr>
            <w:r w:rsidRPr="00FA2341">
              <w:t>Comment</w:t>
            </w:r>
          </w:p>
        </w:tc>
      </w:tr>
      <w:tr w:rsidR="00E42F73" w:rsidRPr="00FA2341" w14:paraId="4BEF206D" w14:textId="77777777" w:rsidTr="009C3A3A">
        <w:tc>
          <w:tcPr>
            <w:tcW w:w="950" w:type="pct"/>
            <w:vAlign w:val="center"/>
          </w:tcPr>
          <w:p w14:paraId="5724F53F" w14:textId="6072CAEA" w:rsidR="00E42F73" w:rsidRPr="00FA2341" w:rsidRDefault="00EC6AF7" w:rsidP="00750703">
            <w:pPr>
              <w:pStyle w:val="Tabletext"/>
            </w:pPr>
            <w:r w:rsidRPr="00FA2341">
              <w:t>Current pralatrexate PBS market size</w:t>
            </w:r>
          </w:p>
        </w:tc>
        <w:tc>
          <w:tcPr>
            <w:tcW w:w="2270" w:type="pct"/>
            <w:vAlign w:val="center"/>
          </w:tcPr>
          <w:p w14:paraId="7244F47E" w14:textId="53193971" w:rsidR="007A776C" w:rsidRPr="00FA2341" w:rsidRDefault="007A776C" w:rsidP="00750703">
            <w:pPr>
              <w:pStyle w:val="Tabletext"/>
            </w:pPr>
            <w:r w:rsidRPr="00FA2341">
              <w:t>Services Australia – PBS Item number reports</w:t>
            </w:r>
            <w:r w:rsidR="00401A41" w:rsidRPr="00FA2341">
              <w:t>.</w:t>
            </w:r>
            <w:r w:rsidRPr="00FA2341">
              <w:t xml:space="preserve"> </w:t>
            </w:r>
            <w:r w:rsidR="002267AD" w:rsidRPr="00FA2341">
              <w:t>for the last complete calendar year and the last 6 years</w:t>
            </w:r>
            <w:r w:rsidR="002267AD" w:rsidRPr="00FA2341" w:rsidDel="00AF57E4">
              <w:t xml:space="preserve"> </w:t>
            </w:r>
          </w:p>
          <w:p w14:paraId="2974F923" w14:textId="589189A3" w:rsidR="007716B9" w:rsidRPr="00FA2341" w:rsidRDefault="007A776C" w:rsidP="00750703">
            <w:pPr>
              <w:pStyle w:val="Tabletext"/>
            </w:pPr>
            <w:r w:rsidRPr="00FA2341">
              <w:t>Current PBS Item codes for pralatrexate:</w:t>
            </w:r>
            <w:r w:rsidR="00A523DB" w:rsidRPr="00FA2341">
              <w:t xml:space="preserve"> </w:t>
            </w:r>
            <w:r w:rsidRPr="00FA2341">
              <w:t>11271F</w:t>
            </w:r>
            <w:r w:rsidR="00A523DB" w:rsidRPr="00FA2341">
              <w:t>,</w:t>
            </w:r>
            <w:r w:rsidRPr="00FA2341">
              <w:t xml:space="preserve"> 11293J</w:t>
            </w:r>
            <w:r w:rsidR="00A523DB" w:rsidRPr="00FA2341">
              <w:t xml:space="preserve">, </w:t>
            </w:r>
            <w:r w:rsidRPr="00FA2341">
              <w:t>11278N</w:t>
            </w:r>
            <w:r w:rsidR="00A523DB" w:rsidRPr="00FA2341">
              <w:t xml:space="preserve">, </w:t>
            </w:r>
            <w:r w:rsidRPr="00FA2341">
              <w:t xml:space="preserve">11272G </w:t>
            </w:r>
          </w:p>
        </w:tc>
        <w:tc>
          <w:tcPr>
            <w:tcW w:w="1780" w:type="pct"/>
            <w:vAlign w:val="center"/>
          </w:tcPr>
          <w:p w14:paraId="078672CF" w14:textId="62178017" w:rsidR="00E42F73" w:rsidRPr="00FA2341" w:rsidRDefault="007A776C" w:rsidP="00750703">
            <w:pPr>
              <w:pStyle w:val="Tabletext"/>
            </w:pPr>
            <w:r w:rsidRPr="00FA2341">
              <w:t xml:space="preserve">Reasonable </w:t>
            </w:r>
          </w:p>
        </w:tc>
      </w:tr>
      <w:tr w:rsidR="00A05C32" w:rsidRPr="00FA2341" w14:paraId="273D05F4" w14:textId="77777777" w:rsidTr="009C3A3A">
        <w:tc>
          <w:tcPr>
            <w:tcW w:w="950" w:type="pct"/>
            <w:vAlign w:val="center"/>
          </w:tcPr>
          <w:p w14:paraId="0152C8AA" w14:textId="71AB10A1" w:rsidR="00A05C32" w:rsidRPr="00FA2341" w:rsidRDefault="007A776C" w:rsidP="00750703">
            <w:pPr>
              <w:pStyle w:val="Tabletext"/>
            </w:pPr>
            <w:r w:rsidRPr="00FA2341">
              <w:t>Current romidepsin utilisation</w:t>
            </w:r>
          </w:p>
        </w:tc>
        <w:tc>
          <w:tcPr>
            <w:tcW w:w="2270" w:type="pct"/>
            <w:vAlign w:val="center"/>
          </w:tcPr>
          <w:p w14:paraId="5FE8DC6D" w14:textId="1C624290" w:rsidR="00C93113" w:rsidRPr="00FA2341" w:rsidRDefault="007A776C" w:rsidP="00750703">
            <w:pPr>
              <w:pStyle w:val="Tabletext"/>
            </w:pPr>
            <w:r w:rsidRPr="00FA2341">
              <w:t xml:space="preserve">Sponsor data from patient access program </w:t>
            </w:r>
            <w:r w:rsidR="00C93113" w:rsidRPr="00FA2341">
              <w:t>12 months to June 2025: 295 scripts, 3 vial</w:t>
            </w:r>
            <w:r w:rsidR="005C518F" w:rsidRPr="00FA2341">
              <w:t>s</w:t>
            </w:r>
            <w:r w:rsidR="00C93113" w:rsidRPr="00FA2341">
              <w:t xml:space="preserve"> per script</w:t>
            </w:r>
          </w:p>
        </w:tc>
        <w:tc>
          <w:tcPr>
            <w:tcW w:w="1780" w:type="pct"/>
            <w:vAlign w:val="center"/>
          </w:tcPr>
          <w:p w14:paraId="035D240F" w14:textId="2559DF6E" w:rsidR="00A05C32" w:rsidRPr="00FA2341" w:rsidRDefault="007A776C" w:rsidP="00750703">
            <w:pPr>
              <w:pStyle w:val="Tabletext"/>
            </w:pPr>
            <w:r w:rsidRPr="00FA2341">
              <w:t>Unable to be independently verified</w:t>
            </w:r>
            <w:r w:rsidR="00A17AA4" w:rsidRPr="00FA2341">
              <w:t>.</w:t>
            </w:r>
            <w:r w:rsidR="00673995" w:rsidRPr="00FA2341">
              <w:t xml:space="preserve"> </w:t>
            </w:r>
          </w:p>
        </w:tc>
      </w:tr>
      <w:tr w:rsidR="00E42F73" w:rsidRPr="00FA2341" w14:paraId="72C9FBDD" w14:textId="77777777" w:rsidTr="009C3A3A">
        <w:tc>
          <w:tcPr>
            <w:tcW w:w="950" w:type="pct"/>
            <w:vAlign w:val="center"/>
          </w:tcPr>
          <w:p w14:paraId="2FBBDC67" w14:textId="12D35653" w:rsidR="00E42F73" w:rsidRPr="00FA2341" w:rsidRDefault="007A776C" w:rsidP="00750703">
            <w:pPr>
              <w:pStyle w:val="Tabletext"/>
            </w:pPr>
            <w:r w:rsidRPr="00FA2341">
              <w:t xml:space="preserve">PBS drug prices </w:t>
            </w:r>
            <w:r w:rsidR="00C93113" w:rsidRPr="00FA2341">
              <w:t>and co payments</w:t>
            </w:r>
          </w:p>
        </w:tc>
        <w:tc>
          <w:tcPr>
            <w:tcW w:w="2270" w:type="pct"/>
            <w:vAlign w:val="center"/>
          </w:tcPr>
          <w:p w14:paraId="11F59048" w14:textId="38B1638B" w:rsidR="007A776C" w:rsidRPr="00FA2341" w:rsidRDefault="007A776C" w:rsidP="00750703">
            <w:pPr>
              <w:pStyle w:val="Tabletext"/>
            </w:pPr>
            <w:r w:rsidRPr="00FA2341">
              <w:t xml:space="preserve">Pralatrexate PBS codes as above plus </w:t>
            </w:r>
          </w:p>
          <w:p w14:paraId="550316FC" w14:textId="085749FA" w:rsidR="00E42F73" w:rsidRPr="00FA2341" w:rsidRDefault="007A776C" w:rsidP="00750703">
            <w:pPr>
              <w:pStyle w:val="Tabletext"/>
            </w:pPr>
            <w:r w:rsidRPr="00FA2341">
              <w:t>Ondansetron 5857G</w:t>
            </w:r>
            <w:r w:rsidR="00C37C6D" w:rsidRPr="00FA2341">
              <w:t xml:space="preserve">, </w:t>
            </w:r>
            <w:r w:rsidRPr="00FA2341">
              <w:t>Calcium folinate 5904R</w:t>
            </w:r>
          </w:p>
        </w:tc>
        <w:tc>
          <w:tcPr>
            <w:tcW w:w="1780" w:type="pct"/>
            <w:vAlign w:val="center"/>
          </w:tcPr>
          <w:p w14:paraId="7295AAE5" w14:textId="23B200B6" w:rsidR="00E42F73" w:rsidRPr="00FA2341" w:rsidRDefault="00DD57C4" w:rsidP="00750703">
            <w:pPr>
              <w:pStyle w:val="Tabletext"/>
            </w:pPr>
            <w:r w:rsidRPr="00FA2341">
              <w:t>R</w:t>
            </w:r>
            <w:r w:rsidR="007A776C" w:rsidRPr="00FA2341">
              <w:t>easonable</w:t>
            </w:r>
          </w:p>
        </w:tc>
      </w:tr>
      <w:tr w:rsidR="00C93113" w:rsidRPr="00FA2341" w14:paraId="2D06BF45" w14:textId="77777777" w:rsidTr="009C3A3A">
        <w:tc>
          <w:tcPr>
            <w:tcW w:w="950" w:type="pct"/>
            <w:vAlign w:val="center"/>
          </w:tcPr>
          <w:p w14:paraId="7A7C3695" w14:textId="7AAEA6D2" w:rsidR="00C93113" w:rsidRPr="00FA2341" w:rsidRDefault="00C93113" w:rsidP="00750703">
            <w:pPr>
              <w:pStyle w:val="Tabletext"/>
            </w:pPr>
            <w:r w:rsidRPr="00FA2341">
              <w:t>Romidepsin prices</w:t>
            </w:r>
            <w:r w:rsidR="00CD0FD8" w:rsidRPr="00FA2341">
              <w:t xml:space="preserve"> </w:t>
            </w:r>
            <w:r w:rsidRPr="00FA2341">
              <w:t xml:space="preserve">and cost </w:t>
            </w:r>
          </w:p>
        </w:tc>
        <w:tc>
          <w:tcPr>
            <w:tcW w:w="2270" w:type="pct"/>
            <w:vAlign w:val="center"/>
          </w:tcPr>
          <w:p w14:paraId="3A76810A" w14:textId="79E54AED" w:rsidR="00C93113" w:rsidRPr="00E270BC" w:rsidRDefault="00C93113" w:rsidP="00750703">
            <w:pPr>
              <w:pStyle w:val="Tabletext"/>
            </w:pPr>
            <w:r w:rsidRPr="00FA2341">
              <w:t>Ex</w:t>
            </w:r>
            <w:r w:rsidR="00750703">
              <w:noBreakHyphen/>
            </w:r>
            <w:r w:rsidRPr="00FA2341">
              <w:t xml:space="preserve">manufacturer price/10 </w:t>
            </w:r>
            <w:r w:rsidRPr="00E270BC">
              <w:t>mg vial: $1,282.05</w:t>
            </w:r>
          </w:p>
          <w:p w14:paraId="6F412EFA" w14:textId="77777777" w:rsidR="00C93113" w:rsidRPr="00E270BC" w:rsidRDefault="00C93113" w:rsidP="00750703">
            <w:pPr>
              <w:pStyle w:val="Tabletext"/>
            </w:pPr>
            <w:r w:rsidRPr="00E270BC">
              <w:t>MA</w:t>
            </w:r>
            <w:r w:rsidRPr="00E270BC">
              <w:tab/>
            </w:r>
            <w:r w:rsidRPr="00E270BC">
              <w:tab/>
            </w:r>
            <w:r w:rsidRPr="00E270BC">
              <w:tab/>
            </w:r>
            <w:r w:rsidRPr="00E270BC">
              <w:tab/>
              <w:t>4 vials</w:t>
            </w:r>
          </w:p>
          <w:p w14:paraId="32B41E90" w14:textId="77777777" w:rsidR="00C93113" w:rsidRPr="00E270BC" w:rsidRDefault="00C93113" w:rsidP="00750703">
            <w:pPr>
              <w:pStyle w:val="Tabletext"/>
            </w:pPr>
            <w:r w:rsidRPr="00E270BC">
              <w:t>DPMA (public hospital)</w:t>
            </w:r>
            <w:r w:rsidRPr="00E270BC">
              <w:tab/>
            </w:r>
            <w:r w:rsidRPr="00E270BC">
              <w:tab/>
              <w:t>$5,219.43</w:t>
            </w:r>
          </w:p>
          <w:p w14:paraId="430549D0" w14:textId="77777777" w:rsidR="00C93113" w:rsidRPr="00FA2341" w:rsidRDefault="00C93113" w:rsidP="00750703">
            <w:pPr>
              <w:pStyle w:val="Tabletext"/>
            </w:pPr>
            <w:r w:rsidRPr="00E270BC">
              <w:t>DPMA (private hospital)</w:t>
            </w:r>
            <w:r w:rsidRPr="00E270BC">
              <w:tab/>
            </w:r>
            <w:r w:rsidRPr="00E270BC">
              <w:tab/>
              <w:t>$5,336.90</w:t>
            </w:r>
          </w:p>
          <w:p w14:paraId="3CED7FB0" w14:textId="77777777" w:rsidR="00C93113" w:rsidRPr="00FA2341" w:rsidRDefault="00C93113" w:rsidP="00750703">
            <w:pPr>
              <w:pStyle w:val="Tabletext"/>
            </w:pPr>
          </w:p>
          <w:p w14:paraId="7E485594" w14:textId="21333C42" w:rsidR="00C93113" w:rsidRPr="00FA2341" w:rsidRDefault="00C93113" w:rsidP="00750703">
            <w:pPr>
              <w:pStyle w:val="Tabletext"/>
              <w:rPr>
                <w:vertAlign w:val="superscript"/>
              </w:rPr>
            </w:pPr>
            <w:r w:rsidRPr="00FA2341">
              <w:t>Average cost per script applied in UCM, BSA 1.8m</w:t>
            </w:r>
            <w:r w:rsidRPr="00FA2341">
              <w:rPr>
                <w:vertAlign w:val="superscript"/>
              </w:rPr>
              <w:t>2</w:t>
            </w:r>
          </w:p>
          <w:p w14:paraId="38081C62" w14:textId="77777777" w:rsidR="00C93113" w:rsidRPr="00FA2341" w:rsidRDefault="00C93113" w:rsidP="00750703">
            <w:pPr>
              <w:pStyle w:val="Tabletext"/>
            </w:pPr>
            <w:r w:rsidRPr="00FA2341">
              <w:t>Dose (mg) at 14 mg/m</w:t>
            </w:r>
            <w:r w:rsidRPr="00FA2341">
              <w:rPr>
                <w:vertAlign w:val="superscript"/>
              </w:rPr>
              <w:t>2</w:t>
            </w:r>
            <w:r w:rsidRPr="00FA2341">
              <w:t>*</w:t>
            </w:r>
            <w:r w:rsidRPr="00FA2341">
              <w:tab/>
            </w:r>
            <w:r w:rsidRPr="00FA2341">
              <w:tab/>
              <w:t>25.20</w:t>
            </w:r>
          </w:p>
          <w:p w14:paraId="2A359A9E" w14:textId="77777777" w:rsidR="00C93113" w:rsidRPr="00FA2341" w:rsidRDefault="00C93113" w:rsidP="00750703">
            <w:pPr>
              <w:pStyle w:val="Tabletext"/>
            </w:pPr>
            <w:r w:rsidRPr="00FA2341">
              <w:t>Vials</w:t>
            </w:r>
            <w:r w:rsidRPr="00FA2341">
              <w:tab/>
            </w:r>
            <w:r w:rsidRPr="00FA2341">
              <w:tab/>
            </w:r>
            <w:r w:rsidRPr="00FA2341">
              <w:tab/>
            </w:r>
            <w:r w:rsidRPr="00FA2341">
              <w:tab/>
              <w:t>2.52</w:t>
            </w:r>
          </w:p>
          <w:p w14:paraId="65797005" w14:textId="77777777" w:rsidR="00C93113" w:rsidRPr="00CA7123" w:rsidRDefault="00C93113" w:rsidP="00750703">
            <w:pPr>
              <w:pStyle w:val="Tabletext"/>
            </w:pPr>
            <w:r w:rsidRPr="00FA2341">
              <w:t>EFC rounding</w:t>
            </w:r>
            <w:r w:rsidRPr="00FA2341">
              <w:tab/>
            </w:r>
            <w:r w:rsidRPr="00FA2341">
              <w:tab/>
            </w:r>
            <w:r w:rsidRPr="00FA2341">
              <w:tab/>
            </w:r>
            <w:r w:rsidRPr="00CA7123">
              <w:t>3 vials</w:t>
            </w:r>
          </w:p>
          <w:p w14:paraId="7ECB5ABC" w14:textId="3A25D186" w:rsidR="00C93113" w:rsidRPr="00CA7123" w:rsidRDefault="00C93113" w:rsidP="00750703">
            <w:pPr>
              <w:pStyle w:val="Tabletext"/>
            </w:pPr>
            <w:r w:rsidRPr="00CA7123">
              <w:t>DP</w:t>
            </w:r>
            <w:r w:rsidR="00774796" w:rsidRPr="00CA7123">
              <w:t>MA</w:t>
            </w:r>
            <w:r w:rsidRPr="00CA7123">
              <w:t xml:space="preserve"> (public hospital)</w:t>
            </w:r>
            <w:r w:rsidRPr="00CA7123">
              <w:tab/>
            </w:r>
            <w:r w:rsidR="00750703" w:rsidRPr="00CA7123">
              <w:t xml:space="preserve">       </w:t>
            </w:r>
            <w:r w:rsidR="007614A3" w:rsidRPr="00CA7123">
              <w:t xml:space="preserve"> </w:t>
            </w:r>
            <w:r w:rsidRPr="00CA7123">
              <w:t>$3,</w:t>
            </w:r>
            <w:r w:rsidR="003F3FE4" w:rsidRPr="00CA7123">
              <w:t>937.38</w:t>
            </w:r>
          </w:p>
          <w:p w14:paraId="0A46F748" w14:textId="18B01A43" w:rsidR="00C93113" w:rsidRPr="00FA2341" w:rsidRDefault="00C93113" w:rsidP="00750703">
            <w:pPr>
              <w:pStyle w:val="Tabletext"/>
            </w:pPr>
            <w:r w:rsidRPr="00CA7123">
              <w:t>DP</w:t>
            </w:r>
            <w:r w:rsidR="00774796" w:rsidRPr="00CA7123">
              <w:t>MA</w:t>
            </w:r>
            <w:r w:rsidRPr="00CA7123">
              <w:t xml:space="preserve"> (private hospital)</w:t>
            </w:r>
            <w:r w:rsidRPr="00CA7123">
              <w:tab/>
            </w:r>
            <w:r w:rsidR="00750703" w:rsidRPr="00CA7123">
              <w:t xml:space="preserve">       </w:t>
            </w:r>
            <w:r w:rsidR="007614A3" w:rsidRPr="00CA7123">
              <w:t xml:space="preserve"> </w:t>
            </w:r>
            <w:r w:rsidRPr="00CA7123">
              <w:t>$</w:t>
            </w:r>
            <w:r w:rsidR="003F3FE4" w:rsidRPr="00CA7123">
              <w:t>4,036.90</w:t>
            </w:r>
          </w:p>
        </w:tc>
        <w:tc>
          <w:tcPr>
            <w:tcW w:w="1780" w:type="pct"/>
            <w:vAlign w:val="center"/>
          </w:tcPr>
          <w:p w14:paraId="50EF3335" w14:textId="77777777" w:rsidR="00C93113" w:rsidRPr="00FA2341" w:rsidRDefault="00C93113" w:rsidP="00750703">
            <w:pPr>
              <w:pStyle w:val="Tabletext"/>
            </w:pPr>
          </w:p>
          <w:p w14:paraId="2ECE93A8" w14:textId="77777777" w:rsidR="004F0952" w:rsidRPr="00FA2341" w:rsidRDefault="004F0952" w:rsidP="00750703">
            <w:pPr>
              <w:pStyle w:val="Tabletext"/>
            </w:pPr>
          </w:p>
          <w:p w14:paraId="7AE29338" w14:textId="77777777" w:rsidR="004F0952" w:rsidRPr="00FA2341" w:rsidRDefault="004F0952" w:rsidP="00750703">
            <w:pPr>
              <w:pStyle w:val="Tabletext"/>
            </w:pPr>
          </w:p>
          <w:p w14:paraId="76F2D4DB" w14:textId="77777777" w:rsidR="004F0952" w:rsidRPr="00FA2341" w:rsidRDefault="004F0952" w:rsidP="00750703">
            <w:pPr>
              <w:pStyle w:val="Tabletext"/>
            </w:pPr>
          </w:p>
          <w:p w14:paraId="3C1F64D1" w14:textId="77777777" w:rsidR="004F0952" w:rsidRPr="00FA2341" w:rsidRDefault="004F0952" w:rsidP="00750703">
            <w:pPr>
              <w:pStyle w:val="Tabletext"/>
            </w:pPr>
          </w:p>
          <w:p w14:paraId="33A6F924" w14:textId="77777777" w:rsidR="004F0952" w:rsidRPr="00FA2341" w:rsidRDefault="004F0952" w:rsidP="00750703">
            <w:pPr>
              <w:pStyle w:val="Tabletext"/>
            </w:pPr>
          </w:p>
          <w:p w14:paraId="16FBD17F" w14:textId="77777777" w:rsidR="004F0952" w:rsidRPr="00FA2341" w:rsidRDefault="004F0952" w:rsidP="00750703">
            <w:pPr>
              <w:pStyle w:val="Tabletext"/>
            </w:pPr>
          </w:p>
          <w:p w14:paraId="5BE72DE9" w14:textId="77777777" w:rsidR="004F0952" w:rsidRPr="00FA2341" w:rsidRDefault="004F0952" w:rsidP="00750703">
            <w:pPr>
              <w:pStyle w:val="Tabletext"/>
            </w:pPr>
          </w:p>
          <w:p w14:paraId="5F893017" w14:textId="09C81C44" w:rsidR="004F0952" w:rsidRPr="00FA2341" w:rsidRDefault="004F0952" w:rsidP="00750703">
            <w:pPr>
              <w:pStyle w:val="Tabletext"/>
            </w:pPr>
          </w:p>
        </w:tc>
      </w:tr>
      <w:tr w:rsidR="00C93113" w:rsidRPr="00FA2341" w14:paraId="206CC016" w14:textId="77777777" w:rsidTr="009C3A3A">
        <w:tc>
          <w:tcPr>
            <w:tcW w:w="950" w:type="pct"/>
            <w:vAlign w:val="center"/>
          </w:tcPr>
          <w:p w14:paraId="26442D2A" w14:textId="42F2264E" w:rsidR="00C93113" w:rsidRPr="00FA2341" w:rsidRDefault="00C93113" w:rsidP="00750703">
            <w:pPr>
              <w:pStyle w:val="Tabletext"/>
            </w:pPr>
            <w:r w:rsidRPr="00FA2341">
              <w:t>Pralatrexate prices and costs</w:t>
            </w:r>
          </w:p>
        </w:tc>
        <w:tc>
          <w:tcPr>
            <w:tcW w:w="2270" w:type="pct"/>
            <w:vAlign w:val="center"/>
          </w:tcPr>
          <w:p w14:paraId="6C3F1709" w14:textId="5F028BDC" w:rsidR="00C93113" w:rsidRPr="00FA2341" w:rsidRDefault="00C93113" w:rsidP="00750703">
            <w:pPr>
              <w:pStyle w:val="Tabletext"/>
            </w:pPr>
            <w:r w:rsidRPr="00FA2341">
              <w:t>Ex</w:t>
            </w:r>
            <w:r w:rsidR="00750703">
              <w:noBreakHyphen/>
            </w:r>
            <w:r w:rsidRPr="00FA2341">
              <w:t>manufacturer price/20 mg vial: $1,035.50</w:t>
            </w:r>
          </w:p>
          <w:p w14:paraId="4B63AD0E" w14:textId="77777777" w:rsidR="00C93113" w:rsidRPr="00FA2341" w:rsidRDefault="00C93113" w:rsidP="00750703">
            <w:pPr>
              <w:pStyle w:val="Tabletext"/>
            </w:pPr>
            <w:r w:rsidRPr="00FA2341">
              <w:t>MA</w:t>
            </w:r>
            <w:r w:rsidRPr="00FA2341">
              <w:tab/>
            </w:r>
            <w:r w:rsidRPr="00FA2341">
              <w:tab/>
            </w:r>
            <w:r w:rsidRPr="00FA2341">
              <w:tab/>
            </w:r>
            <w:r w:rsidRPr="00FA2341">
              <w:tab/>
              <w:t>4 vials</w:t>
            </w:r>
          </w:p>
          <w:p w14:paraId="49F2C46F" w14:textId="77777777" w:rsidR="00C93113" w:rsidRPr="00FA2341" w:rsidRDefault="00C93113" w:rsidP="00750703">
            <w:pPr>
              <w:pStyle w:val="Tabletext"/>
            </w:pPr>
            <w:r w:rsidRPr="00FA2341">
              <w:t>DPMA (public hospital)</w:t>
            </w:r>
            <w:r w:rsidRPr="00FA2341">
              <w:tab/>
            </w:r>
            <w:r w:rsidRPr="00FA2341">
              <w:tab/>
              <w:t>$4,233.23</w:t>
            </w:r>
          </w:p>
          <w:p w14:paraId="0166A1B5" w14:textId="77777777" w:rsidR="00C93113" w:rsidRPr="00FA2341" w:rsidRDefault="00C93113" w:rsidP="00750703">
            <w:pPr>
              <w:pStyle w:val="Tabletext"/>
            </w:pPr>
            <w:r w:rsidRPr="00FA2341">
              <w:t>DPMA (private hospital)</w:t>
            </w:r>
            <w:r w:rsidRPr="00FA2341">
              <w:tab/>
            </w:r>
            <w:r w:rsidRPr="00FA2341">
              <w:tab/>
              <w:t>$4,336.90</w:t>
            </w:r>
          </w:p>
          <w:p w14:paraId="595645E3" w14:textId="77777777" w:rsidR="00C93113" w:rsidRPr="00FA2341" w:rsidRDefault="00C93113" w:rsidP="00750703">
            <w:pPr>
              <w:pStyle w:val="Tabletext"/>
            </w:pPr>
          </w:p>
          <w:p w14:paraId="5DC40AF4" w14:textId="6342041C" w:rsidR="00C93113" w:rsidRPr="00FA2341" w:rsidRDefault="00C93113" w:rsidP="00750703">
            <w:pPr>
              <w:pStyle w:val="Tabletext"/>
              <w:rPr>
                <w:vertAlign w:val="superscript"/>
              </w:rPr>
            </w:pPr>
            <w:r w:rsidRPr="00FA2341">
              <w:t>Average cost per script applied in UCM, BSA 1.8m</w:t>
            </w:r>
            <w:r w:rsidRPr="00FA2341">
              <w:rPr>
                <w:vertAlign w:val="superscript"/>
              </w:rPr>
              <w:t>2</w:t>
            </w:r>
          </w:p>
          <w:p w14:paraId="44E510C0" w14:textId="5CF11C3E" w:rsidR="00C93113" w:rsidRPr="00FA2341" w:rsidRDefault="00C93113" w:rsidP="00750703">
            <w:pPr>
              <w:pStyle w:val="Tabletext"/>
            </w:pPr>
            <w:r w:rsidRPr="00FA2341">
              <w:t>Dose (mg) at 30 mg/ m</w:t>
            </w:r>
            <w:r w:rsidRPr="00FA2341">
              <w:rPr>
                <w:vertAlign w:val="superscript"/>
              </w:rPr>
              <w:t>2</w:t>
            </w:r>
            <w:r w:rsidRPr="00FA2341">
              <w:tab/>
            </w:r>
            <w:r w:rsidRPr="00FA2341">
              <w:tab/>
              <w:t>54.00</w:t>
            </w:r>
          </w:p>
          <w:p w14:paraId="22C074FC" w14:textId="77777777" w:rsidR="00C93113" w:rsidRPr="00FA2341" w:rsidRDefault="00C93113" w:rsidP="00750703">
            <w:pPr>
              <w:pStyle w:val="Tabletext"/>
            </w:pPr>
            <w:r w:rsidRPr="00FA2341">
              <w:t>Vials</w:t>
            </w:r>
            <w:r w:rsidRPr="00FA2341">
              <w:tab/>
            </w:r>
            <w:r w:rsidRPr="00FA2341">
              <w:tab/>
            </w:r>
            <w:r w:rsidRPr="00FA2341">
              <w:tab/>
            </w:r>
            <w:r w:rsidRPr="00FA2341">
              <w:tab/>
              <w:t>2.70</w:t>
            </w:r>
          </w:p>
          <w:p w14:paraId="4C54BC37" w14:textId="77777777" w:rsidR="00C93113" w:rsidRPr="00FA2341" w:rsidRDefault="00C93113" w:rsidP="00750703">
            <w:pPr>
              <w:pStyle w:val="Tabletext"/>
            </w:pPr>
            <w:r w:rsidRPr="00FA2341">
              <w:t>EFC rounding</w:t>
            </w:r>
            <w:r w:rsidRPr="00FA2341">
              <w:tab/>
            </w:r>
            <w:r w:rsidRPr="00FA2341">
              <w:tab/>
            </w:r>
            <w:r w:rsidRPr="00FA2341">
              <w:tab/>
              <w:t>3</w:t>
            </w:r>
          </w:p>
          <w:p w14:paraId="69C56D8F" w14:textId="1A4747D9" w:rsidR="00C93113" w:rsidRPr="00FA2341" w:rsidRDefault="00C93113" w:rsidP="00750703">
            <w:pPr>
              <w:pStyle w:val="Tabletext"/>
            </w:pPr>
            <w:r w:rsidRPr="00FA2341">
              <w:t>DP (public hospital)</w:t>
            </w:r>
            <w:r w:rsidRPr="00FA2341">
              <w:tab/>
            </w:r>
            <w:r w:rsidRPr="00FA2341">
              <w:tab/>
            </w:r>
            <w:r w:rsidR="00750703">
              <w:t xml:space="preserve">        </w:t>
            </w:r>
            <w:r w:rsidRPr="00FA2341">
              <w:t>$3,197.73</w:t>
            </w:r>
          </w:p>
          <w:p w14:paraId="208567C5" w14:textId="5608F026" w:rsidR="00C93113" w:rsidRPr="00FA2341" w:rsidRDefault="00C93113" w:rsidP="00750703">
            <w:pPr>
              <w:pStyle w:val="Tabletext"/>
            </w:pPr>
            <w:r w:rsidRPr="00FA2341">
              <w:t>DP (private hospital)</w:t>
            </w:r>
            <w:r w:rsidRPr="00FA2341">
              <w:tab/>
            </w:r>
            <w:r w:rsidRPr="00FA2341">
              <w:tab/>
              <w:t>$3,286.90</w:t>
            </w:r>
          </w:p>
        </w:tc>
        <w:tc>
          <w:tcPr>
            <w:tcW w:w="1780" w:type="pct"/>
            <w:vAlign w:val="center"/>
          </w:tcPr>
          <w:p w14:paraId="38EABD4B" w14:textId="5FDCB6DE" w:rsidR="00C93113" w:rsidRPr="00FA2341" w:rsidRDefault="005B44DA" w:rsidP="00750703">
            <w:pPr>
              <w:pStyle w:val="Tabletext"/>
            </w:pPr>
            <w:r w:rsidRPr="00FA2341">
              <w:t>Reasonable</w:t>
            </w:r>
          </w:p>
        </w:tc>
      </w:tr>
      <w:tr w:rsidR="00B8338C" w:rsidRPr="00FA2341" w14:paraId="7BDBB58C" w14:textId="77777777" w:rsidTr="009C3A3A">
        <w:tc>
          <w:tcPr>
            <w:tcW w:w="950" w:type="pct"/>
            <w:vAlign w:val="center"/>
          </w:tcPr>
          <w:p w14:paraId="33743073" w14:textId="264054B1" w:rsidR="00B8338C" w:rsidRPr="00FA2341" w:rsidRDefault="00B8338C" w:rsidP="00750703">
            <w:pPr>
              <w:pStyle w:val="Tabletext"/>
            </w:pPr>
            <w:r w:rsidRPr="00FA2341">
              <w:t xml:space="preserve">Market growth </w:t>
            </w:r>
          </w:p>
        </w:tc>
        <w:tc>
          <w:tcPr>
            <w:tcW w:w="2270" w:type="pct"/>
            <w:vAlign w:val="center"/>
          </w:tcPr>
          <w:p w14:paraId="36B3F465" w14:textId="7980F755" w:rsidR="00B8338C" w:rsidRPr="00FA2341" w:rsidRDefault="00B8338C" w:rsidP="00750703">
            <w:pPr>
              <w:pStyle w:val="Tabletext"/>
            </w:pPr>
            <w:r w:rsidRPr="00FA2341">
              <w:t>Average 4% per annum derived from PBS service volumes for pralatrexate 2019</w:t>
            </w:r>
            <w:r w:rsidR="00750703">
              <w:noBreakHyphen/>
            </w:r>
            <w:r w:rsidRPr="00FA2341">
              <w:t>2025</w:t>
            </w:r>
          </w:p>
          <w:p w14:paraId="6D1428C5" w14:textId="77777777" w:rsidR="005B44DA" w:rsidRPr="00FA2341" w:rsidRDefault="005B44DA" w:rsidP="00750703">
            <w:pPr>
              <w:pStyle w:val="Tabletext"/>
            </w:pPr>
          </w:p>
          <w:tbl>
            <w:tblPr>
              <w:tblStyle w:val="TableGrid"/>
              <w:tblW w:w="0" w:type="auto"/>
              <w:tblLook w:val="04A0" w:firstRow="1" w:lastRow="0" w:firstColumn="1" w:lastColumn="0" w:noHBand="0" w:noVBand="1"/>
            </w:tblPr>
            <w:tblGrid>
              <w:gridCol w:w="1342"/>
              <w:gridCol w:w="1343"/>
              <w:gridCol w:w="1343"/>
            </w:tblGrid>
            <w:tr w:rsidR="005B44DA" w:rsidRPr="00FA2341" w14:paraId="4DF35EB9" w14:textId="77777777">
              <w:tc>
                <w:tcPr>
                  <w:tcW w:w="1342" w:type="dxa"/>
                </w:tcPr>
                <w:p w14:paraId="09A6D7A4" w14:textId="77777777" w:rsidR="005B44DA" w:rsidRPr="00FA2341" w:rsidRDefault="005B44DA" w:rsidP="00750703">
                  <w:pPr>
                    <w:pStyle w:val="Tabletext"/>
                  </w:pPr>
                  <w:r w:rsidRPr="00FA2341">
                    <w:t>Financial year</w:t>
                  </w:r>
                </w:p>
              </w:tc>
              <w:tc>
                <w:tcPr>
                  <w:tcW w:w="1343" w:type="dxa"/>
                </w:tcPr>
                <w:p w14:paraId="60AB5BFC" w14:textId="77777777" w:rsidR="005B44DA" w:rsidRPr="00FA2341" w:rsidRDefault="005B44DA" w:rsidP="00750703">
                  <w:pPr>
                    <w:pStyle w:val="Tabletext"/>
                  </w:pPr>
                  <w:r w:rsidRPr="00FA2341">
                    <w:t>Total services</w:t>
                  </w:r>
                </w:p>
              </w:tc>
              <w:tc>
                <w:tcPr>
                  <w:tcW w:w="1343" w:type="dxa"/>
                </w:tcPr>
                <w:p w14:paraId="28F4AF3C" w14:textId="47E8A950" w:rsidR="005B44DA" w:rsidRPr="00FA2341" w:rsidRDefault="005C400E" w:rsidP="00750703">
                  <w:pPr>
                    <w:pStyle w:val="Tabletext"/>
                  </w:pPr>
                  <w:r w:rsidRPr="00FA2341">
                    <w:t>G</w:t>
                  </w:r>
                  <w:r w:rsidR="005B44DA" w:rsidRPr="00FA2341">
                    <w:t>rowth</w:t>
                  </w:r>
                </w:p>
              </w:tc>
            </w:tr>
            <w:tr w:rsidR="005B44DA" w:rsidRPr="00FA2341" w14:paraId="03F02F1B" w14:textId="77777777">
              <w:tc>
                <w:tcPr>
                  <w:tcW w:w="1342" w:type="dxa"/>
                </w:tcPr>
                <w:p w14:paraId="0C85B574" w14:textId="77777777" w:rsidR="005B44DA" w:rsidRPr="00FA2341" w:rsidRDefault="005B44DA" w:rsidP="00750703">
                  <w:pPr>
                    <w:pStyle w:val="Tabletext"/>
                  </w:pPr>
                  <w:r w:rsidRPr="00FA2341">
                    <w:t>2019/2020</w:t>
                  </w:r>
                </w:p>
              </w:tc>
              <w:tc>
                <w:tcPr>
                  <w:tcW w:w="1343" w:type="dxa"/>
                </w:tcPr>
                <w:p w14:paraId="008ED93E" w14:textId="77777777" w:rsidR="005B44DA" w:rsidRPr="00FA2341" w:rsidRDefault="005B44DA" w:rsidP="00750703">
                  <w:pPr>
                    <w:pStyle w:val="Tabletext"/>
                  </w:pPr>
                  <w:r w:rsidRPr="00FA2341">
                    <w:t>908</w:t>
                  </w:r>
                </w:p>
              </w:tc>
              <w:tc>
                <w:tcPr>
                  <w:tcW w:w="1343" w:type="dxa"/>
                </w:tcPr>
                <w:p w14:paraId="0330D88C" w14:textId="29C71E61" w:rsidR="005B44DA" w:rsidRPr="00FA2341" w:rsidRDefault="00750703" w:rsidP="00750703">
                  <w:pPr>
                    <w:pStyle w:val="Tabletext"/>
                  </w:pPr>
                  <w:r>
                    <w:noBreakHyphen/>
                  </w:r>
                </w:p>
              </w:tc>
            </w:tr>
            <w:tr w:rsidR="005B44DA" w:rsidRPr="00FA2341" w14:paraId="0DAC2F07" w14:textId="77777777">
              <w:tc>
                <w:tcPr>
                  <w:tcW w:w="1342" w:type="dxa"/>
                </w:tcPr>
                <w:p w14:paraId="304BDF49" w14:textId="77777777" w:rsidR="005B44DA" w:rsidRPr="00FA2341" w:rsidRDefault="005B44DA" w:rsidP="00750703">
                  <w:pPr>
                    <w:pStyle w:val="Tabletext"/>
                  </w:pPr>
                  <w:r w:rsidRPr="00FA2341">
                    <w:t>2020/2021</w:t>
                  </w:r>
                </w:p>
              </w:tc>
              <w:tc>
                <w:tcPr>
                  <w:tcW w:w="1343" w:type="dxa"/>
                </w:tcPr>
                <w:p w14:paraId="69C1AEC2" w14:textId="77777777" w:rsidR="005B44DA" w:rsidRPr="00FA2341" w:rsidRDefault="005B44DA" w:rsidP="00750703">
                  <w:pPr>
                    <w:pStyle w:val="Tabletext"/>
                  </w:pPr>
                  <w:r w:rsidRPr="00FA2341">
                    <w:t>794</w:t>
                  </w:r>
                </w:p>
              </w:tc>
              <w:tc>
                <w:tcPr>
                  <w:tcW w:w="1343" w:type="dxa"/>
                </w:tcPr>
                <w:p w14:paraId="465A34E6" w14:textId="33120E62" w:rsidR="005B44DA" w:rsidRPr="00FA2341" w:rsidRDefault="00750703" w:rsidP="00750703">
                  <w:pPr>
                    <w:pStyle w:val="Tabletext"/>
                  </w:pPr>
                  <w:r>
                    <w:noBreakHyphen/>
                  </w:r>
                  <w:r w:rsidR="005B44DA" w:rsidRPr="00FA2341">
                    <w:t>13%</w:t>
                  </w:r>
                </w:p>
              </w:tc>
            </w:tr>
            <w:tr w:rsidR="005B44DA" w:rsidRPr="00FA2341" w14:paraId="372006CB" w14:textId="77777777">
              <w:tc>
                <w:tcPr>
                  <w:tcW w:w="1342" w:type="dxa"/>
                </w:tcPr>
                <w:p w14:paraId="2194E05C" w14:textId="77777777" w:rsidR="005B44DA" w:rsidRPr="00FA2341" w:rsidRDefault="005B44DA" w:rsidP="00750703">
                  <w:pPr>
                    <w:pStyle w:val="Tabletext"/>
                  </w:pPr>
                  <w:r w:rsidRPr="00FA2341">
                    <w:t>2021/2022</w:t>
                  </w:r>
                </w:p>
              </w:tc>
              <w:tc>
                <w:tcPr>
                  <w:tcW w:w="1343" w:type="dxa"/>
                </w:tcPr>
                <w:p w14:paraId="676FE177" w14:textId="77777777" w:rsidR="005B44DA" w:rsidRPr="00FA2341" w:rsidRDefault="005B44DA" w:rsidP="00750703">
                  <w:pPr>
                    <w:pStyle w:val="Tabletext"/>
                  </w:pPr>
                  <w:r w:rsidRPr="00FA2341">
                    <w:t>830</w:t>
                  </w:r>
                </w:p>
              </w:tc>
              <w:tc>
                <w:tcPr>
                  <w:tcW w:w="1343" w:type="dxa"/>
                </w:tcPr>
                <w:p w14:paraId="4A298D56" w14:textId="77777777" w:rsidR="005B44DA" w:rsidRPr="00FA2341" w:rsidRDefault="005B44DA" w:rsidP="00750703">
                  <w:pPr>
                    <w:pStyle w:val="Tabletext"/>
                  </w:pPr>
                  <w:r w:rsidRPr="00FA2341">
                    <w:t>5%</w:t>
                  </w:r>
                </w:p>
              </w:tc>
            </w:tr>
            <w:tr w:rsidR="005B44DA" w:rsidRPr="00FA2341" w14:paraId="08AA4422" w14:textId="77777777">
              <w:tc>
                <w:tcPr>
                  <w:tcW w:w="1342" w:type="dxa"/>
                </w:tcPr>
                <w:p w14:paraId="62B15876" w14:textId="77777777" w:rsidR="005B44DA" w:rsidRPr="00FA2341" w:rsidRDefault="005B44DA" w:rsidP="00750703">
                  <w:pPr>
                    <w:pStyle w:val="Tabletext"/>
                  </w:pPr>
                  <w:r w:rsidRPr="00FA2341">
                    <w:t>2022/2023</w:t>
                  </w:r>
                </w:p>
              </w:tc>
              <w:tc>
                <w:tcPr>
                  <w:tcW w:w="1343" w:type="dxa"/>
                </w:tcPr>
                <w:p w14:paraId="489B81FB" w14:textId="77777777" w:rsidR="005B44DA" w:rsidRPr="00FA2341" w:rsidRDefault="005B44DA" w:rsidP="00750703">
                  <w:pPr>
                    <w:pStyle w:val="Tabletext"/>
                  </w:pPr>
                  <w:r w:rsidRPr="00FA2341">
                    <w:t>907</w:t>
                  </w:r>
                </w:p>
              </w:tc>
              <w:tc>
                <w:tcPr>
                  <w:tcW w:w="1343" w:type="dxa"/>
                </w:tcPr>
                <w:p w14:paraId="10D64F3B" w14:textId="77777777" w:rsidR="005B44DA" w:rsidRPr="00FA2341" w:rsidRDefault="005B44DA" w:rsidP="00750703">
                  <w:pPr>
                    <w:pStyle w:val="Tabletext"/>
                  </w:pPr>
                  <w:r w:rsidRPr="00FA2341">
                    <w:t>9%</w:t>
                  </w:r>
                </w:p>
              </w:tc>
            </w:tr>
            <w:tr w:rsidR="005B44DA" w:rsidRPr="00FA2341" w14:paraId="61FF6C8C" w14:textId="77777777">
              <w:tc>
                <w:tcPr>
                  <w:tcW w:w="1342" w:type="dxa"/>
                </w:tcPr>
                <w:p w14:paraId="07047A96" w14:textId="77777777" w:rsidR="005B44DA" w:rsidRPr="00FA2341" w:rsidRDefault="005B44DA" w:rsidP="00750703">
                  <w:pPr>
                    <w:pStyle w:val="Tabletext"/>
                  </w:pPr>
                  <w:r w:rsidRPr="00FA2341">
                    <w:t>2023/2024</w:t>
                  </w:r>
                </w:p>
              </w:tc>
              <w:tc>
                <w:tcPr>
                  <w:tcW w:w="1343" w:type="dxa"/>
                </w:tcPr>
                <w:p w14:paraId="51DF82BD" w14:textId="77777777" w:rsidR="005B44DA" w:rsidRPr="00FA2341" w:rsidRDefault="005B44DA" w:rsidP="00750703">
                  <w:pPr>
                    <w:pStyle w:val="Tabletext"/>
                  </w:pPr>
                  <w:r w:rsidRPr="00FA2341">
                    <w:t>746</w:t>
                  </w:r>
                </w:p>
              </w:tc>
              <w:tc>
                <w:tcPr>
                  <w:tcW w:w="1343" w:type="dxa"/>
                </w:tcPr>
                <w:p w14:paraId="06A779FC" w14:textId="65E412AA" w:rsidR="005B44DA" w:rsidRPr="00FA2341" w:rsidRDefault="00750703" w:rsidP="00750703">
                  <w:pPr>
                    <w:pStyle w:val="Tabletext"/>
                  </w:pPr>
                  <w:r>
                    <w:noBreakHyphen/>
                  </w:r>
                  <w:r w:rsidR="005B44DA" w:rsidRPr="00FA2341">
                    <w:t>18%</w:t>
                  </w:r>
                </w:p>
              </w:tc>
            </w:tr>
            <w:tr w:rsidR="005B44DA" w:rsidRPr="00FA2341" w14:paraId="2877CD2E" w14:textId="77777777">
              <w:tc>
                <w:tcPr>
                  <w:tcW w:w="1342" w:type="dxa"/>
                </w:tcPr>
                <w:p w14:paraId="1EF412F3" w14:textId="77777777" w:rsidR="005B44DA" w:rsidRPr="00FA2341" w:rsidRDefault="005B44DA" w:rsidP="00750703">
                  <w:pPr>
                    <w:pStyle w:val="Tabletext"/>
                  </w:pPr>
                  <w:r w:rsidRPr="00FA2341">
                    <w:t>2024/2025</w:t>
                  </w:r>
                </w:p>
              </w:tc>
              <w:tc>
                <w:tcPr>
                  <w:tcW w:w="1343" w:type="dxa"/>
                </w:tcPr>
                <w:p w14:paraId="1487B0D3" w14:textId="77777777" w:rsidR="005B44DA" w:rsidRPr="00FA2341" w:rsidRDefault="005B44DA" w:rsidP="00750703">
                  <w:pPr>
                    <w:pStyle w:val="Tabletext"/>
                  </w:pPr>
                  <w:r w:rsidRPr="00FA2341">
                    <w:t>1006</w:t>
                  </w:r>
                </w:p>
              </w:tc>
              <w:tc>
                <w:tcPr>
                  <w:tcW w:w="1343" w:type="dxa"/>
                </w:tcPr>
                <w:p w14:paraId="34973923" w14:textId="77777777" w:rsidR="005B44DA" w:rsidRPr="00FA2341" w:rsidRDefault="005B44DA" w:rsidP="00750703">
                  <w:pPr>
                    <w:pStyle w:val="Tabletext"/>
                  </w:pPr>
                  <w:r w:rsidRPr="00FA2341">
                    <w:t>35%</w:t>
                  </w:r>
                </w:p>
              </w:tc>
            </w:tr>
          </w:tbl>
          <w:p w14:paraId="0B737F07" w14:textId="576D66AA" w:rsidR="005B44DA" w:rsidRPr="00FA2341" w:rsidRDefault="005B44DA" w:rsidP="00750703">
            <w:pPr>
              <w:pStyle w:val="Tabletext"/>
            </w:pPr>
          </w:p>
        </w:tc>
        <w:tc>
          <w:tcPr>
            <w:tcW w:w="1780" w:type="pct"/>
            <w:vAlign w:val="center"/>
          </w:tcPr>
          <w:p w14:paraId="6A9925C4" w14:textId="223084E4" w:rsidR="00F443A3" w:rsidRPr="00FA2341" w:rsidRDefault="00FD5359" w:rsidP="00750703">
            <w:pPr>
              <w:pStyle w:val="Tabletext"/>
            </w:pPr>
            <w:r w:rsidRPr="00FA2341">
              <w:t xml:space="preserve">The ESC considered that the </w:t>
            </w:r>
            <w:r w:rsidR="00BE255D" w:rsidRPr="00FA2341">
              <w:t>size of the combined market for romidepsin and pralatrexate would increase</w:t>
            </w:r>
            <w:r w:rsidR="00275A97" w:rsidRPr="00FA2341">
              <w:t xml:space="preserve"> with the availability of romidepsin.</w:t>
            </w:r>
          </w:p>
          <w:p w14:paraId="14F017B7" w14:textId="77777777" w:rsidR="00DD0BD4" w:rsidRPr="00FA2341" w:rsidRDefault="00DD0BD4" w:rsidP="00750703">
            <w:pPr>
              <w:pStyle w:val="Tabletext"/>
            </w:pPr>
          </w:p>
          <w:p w14:paraId="7A9C3EFD" w14:textId="6CBEADC8" w:rsidR="00DD0BD4" w:rsidRPr="00FA2341" w:rsidRDefault="00DD0BD4" w:rsidP="00750703">
            <w:pPr>
              <w:pStyle w:val="Tabletext"/>
            </w:pPr>
            <w:r w:rsidRPr="00FA2341">
              <w:t>The ESC considered that romidepsin</w:t>
            </w:r>
            <w:r w:rsidR="00EF2577" w:rsidRPr="00FA2341">
              <w:t xml:space="preserve"> and pralatrexate could be used sequentially in some patients</w:t>
            </w:r>
            <w:r w:rsidR="00143149" w:rsidRPr="00FA2341">
              <w:t>.</w:t>
            </w:r>
            <w:r w:rsidR="00750703">
              <w:t xml:space="preserve"> </w:t>
            </w:r>
          </w:p>
          <w:p w14:paraId="68DCDB73" w14:textId="5C2172D5" w:rsidR="00F443A3" w:rsidRPr="00FA2341" w:rsidRDefault="00F443A3" w:rsidP="00750703">
            <w:pPr>
              <w:pStyle w:val="Tabletext"/>
            </w:pPr>
          </w:p>
        </w:tc>
      </w:tr>
      <w:tr w:rsidR="00C93113" w:rsidRPr="00FA2341" w14:paraId="376E72D4" w14:textId="77777777" w:rsidTr="009C3A3A">
        <w:tc>
          <w:tcPr>
            <w:tcW w:w="950" w:type="pct"/>
            <w:vAlign w:val="center"/>
          </w:tcPr>
          <w:p w14:paraId="4C1289C4" w14:textId="21BD40F2" w:rsidR="00C93113" w:rsidRPr="00FA2341" w:rsidRDefault="00C93113" w:rsidP="00750703">
            <w:pPr>
              <w:pStyle w:val="Tabletext"/>
            </w:pPr>
            <w:r w:rsidRPr="00FA2341">
              <w:t>Predicted market share for romidepsin</w:t>
            </w:r>
          </w:p>
        </w:tc>
        <w:tc>
          <w:tcPr>
            <w:tcW w:w="2270" w:type="pct"/>
            <w:vAlign w:val="center"/>
          </w:tcPr>
          <w:p w14:paraId="3B23D26D" w14:textId="4D8A47D1" w:rsidR="00C93113" w:rsidRPr="00FA2341" w:rsidRDefault="00C93113" w:rsidP="00750703">
            <w:pPr>
              <w:pStyle w:val="Tabletext"/>
            </w:pPr>
            <w:r w:rsidRPr="00FA2341">
              <w:t>Sponsor assumption</w:t>
            </w:r>
            <w:r w:rsidR="00B8338C" w:rsidRPr="00FA2341">
              <w:t xml:space="preserve"> based on international market </w:t>
            </w:r>
          </w:p>
          <w:p w14:paraId="7E3C0CF3" w14:textId="7D63E733" w:rsidR="00C93113" w:rsidRPr="00FA2341" w:rsidRDefault="00A348E5" w:rsidP="00750703">
            <w:pPr>
              <w:pStyle w:val="Tabletext"/>
            </w:pPr>
            <w:r>
              <w:t xml:space="preserve">20% in year 2026 and 35% in years 2027 </w:t>
            </w:r>
            <w:r w:rsidR="00750703">
              <w:noBreakHyphen/>
            </w:r>
            <w:r>
              <w:t xml:space="preserve"> 2031</w:t>
            </w:r>
          </w:p>
        </w:tc>
        <w:tc>
          <w:tcPr>
            <w:tcW w:w="1780" w:type="pct"/>
            <w:vAlign w:val="center"/>
          </w:tcPr>
          <w:p w14:paraId="60C9C3EE" w14:textId="28D55190" w:rsidR="00C93113" w:rsidRPr="00FA2341" w:rsidRDefault="00C93113" w:rsidP="00750703">
            <w:pPr>
              <w:pStyle w:val="Tabletext"/>
            </w:pPr>
          </w:p>
        </w:tc>
      </w:tr>
      <w:tr w:rsidR="00B8338C" w:rsidRPr="00FA2341" w14:paraId="2C7B0991" w14:textId="77777777" w:rsidTr="009C3A3A">
        <w:tc>
          <w:tcPr>
            <w:tcW w:w="950" w:type="pct"/>
            <w:vAlign w:val="center"/>
          </w:tcPr>
          <w:p w14:paraId="11B589C9" w14:textId="3A7D8A3D" w:rsidR="00B8338C" w:rsidRPr="00FA2341" w:rsidRDefault="00B8338C" w:rsidP="00750703">
            <w:pPr>
              <w:pStyle w:val="Tabletext"/>
            </w:pPr>
            <w:r w:rsidRPr="00FA2341">
              <w:t>Script equivalence</w:t>
            </w:r>
          </w:p>
        </w:tc>
        <w:tc>
          <w:tcPr>
            <w:tcW w:w="2270" w:type="pct"/>
            <w:vAlign w:val="center"/>
          </w:tcPr>
          <w:p w14:paraId="5B6CD105" w14:textId="77777777" w:rsidR="00B8338C" w:rsidRPr="00FA2341" w:rsidRDefault="00B8338C" w:rsidP="00750703">
            <w:pPr>
              <w:pStyle w:val="Tabletext"/>
            </w:pPr>
            <w:r w:rsidRPr="00FA2341">
              <w:t>0.88</w:t>
            </w:r>
          </w:p>
          <w:p w14:paraId="7C73AF8B" w14:textId="55488958" w:rsidR="00B8338C" w:rsidRPr="00FA2341" w:rsidRDefault="00716FEE" w:rsidP="00750703">
            <w:pPr>
              <w:pStyle w:val="Tabletext"/>
            </w:pPr>
            <w:r w:rsidRPr="00FA2341">
              <w:t>Calculated as 3 doses per 28 days for romidepsin and 6 doses per 49 days for pralatrexate</w:t>
            </w:r>
          </w:p>
        </w:tc>
        <w:tc>
          <w:tcPr>
            <w:tcW w:w="1780" w:type="pct"/>
            <w:vAlign w:val="center"/>
          </w:tcPr>
          <w:p w14:paraId="7D226B4B" w14:textId="1B00340A" w:rsidR="00B8338C" w:rsidRPr="00FA2341" w:rsidRDefault="00716FEE" w:rsidP="00750703">
            <w:pPr>
              <w:pStyle w:val="Tabletext"/>
            </w:pPr>
            <w:r w:rsidRPr="00FA2341">
              <w:t>Reasonable</w:t>
            </w:r>
          </w:p>
        </w:tc>
      </w:tr>
      <w:tr w:rsidR="00A05C32" w:rsidRPr="00FA2341" w14:paraId="512A8938" w14:textId="77777777" w:rsidTr="009C3A3A">
        <w:tc>
          <w:tcPr>
            <w:tcW w:w="950" w:type="pct"/>
            <w:vAlign w:val="center"/>
          </w:tcPr>
          <w:p w14:paraId="1F4C70A3" w14:textId="68D5AF4E" w:rsidR="00A05C32" w:rsidRPr="00FA2341" w:rsidRDefault="00C93113" w:rsidP="00750703">
            <w:pPr>
              <w:pStyle w:val="Tabletext"/>
            </w:pPr>
            <w:r w:rsidRPr="00FA2341">
              <w:t xml:space="preserve">MBS prices </w:t>
            </w:r>
          </w:p>
        </w:tc>
        <w:tc>
          <w:tcPr>
            <w:tcW w:w="2270" w:type="pct"/>
            <w:vAlign w:val="center"/>
          </w:tcPr>
          <w:p w14:paraId="47600905" w14:textId="77777777" w:rsidR="00C93113" w:rsidRPr="00FA2341" w:rsidRDefault="00C93113" w:rsidP="00750703">
            <w:pPr>
              <w:pStyle w:val="Tabletext"/>
            </w:pPr>
            <w:r w:rsidRPr="00FA2341">
              <w:t>Administration:13950 = $126.00</w:t>
            </w:r>
          </w:p>
          <w:p w14:paraId="5289CDB1" w14:textId="4A46D776" w:rsidR="00A05C32" w:rsidRPr="00FA2341" w:rsidRDefault="00C93113" w:rsidP="00750703">
            <w:pPr>
              <w:pStyle w:val="Tabletext"/>
            </w:pPr>
            <w:r w:rsidRPr="00FA2341">
              <w:t>ECG: 11704 = $36.45</w:t>
            </w:r>
          </w:p>
        </w:tc>
        <w:tc>
          <w:tcPr>
            <w:tcW w:w="1780" w:type="pct"/>
            <w:vAlign w:val="center"/>
          </w:tcPr>
          <w:p w14:paraId="0BA4ED26" w14:textId="03915BF2" w:rsidR="00A05C32" w:rsidRPr="00FA2341" w:rsidRDefault="00565A9A" w:rsidP="00750703">
            <w:pPr>
              <w:pStyle w:val="Tabletext"/>
            </w:pPr>
            <w:r w:rsidRPr="00FA2341">
              <w:t xml:space="preserve"> </w:t>
            </w:r>
            <w:r w:rsidR="000A56C3" w:rsidRPr="00FA2341">
              <w:t>R</w:t>
            </w:r>
            <w:r w:rsidRPr="00FA2341">
              <w:t>easonable</w:t>
            </w:r>
          </w:p>
        </w:tc>
      </w:tr>
    </w:tbl>
    <w:p w14:paraId="18D32C76" w14:textId="0FBC8D87" w:rsidR="00E42F73" w:rsidRDefault="00E42F73" w:rsidP="00750703">
      <w:pPr>
        <w:pStyle w:val="FooterTableFigure"/>
      </w:pPr>
      <w:r w:rsidRPr="0098262F">
        <w:t>Source: Table</w:t>
      </w:r>
      <w:r w:rsidR="00C93113">
        <w:t xml:space="preserve"> 4.1</w:t>
      </w:r>
      <w:r w:rsidRPr="0098262F">
        <w:t>, pp</w:t>
      </w:r>
      <w:r w:rsidR="00C93113">
        <w:t>89</w:t>
      </w:r>
      <w:r w:rsidR="00750703">
        <w:noBreakHyphen/>
      </w:r>
      <w:r w:rsidR="00C93113">
        <w:t>90</w:t>
      </w:r>
      <w:r w:rsidRPr="0098262F">
        <w:t xml:space="preserve"> of the submission.</w:t>
      </w:r>
      <w:r w:rsidR="00C93113">
        <w:t xml:space="preserve"> DP = dispensed price; DPMA = dispensed price for maximum amount; EFC = efficient funding of </w:t>
      </w:r>
      <w:r w:rsidR="000A1B11">
        <w:t>chemotherapy; MA</w:t>
      </w:r>
      <w:r w:rsidR="00C93113">
        <w:t>=maximum amount</w:t>
      </w:r>
    </w:p>
    <w:p w14:paraId="5C6143E4" w14:textId="01848F0C" w:rsidR="001C0359" w:rsidRPr="00286CAC" w:rsidRDefault="000C3631" w:rsidP="00750703">
      <w:pPr>
        <w:pStyle w:val="3-BodyText"/>
        <w:spacing w:before="160" w:after="160"/>
        <w:ind w:left="720"/>
      </w:pPr>
      <w:r>
        <w:lastRenderedPageBreak/>
        <w:t xml:space="preserve">In its market share approach, as </w:t>
      </w:r>
      <w:r w:rsidR="009A5E56" w:rsidRPr="00286CAC">
        <w:t xml:space="preserve">the PBS market </w:t>
      </w:r>
      <w:r w:rsidR="006A41ED">
        <w:t xml:space="preserve">for pralatrexate </w:t>
      </w:r>
      <w:r w:rsidR="009A5E56" w:rsidRPr="00286CAC">
        <w:t xml:space="preserve">didn’t include scripts for patients </w:t>
      </w:r>
      <w:r w:rsidR="00F51B24" w:rsidRPr="00286CAC">
        <w:t>who received romidepsin on the current compassionate access scheme</w:t>
      </w:r>
      <w:r>
        <w:t xml:space="preserve">, </w:t>
      </w:r>
      <w:r w:rsidR="002E0E94" w:rsidRPr="00286CAC">
        <w:t>the</w:t>
      </w:r>
      <w:r w:rsidR="00F51B24" w:rsidRPr="00286CAC">
        <w:t xml:space="preserve"> submission </w:t>
      </w:r>
      <w:r w:rsidR="00616032">
        <w:t xml:space="preserve">increased the market size by </w:t>
      </w:r>
      <w:r w:rsidR="001C0359" w:rsidRPr="00286CAC">
        <w:t>carr</w:t>
      </w:r>
      <w:r w:rsidR="00616032">
        <w:t>ying</w:t>
      </w:r>
      <w:r w:rsidR="001C0359" w:rsidRPr="00286CAC">
        <w:t xml:space="preserve"> forward the </w:t>
      </w:r>
      <w:r w:rsidR="00C973A4" w:rsidRPr="00286CAC">
        <w:t xml:space="preserve">number of </w:t>
      </w:r>
      <w:r w:rsidR="006A41ED">
        <w:t xml:space="preserve">romidepsin </w:t>
      </w:r>
      <w:r w:rsidR="00DC3B45" w:rsidRPr="00286CAC">
        <w:t xml:space="preserve">scripts </w:t>
      </w:r>
      <w:r w:rsidR="00C973A4" w:rsidRPr="00286CAC">
        <w:t xml:space="preserve">that </w:t>
      </w:r>
      <w:r w:rsidR="00DC3B45" w:rsidRPr="00286CAC">
        <w:t>patients</w:t>
      </w:r>
      <w:r w:rsidR="00876DAF" w:rsidRPr="00286CAC">
        <w:t xml:space="preserve"> would have been receiving if the </w:t>
      </w:r>
      <w:r w:rsidR="001C0359" w:rsidRPr="00286CAC">
        <w:t>compassionate access program</w:t>
      </w:r>
      <w:r w:rsidR="00876DAF" w:rsidRPr="00286CAC">
        <w:t xml:space="preserve"> were to continue</w:t>
      </w:r>
      <w:r w:rsidR="001C0359" w:rsidRPr="00286CAC">
        <w:t xml:space="preserve">. </w:t>
      </w:r>
    </w:p>
    <w:p w14:paraId="0BC90DD7" w14:textId="250AFC7E" w:rsidR="001C0359" w:rsidRDefault="006D791A" w:rsidP="00750703">
      <w:pPr>
        <w:pStyle w:val="3-BodyText"/>
        <w:spacing w:before="160" w:after="160"/>
        <w:ind w:left="720"/>
      </w:pPr>
      <w:r>
        <w:t xml:space="preserve">In estimating the </w:t>
      </w:r>
      <w:r w:rsidR="0090247F">
        <w:t>market size, the expected utilisation of romidepsin, and the financial impact of listing romidepsin, the submission</w:t>
      </w:r>
      <w:r w:rsidR="001C0359" w:rsidRPr="00286CAC">
        <w:t xml:space="preserve"> did not include the cost of potential switch between treatments or combined </w:t>
      </w:r>
      <w:r w:rsidR="009E671D">
        <w:t xml:space="preserve">or sequential </w:t>
      </w:r>
      <w:r w:rsidR="001C0359" w:rsidRPr="00286CAC">
        <w:t>treatment</w:t>
      </w:r>
      <w:r w:rsidR="0094489C" w:rsidRPr="00286CAC">
        <w:t xml:space="preserve"> </w:t>
      </w:r>
      <w:r w:rsidR="000F5CA4" w:rsidRPr="00286CAC">
        <w:t>and did not consider whether patients</w:t>
      </w:r>
      <w:r w:rsidR="00806090" w:rsidRPr="00286CAC">
        <w:t xml:space="preserve"> receiving romidepsin on the compassionate access scheme may also have been receiving pralatrexate</w:t>
      </w:r>
      <w:r w:rsidR="001C0359" w:rsidRPr="00286CAC">
        <w:t xml:space="preserve">. </w:t>
      </w:r>
    </w:p>
    <w:p w14:paraId="605C4FB7" w14:textId="32BA7F28" w:rsidR="00D0337F" w:rsidRPr="00D0337F" w:rsidRDefault="00D0337F" w:rsidP="00750703">
      <w:pPr>
        <w:pStyle w:val="3-BodyText"/>
        <w:ind w:left="720"/>
      </w:pPr>
      <w:r w:rsidRPr="00D0337F">
        <w:t>The estimated number of prescriptions and costs as presented in the submission are shown in Table 1</w:t>
      </w:r>
      <w:r w:rsidR="005E082F">
        <w:t>2</w:t>
      </w:r>
      <w:r w:rsidRPr="00D0337F">
        <w:t xml:space="preserve">. </w:t>
      </w:r>
    </w:p>
    <w:p w14:paraId="37EB7983" w14:textId="299FAF1C" w:rsidR="00EF56EC" w:rsidRDefault="00EF56EC" w:rsidP="00750703">
      <w:pPr>
        <w:jc w:val="left"/>
        <w:rPr>
          <w:rFonts w:ascii="Arial Narrow" w:hAnsi="Arial Narrow"/>
          <w:b/>
          <w:bCs/>
          <w:sz w:val="20"/>
          <w:szCs w:val="20"/>
        </w:rPr>
      </w:pPr>
      <w:bookmarkStart w:id="49" w:name="_Ref216700558"/>
    </w:p>
    <w:p w14:paraId="38EC053C" w14:textId="34005687" w:rsidR="00C25D9C" w:rsidRPr="002808CD" w:rsidRDefault="001C0359" w:rsidP="00750703">
      <w:pPr>
        <w:jc w:val="left"/>
        <w:rPr>
          <w:rFonts w:ascii="Arial Narrow" w:hAnsi="Arial Narrow"/>
          <w:sz w:val="20"/>
          <w:szCs w:val="20"/>
        </w:rPr>
      </w:pPr>
      <w:r w:rsidRPr="00AE131A">
        <w:rPr>
          <w:rFonts w:ascii="Arial Narrow" w:hAnsi="Arial Narrow"/>
          <w:b/>
          <w:bCs/>
          <w:sz w:val="20"/>
          <w:szCs w:val="20"/>
        </w:rPr>
        <w:t xml:space="preserve">Table </w:t>
      </w:r>
      <w:r w:rsidRPr="00AE131A">
        <w:rPr>
          <w:rFonts w:ascii="Arial Narrow" w:hAnsi="Arial Narrow"/>
          <w:b/>
          <w:bCs/>
          <w:sz w:val="20"/>
          <w:szCs w:val="20"/>
        </w:rPr>
        <w:fldChar w:fldCharType="begin"/>
      </w:r>
      <w:r w:rsidRPr="00AE131A">
        <w:rPr>
          <w:rFonts w:ascii="Arial Narrow" w:hAnsi="Arial Narrow"/>
          <w:b/>
          <w:bCs/>
          <w:sz w:val="20"/>
          <w:szCs w:val="20"/>
        </w:rPr>
        <w:instrText xml:space="preserve"> SEQ Table \* ARABIC </w:instrText>
      </w:r>
      <w:r w:rsidRPr="00AE131A">
        <w:rPr>
          <w:rFonts w:ascii="Arial Narrow" w:hAnsi="Arial Narrow"/>
          <w:b/>
          <w:bCs/>
          <w:sz w:val="20"/>
          <w:szCs w:val="20"/>
        </w:rPr>
        <w:fldChar w:fldCharType="separate"/>
      </w:r>
      <w:r w:rsidR="000B22F7">
        <w:rPr>
          <w:rFonts w:ascii="Arial Narrow" w:hAnsi="Arial Narrow"/>
          <w:b/>
          <w:bCs/>
          <w:noProof/>
          <w:sz w:val="20"/>
          <w:szCs w:val="20"/>
        </w:rPr>
        <w:t>12</w:t>
      </w:r>
      <w:r w:rsidRPr="00AE131A">
        <w:rPr>
          <w:rFonts w:ascii="Arial Narrow" w:hAnsi="Arial Narrow"/>
          <w:b/>
          <w:bCs/>
          <w:sz w:val="20"/>
          <w:szCs w:val="20"/>
        </w:rPr>
        <w:fldChar w:fldCharType="end"/>
      </w:r>
      <w:bookmarkEnd w:id="49"/>
      <w:r w:rsidRPr="00AE131A">
        <w:rPr>
          <w:rFonts w:ascii="Arial Narrow" w:hAnsi="Arial Narrow"/>
          <w:b/>
          <w:bCs/>
          <w:sz w:val="20"/>
          <w:szCs w:val="20"/>
        </w:rPr>
        <w:t>:</w:t>
      </w:r>
      <w:r w:rsidRPr="002808CD">
        <w:rPr>
          <w:rFonts w:ascii="Arial Narrow" w:hAnsi="Arial Narrow"/>
          <w:sz w:val="20"/>
          <w:szCs w:val="20"/>
        </w:rPr>
        <w:t xml:space="preserve"> </w:t>
      </w:r>
      <w:r w:rsidR="002A2F50" w:rsidRPr="002808CD">
        <w:rPr>
          <w:rStyle w:val="CommentReference"/>
          <w:szCs w:val="20"/>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Estimated use and financial implications"/>
      </w:tblPr>
      <w:tblGrid>
        <w:gridCol w:w="2405"/>
        <w:gridCol w:w="1102"/>
        <w:gridCol w:w="1102"/>
        <w:gridCol w:w="1102"/>
        <w:gridCol w:w="1102"/>
        <w:gridCol w:w="1102"/>
        <w:gridCol w:w="1102"/>
      </w:tblGrid>
      <w:tr w:rsidR="00385A9D" w:rsidRPr="0098262F" w14:paraId="43A2A3A1" w14:textId="77777777" w:rsidTr="008A3158">
        <w:trPr>
          <w:tblHeader/>
        </w:trPr>
        <w:tc>
          <w:tcPr>
            <w:tcW w:w="1334" w:type="pct"/>
            <w:vAlign w:val="center"/>
          </w:tcPr>
          <w:p w14:paraId="0A4E41E1" w14:textId="77777777" w:rsidR="00385A9D" w:rsidRPr="0098262F" w:rsidRDefault="00385A9D" w:rsidP="00750703">
            <w:pPr>
              <w:pStyle w:val="Tabletext"/>
            </w:pPr>
          </w:p>
        </w:tc>
        <w:tc>
          <w:tcPr>
            <w:tcW w:w="611" w:type="pct"/>
            <w:vAlign w:val="center"/>
          </w:tcPr>
          <w:p w14:paraId="77420B6F" w14:textId="550EE4CC" w:rsidR="00385A9D" w:rsidRPr="0098262F" w:rsidRDefault="00385A9D" w:rsidP="00750703">
            <w:pPr>
              <w:pStyle w:val="In-tableHeading"/>
            </w:pPr>
            <w:r w:rsidRPr="0098262F">
              <w:t>Year 1</w:t>
            </w:r>
          </w:p>
        </w:tc>
        <w:tc>
          <w:tcPr>
            <w:tcW w:w="611" w:type="pct"/>
            <w:vAlign w:val="center"/>
          </w:tcPr>
          <w:p w14:paraId="3BBD9218" w14:textId="421F7DAE" w:rsidR="00385A9D" w:rsidRPr="0098262F" w:rsidRDefault="00385A9D" w:rsidP="00750703">
            <w:pPr>
              <w:pStyle w:val="In-tableHeading"/>
            </w:pPr>
            <w:r w:rsidRPr="0098262F">
              <w:t>Year 2</w:t>
            </w:r>
          </w:p>
        </w:tc>
        <w:tc>
          <w:tcPr>
            <w:tcW w:w="611" w:type="pct"/>
            <w:vAlign w:val="center"/>
          </w:tcPr>
          <w:p w14:paraId="729A646E" w14:textId="7B5F91CE" w:rsidR="00385A9D" w:rsidRPr="0098262F" w:rsidRDefault="00385A9D" w:rsidP="00750703">
            <w:pPr>
              <w:pStyle w:val="In-tableHeading"/>
            </w:pPr>
            <w:r w:rsidRPr="0098262F">
              <w:t>Year 3</w:t>
            </w:r>
          </w:p>
        </w:tc>
        <w:tc>
          <w:tcPr>
            <w:tcW w:w="611" w:type="pct"/>
            <w:vAlign w:val="center"/>
          </w:tcPr>
          <w:p w14:paraId="280BB544" w14:textId="7930E9DD" w:rsidR="00385A9D" w:rsidRPr="0098262F" w:rsidRDefault="00385A9D" w:rsidP="00750703">
            <w:pPr>
              <w:pStyle w:val="In-tableHeading"/>
            </w:pPr>
            <w:r w:rsidRPr="0098262F">
              <w:t>Year 4</w:t>
            </w:r>
            <w:r w:rsidR="00B8338C">
              <w:t>9</w:t>
            </w:r>
          </w:p>
        </w:tc>
        <w:tc>
          <w:tcPr>
            <w:tcW w:w="611" w:type="pct"/>
            <w:vAlign w:val="center"/>
          </w:tcPr>
          <w:p w14:paraId="6435BB5B" w14:textId="778404D5" w:rsidR="00385A9D" w:rsidRPr="0098262F" w:rsidRDefault="00385A9D" w:rsidP="00750703">
            <w:pPr>
              <w:pStyle w:val="In-tableHeading"/>
            </w:pPr>
            <w:r w:rsidRPr="0098262F">
              <w:t>Year 5</w:t>
            </w:r>
            <w:r w:rsidR="00B8338C">
              <w:t xml:space="preserve"> </w:t>
            </w:r>
          </w:p>
        </w:tc>
        <w:tc>
          <w:tcPr>
            <w:tcW w:w="611" w:type="pct"/>
          </w:tcPr>
          <w:p w14:paraId="7C618119" w14:textId="4D25499D" w:rsidR="00385A9D" w:rsidRPr="0098262F" w:rsidRDefault="00385A9D" w:rsidP="00750703">
            <w:pPr>
              <w:pStyle w:val="In-tableHeading"/>
            </w:pPr>
            <w:r w:rsidRPr="0098262F">
              <w:t>Year 6</w:t>
            </w:r>
          </w:p>
        </w:tc>
      </w:tr>
      <w:tr w:rsidR="00385A9D" w:rsidRPr="0098262F" w14:paraId="3C519059" w14:textId="77777777" w:rsidTr="009C3A3A">
        <w:tc>
          <w:tcPr>
            <w:tcW w:w="5000" w:type="pct"/>
            <w:gridSpan w:val="7"/>
            <w:vAlign w:val="center"/>
          </w:tcPr>
          <w:p w14:paraId="516C2197" w14:textId="77777777" w:rsidR="00385A9D" w:rsidRPr="006358F0" w:rsidRDefault="00385A9D" w:rsidP="00750703">
            <w:pPr>
              <w:pStyle w:val="Tabletext"/>
              <w:rPr>
                <w:b/>
                <w:color w:val="000000"/>
              </w:rPr>
            </w:pPr>
            <w:r w:rsidRPr="006358F0">
              <w:rPr>
                <w:b/>
                <w:color w:val="000000"/>
              </w:rPr>
              <w:t>Estimated extent of use</w:t>
            </w:r>
          </w:p>
        </w:tc>
      </w:tr>
      <w:tr w:rsidR="00B8338C" w:rsidRPr="0098262F" w14:paraId="7AC1FDDE" w14:textId="77777777">
        <w:tc>
          <w:tcPr>
            <w:tcW w:w="1334" w:type="pct"/>
            <w:vAlign w:val="center"/>
          </w:tcPr>
          <w:p w14:paraId="7A9D3652" w14:textId="10716999" w:rsidR="00B8338C" w:rsidRDefault="00B8338C" w:rsidP="00750703">
            <w:pPr>
              <w:pStyle w:val="Tabletext"/>
            </w:pPr>
            <w:r>
              <w:t>Total scripts</w:t>
            </w:r>
          </w:p>
        </w:tc>
        <w:tc>
          <w:tcPr>
            <w:tcW w:w="611" w:type="pct"/>
          </w:tcPr>
          <w:p w14:paraId="7C39D3D5" w14:textId="79DDAAAF" w:rsidR="00B8338C" w:rsidRPr="00A02D3F" w:rsidRDefault="007332DC" w:rsidP="00750703">
            <w:pPr>
              <w:pStyle w:val="Tabletext"/>
              <w:jc w:val="center"/>
              <w:rPr>
                <w:vertAlign w:val="superscript"/>
              </w:rPr>
            </w:pPr>
            <w:r w:rsidRPr="00161787">
              <w:rPr>
                <w:rStyle w:val="SmallBold"/>
                <w:rFonts w:ascii="Arial Narrow" w:hAnsi="Arial Narrow"/>
                <w:b w:val="0"/>
                <w:highlight w:val="black"/>
              </w:rPr>
              <w:t>redacted</w:t>
            </w:r>
            <w:r w:rsidR="00FB7547" w:rsidRPr="00A02D3F">
              <w:rPr>
                <w:rStyle w:val="SmallBold"/>
                <w:rFonts w:ascii="Arial Narrow" w:hAnsi="Arial Narrow"/>
                <w:b w:val="0"/>
                <w:vertAlign w:val="superscript"/>
              </w:rPr>
              <w:t>1</w:t>
            </w:r>
          </w:p>
        </w:tc>
        <w:tc>
          <w:tcPr>
            <w:tcW w:w="611" w:type="pct"/>
          </w:tcPr>
          <w:p w14:paraId="51808FBC" w14:textId="74562B17" w:rsidR="00B8338C" w:rsidRPr="00A02D3F" w:rsidRDefault="007332DC" w:rsidP="00750703">
            <w:pPr>
              <w:pStyle w:val="Tabletext"/>
              <w:jc w:val="center"/>
              <w:rPr>
                <w:vertAlign w:val="superscript"/>
              </w:rPr>
            </w:pPr>
            <w:r w:rsidRPr="00161787">
              <w:rPr>
                <w:rStyle w:val="SmallBold"/>
                <w:rFonts w:ascii="Arial Narrow" w:hAnsi="Arial Narrow"/>
                <w:b w:val="0"/>
                <w:highlight w:val="black"/>
              </w:rPr>
              <w:t>redacted</w:t>
            </w:r>
            <w:r w:rsidR="00FB7547" w:rsidRPr="00A02D3F">
              <w:rPr>
                <w:rStyle w:val="SmallBold"/>
                <w:rFonts w:ascii="Arial Narrow" w:hAnsi="Arial Narrow"/>
                <w:b w:val="0"/>
                <w:vertAlign w:val="superscript"/>
              </w:rPr>
              <w:t>2</w:t>
            </w:r>
          </w:p>
        </w:tc>
        <w:tc>
          <w:tcPr>
            <w:tcW w:w="611" w:type="pct"/>
          </w:tcPr>
          <w:p w14:paraId="4C16F4CA" w14:textId="6C4BC2A9" w:rsidR="00B8338C" w:rsidRPr="00FB7547" w:rsidRDefault="007332DC" w:rsidP="00750703">
            <w:pPr>
              <w:pStyle w:val="Tabletext"/>
              <w:jc w:val="center"/>
              <w:rPr>
                <w:highlight w:val="lightGray"/>
              </w:rPr>
            </w:pPr>
            <w:r w:rsidRPr="00161787">
              <w:rPr>
                <w:rStyle w:val="SmallBold"/>
                <w:rFonts w:ascii="Arial Narrow" w:hAnsi="Arial Narrow"/>
                <w:b w:val="0"/>
                <w:highlight w:val="black"/>
              </w:rPr>
              <w:t>redacted</w:t>
            </w:r>
            <w:r w:rsidR="00FB7547" w:rsidRPr="00A02D3F">
              <w:rPr>
                <w:rStyle w:val="SmallBold"/>
                <w:rFonts w:ascii="Arial Narrow" w:hAnsi="Arial Narrow"/>
                <w:b w:val="0"/>
                <w:vertAlign w:val="superscript"/>
              </w:rPr>
              <w:t>2</w:t>
            </w:r>
          </w:p>
        </w:tc>
        <w:tc>
          <w:tcPr>
            <w:tcW w:w="611" w:type="pct"/>
          </w:tcPr>
          <w:p w14:paraId="27B9CCE4" w14:textId="5A766B28" w:rsidR="00B8338C" w:rsidRPr="00FB7547" w:rsidRDefault="007332DC" w:rsidP="00750703">
            <w:pPr>
              <w:pStyle w:val="Tabletext"/>
              <w:jc w:val="center"/>
              <w:rPr>
                <w:highlight w:val="lightGray"/>
              </w:rPr>
            </w:pPr>
            <w:r w:rsidRPr="00161787">
              <w:rPr>
                <w:rStyle w:val="SmallBold"/>
                <w:rFonts w:ascii="Arial Narrow" w:hAnsi="Arial Narrow"/>
                <w:b w:val="0"/>
                <w:highlight w:val="black"/>
              </w:rPr>
              <w:t>redacted</w:t>
            </w:r>
            <w:r w:rsidR="00FB7547" w:rsidRPr="00A02D3F">
              <w:rPr>
                <w:rStyle w:val="SmallBold"/>
                <w:rFonts w:ascii="Arial Narrow" w:hAnsi="Arial Narrow"/>
                <w:b w:val="0"/>
                <w:vertAlign w:val="superscript"/>
              </w:rPr>
              <w:t>2</w:t>
            </w:r>
          </w:p>
        </w:tc>
        <w:tc>
          <w:tcPr>
            <w:tcW w:w="611" w:type="pct"/>
          </w:tcPr>
          <w:p w14:paraId="1DF602B3" w14:textId="05922DF9" w:rsidR="00B8338C" w:rsidRPr="00FB7547" w:rsidRDefault="007332DC" w:rsidP="00750703">
            <w:pPr>
              <w:pStyle w:val="Tabletext"/>
              <w:jc w:val="center"/>
              <w:rPr>
                <w:highlight w:val="lightGray"/>
              </w:rPr>
            </w:pPr>
            <w:r w:rsidRPr="00161787">
              <w:rPr>
                <w:rStyle w:val="SmallBold"/>
                <w:rFonts w:ascii="Arial Narrow" w:hAnsi="Arial Narrow"/>
                <w:b w:val="0"/>
                <w:highlight w:val="black"/>
              </w:rPr>
              <w:t>redacted</w:t>
            </w:r>
            <w:r w:rsidR="00FB7547" w:rsidRPr="00A02D3F">
              <w:rPr>
                <w:rStyle w:val="SmallBold"/>
                <w:rFonts w:ascii="Arial Narrow" w:hAnsi="Arial Narrow"/>
                <w:b w:val="0"/>
                <w:vertAlign w:val="superscript"/>
              </w:rPr>
              <w:t>2</w:t>
            </w:r>
          </w:p>
        </w:tc>
        <w:tc>
          <w:tcPr>
            <w:tcW w:w="611" w:type="pct"/>
          </w:tcPr>
          <w:p w14:paraId="01D24587" w14:textId="469570F4" w:rsidR="00B8338C" w:rsidRPr="00FB7547" w:rsidRDefault="007332DC" w:rsidP="00750703">
            <w:pPr>
              <w:pStyle w:val="Tabletext"/>
              <w:jc w:val="center"/>
              <w:rPr>
                <w:highlight w:val="lightGray"/>
              </w:rPr>
            </w:pPr>
            <w:r w:rsidRPr="00161787">
              <w:rPr>
                <w:rStyle w:val="SmallBold"/>
                <w:rFonts w:ascii="Arial Narrow" w:hAnsi="Arial Narrow"/>
                <w:b w:val="0"/>
                <w:highlight w:val="black"/>
              </w:rPr>
              <w:t>redacted</w:t>
            </w:r>
            <w:r w:rsidR="00FB7547" w:rsidRPr="00A02D3F">
              <w:rPr>
                <w:rStyle w:val="SmallBold"/>
                <w:rFonts w:ascii="Arial Narrow" w:hAnsi="Arial Narrow"/>
                <w:b w:val="0"/>
                <w:vertAlign w:val="superscript"/>
              </w:rPr>
              <w:t>2</w:t>
            </w:r>
          </w:p>
        </w:tc>
      </w:tr>
      <w:tr w:rsidR="00B8338C" w:rsidRPr="0098262F" w14:paraId="1E699D47" w14:textId="77777777" w:rsidTr="009C3A3A">
        <w:tc>
          <w:tcPr>
            <w:tcW w:w="5000" w:type="pct"/>
            <w:gridSpan w:val="7"/>
            <w:vAlign w:val="center"/>
          </w:tcPr>
          <w:p w14:paraId="7D0E0884" w14:textId="0D0A73C1" w:rsidR="00B8338C" w:rsidRPr="006358F0" w:rsidRDefault="00B8338C" w:rsidP="00750703">
            <w:pPr>
              <w:pStyle w:val="Tabletext"/>
              <w:rPr>
                <w:b/>
                <w:bCs/>
              </w:rPr>
            </w:pPr>
            <w:r w:rsidRPr="006358F0">
              <w:rPr>
                <w:b/>
                <w:bCs/>
              </w:rPr>
              <w:t>Estimated financial implications of romidepsin</w:t>
            </w:r>
          </w:p>
        </w:tc>
      </w:tr>
      <w:tr w:rsidR="00B8338C" w:rsidRPr="0098262F" w14:paraId="4B4ACF1A" w14:textId="77777777">
        <w:tc>
          <w:tcPr>
            <w:tcW w:w="1334" w:type="pct"/>
            <w:vAlign w:val="center"/>
          </w:tcPr>
          <w:p w14:paraId="467993BD" w14:textId="618A57F1" w:rsidR="00B8338C" w:rsidRPr="0098262F" w:rsidRDefault="00B8338C" w:rsidP="00750703">
            <w:pPr>
              <w:pStyle w:val="Tabletext"/>
            </w:pPr>
            <w:r w:rsidRPr="0098262F">
              <w:t>Cost to PBS/RPBS less copayments</w:t>
            </w:r>
          </w:p>
        </w:tc>
        <w:tc>
          <w:tcPr>
            <w:tcW w:w="611" w:type="pct"/>
          </w:tcPr>
          <w:p w14:paraId="4125A2B6" w14:textId="20FED06B" w:rsidR="00B8338C" w:rsidRPr="00A02D3F" w:rsidRDefault="00A02D3F" w:rsidP="00750703">
            <w:pPr>
              <w:pStyle w:val="Tabletext"/>
              <w:jc w:val="center"/>
              <w:rPr>
                <w:vertAlign w:val="superscript"/>
              </w:rPr>
            </w:pPr>
            <w:r w:rsidRPr="00A02D3F">
              <w:rPr>
                <w:rStyle w:val="SmallBold"/>
                <w:rFonts w:ascii="Arial Narrow" w:hAnsi="Arial Narrow"/>
                <w:b w:val="0"/>
              </w:rPr>
              <w:t>$</w:t>
            </w:r>
            <w:r w:rsidR="007332DC" w:rsidRPr="00161787">
              <w:rPr>
                <w:rStyle w:val="SmallBold"/>
                <w:rFonts w:ascii="Arial Narrow" w:hAnsi="Arial Narrow"/>
                <w:b w:val="0"/>
                <w:highlight w:val="black"/>
              </w:rPr>
              <w:t>redacted</w:t>
            </w:r>
            <w:r w:rsidRPr="00A02D3F">
              <w:rPr>
                <w:rStyle w:val="SmallBold"/>
                <w:rFonts w:ascii="Arial Narrow" w:hAnsi="Arial Narrow"/>
                <w:b w:val="0"/>
                <w:vertAlign w:val="superscript"/>
              </w:rPr>
              <w:t>3</w:t>
            </w:r>
          </w:p>
        </w:tc>
        <w:tc>
          <w:tcPr>
            <w:tcW w:w="611" w:type="pct"/>
          </w:tcPr>
          <w:p w14:paraId="5BDFECEB" w14:textId="72416AE9" w:rsidR="00B8338C" w:rsidRPr="00A02D3F" w:rsidRDefault="00A02D3F" w:rsidP="00750703">
            <w:pPr>
              <w:pStyle w:val="Tabletext"/>
              <w:jc w:val="center"/>
              <w:rPr>
                <w:highlight w:val="lightGray"/>
              </w:rPr>
            </w:pPr>
            <w:r w:rsidRPr="00A02D3F">
              <w:rPr>
                <w:rStyle w:val="SmallBold"/>
                <w:rFonts w:ascii="Arial Narrow" w:hAnsi="Arial Narrow"/>
                <w:b w:val="0"/>
              </w:rPr>
              <w:t>$</w:t>
            </w:r>
            <w:r w:rsidR="007332DC" w:rsidRPr="00161787">
              <w:rPr>
                <w:rStyle w:val="SmallBold"/>
                <w:rFonts w:ascii="Arial Narrow" w:hAnsi="Arial Narrow"/>
                <w:b w:val="0"/>
                <w:highlight w:val="black"/>
              </w:rPr>
              <w:t>redacted</w:t>
            </w:r>
            <w:r w:rsidRPr="00A02D3F">
              <w:rPr>
                <w:rStyle w:val="SmallBold"/>
                <w:rFonts w:ascii="Arial Narrow" w:hAnsi="Arial Narrow"/>
                <w:b w:val="0"/>
                <w:vertAlign w:val="superscript"/>
              </w:rPr>
              <w:t>3</w:t>
            </w:r>
          </w:p>
        </w:tc>
        <w:tc>
          <w:tcPr>
            <w:tcW w:w="611" w:type="pct"/>
          </w:tcPr>
          <w:p w14:paraId="3890D42E" w14:textId="2FCA08C0" w:rsidR="00B8338C" w:rsidRPr="00A02D3F" w:rsidRDefault="00A02D3F" w:rsidP="00750703">
            <w:pPr>
              <w:pStyle w:val="Tabletext"/>
              <w:jc w:val="center"/>
              <w:rPr>
                <w:highlight w:val="lightGray"/>
              </w:rPr>
            </w:pPr>
            <w:r w:rsidRPr="00A02D3F">
              <w:rPr>
                <w:rStyle w:val="SmallBold"/>
                <w:rFonts w:ascii="Arial Narrow" w:hAnsi="Arial Narrow"/>
                <w:b w:val="0"/>
              </w:rPr>
              <w:t>$</w:t>
            </w:r>
            <w:r w:rsidR="007332DC" w:rsidRPr="00161787">
              <w:rPr>
                <w:rStyle w:val="SmallBold"/>
                <w:rFonts w:ascii="Arial Narrow" w:hAnsi="Arial Narrow"/>
                <w:b w:val="0"/>
                <w:highlight w:val="black"/>
              </w:rPr>
              <w:t>redacted</w:t>
            </w:r>
            <w:r w:rsidRPr="00A02D3F">
              <w:rPr>
                <w:rStyle w:val="SmallBold"/>
                <w:rFonts w:ascii="Arial Narrow" w:hAnsi="Arial Narrow"/>
                <w:b w:val="0"/>
                <w:vertAlign w:val="superscript"/>
              </w:rPr>
              <w:t>3</w:t>
            </w:r>
          </w:p>
        </w:tc>
        <w:tc>
          <w:tcPr>
            <w:tcW w:w="611" w:type="pct"/>
          </w:tcPr>
          <w:p w14:paraId="2728B643" w14:textId="4C6D1D24" w:rsidR="00B8338C" w:rsidRPr="00A02D3F" w:rsidRDefault="00A02D3F" w:rsidP="00750703">
            <w:pPr>
              <w:pStyle w:val="Tabletext"/>
              <w:jc w:val="center"/>
              <w:rPr>
                <w:highlight w:val="lightGray"/>
              </w:rPr>
            </w:pPr>
            <w:r w:rsidRPr="00A02D3F">
              <w:rPr>
                <w:rStyle w:val="SmallBold"/>
                <w:rFonts w:ascii="Arial Narrow" w:hAnsi="Arial Narrow"/>
                <w:b w:val="0"/>
              </w:rPr>
              <w:t>$</w:t>
            </w:r>
            <w:r w:rsidR="007332DC" w:rsidRPr="00161787">
              <w:rPr>
                <w:rStyle w:val="SmallBold"/>
                <w:rFonts w:ascii="Arial Narrow" w:hAnsi="Arial Narrow"/>
                <w:b w:val="0"/>
                <w:highlight w:val="black"/>
              </w:rPr>
              <w:t>redacted</w:t>
            </w:r>
            <w:r w:rsidRPr="00A02D3F">
              <w:rPr>
                <w:rStyle w:val="SmallBold"/>
                <w:rFonts w:ascii="Arial Narrow" w:hAnsi="Arial Narrow"/>
                <w:b w:val="0"/>
                <w:vertAlign w:val="superscript"/>
              </w:rPr>
              <w:t>3</w:t>
            </w:r>
          </w:p>
        </w:tc>
        <w:tc>
          <w:tcPr>
            <w:tcW w:w="611" w:type="pct"/>
          </w:tcPr>
          <w:p w14:paraId="5FE5021A" w14:textId="5730AA07" w:rsidR="00B8338C" w:rsidRPr="00A02D3F" w:rsidRDefault="00A02D3F" w:rsidP="00750703">
            <w:pPr>
              <w:pStyle w:val="Tabletext"/>
              <w:jc w:val="center"/>
              <w:rPr>
                <w:highlight w:val="lightGray"/>
              </w:rPr>
            </w:pPr>
            <w:r w:rsidRPr="00A02D3F">
              <w:rPr>
                <w:rStyle w:val="SmallBold"/>
                <w:rFonts w:ascii="Arial Narrow" w:hAnsi="Arial Narrow"/>
                <w:b w:val="0"/>
              </w:rPr>
              <w:t>$</w:t>
            </w:r>
            <w:r w:rsidR="007332DC" w:rsidRPr="00161787">
              <w:rPr>
                <w:rStyle w:val="SmallBold"/>
                <w:rFonts w:ascii="Arial Narrow" w:hAnsi="Arial Narrow"/>
                <w:b w:val="0"/>
                <w:highlight w:val="black"/>
              </w:rPr>
              <w:t>redacted</w:t>
            </w:r>
            <w:r w:rsidRPr="00A02D3F">
              <w:rPr>
                <w:rStyle w:val="SmallBold"/>
                <w:rFonts w:ascii="Arial Narrow" w:hAnsi="Arial Narrow"/>
                <w:b w:val="0"/>
                <w:vertAlign w:val="superscript"/>
              </w:rPr>
              <w:t>3</w:t>
            </w:r>
          </w:p>
        </w:tc>
        <w:tc>
          <w:tcPr>
            <w:tcW w:w="611" w:type="pct"/>
          </w:tcPr>
          <w:p w14:paraId="6F8E9082" w14:textId="397378B8" w:rsidR="00B8338C" w:rsidRPr="00A02D3F" w:rsidRDefault="00A02D3F" w:rsidP="00750703">
            <w:pPr>
              <w:pStyle w:val="Tabletext"/>
              <w:jc w:val="center"/>
              <w:rPr>
                <w:highlight w:val="lightGray"/>
              </w:rPr>
            </w:pPr>
            <w:r w:rsidRPr="00A02D3F">
              <w:rPr>
                <w:rStyle w:val="SmallBold"/>
                <w:rFonts w:ascii="Arial Narrow" w:hAnsi="Arial Narrow"/>
                <w:b w:val="0"/>
              </w:rPr>
              <w:t>$</w:t>
            </w:r>
            <w:r w:rsidR="007332DC" w:rsidRPr="00161787">
              <w:rPr>
                <w:rStyle w:val="SmallBold"/>
                <w:rFonts w:ascii="Arial Narrow" w:hAnsi="Arial Narrow"/>
                <w:b w:val="0"/>
                <w:highlight w:val="black"/>
              </w:rPr>
              <w:t>redacted</w:t>
            </w:r>
            <w:r w:rsidRPr="00A02D3F">
              <w:rPr>
                <w:rStyle w:val="SmallBold"/>
                <w:rFonts w:ascii="Arial Narrow" w:hAnsi="Arial Narrow"/>
                <w:b w:val="0"/>
                <w:vertAlign w:val="superscript"/>
              </w:rPr>
              <w:t>3</w:t>
            </w:r>
          </w:p>
        </w:tc>
      </w:tr>
      <w:tr w:rsidR="00B8338C" w:rsidRPr="0098262F" w14:paraId="344AC0E2" w14:textId="77777777" w:rsidTr="009C3A3A">
        <w:tc>
          <w:tcPr>
            <w:tcW w:w="5000" w:type="pct"/>
            <w:gridSpan w:val="7"/>
            <w:vAlign w:val="center"/>
          </w:tcPr>
          <w:p w14:paraId="0FF7E64D" w14:textId="6F0EB3BD" w:rsidR="00B8338C" w:rsidRPr="006358F0" w:rsidRDefault="00B8338C" w:rsidP="00750703">
            <w:pPr>
              <w:pStyle w:val="Tabletext"/>
              <w:rPr>
                <w:b/>
                <w:bCs/>
              </w:rPr>
            </w:pPr>
            <w:r w:rsidRPr="006358F0">
              <w:rPr>
                <w:b/>
                <w:bCs/>
              </w:rPr>
              <w:t>Estimated financial implications for pralatrexate</w:t>
            </w:r>
          </w:p>
        </w:tc>
      </w:tr>
      <w:tr w:rsidR="00E8146A" w:rsidRPr="0098262F" w14:paraId="0CE077D9" w14:textId="77777777" w:rsidTr="00CC3170">
        <w:tc>
          <w:tcPr>
            <w:tcW w:w="1334" w:type="pct"/>
            <w:vAlign w:val="center"/>
          </w:tcPr>
          <w:p w14:paraId="40F6A2C5" w14:textId="135CB323" w:rsidR="00E8146A" w:rsidRPr="0098262F" w:rsidRDefault="00E8146A" w:rsidP="00750703">
            <w:pPr>
              <w:pStyle w:val="Tabletext"/>
            </w:pPr>
            <w:r w:rsidRPr="0098262F">
              <w:t>Cost to PBS/RPBS less copayments</w:t>
            </w:r>
          </w:p>
        </w:tc>
        <w:tc>
          <w:tcPr>
            <w:tcW w:w="611" w:type="pct"/>
            <w:tcBorders>
              <w:top w:val="single" w:sz="4" w:space="0" w:color="auto"/>
              <w:left w:val="single" w:sz="4" w:space="0" w:color="auto"/>
              <w:bottom w:val="single" w:sz="4" w:space="0" w:color="auto"/>
              <w:right w:val="single" w:sz="4" w:space="0" w:color="auto"/>
            </w:tcBorders>
          </w:tcPr>
          <w:p w14:paraId="50CF2446" w14:textId="5D7E3AEE" w:rsidR="00E8146A" w:rsidRPr="00A02D3F" w:rsidRDefault="00A02D3F" w:rsidP="00750703">
            <w:pPr>
              <w:pStyle w:val="Tabletext"/>
              <w:jc w:val="center"/>
              <w:rPr>
                <w:highlight w:val="lightGray"/>
              </w:rPr>
            </w:pPr>
            <w:r w:rsidRPr="00A02D3F">
              <w:t>-$</w:t>
            </w:r>
            <w:r w:rsidR="007332DC" w:rsidRPr="00161787">
              <w:rPr>
                <w:highlight w:val="black"/>
              </w:rPr>
              <w:t>redacted</w:t>
            </w:r>
            <w:r w:rsidRPr="00A02D3F">
              <w:rPr>
                <w:rStyle w:val="SmallBold"/>
                <w:rFonts w:ascii="Arial Narrow" w:hAnsi="Arial Narrow"/>
                <w:b w:val="0"/>
                <w:vertAlign w:val="superscript"/>
              </w:rPr>
              <w:t>3</w:t>
            </w:r>
          </w:p>
        </w:tc>
        <w:tc>
          <w:tcPr>
            <w:tcW w:w="611" w:type="pct"/>
            <w:tcBorders>
              <w:top w:val="single" w:sz="4" w:space="0" w:color="auto"/>
              <w:left w:val="nil"/>
              <w:bottom w:val="single" w:sz="4" w:space="0" w:color="auto"/>
              <w:right w:val="single" w:sz="4" w:space="0" w:color="auto"/>
            </w:tcBorders>
          </w:tcPr>
          <w:p w14:paraId="35AF80ED" w14:textId="121D8D08" w:rsidR="00E8146A" w:rsidRPr="00A02D3F" w:rsidRDefault="00A02D3F" w:rsidP="00750703">
            <w:pPr>
              <w:pStyle w:val="Tabletext"/>
              <w:jc w:val="center"/>
              <w:rPr>
                <w:highlight w:val="lightGray"/>
              </w:rPr>
            </w:pPr>
            <w:r w:rsidRPr="00A02D3F">
              <w:t>-$</w:t>
            </w:r>
            <w:r w:rsidR="007332DC" w:rsidRPr="00161787">
              <w:rPr>
                <w:highlight w:val="black"/>
              </w:rPr>
              <w:t>redacted</w:t>
            </w:r>
            <w:r w:rsidRPr="00A02D3F">
              <w:rPr>
                <w:rStyle w:val="SmallBold"/>
                <w:rFonts w:ascii="Arial Narrow" w:hAnsi="Arial Narrow"/>
                <w:b w:val="0"/>
                <w:vertAlign w:val="superscript"/>
              </w:rPr>
              <w:t>3</w:t>
            </w:r>
          </w:p>
        </w:tc>
        <w:tc>
          <w:tcPr>
            <w:tcW w:w="611" w:type="pct"/>
            <w:tcBorders>
              <w:top w:val="single" w:sz="4" w:space="0" w:color="auto"/>
              <w:left w:val="nil"/>
              <w:bottom w:val="single" w:sz="4" w:space="0" w:color="auto"/>
              <w:right w:val="single" w:sz="4" w:space="0" w:color="auto"/>
            </w:tcBorders>
          </w:tcPr>
          <w:p w14:paraId="28F1C25D" w14:textId="3C2E690F" w:rsidR="00E8146A" w:rsidRPr="00A02D3F" w:rsidRDefault="00A02D3F" w:rsidP="00750703">
            <w:pPr>
              <w:pStyle w:val="Tabletext"/>
              <w:jc w:val="center"/>
              <w:rPr>
                <w:highlight w:val="lightGray"/>
              </w:rPr>
            </w:pPr>
            <w:r w:rsidRPr="00A02D3F">
              <w:t>-$</w:t>
            </w:r>
            <w:r w:rsidR="007332DC" w:rsidRPr="00161787">
              <w:rPr>
                <w:highlight w:val="black"/>
              </w:rPr>
              <w:t>redacted</w:t>
            </w:r>
            <w:r w:rsidRPr="00A02D3F">
              <w:rPr>
                <w:rStyle w:val="SmallBold"/>
                <w:rFonts w:ascii="Arial Narrow" w:hAnsi="Arial Narrow"/>
                <w:b w:val="0"/>
                <w:vertAlign w:val="superscript"/>
              </w:rPr>
              <w:t>3</w:t>
            </w:r>
          </w:p>
        </w:tc>
        <w:tc>
          <w:tcPr>
            <w:tcW w:w="611" w:type="pct"/>
            <w:tcBorders>
              <w:top w:val="single" w:sz="4" w:space="0" w:color="auto"/>
              <w:left w:val="nil"/>
              <w:bottom w:val="single" w:sz="4" w:space="0" w:color="auto"/>
              <w:right w:val="single" w:sz="4" w:space="0" w:color="auto"/>
            </w:tcBorders>
          </w:tcPr>
          <w:p w14:paraId="5DBA4173" w14:textId="0808D104" w:rsidR="00E8146A" w:rsidRPr="00A02D3F" w:rsidRDefault="00A02D3F" w:rsidP="00750703">
            <w:pPr>
              <w:pStyle w:val="Tabletext"/>
              <w:jc w:val="center"/>
              <w:rPr>
                <w:highlight w:val="lightGray"/>
              </w:rPr>
            </w:pPr>
            <w:r w:rsidRPr="00A02D3F">
              <w:t>-$</w:t>
            </w:r>
            <w:r w:rsidR="007332DC" w:rsidRPr="00161787">
              <w:rPr>
                <w:highlight w:val="black"/>
              </w:rPr>
              <w:t>redacted</w:t>
            </w:r>
            <w:r w:rsidRPr="00A02D3F">
              <w:rPr>
                <w:rStyle w:val="SmallBold"/>
                <w:rFonts w:ascii="Arial Narrow" w:hAnsi="Arial Narrow"/>
                <w:b w:val="0"/>
                <w:vertAlign w:val="superscript"/>
              </w:rPr>
              <w:t>3</w:t>
            </w:r>
          </w:p>
        </w:tc>
        <w:tc>
          <w:tcPr>
            <w:tcW w:w="611" w:type="pct"/>
            <w:tcBorders>
              <w:top w:val="single" w:sz="4" w:space="0" w:color="auto"/>
              <w:left w:val="nil"/>
              <w:bottom w:val="single" w:sz="4" w:space="0" w:color="auto"/>
              <w:right w:val="single" w:sz="4" w:space="0" w:color="auto"/>
            </w:tcBorders>
          </w:tcPr>
          <w:p w14:paraId="4D6DC68C" w14:textId="28B14F32" w:rsidR="00E8146A" w:rsidRPr="00A02D3F" w:rsidRDefault="00A02D3F" w:rsidP="00750703">
            <w:pPr>
              <w:pStyle w:val="Tabletext"/>
              <w:jc w:val="center"/>
              <w:rPr>
                <w:highlight w:val="lightGray"/>
              </w:rPr>
            </w:pPr>
            <w:r w:rsidRPr="00A02D3F">
              <w:t>-$</w:t>
            </w:r>
            <w:r w:rsidR="007332DC" w:rsidRPr="00161787">
              <w:rPr>
                <w:highlight w:val="black"/>
              </w:rPr>
              <w:t>redacted</w:t>
            </w:r>
            <w:r w:rsidRPr="00A02D3F">
              <w:rPr>
                <w:rStyle w:val="SmallBold"/>
                <w:rFonts w:ascii="Arial Narrow" w:hAnsi="Arial Narrow"/>
                <w:b w:val="0"/>
                <w:vertAlign w:val="superscript"/>
              </w:rPr>
              <w:t>3</w:t>
            </w:r>
          </w:p>
        </w:tc>
        <w:tc>
          <w:tcPr>
            <w:tcW w:w="611" w:type="pct"/>
            <w:tcBorders>
              <w:top w:val="single" w:sz="4" w:space="0" w:color="auto"/>
              <w:left w:val="nil"/>
              <w:bottom w:val="single" w:sz="4" w:space="0" w:color="auto"/>
              <w:right w:val="single" w:sz="4" w:space="0" w:color="auto"/>
            </w:tcBorders>
          </w:tcPr>
          <w:p w14:paraId="0766C6AC" w14:textId="3E76004A" w:rsidR="00E8146A" w:rsidRPr="00A02D3F" w:rsidRDefault="00A02D3F" w:rsidP="00750703">
            <w:pPr>
              <w:pStyle w:val="Tabletext"/>
              <w:jc w:val="center"/>
              <w:rPr>
                <w:highlight w:val="lightGray"/>
              </w:rPr>
            </w:pPr>
            <w:r w:rsidRPr="00A02D3F">
              <w:t>-$</w:t>
            </w:r>
            <w:r w:rsidR="007332DC" w:rsidRPr="00161787">
              <w:rPr>
                <w:highlight w:val="black"/>
              </w:rPr>
              <w:t>redacted</w:t>
            </w:r>
            <w:r w:rsidRPr="00A02D3F">
              <w:rPr>
                <w:rStyle w:val="SmallBold"/>
                <w:rFonts w:ascii="Arial Narrow" w:hAnsi="Arial Narrow"/>
                <w:b w:val="0"/>
                <w:vertAlign w:val="superscript"/>
              </w:rPr>
              <w:t>3</w:t>
            </w:r>
          </w:p>
        </w:tc>
      </w:tr>
      <w:tr w:rsidR="00622F53" w:rsidRPr="0098262F" w14:paraId="71940E47" w14:textId="77777777" w:rsidTr="00622F53">
        <w:tc>
          <w:tcPr>
            <w:tcW w:w="5000" w:type="pct"/>
            <w:gridSpan w:val="7"/>
            <w:tcBorders>
              <w:right w:val="single" w:sz="4" w:space="0" w:color="auto"/>
            </w:tcBorders>
            <w:vAlign w:val="center"/>
          </w:tcPr>
          <w:p w14:paraId="59D8E9F4" w14:textId="6BA69370" w:rsidR="00622F53" w:rsidRPr="00B8338C" w:rsidRDefault="00622F53" w:rsidP="00750703">
            <w:pPr>
              <w:pStyle w:val="Tabletext"/>
            </w:pPr>
            <w:r w:rsidRPr="006358F0">
              <w:rPr>
                <w:b/>
                <w:bCs/>
              </w:rPr>
              <w:t>Estimated financial implications for calcium folinate</w:t>
            </w:r>
          </w:p>
        </w:tc>
      </w:tr>
      <w:tr w:rsidR="000D0E3E" w:rsidRPr="0098262F" w14:paraId="24BF9F63" w14:textId="77777777" w:rsidTr="00CC3170">
        <w:tc>
          <w:tcPr>
            <w:tcW w:w="1334" w:type="pct"/>
            <w:vAlign w:val="center"/>
          </w:tcPr>
          <w:p w14:paraId="0812DD6C" w14:textId="29E39B66" w:rsidR="000D0E3E" w:rsidRPr="0098262F" w:rsidRDefault="000D0E3E" w:rsidP="00750703">
            <w:pPr>
              <w:pStyle w:val="Tabletext"/>
            </w:pPr>
            <w:r w:rsidRPr="0098262F">
              <w:t>Cost to PBS/RPBS less copayments</w:t>
            </w:r>
          </w:p>
        </w:tc>
        <w:tc>
          <w:tcPr>
            <w:tcW w:w="611" w:type="pct"/>
            <w:tcBorders>
              <w:top w:val="single" w:sz="4" w:space="0" w:color="auto"/>
              <w:left w:val="single" w:sz="4" w:space="0" w:color="auto"/>
              <w:bottom w:val="single" w:sz="4" w:space="0" w:color="auto"/>
              <w:right w:val="single" w:sz="4" w:space="0" w:color="auto"/>
            </w:tcBorders>
          </w:tcPr>
          <w:p w14:paraId="56C53A8B" w14:textId="2A9949F0" w:rsidR="000D0E3E" w:rsidRPr="00A02D3F" w:rsidRDefault="00A02D3F" w:rsidP="00750703">
            <w:pPr>
              <w:pStyle w:val="Tabletext"/>
              <w:jc w:val="center"/>
              <w:rPr>
                <w:highlight w:val="lightGray"/>
              </w:rPr>
            </w:pPr>
            <w:r w:rsidRPr="00A02D3F">
              <w:t>-$</w:t>
            </w:r>
            <w:r w:rsidR="007332DC" w:rsidRPr="00161787">
              <w:rPr>
                <w:highlight w:val="black"/>
              </w:rPr>
              <w:t>redacted</w:t>
            </w:r>
            <w:r w:rsidRPr="00A02D3F">
              <w:rPr>
                <w:rStyle w:val="SmallBold"/>
                <w:rFonts w:ascii="Arial Narrow" w:hAnsi="Arial Narrow"/>
                <w:b w:val="0"/>
                <w:vertAlign w:val="superscript"/>
              </w:rPr>
              <w:t>3</w:t>
            </w:r>
          </w:p>
        </w:tc>
        <w:tc>
          <w:tcPr>
            <w:tcW w:w="611" w:type="pct"/>
            <w:tcBorders>
              <w:top w:val="single" w:sz="4" w:space="0" w:color="auto"/>
              <w:left w:val="nil"/>
              <w:bottom w:val="single" w:sz="4" w:space="0" w:color="auto"/>
              <w:right w:val="single" w:sz="4" w:space="0" w:color="auto"/>
            </w:tcBorders>
          </w:tcPr>
          <w:p w14:paraId="6763DD2E" w14:textId="4E9381C6" w:rsidR="000D0E3E" w:rsidRPr="00A02D3F" w:rsidRDefault="00A02D3F" w:rsidP="00750703">
            <w:pPr>
              <w:pStyle w:val="Tabletext"/>
              <w:jc w:val="center"/>
              <w:rPr>
                <w:highlight w:val="lightGray"/>
              </w:rPr>
            </w:pPr>
            <w:r w:rsidRPr="00A02D3F">
              <w:t>-$</w:t>
            </w:r>
            <w:r w:rsidR="007332DC" w:rsidRPr="00161787">
              <w:rPr>
                <w:highlight w:val="black"/>
              </w:rPr>
              <w:t>redacted</w:t>
            </w:r>
            <w:r w:rsidRPr="00A02D3F">
              <w:rPr>
                <w:rStyle w:val="SmallBold"/>
                <w:rFonts w:ascii="Arial Narrow" w:hAnsi="Arial Narrow"/>
                <w:b w:val="0"/>
                <w:vertAlign w:val="superscript"/>
              </w:rPr>
              <w:t>3</w:t>
            </w:r>
          </w:p>
        </w:tc>
        <w:tc>
          <w:tcPr>
            <w:tcW w:w="611" w:type="pct"/>
            <w:tcBorders>
              <w:top w:val="single" w:sz="4" w:space="0" w:color="auto"/>
              <w:left w:val="nil"/>
              <w:bottom w:val="single" w:sz="4" w:space="0" w:color="auto"/>
              <w:right w:val="single" w:sz="4" w:space="0" w:color="auto"/>
            </w:tcBorders>
          </w:tcPr>
          <w:p w14:paraId="7D29231F" w14:textId="23E5E905" w:rsidR="000D0E3E" w:rsidRPr="00A02D3F" w:rsidRDefault="00A02D3F" w:rsidP="00750703">
            <w:pPr>
              <w:pStyle w:val="Tabletext"/>
              <w:jc w:val="center"/>
              <w:rPr>
                <w:highlight w:val="lightGray"/>
              </w:rPr>
            </w:pPr>
            <w:r w:rsidRPr="00A02D3F">
              <w:t>-$</w:t>
            </w:r>
            <w:r w:rsidR="007332DC" w:rsidRPr="00161787">
              <w:rPr>
                <w:highlight w:val="black"/>
              </w:rPr>
              <w:t>redacted</w:t>
            </w:r>
            <w:r w:rsidRPr="00A02D3F">
              <w:rPr>
                <w:rStyle w:val="SmallBold"/>
                <w:rFonts w:ascii="Arial Narrow" w:hAnsi="Arial Narrow"/>
                <w:b w:val="0"/>
                <w:vertAlign w:val="superscript"/>
              </w:rPr>
              <w:t>3</w:t>
            </w:r>
          </w:p>
        </w:tc>
        <w:tc>
          <w:tcPr>
            <w:tcW w:w="611" w:type="pct"/>
            <w:tcBorders>
              <w:top w:val="single" w:sz="4" w:space="0" w:color="auto"/>
              <w:left w:val="nil"/>
              <w:bottom w:val="single" w:sz="4" w:space="0" w:color="auto"/>
              <w:right w:val="single" w:sz="4" w:space="0" w:color="auto"/>
            </w:tcBorders>
          </w:tcPr>
          <w:p w14:paraId="2E354E4E" w14:textId="34EB8082" w:rsidR="000D0E3E" w:rsidRPr="00A02D3F" w:rsidRDefault="00A02D3F" w:rsidP="00750703">
            <w:pPr>
              <w:pStyle w:val="Tabletext"/>
              <w:jc w:val="center"/>
              <w:rPr>
                <w:highlight w:val="lightGray"/>
              </w:rPr>
            </w:pPr>
            <w:r w:rsidRPr="00A02D3F">
              <w:t>-$</w:t>
            </w:r>
            <w:r w:rsidR="007332DC" w:rsidRPr="00161787">
              <w:rPr>
                <w:highlight w:val="black"/>
              </w:rPr>
              <w:t>redacted</w:t>
            </w:r>
            <w:r w:rsidRPr="00A02D3F">
              <w:rPr>
                <w:rStyle w:val="SmallBold"/>
                <w:rFonts w:ascii="Arial Narrow" w:hAnsi="Arial Narrow"/>
                <w:b w:val="0"/>
                <w:vertAlign w:val="superscript"/>
              </w:rPr>
              <w:t>3</w:t>
            </w:r>
          </w:p>
        </w:tc>
        <w:tc>
          <w:tcPr>
            <w:tcW w:w="611" w:type="pct"/>
            <w:tcBorders>
              <w:top w:val="single" w:sz="4" w:space="0" w:color="auto"/>
              <w:left w:val="nil"/>
              <w:bottom w:val="single" w:sz="4" w:space="0" w:color="auto"/>
              <w:right w:val="single" w:sz="4" w:space="0" w:color="auto"/>
            </w:tcBorders>
          </w:tcPr>
          <w:p w14:paraId="4E09CB7F" w14:textId="2D4F594A" w:rsidR="000D0E3E" w:rsidRPr="00A02D3F" w:rsidRDefault="00A02D3F" w:rsidP="00750703">
            <w:pPr>
              <w:pStyle w:val="Tabletext"/>
              <w:jc w:val="center"/>
              <w:rPr>
                <w:highlight w:val="lightGray"/>
              </w:rPr>
            </w:pPr>
            <w:r w:rsidRPr="00A02D3F">
              <w:t>-$</w:t>
            </w:r>
            <w:r w:rsidR="007332DC" w:rsidRPr="00161787">
              <w:rPr>
                <w:highlight w:val="black"/>
              </w:rPr>
              <w:t>redacted</w:t>
            </w:r>
            <w:r w:rsidRPr="00A02D3F">
              <w:rPr>
                <w:rStyle w:val="SmallBold"/>
                <w:rFonts w:ascii="Arial Narrow" w:hAnsi="Arial Narrow"/>
                <w:b w:val="0"/>
                <w:vertAlign w:val="superscript"/>
              </w:rPr>
              <w:t>3</w:t>
            </w:r>
          </w:p>
        </w:tc>
        <w:tc>
          <w:tcPr>
            <w:tcW w:w="611" w:type="pct"/>
            <w:tcBorders>
              <w:top w:val="single" w:sz="4" w:space="0" w:color="auto"/>
              <w:left w:val="nil"/>
              <w:bottom w:val="single" w:sz="4" w:space="0" w:color="auto"/>
              <w:right w:val="single" w:sz="4" w:space="0" w:color="auto"/>
            </w:tcBorders>
          </w:tcPr>
          <w:p w14:paraId="68D093B6" w14:textId="0BDC25A8" w:rsidR="000D0E3E" w:rsidRPr="00A02D3F" w:rsidRDefault="00A02D3F" w:rsidP="00750703">
            <w:pPr>
              <w:pStyle w:val="Tabletext"/>
              <w:jc w:val="center"/>
              <w:rPr>
                <w:highlight w:val="lightGray"/>
              </w:rPr>
            </w:pPr>
            <w:r w:rsidRPr="00A02D3F">
              <w:t>-$</w:t>
            </w:r>
            <w:r w:rsidR="007332DC" w:rsidRPr="00161787">
              <w:rPr>
                <w:highlight w:val="black"/>
              </w:rPr>
              <w:t>redacted</w:t>
            </w:r>
            <w:r w:rsidRPr="00A02D3F">
              <w:rPr>
                <w:rStyle w:val="SmallBold"/>
                <w:rFonts w:ascii="Arial Narrow" w:hAnsi="Arial Narrow"/>
                <w:b w:val="0"/>
                <w:vertAlign w:val="superscript"/>
              </w:rPr>
              <w:t>3</w:t>
            </w:r>
          </w:p>
        </w:tc>
      </w:tr>
      <w:tr w:rsidR="00B8338C" w:rsidRPr="0098262F" w14:paraId="4FA07BD8" w14:textId="77777777" w:rsidTr="009C3A3A">
        <w:tc>
          <w:tcPr>
            <w:tcW w:w="5000" w:type="pct"/>
            <w:gridSpan w:val="7"/>
            <w:vAlign w:val="center"/>
          </w:tcPr>
          <w:p w14:paraId="1A627EA0" w14:textId="01AD2F6B" w:rsidR="00B8338C" w:rsidRPr="006358F0" w:rsidRDefault="00B8338C" w:rsidP="00750703">
            <w:pPr>
              <w:pStyle w:val="Tabletext"/>
              <w:rPr>
                <w:b/>
                <w:bCs/>
              </w:rPr>
            </w:pPr>
            <w:r w:rsidRPr="006358F0">
              <w:rPr>
                <w:b/>
                <w:bCs/>
              </w:rPr>
              <w:t>Net financial implications</w:t>
            </w:r>
            <w:r w:rsidRPr="006358F0">
              <w:rPr>
                <w:b/>
                <w:bCs/>
                <w:color w:val="4BACC6" w:themeColor="accent5"/>
              </w:rPr>
              <w:t xml:space="preserve"> </w:t>
            </w:r>
          </w:p>
        </w:tc>
      </w:tr>
      <w:tr w:rsidR="00B8338C" w:rsidRPr="0098262F" w14:paraId="3F33D4C6" w14:textId="77777777">
        <w:tc>
          <w:tcPr>
            <w:tcW w:w="1334" w:type="pct"/>
            <w:vAlign w:val="center"/>
          </w:tcPr>
          <w:p w14:paraId="5ABBDE64" w14:textId="77777777" w:rsidR="00B8338C" w:rsidRPr="0098262F" w:rsidRDefault="00B8338C" w:rsidP="00750703">
            <w:pPr>
              <w:pStyle w:val="Tabletext"/>
            </w:pPr>
            <w:r w:rsidRPr="0098262F">
              <w:t>Net cost to PBS/RPBS</w:t>
            </w:r>
          </w:p>
        </w:tc>
        <w:tc>
          <w:tcPr>
            <w:tcW w:w="611" w:type="pct"/>
          </w:tcPr>
          <w:p w14:paraId="744F82C2" w14:textId="077DEEB9" w:rsidR="00B8338C" w:rsidRPr="00A02D3F" w:rsidRDefault="00A02D3F" w:rsidP="00750703">
            <w:pPr>
              <w:pStyle w:val="Tabletext"/>
              <w:jc w:val="center"/>
              <w:rPr>
                <w:highlight w:val="lightGray"/>
              </w:rPr>
            </w:pPr>
            <w:r w:rsidRPr="00A02D3F">
              <w:rPr>
                <w:rStyle w:val="SmallBold"/>
                <w:rFonts w:ascii="Arial Narrow" w:hAnsi="Arial Narrow"/>
                <w:b w:val="0"/>
              </w:rPr>
              <w:t>$</w:t>
            </w:r>
            <w:r w:rsidR="007332DC" w:rsidRPr="00161787">
              <w:rPr>
                <w:rStyle w:val="SmallBold"/>
                <w:rFonts w:ascii="Arial Narrow" w:hAnsi="Arial Narrow"/>
                <w:b w:val="0"/>
                <w:highlight w:val="black"/>
              </w:rPr>
              <w:t>redacted</w:t>
            </w:r>
            <w:r w:rsidRPr="00A02D3F">
              <w:rPr>
                <w:rStyle w:val="SmallBold"/>
                <w:rFonts w:ascii="Arial Narrow" w:hAnsi="Arial Narrow"/>
                <w:b w:val="0"/>
                <w:vertAlign w:val="superscript"/>
              </w:rPr>
              <w:t>3</w:t>
            </w:r>
          </w:p>
        </w:tc>
        <w:tc>
          <w:tcPr>
            <w:tcW w:w="611" w:type="pct"/>
          </w:tcPr>
          <w:p w14:paraId="295843EA" w14:textId="6714F27E" w:rsidR="00B8338C" w:rsidRPr="00A02D3F" w:rsidRDefault="00A02D3F" w:rsidP="00750703">
            <w:pPr>
              <w:pStyle w:val="Tabletext"/>
              <w:jc w:val="center"/>
              <w:rPr>
                <w:highlight w:val="lightGray"/>
              </w:rPr>
            </w:pPr>
            <w:r w:rsidRPr="00A02D3F">
              <w:rPr>
                <w:rStyle w:val="SmallBold"/>
                <w:rFonts w:ascii="Arial Narrow" w:hAnsi="Arial Narrow"/>
                <w:b w:val="0"/>
              </w:rPr>
              <w:t>$</w:t>
            </w:r>
            <w:r w:rsidR="007332DC" w:rsidRPr="00161787">
              <w:rPr>
                <w:rStyle w:val="SmallBold"/>
                <w:rFonts w:ascii="Arial Narrow" w:hAnsi="Arial Narrow"/>
                <w:b w:val="0"/>
                <w:highlight w:val="black"/>
              </w:rPr>
              <w:t>redacted</w:t>
            </w:r>
            <w:r w:rsidRPr="00A02D3F">
              <w:rPr>
                <w:rStyle w:val="SmallBold"/>
                <w:rFonts w:ascii="Arial Narrow" w:hAnsi="Arial Narrow"/>
                <w:b w:val="0"/>
                <w:vertAlign w:val="superscript"/>
              </w:rPr>
              <w:t>3</w:t>
            </w:r>
          </w:p>
        </w:tc>
        <w:tc>
          <w:tcPr>
            <w:tcW w:w="611" w:type="pct"/>
          </w:tcPr>
          <w:p w14:paraId="3A32302A" w14:textId="21E7CE6C" w:rsidR="00B8338C" w:rsidRPr="00A02D3F" w:rsidRDefault="00A02D3F" w:rsidP="00750703">
            <w:pPr>
              <w:pStyle w:val="Tabletext"/>
              <w:jc w:val="center"/>
              <w:rPr>
                <w:highlight w:val="lightGray"/>
              </w:rPr>
            </w:pPr>
            <w:r w:rsidRPr="00A02D3F">
              <w:rPr>
                <w:rStyle w:val="SmallBold"/>
                <w:rFonts w:ascii="Arial Narrow" w:hAnsi="Arial Narrow"/>
                <w:b w:val="0"/>
              </w:rPr>
              <w:t>$</w:t>
            </w:r>
            <w:r w:rsidR="007332DC" w:rsidRPr="00161787">
              <w:rPr>
                <w:rStyle w:val="SmallBold"/>
                <w:rFonts w:ascii="Arial Narrow" w:hAnsi="Arial Narrow"/>
                <w:b w:val="0"/>
                <w:highlight w:val="black"/>
              </w:rPr>
              <w:t>redacted</w:t>
            </w:r>
            <w:r w:rsidRPr="00A02D3F">
              <w:rPr>
                <w:rStyle w:val="SmallBold"/>
                <w:rFonts w:ascii="Arial Narrow" w:hAnsi="Arial Narrow"/>
                <w:b w:val="0"/>
                <w:vertAlign w:val="superscript"/>
              </w:rPr>
              <w:t>3</w:t>
            </w:r>
          </w:p>
        </w:tc>
        <w:tc>
          <w:tcPr>
            <w:tcW w:w="611" w:type="pct"/>
          </w:tcPr>
          <w:p w14:paraId="326E9207" w14:textId="34233A74" w:rsidR="00B8338C" w:rsidRPr="00A02D3F" w:rsidRDefault="00A02D3F" w:rsidP="00750703">
            <w:pPr>
              <w:pStyle w:val="Tabletext"/>
              <w:jc w:val="center"/>
              <w:rPr>
                <w:highlight w:val="lightGray"/>
              </w:rPr>
            </w:pPr>
            <w:r w:rsidRPr="00A02D3F">
              <w:rPr>
                <w:rStyle w:val="SmallBold"/>
                <w:rFonts w:ascii="Arial Narrow" w:hAnsi="Arial Narrow"/>
                <w:b w:val="0"/>
              </w:rPr>
              <w:t>$</w:t>
            </w:r>
            <w:r w:rsidR="007332DC" w:rsidRPr="00161787">
              <w:rPr>
                <w:rStyle w:val="SmallBold"/>
                <w:rFonts w:ascii="Arial Narrow" w:hAnsi="Arial Narrow"/>
                <w:b w:val="0"/>
                <w:highlight w:val="black"/>
              </w:rPr>
              <w:t>redacted</w:t>
            </w:r>
            <w:r w:rsidRPr="00A02D3F">
              <w:rPr>
                <w:rStyle w:val="SmallBold"/>
                <w:rFonts w:ascii="Arial Narrow" w:hAnsi="Arial Narrow"/>
                <w:b w:val="0"/>
                <w:vertAlign w:val="superscript"/>
              </w:rPr>
              <w:t>3</w:t>
            </w:r>
          </w:p>
        </w:tc>
        <w:tc>
          <w:tcPr>
            <w:tcW w:w="611" w:type="pct"/>
          </w:tcPr>
          <w:p w14:paraId="56E4D70E" w14:textId="252EB89D" w:rsidR="00B8338C" w:rsidRPr="00A02D3F" w:rsidRDefault="00A02D3F" w:rsidP="00750703">
            <w:pPr>
              <w:pStyle w:val="Tabletext"/>
              <w:jc w:val="center"/>
              <w:rPr>
                <w:highlight w:val="lightGray"/>
              </w:rPr>
            </w:pPr>
            <w:r w:rsidRPr="00A02D3F">
              <w:rPr>
                <w:rStyle w:val="SmallBold"/>
                <w:rFonts w:ascii="Arial Narrow" w:hAnsi="Arial Narrow"/>
                <w:b w:val="0"/>
              </w:rPr>
              <w:t>$</w:t>
            </w:r>
            <w:r w:rsidR="007332DC" w:rsidRPr="00161787">
              <w:rPr>
                <w:rStyle w:val="SmallBold"/>
                <w:rFonts w:ascii="Arial Narrow" w:hAnsi="Arial Narrow"/>
                <w:b w:val="0"/>
                <w:highlight w:val="black"/>
              </w:rPr>
              <w:t>redacted</w:t>
            </w:r>
            <w:r w:rsidRPr="00A02D3F">
              <w:rPr>
                <w:rStyle w:val="SmallBold"/>
                <w:rFonts w:ascii="Arial Narrow" w:hAnsi="Arial Narrow"/>
                <w:b w:val="0"/>
                <w:vertAlign w:val="superscript"/>
              </w:rPr>
              <w:t>3</w:t>
            </w:r>
          </w:p>
        </w:tc>
        <w:tc>
          <w:tcPr>
            <w:tcW w:w="611" w:type="pct"/>
          </w:tcPr>
          <w:p w14:paraId="241B1CFD" w14:textId="5237BD0F" w:rsidR="00B8338C" w:rsidRPr="00A02D3F" w:rsidRDefault="00A02D3F" w:rsidP="00750703">
            <w:pPr>
              <w:pStyle w:val="Tabletext"/>
              <w:jc w:val="center"/>
              <w:rPr>
                <w:highlight w:val="lightGray"/>
              </w:rPr>
            </w:pPr>
            <w:r w:rsidRPr="00A02D3F">
              <w:rPr>
                <w:rStyle w:val="SmallBold"/>
                <w:rFonts w:ascii="Arial Narrow" w:hAnsi="Arial Narrow"/>
                <w:b w:val="0"/>
              </w:rPr>
              <w:t>$</w:t>
            </w:r>
            <w:r w:rsidR="007332DC" w:rsidRPr="00161787">
              <w:rPr>
                <w:rStyle w:val="SmallBold"/>
                <w:rFonts w:ascii="Arial Narrow" w:hAnsi="Arial Narrow"/>
                <w:b w:val="0"/>
                <w:highlight w:val="black"/>
              </w:rPr>
              <w:t>redacted</w:t>
            </w:r>
            <w:r w:rsidRPr="00A02D3F">
              <w:rPr>
                <w:rStyle w:val="SmallBold"/>
                <w:rFonts w:ascii="Arial Narrow" w:hAnsi="Arial Narrow"/>
                <w:b w:val="0"/>
                <w:vertAlign w:val="superscript"/>
              </w:rPr>
              <w:t>3</w:t>
            </w:r>
          </w:p>
        </w:tc>
      </w:tr>
      <w:tr w:rsidR="00B8338C" w:rsidRPr="0098262F" w14:paraId="571B64F4" w14:textId="77777777" w:rsidTr="00B8338C">
        <w:tc>
          <w:tcPr>
            <w:tcW w:w="1334" w:type="pct"/>
            <w:vAlign w:val="center"/>
          </w:tcPr>
          <w:p w14:paraId="427698FB" w14:textId="3CEEEC03" w:rsidR="00B8338C" w:rsidRPr="0098262F" w:rsidRDefault="00B8338C" w:rsidP="00750703">
            <w:pPr>
              <w:pStyle w:val="Tabletext"/>
            </w:pPr>
            <w:r w:rsidRPr="0098262F">
              <w:t>Net cost to MBS</w:t>
            </w:r>
          </w:p>
        </w:tc>
        <w:tc>
          <w:tcPr>
            <w:tcW w:w="611" w:type="pct"/>
            <w:tcBorders>
              <w:top w:val="single" w:sz="4" w:space="0" w:color="auto"/>
              <w:left w:val="single" w:sz="4" w:space="0" w:color="auto"/>
              <w:bottom w:val="single" w:sz="4" w:space="0" w:color="auto"/>
              <w:right w:val="single" w:sz="4" w:space="0" w:color="auto"/>
            </w:tcBorders>
            <w:vAlign w:val="center"/>
          </w:tcPr>
          <w:p w14:paraId="5AD7A1FC" w14:textId="65F7F2A5" w:rsidR="00B8338C" w:rsidRPr="00A02D3F" w:rsidRDefault="00A02D3F" w:rsidP="00750703">
            <w:pPr>
              <w:pStyle w:val="Tabletext"/>
              <w:jc w:val="center"/>
              <w:rPr>
                <w:highlight w:val="lightGray"/>
              </w:rPr>
            </w:pPr>
            <w:r w:rsidRPr="00A02D3F">
              <w:t>$</w:t>
            </w:r>
            <w:r w:rsidR="007332DC" w:rsidRPr="00161787">
              <w:rPr>
                <w:highlight w:val="black"/>
              </w:rPr>
              <w:t>redacted</w:t>
            </w:r>
            <w:r w:rsidRPr="00A02D3F">
              <w:rPr>
                <w:rStyle w:val="SmallBold"/>
                <w:rFonts w:ascii="Arial Narrow" w:hAnsi="Arial Narrow"/>
                <w:b w:val="0"/>
                <w:vertAlign w:val="superscript"/>
              </w:rPr>
              <w:t>3</w:t>
            </w:r>
          </w:p>
        </w:tc>
        <w:tc>
          <w:tcPr>
            <w:tcW w:w="611" w:type="pct"/>
            <w:tcBorders>
              <w:top w:val="single" w:sz="4" w:space="0" w:color="auto"/>
              <w:left w:val="nil"/>
              <w:bottom w:val="single" w:sz="4" w:space="0" w:color="auto"/>
              <w:right w:val="single" w:sz="4" w:space="0" w:color="auto"/>
            </w:tcBorders>
            <w:vAlign w:val="center"/>
          </w:tcPr>
          <w:p w14:paraId="1D6E215B" w14:textId="3B6F5FFD" w:rsidR="00B8338C" w:rsidRPr="00A02D3F" w:rsidRDefault="00A02D3F" w:rsidP="00750703">
            <w:pPr>
              <w:pStyle w:val="Tabletext"/>
              <w:jc w:val="center"/>
              <w:rPr>
                <w:highlight w:val="lightGray"/>
              </w:rPr>
            </w:pPr>
            <w:r w:rsidRPr="00A02D3F">
              <w:t>$</w:t>
            </w:r>
            <w:r w:rsidR="007332DC" w:rsidRPr="00161787">
              <w:rPr>
                <w:highlight w:val="black"/>
              </w:rPr>
              <w:t>redacted</w:t>
            </w:r>
            <w:r w:rsidRPr="00A02D3F">
              <w:rPr>
                <w:rStyle w:val="SmallBold"/>
                <w:rFonts w:ascii="Arial Narrow" w:hAnsi="Arial Narrow"/>
                <w:b w:val="0"/>
                <w:vertAlign w:val="superscript"/>
              </w:rPr>
              <w:t>3</w:t>
            </w:r>
          </w:p>
        </w:tc>
        <w:tc>
          <w:tcPr>
            <w:tcW w:w="611" w:type="pct"/>
            <w:tcBorders>
              <w:top w:val="single" w:sz="4" w:space="0" w:color="auto"/>
              <w:left w:val="nil"/>
              <w:bottom w:val="single" w:sz="4" w:space="0" w:color="auto"/>
              <w:right w:val="single" w:sz="4" w:space="0" w:color="auto"/>
            </w:tcBorders>
            <w:vAlign w:val="center"/>
          </w:tcPr>
          <w:p w14:paraId="25026D9D" w14:textId="465B30E0" w:rsidR="00B8338C" w:rsidRPr="00A02D3F" w:rsidRDefault="00A02D3F" w:rsidP="00750703">
            <w:pPr>
              <w:pStyle w:val="Tabletext"/>
              <w:jc w:val="center"/>
              <w:rPr>
                <w:highlight w:val="lightGray"/>
              </w:rPr>
            </w:pPr>
            <w:r w:rsidRPr="00A02D3F">
              <w:t>$</w:t>
            </w:r>
            <w:r w:rsidR="007332DC" w:rsidRPr="00161787">
              <w:rPr>
                <w:highlight w:val="black"/>
              </w:rPr>
              <w:t>redacted</w:t>
            </w:r>
            <w:r w:rsidRPr="00A02D3F">
              <w:rPr>
                <w:rStyle w:val="SmallBold"/>
                <w:rFonts w:ascii="Arial Narrow" w:hAnsi="Arial Narrow"/>
                <w:b w:val="0"/>
                <w:vertAlign w:val="superscript"/>
              </w:rPr>
              <w:t>3</w:t>
            </w:r>
          </w:p>
        </w:tc>
        <w:tc>
          <w:tcPr>
            <w:tcW w:w="611" w:type="pct"/>
            <w:tcBorders>
              <w:top w:val="single" w:sz="4" w:space="0" w:color="auto"/>
              <w:left w:val="nil"/>
              <w:bottom w:val="single" w:sz="4" w:space="0" w:color="auto"/>
              <w:right w:val="single" w:sz="4" w:space="0" w:color="auto"/>
            </w:tcBorders>
            <w:vAlign w:val="center"/>
          </w:tcPr>
          <w:p w14:paraId="6933D36F" w14:textId="3F555939" w:rsidR="00B8338C" w:rsidRPr="00A02D3F" w:rsidRDefault="00A02D3F" w:rsidP="00750703">
            <w:pPr>
              <w:pStyle w:val="Tabletext"/>
              <w:jc w:val="center"/>
              <w:rPr>
                <w:highlight w:val="lightGray"/>
              </w:rPr>
            </w:pPr>
            <w:r w:rsidRPr="00A02D3F">
              <w:t>$</w:t>
            </w:r>
            <w:r w:rsidR="007332DC" w:rsidRPr="00161787">
              <w:rPr>
                <w:highlight w:val="black"/>
              </w:rPr>
              <w:t>redacted</w:t>
            </w:r>
            <w:r w:rsidRPr="00A02D3F">
              <w:rPr>
                <w:rStyle w:val="SmallBold"/>
                <w:rFonts w:ascii="Arial Narrow" w:hAnsi="Arial Narrow"/>
                <w:b w:val="0"/>
                <w:vertAlign w:val="superscript"/>
              </w:rPr>
              <w:t>3</w:t>
            </w:r>
          </w:p>
        </w:tc>
        <w:tc>
          <w:tcPr>
            <w:tcW w:w="611" w:type="pct"/>
            <w:tcBorders>
              <w:top w:val="single" w:sz="4" w:space="0" w:color="auto"/>
              <w:left w:val="nil"/>
              <w:bottom w:val="single" w:sz="4" w:space="0" w:color="auto"/>
              <w:right w:val="single" w:sz="4" w:space="0" w:color="auto"/>
            </w:tcBorders>
            <w:vAlign w:val="center"/>
          </w:tcPr>
          <w:p w14:paraId="04433A65" w14:textId="3F74A431" w:rsidR="00B8338C" w:rsidRPr="00A02D3F" w:rsidRDefault="00A02D3F" w:rsidP="00750703">
            <w:pPr>
              <w:pStyle w:val="Tabletext"/>
              <w:jc w:val="center"/>
              <w:rPr>
                <w:highlight w:val="lightGray"/>
              </w:rPr>
            </w:pPr>
            <w:r w:rsidRPr="00A02D3F">
              <w:t>$</w:t>
            </w:r>
            <w:r w:rsidR="007332DC" w:rsidRPr="00161787">
              <w:rPr>
                <w:highlight w:val="black"/>
              </w:rPr>
              <w:t>redacted</w:t>
            </w:r>
            <w:r w:rsidRPr="00A02D3F">
              <w:rPr>
                <w:rStyle w:val="SmallBold"/>
                <w:rFonts w:ascii="Arial Narrow" w:hAnsi="Arial Narrow"/>
                <w:b w:val="0"/>
                <w:vertAlign w:val="superscript"/>
              </w:rPr>
              <w:t>3</w:t>
            </w:r>
          </w:p>
        </w:tc>
        <w:tc>
          <w:tcPr>
            <w:tcW w:w="611" w:type="pct"/>
            <w:tcBorders>
              <w:top w:val="single" w:sz="4" w:space="0" w:color="auto"/>
              <w:left w:val="nil"/>
              <w:bottom w:val="single" w:sz="4" w:space="0" w:color="auto"/>
              <w:right w:val="single" w:sz="4" w:space="0" w:color="auto"/>
            </w:tcBorders>
            <w:vAlign w:val="center"/>
          </w:tcPr>
          <w:p w14:paraId="2223EBD7" w14:textId="3B2244FE" w:rsidR="00B8338C" w:rsidRPr="00A02D3F" w:rsidRDefault="00A02D3F" w:rsidP="00750703">
            <w:pPr>
              <w:pStyle w:val="Tabletext"/>
              <w:jc w:val="center"/>
              <w:rPr>
                <w:highlight w:val="lightGray"/>
              </w:rPr>
            </w:pPr>
            <w:r w:rsidRPr="00A02D3F">
              <w:t>$</w:t>
            </w:r>
            <w:r w:rsidR="007332DC" w:rsidRPr="00161787">
              <w:rPr>
                <w:highlight w:val="black"/>
              </w:rPr>
              <w:t>redacted</w:t>
            </w:r>
            <w:r w:rsidRPr="00A02D3F">
              <w:rPr>
                <w:rStyle w:val="SmallBold"/>
                <w:rFonts w:ascii="Arial Narrow" w:hAnsi="Arial Narrow"/>
                <w:b w:val="0"/>
                <w:vertAlign w:val="superscript"/>
              </w:rPr>
              <w:t>3</w:t>
            </w:r>
          </w:p>
        </w:tc>
      </w:tr>
    </w:tbl>
    <w:p w14:paraId="0D4EDF6F" w14:textId="4CBF7E26" w:rsidR="00D45C39" w:rsidRDefault="00620C25" w:rsidP="00750703">
      <w:pPr>
        <w:pStyle w:val="FooterTableFigure"/>
      </w:pPr>
      <w:r w:rsidRPr="0098262F">
        <w:t>Source: Table</w:t>
      </w:r>
      <w:r w:rsidR="00B8338C">
        <w:t>s 4.6, 4.7, 4.12, 4.13, 4.15. 4.16</w:t>
      </w:r>
      <w:r w:rsidR="00176358">
        <w:t>,</w:t>
      </w:r>
      <w:r w:rsidR="00B8338C">
        <w:t xml:space="preserve"> pp</w:t>
      </w:r>
      <w:r w:rsidR="00685FB3">
        <w:t xml:space="preserve"> </w:t>
      </w:r>
      <w:r w:rsidR="00B8338C">
        <w:t>93</w:t>
      </w:r>
      <w:r w:rsidR="00750703">
        <w:noBreakHyphen/>
      </w:r>
      <w:r w:rsidR="00B8338C">
        <w:t>102 of the submission</w:t>
      </w:r>
      <w:r w:rsidR="00D67D1B">
        <w:t xml:space="preserve"> and </w:t>
      </w:r>
      <w:r w:rsidR="00C4312E" w:rsidRPr="00085E4E">
        <w:t xml:space="preserve">Financial Estimates </w:t>
      </w:r>
      <w:r w:rsidR="00D67D1B">
        <w:t>Workbook</w:t>
      </w:r>
      <w:r w:rsidR="00C80548">
        <w:t>.</w:t>
      </w:r>
    </w:p>
    <w:p w14:paraId="137FFEB5" w14:textId="77777777" w:rsidR="0055345F" w:rsidRDefault="00D45C39" w:rsidP="0055345F">
      <w:pPr>
        <w:pStyle w:val="FooterTableFigure"/>
      </w:pPr>
      <w:r>
        <w:t xml:space="preserve">Note: </w:t>
      </w:r>
      <w:r w:rsidR="00024848">
        <w:t>The submission estimated that patient c</w:t>
      </w:r>
      <w:r w:rsidR="003C7978">
        <w:t xml:space="preserve">opayments </w:t>
      </w:r>
      <w:r w:rsidR="00024848">
        <w:t xml:space="preserve">would </w:t>
      </w:r>
      <w:r w:rsidR="007A2D8B">
        <w:t>offset the cost to the PBS/RPBS for</w:t>
      </w:r>
      <w:r w:rsidR="003C7978">
        <w:t xml:space="preserve"> ondansetron</w:t>
      </w:r>
      <w:r w:rsidR="00F94A9C">
        <w:t>.</w:t>
      </w:r>
      <w:r w:rsidR="00C80548">
        <w:t xml:space="preserve"> </w:t>
      </w:r>
    </w:p>
    <w:p w14:paraId="7E0B235C" w14:textId="75031D17" w:rsidR="0055345F" w:rsidRPr="00AF0100" w:rsidRDefault="0055345F" w:rsidP="0055345F">
      <w:pPr>
        <w:pStyle w:val="FooterTableFigure"/>
        <w:rPr>
          <w:i/>
          <w:iCs/>
        </w:rPr>
      </w:pPr>
      <w:r w:rsidRPr="00161787">
        <w:rPr>
          <w:i/>
          <w:iCs/>
        </w:rPr>
        <w:t>The redacted</w:t>
      </w:r>
      <w:r w:rsidRPr="00AF0100">
        <w:rPr>
          <w:i/>
          <w:iCs/>
        </w:rPr>
        <w:t xml:space="preserve"> values correspond to the following ranges: </w:t>
      </w:r>
    </w:p>
    <w:p w14:paraId="5CE3B801" w14:textId="77777777" w:rsidR="00FB7547" w:rsidRPr="00AF0100" w:rsidRDefault="0055345F" w:rsidP="00FB7547">
      <w:pPr>
        <w:pStyle w:val="FooterTableFigure"/>
        <w:rPr>
          <w:i/>
          <w:iCs/>
        </w:rPr>
      </w:pPr>
      <w:r w:rsidRPr="00AF0100">
        <w:rPr>
          <w:i/>
          <w:iCs/>
          <w:vertAlign w:val="superscript"/>
        </w:rPr>
        <w:t>1</w:t>
      </w:r>
      <w:r w:rsidR="00FB7547" w:rsidRPr="00AF0100">
        <w:rPr>
          <w:i/>
          <w:iCs/>
          <w:vertAlign w:val="superscript"/>
        </w:rPr>
        <w:t xml:space="preserve"> </w:t>
      </w:r>
      <w:r w:rsidR="00FB7547" w:rsidRPr="00AF0100">
        <w:rPr>
          <w:i/>
          <w:iCs/>
        </w:rPr>
        <w:t>&lt; 500</w:t>
      </w:r>
    </w:p>
    <w:p w14:paraId="57D71AE3" w14:textId="77777777" w:rsidR="00A02D3F" w:rsidRPr="00AF0100" w:rsidRDefault="00FB7547" w:rsidP="00FB7547">
      <w:pPr>
        <w:pStyle w:val="FooterTableFigure"/>
        <w:rPr>
          <w:i/>
          <w:iCs/>
        </w:rPr>
      </w:pPr>
      <w:r w:rsidRPr="00AF0100">
        <w:rPr>
          <w:i/>
          <w:iCs/>
          <w:vertAlign w:val="superscript"/>
        </w:rPr>
        <w:t>2</w:t>
      </w:r>
      <w:r w:rsidRPr="00AF0100">
        <w:rPr>
          <w:i/>
          <w:iCs/>
        </w:rPr>
        <w:t xml:space="preserve"> 500 to &lt; 5,000</w:t>
      </w:r>
      <w:r w:rsidR="00A02D3F" w:rsidRPr="00AF0100">
        <w:rPr>
          <w:i/>
          <w:iCs/>
        </w:rPr>
        <w:t xml:space="preserve"> </w:t>
      </w:r>
    </w:p>
    <w:p w14:paraId="484CF5B6" w14:textId="258AC5E8" w:rsidR="00620C25" w:rsidRPr="00AF0100" w:rsidRDefault="00A02D3F" w:rsidP="00FB7547">
      <w:pPr>
        <w:pStyle w:val="FooterTableFigure"/>
        <w:rPr>
          <w:i/>
          <w:iCs/>
        </w:rPr>
      </w:pPr>
      <w:r w:rsidRPr="00AF0100">
        <w:rPr>
          <w:i/>
          <w:iCs/>
          <w:vertAlign w:val="superscript"/>
        </w:rPr>
        <w:t>3</w:t>
      </w:r>
      <w:r w:rsidRPr="00AF0100">
        <w:rPr>
          <w:i/>
          <w:iCs/>
        </w:rPr>
        <w:t xml:space="preserve"> $0 to &lt; $10 million</w:t>
      </w:r>
    </w:p>
    <w:p w14:paraId="28B69CC9" w14:textId="005378D2" w:rsidR="008C68B0" w:rsidRPr="008C68B0" w:rsidRDefault="00426D7C" w:rsidP="00750703">
      <w:pPr>
        <w:pStyle w:val="3-BodyText"/>
        <w:spacing w:before="160" w:after="160"/>
        <w:ind w:left="720"/>
      </w:pPr>
      <w:r w:rsidRPr="00286CAC">
        <w:t>The total cost to the PBS/RPBS of listing romidepsin was estimated to be $</w:t>
      </w:r>
      <w:r w:rsidR="00077FC6" w:rsidRPr="00077FC6">
        <w:t>0 to &lt; $10 million</w:t>
      </w:r>
      <w:r w:rsidR="00077FC6">
        <w:t xml:space="preserve"> </w:t>
      </w:r>
      <w:r w:rsidRPr="00286CAC">
        <w:t>in Year 6, and a total of $</w:t>
      </w:r>
      <w:r w:rsidR="00380393" w:rsidRPr="00380393">
        <w:t>10 million to &lt; $20 million</w:t>
      </w:r>
      <w:r w:rsidR="00380393">
        <w:t xml:space="preserve"> </w:t>
      </w:r>
      <w:r w:rsidRPr="00286CAC">
        <w:t>in the first 6 years of listing</w:t>
      </w:r>
      <w:r w:rsidR="00000533" w:rsidRPr="00286CAC">
        <w:rPr>
          <w:color w:val="3366FF"/>
        </w:rPr>
        <w:t xml:space="preserve">. </w:t>
      </w:r>
    </w:p>
    <w:p w14:paraId="387C3AD9" w14:textId="2F2810F4" w:rsidR="00923530" w:rsidRPr="00102077" w:rsidRDefault="00923530" w:rsidP="00750703">
      <w:pPr>
        <w:pStyle w:val="3-BodyText"/>
        <w:spacing w:before="160" w:after="160"/>
        <w:ind w:left="720"/>
      </w:pPr>
      <w:r w:rsidRPr="00102077">
        <w:t xml:space="preserve">The ESC considered that the net cost to the PBS/RPBS of listing romidepsin on the PBS </w:t>
      </w:r>
      <w:r w:rsidR="005F7439" w:rsidRPr="00102077">
        <w:t>was</w:t>
      </w:r>
      <w:r w:rsidRPr="00102077">
        <w:t xml:space="preserve"> </w:t>
      </w:r>
      <w:r w:rsidR="00593027" w:rsidRPr="00102077">
        <w:t xml:space="preserve">uncertain and likely </w:t>
      </w:r>
      <w:r w:rsidRPr="00102077">
        <w:t>underestimated, given:</w:t>
      </w:r>
    </w:p>
    <w:p w14:paraId="50909708" w14:textId="51F9F0FE" w:rsidR="005E7F71" w:rsidRPr="00102077" w:rsidRDefault="008C68B0" w:rsidP="00750703">
      <w:pPr>
        <w:pStyle w:val="3-BodyText"/>
        <w:numPr>
          <w:ilvl w:val="0"/>
          <w:numId w:val="15"/>
        </w:numPr>
        <w:spacing w:before="160" w:after="160"/>
      </w:pPr>
      <w:r w:rsidRPr="00102077">
        <w:t>romidepsin and pralatrexate</w:t>
      </w:r>
      <w:r w:rsidR="00A261E3" w:rsidRPr="00102077">
        <w:t xml:space="preserve"> </w:t>
      </w:r>
      <w:r w:rsidR="00210AC1">
        <w:t>may</w:t>
      </w:r>
      <w:r w:rsidR="00A261E3" w:rsidRPr="00102077">
        <w:t xml:space="preserve"> be used in sequence</w:t>
      </w:r>
      <w:r w:rsidR="00BB43D6" w:rsidRPr="00102077">
        <w:t xml:space="preserve"> in some patients well enough to receive treatment with a second agent</w:t>
      </w:r>
      <w:r w:rsidR="005E7F71" w:rsidRPr="00102077">
        <w:t xml:space="preserve">; </w:t>
      </w:r>
    </w:p>
    <w:p w14:paraId="3C309107" w14:textId="56AFF0D9" w:rsidR="00251D36" w:rsidRPr="00102077" w:rsidRDefault="003379AA" w:rsidP="00750703">
      <w:pPr>
        <w:pStyle w:val="3-BodyText"/>
        <w:numPr>
          <w:ilvl w:val="0"/>
          <w:numId w:val="15"/>
        </w:numPr>
        <w:spacing w:before="160" w:after="160"/>
      </w:pPr>
      <w:r w:rsidRPr="00102077">
        <w:t>romidepsin and pralatrexate may be used in combination in some patients</w:t>
      </w:r>
      <w:r w:rsidR="00251D36" w:rsidRPr="00102077">
        <w:t>; and</w:t>
      </w:r>
    </w:p>
    <w:p w14:paraId="423D1FD9" w14:textId="0399C00E" w:rsidR="00927A9B" w:rsidRPr="00102077" w:rsidRDefault="00486DFC" w:rsidP="00750703">
      <w:pPr>
        <w:pStyle w:val="3-BodyText"/>
        <w:numPr>
          <w:ilvl w:val="0"/>
          <w:numId w:val="15"/>
        </w:numPr>
        <w:spacing w:before="160" w:after="160"/>
      </w:pPr>
      <w:r w:rsidRPr="00102077">
        <w:lastRenderedPageBreak/>
        <w:t xml:space="preserve">the submission’s assumption of equal treatment duration </w:t>
      </w:r>
      <w:r w:rsidR="00C02EE9" w:rsidRPr="00102077">
        <w:t xml:space="preserve">and equal dose intensity </w:t>
      </w:r>
      <w:r w:rsidR="00E64653" w:rsidRPr="00102077">
        <w:t xml:space="preserve">for romidepsin and pralatrexate </w:t>
      </w:r>
      <w:r w:rsidR="00904EA3" w:rsidRPr="00102077">
        <w:t>may not</w:t>
      </w:r>
      <w:r w:rsidRPr="00102077">
        <w:t xml:space="preserve"> </w:t>
      </w:r>
      <w:r w:rsidR="00553758" w:rsidRPr="00102077">
        <w:t>be realised in clinical practice</w:t>
      </w:r>
      <w:r w:rsidR="00420D88" w:rsidRPr="00102077">
        <w:t>.</w:t>
      </w:r>
      <w:r w:rsidR="008C68B0" w:rsidRPr="00102077">
        <w:t xml:space="preserve"> </w:t>
      </w:r>
    </w:p>
    <w:p w14:paraId="1042CAA5" w14:textId="597B77FF" w:rsidR="00955444" w:rsidRPr="00286CAC" w:rsidRDefault="00955444" w:rsidP="00750703">
      <w:pPr>
        <w:pStyle w:val="3-BodyText"/>
        <w:spacing w:before="160" w:after="160"/>
        <w:ind w:left="720"/>
        <w:rPr>
          <w:color w:val="0066FF"/>
        </w:rPr>
      </w:pPr>
      <w:r w:rsidRPr="00347557">
        <w:rPr>
          <w:color w:val="000000" w:themeColor="text1"/>
        </w:rPr>
        <w:t xml:space="preserve">During the evaluation, the following data </w:t>
      </w:r>
      <w:r w:rsidR="00B465A2" w:rsidRPr="00347557">
        <w:rPr>
          <w:color w:val="000000" w:themeColor="text1"/>
        </w:rPr>
        <w:t>(</w:t>
      </w:r>
      <w:r w:rsidR="00B465A2" w:rsidRPr="00347557">
        <w:rPr>
          <w:color w:val="000000" w:themeColor="text1"/>
        </w:rPr>
        <w:fldChar w:fldCharType="begin"/>
      </w:r>
      <w:r w:rsidR="00B465A2" w:rsidRPr="00347557">
        <w:rPr>
          <w:color w:val="000000" w:themeColor="text1"/>
        </w:rPr>
        <w:instrText xml:space="preserve"> REF _Ref216701533 \h  \* MERGEFORMAT </w:instrText>
      </w:r>
      <w:r w:rsidR="00B465A2" w:rsidRPr="00347557">
        <w:rPr>
          <w:color w:val="000000" w:themeColor="text1"/>
        </w:rPr>
      </w:r>
      <w:r w:rsidR="00B465A2" w:rsidRPr="00347557">
        <w:rPr>
          <w:color w:val="000000" w:themeColor="text1"/>
        </w:rPr>
        <w:fldChar w:fldCharType="separate"/>
      </w:r>
      <w:r w:rsidR="00B465A2" w:rsidRPr="00286CAC">
        <w:t xml:space="preserve">Table </w:t>
      </w:r>
      <w:r w:rsidR="00B465A2" w:rsidRPr="00286CAC">
        <w:rPr>
          <w:noProof/>
        </w:rPr>
        <w:t>1</w:t>
      </w:r>
      <w:r w:rsidR="005E082F">
        <w:rPr>
          <w:noProof/>
        </w:rPr>
        <w:t>3</w:t>
      </w:r>
      <w:r w:rsidR="00B465A2" w:rsidRPr="00347557">
        <w:rPr>
          <w:color w:val="000000" w:themeColor="text1"/>
        </w:rPr>
        <w:fldChar w:fldCharType="end"/>
      </w:r>
      <w:r w:rsidR="00B465A2" w:rsidRPr="00347557">
        <w:rPr>
          <w:color w:val="000000" w:themeColor="text1"/>
        </w:rPr>
        <w:t xml:space="preserve">) </w:t>
      </w:r>
      <w:r w:rsidRPr="00347557">
        <w:rPr>
          <w:color w:val="000000" w:themeColor="text1"/>
        </w:rPr>
        <w:t xml:space="preserve">was obtained from the DUSC </w:t>
      </w:r>
      <w:r w:rsidR="00142A6E" w:rsidRPr="00347557">
        <w:rPr>
          <w:color w:val="000000" w:themeColor="text1"/>
        </w:rPr>
        <w:t>S</w:t>
      </w:r>
      <w:r w:rsidRPr="00347557">
        <w:rPr>
          <w:color w:val="000000" w:themeColor="text1"/>
        </w:rPr>
        <w:t>ecretariat for the current use of pralatrexate</w:t>
      </w:r>
      <w:r w:rsidRPr="00347557">
        <w:rPr>
          <w:color w:val="0066FF"/>
        </w:rPr>
        <w:t>.</w:t>
      </w:r>
      <w:r w:rsidR="008D1A2A" w:rsidRPr="00347557">
        <w:rPr>
          <w:color w:val="0066FF"/>
        </w:rPr>
        <w:t xml:space="preserve"> </w:t>
      </w:r>
    </w:p>
    <w:p w14:paraId="57E7E724" w14:textId="12BA858E" w:rsidR="008D1A2A" w:rsidRPr="0055612C" w:rsidRDefault="00B465A2" w:rsidP="00750703">
      <w:pPr>
        <w:jc w:val="left"/>
        <w:rPr>
          <w:rFonts w:ascii="Arial Narrow" w:hAnsi="Arial Narrow"/>
          <w:b/>
          <w:bCs/>
          <w:sz w:val="20"/>
          <w:szCs w:val="20"/>
        </w:rPr>
      </w:pPr>
      <w:bookmarkStart w:id="50" w:name="_Ref216701533"/>
      <w:r w:rsidRPr="0055612C">
        <w:rPr>
          <w:rFonts w:ascii="Arial Narrow" w:hAnsi="Arial Narrow"/>
          <w:b/>
          <w:bCs/>
          <w:sz w:val="20"/>
          <w:szCs w:val="20"/>
        </w:rPr>
        <w:t xml:space="preserve">Table </w:t>
      </w:r>
      <w:r w:rsidRPr="0055612C">
        <w:rPr>
          <w:rFonts w:ascii="Arial Narrow" w:hAnsi="Arial Narrow"/>
          <w:b/>
          <w:bCs/>
          <w:sz w:val="20"/>
          <w:szCs w:val="20"/>
        </w:rPr>
        <w:fldChar w:fldCharType="begin"/>
      </w:r>
      <w:r w:rsidRPr="0055612C">
        <w:rPr>
          <w:rFonts w:ascii="Arial Narrow" w:hAnsi="Arial Narrow"/>
          <w:b/>
          <w:bCs/>
          <w:sz w:val="20"/>
          <w:szCs w:val="20"/>
        </w:rPr>
        <w:instrText xml:space="preserve"> SEQ Table \* ARABIC </w:instrText>
      </w:r>
      <w:r w:rsidRPr="0055612C">
        <w:rPr>
          <w:rFonts w:ascii="Arial Narrow" w:hAnsi="Arial Narrow"/>
          <w:b/>
          <w:bCs/>
          <w:sz w:val="20"/>
          <w:szCs w:val="20"/>
        </w:rPr>
        <w:fldChar w:fldCharType="separate"/>
      </w:r>
      <w:r w:rsidR="000B22F7">
        <w:rPr>
          <w:rFonts w:ascii="Arial Narrow" w:hAnsi="Arial Narrow"/>
          <w:b/>
          <w:bCs/>
          <w:noProof/>
          <w:sz w:val="20"/>
          <w:szCs w:val="20"/>
        </w:rPr>
        <w:t>13</w:t>
      </w:r>
      <w:r w:rsidRPr="0055612C">
        <w:rPr>
          <w:rFonts w:ascii="Arial Narrow" w:hAnsi="Arial Narrow"/>
          <w:b/>
          <w:bCs/>
          <w:sz w:val="20"/>
          <w:szCs w:val="20"/>
        </w:rPr>
        <w:fldChar w:fldCharType="end"/>
      </w:r>
      <w:bookmarkEnd w:id="50"/>
      <w:r w:rsidRPr="0055612C">
        <w:rPr>
          <w:rFonts w:ascii="Arial Narrow" w:hAnsi="Arial Narrow"/>
          <w:b/>
          <w:bCs/>
          <w:sz w:val="20"/>
          <w:szCs w:val="20"/>
        </w:rPr>
        <w:t xml:space="preserve">: DUSC data – pralatrexate patients </w:t>
      </w:r>
    </w:p>
    <w:tbl>
      <w:tblPr>
        <w:tblStyle w:val="TableGrid"/>
        <w:tblW w:w="9072" w:type="dxa"/>
        <w:tblInd w:w="-5" w:type="dxa"/>
        <w:tblLook w:val="04A0" w:firstRow="1" w:lastRow="0" w:firstColumn="1" w:lastColumn="0" w:noHBand="0" w:noVBand="1"/>
        <w:tblCaption w:val="Table 13: DUSC data – pralatrexate patients "/>
      </w:tblPr>
      <w:tblGrid>
        <w:gridCol w:w="2503"/>
        <w:gridCol w:w="2884"/>
        <w:gridCol w:w="3685"/>
      </w:tblGrid>
      <w:tr w:rsidR="00731EB3" w:rsidRPr="001C7943" w14:paraId="3BB694D5" w14:textId="7BF76C2E" w:rsidTr="00731EB3">
        <w:tc>
          <w:tcPr>
            <w:tcW w:w="2503" w:type="dxa"/>
          </w:tcPr>
          <w:p w14:paraId="6D64D735" w14:textId="04504144" w:rsidR="00731EB3" w:rsidRPr="00001082" w:rsidRDefault="00731EB3" w:rsidP="00750703">
            <w:pPr>
              <w:pStyle w:val="Tabletext"/>
              <w:rPr>
                <w:b/>
                <w:bCs/>
              </w:rPr>
            </w:pPr>
            <w:r w:rsidRPr="00001082">
              <w:rPr>
                <w:b/>
                <w:bCs/>
              </w:rPr>
              <w:t>Financial year</w:t>
            </w:r>
          </w:p>
        </w:tc>
        <w:tc>
          <w:tcPr>
            <w:tcW w:w="2884" w:type="dxa"/>
          </w:tcPr>
          <w:p w14:paraId="50A10018" w14:textId="7BDA80C2" w:rsidR="00731EB3" w:rsidRPr="00001082" w:rsidRDefault="00731EB3" w:rsidP="00750703">
            <w:pPr>
              <w:pStyle w:val="Tabletext"/>
              <w:jc w:val="center"/>
              <w:rPr>
                <w:b/>
                <w:bCs/>
              </w:rPr>
            </w:pPr>
            <w:r w:rsidRPr="00001082">
              <w:rPr>
                <w:b/>
                <w:bCs/>
              </w:rPr>
              <w:t>Incident patients</w:t>
            </w:r>
          </w:p>
        </w:tc>
        <w:tc>
          <w:tcPr>
            <w:tcW w:w="3685" w:type="dxa"/>
          </w:tcPr>
          <w:p w14:paraId="4B8D6B84" w14:textId="4466CEC6" w:rsidR="00731EB3" w:rsidRPr="00001082" w:rsidRDefault="00731EB3" w:rsidP="00750703">
            <w:pPr>
              <w:pStyle w:val="Tabletext"/>
              <w:jc w:val="center"/>
              <w:rPr>
                <w:b/>
                <w:bCs/>
              </w:rPr>
            </w:pPr>
            <w:r w:rsidRPr="00001082">
              <w:rPr>
                <w:b/>
                <w:bCs/>
              </w:rPr>
              <w:t>Prevalent patients</w:t>
            </w:r>
          </w:p>
        </w:tc>
      </w:tr>
      <w:tr w:rsidR="00731EB3" w:rsidRPr="00A76203" w14:paraId="3B805B87" w14:textId="3CCF9213" w:rsidTr="00731EB3">
        <w:tc>
          <w:tcPr>
            <w:tcW w:w="2503" w:type="dxa"/>
          </w:tcPr>
          <w:p w14:paraId="4A3749C2" w14:textId="77645838" w:rsidR="00731EB3" w:rsidRPr="00001082" w:rsidRDefault="00731EB3" w:rsidP="00750703">
            <w:pPr>
              <w:pStyle w:val="Tabletext"/>
            </w:pPr>
            <w:r w:rsidRPr="00001082">
              <w:t xml:space="preserve">2017/18 (part year) </w:t>
            </w:r>
          </w:p>
        </w:tc>
        <w:tc>
          <w:tcPr>
            <w:tcW w:w="2884" w:type="dxa"/>
          </w:tcPr>
          <w:p w14:paraId="46157630" w14:textId="19831868" w:rsidR="00731EB3" w:rsidRPr="00001082" w:rsidRDefault="00731EB3" w:rsidP="00750703">
            <w:pPr>
              <w:pStyle w:val="Tabletext"/>
              <w:jc w:val="center"/>
            </w:pPr>
            <w:r w:rsidRPr="00001082">
              <w:t>24</w:t>
            </w:r>
          </w:p>
        </w:tc>
        <w:tc>
          <w:tcPr>
            <w:tcW w:w="3685" w:type="dxa"/>
          </w:tcPr>
          <w:p w14:paraId="4063D9B1" w14:textId="5F29BA89" w:rsidR="00731EB3" w:rsidRPr="00001082" w:rsidRDefault="00731EB3" w:rsidP="00750703">
            <w:pPr>
              <w:pStyle w:val="Tabletext"/>
              <w:jc w:val="center"/>
            </w:pPr>
            <w:r w:rsidRPr="00001082">
              <w:t>24</w:t>
            </w:r>
          </w:p>
        </w:tc>
      </w:tr>
      <w:tr w:rsidR="00731EB3" w:rsidRPr="00A76203" w14:paraId="462BDD54" w14:textId="416A560F" w:rsidTr="00731EB3">
        <w:tc>
          <w:tcPr>
            <w:tcW w:w="2503" w:type="dxa"/>
          </w:tcPr>
          <w:p w14:paraId="767255E9" w14:textId="2C9CFE45" w:rsidR="00731EB3" w:rsidRPr="00001082" w:rsidRDefault="00731EB3" w:rsidP="00750703">
            <w:pPr>
              <w:pStyle w:val="Tabletext"/>
            </w:pPr>
            <w:r w:rsidRPr="00001082">
              <w:t>2018/19</w:t>
            </w:r>
          </w:p>
        </w:tc>
        <w:tc>
          <w:tcPr>
            <w:tcW w:w="2884" w:type="dxa"/>
          </w:tcPr>
          <w:p w14:paraId="1B56B333" w14:textId="53B69444" w:rsidR="00731EB3" w:rsidRPr="00001082" w:rsidRDefault="00731EB3" w:rsidP="00750703">
            <w:pPr>
              <w:pStyle w:val="Tabletext"/>
              <w:jc w:val="center"/>
            </w:pPr>
            <w:r w:rsidRPr="00001082">
              <w:t>45</w:t>
            </w:r>
          </w:p>
        </w:tc>
        <w:tc>
          <w:tcPr>
            <w:tcW w:w="3685" w:type="dxa"/>
          </w:tcPr>
          <w:p w14:paraId="6825600D" w14:textId="52663BF7" w:rsidR="00731EB3" w:rsidRPr="00001082" w:rsidRDefault="00731EB3" w:rsidP="00750703">
            <w:pPr>
              <w:pStyle w:val="Tabletext"/>
              <w:jc w:val="center"/>
            </w:pPr>
            <w:r w:rsidRPr="00001082">
              <w:t>61</w:t>
            </w:r>
          </w:p>
        </w:tc>
      </w:tr>
      <w:tr w:rsidR="00731EB3" w:rsidRPr="00A76203" w14:paraId="6A1E6240" w14:textId="43B76C7A" w:rsidTr="00731EB3">
        <w:tc>
          <w:tcPr>
            <w:tcW w:w="2503" w:type="dxa"/>
          </w:tcPr>
          <w:p w14:paraId="057EEC8E" w14:textId="4FC27CDC" w:rsidR="00731EB3" w:rsidRPr="00001082" w:rsidRDefault="00731EB3" w:rsidP="00750703">
            <w:pPr>
              <w:pStyle w:val="Tabletext"/>
            </w:pPr>
            <w:r w:rsidRPr="00001082">
              <w:t>2019/20</w:t>
            </w:r>
          </w:p>
        </w:tc>
        <w:tc>
          <w:tcPr>
            <w:tcW w:w="2884" w:type="dxa"/>
          </w:tcPr>
          <w:p w14:paraId="7145B782" w14:textId="3E227581" w:rsidR="00731EB3" w:rsidRPr="00001082" w:rsidRDefault="00731EB3" w:rsidP="00750703">
            <w:pPr>
              <w:pStyle w:val="Tabletext"/>
              <w:jc w:val="center"/>
            </w:pPr>
            <w:r w:rsidRPr="00001082">
              <w:t>75</w:t>
            </w:r>
          </w:p>
        </w:tc>
        <w:tc>
          <w:tcPr>
            <w:tcW w:w="3685" w:type="dxa"/>
          </w:tcPr>
          <w:p w14:paraId="1A9DF1B6" w14:textId="3DB18561" w:rsidR="00731EB3" w:rsidRPr="00001082" w:rsidRDefault="00731EB3" w:rsidP="00750703">
            <w:pPr>
              <w:pStyle w:val="Tabletext"/>
              <w:jc w:val="center"/>
            </w:pPr>
            <w:r w:rsidRPr="00001082">
              <w:t>91</w:t>
            </w:r>
          </w:p>
        </w:tc>
      </w:tr>
      <w:tr w:rsidR="00731EB3" w:rsidRPr="00A76203" w14:paraId="2CF5AE82" w14:textId="499686A7" w:rsidTr="00731EB3">
        <w:tc>
          <w:tcPr>
            <w:tcW w:w="2503" w:type="dxa"/>
          </w:tcPr>
          <w:p w14:paraId="1C9BC042" w14:textId="3DB841DF" w:rsidR="00731EB3" w:rsidRPr="00001082" w:rsidRDefault="00731EB3" w:rsidP="00750703">
            <w:pPr>
              <w:pStyle w:val="Tabletext"/>
            </w:pPr>
            <w:r w:rsidRPr="00001082">
              <w:t>2020/21</w:t>
            </w:r>
          </w:p>
        </w:tc>
        <w:tc>
          <w:tcPr>
            <w:tcW w:w="2884" w:type="dxa"/>
          </w:tcPr>
          <w:p w14:paraId="1E2B69BD" w14:textId="524121F5" w:rsidR="00731EB3" w:rsidRPr="00001082" w:rsidRDefault="00731EB3" w:rsidP="00750703">
            <w:pPr>
              <w:pStyle w:val="Tabletext"/>
              <w:jc w:val="center"/>
            </w:pPr>
            <w:r w:rsidRPr="00001082">
              <w:t>61</w:t>
            </w:r>
          </w:p>
        </w:tc>
        <w:tc>
          <w:tcPr>
            <w:tcW w:w="3685" w:type="dxa"/>
          </w:tcPr>
          <w:p w14:paraId="02842F43" w14:textId="22B7D601" w:rsidR="00731EB3" w:rsidRPr="00001082" w:rsidRDefault="00731EB3" w:rsidP="00750703">
            <w:pPr>
              <w:pStyle w:val="Tabletext"/>
              <w:jc w:val="center"/>
            </w:pPr>
            <w:r w:rsidRPr="00001082">
              <w:t>85</w:t>
            </w:r>
          </w:p>
        </w:tc>
      </w:tr>
      <w:tr w:rsidR="00731EB3" w:rsidRPr="00A76203" w14:paraId="7A754AC6" w14:textId="04072CBD" w:rsidTr="00731EB3">
        <w:tc>
          <w:tcPr>
            <w:tcW w:w="2503" w:type="dxa"/>
          </w:tcPr>
          <w:p w14:paraId="097758DE" w14:textId="7BD50526" w:rsidR="00731EB3" w:rsidRPr="00001082" w:rsidRDefault="00731EB3" w:rsidP="00750703">
            <w:pPr>
              <w:pStyle w:val="Tabletext"/>
            </w:pPr>
            <w:r w:rsidRPr="00001082">
              <w:t>2021/22</w:t>
            </w:r>
          </w:p>
        </w:tc>
        <w:tc>
          <w:tcPr>
            <w:tcW w:w="2884" w:type="dxa"/>
          </w:tcPr>
          <w:p w14:paraId="4298F4B2" w14:textId="72D3A2D9" w:rsidR="00731EB3" w:rsidRPr="00001082" w:rsidRDefault="00731EB3" w:rsidP="00750703">
            <w:pPr>
              <w:pStyle w:val="Tabletext"/>
              <w:jc w:val="center"/>
            </w:pPr>
            <w:r w:rsidRPr="00001082">
              <w:t>50</w:t>
            </w:r>
          </w:p>
        </w:tc>
        <w:tc>
          <w:tcPr>
            <w:tcW w:w="3685" w:type="dxa"/>
          </w:tcPr>
          <w:p w14:paraId="00F0256A" w14:textId="7F61E1E0" w:rsidR="00731EB3" w:rsidRPr="00001082" w:rsidRDefault="00731EB3" w:rsidP="00750703">
            <w:pPr>
              <w:pStyle w:val="Tabletext"/>
              <w:jc w:val="center"/>
            </w:pPr>
            <w:r w:rsidRPr="00001082">
              <w:t>72</w:t>
            </w:r>
          </w:p>
        </w:tc>
      </w:tr>
      <w:tr w:rsidR="00731EB3" w:rsidRPr="00A76203" w14:paraId="1AC8323D" w14:textId="7A78BD2B" w:rsidTr="00731EB3">
        <w:tc>
          <w:tcPr>
            <w:tcW w:w="2503" w:type="dxa"/>
          </w:tcPr>
          <w:p w14:paraId="6D20F01B" w14:textId="5B61EEB6" w:rsidR="00731EB3" w:rsidRPr="00001082" w:rsidRDefault="00731EB3" w:rsidP="00750703">
            <w:pPr>
              <w:pStyle w:val="Tabletext"/>
            </w:pPr>
            <w:r w:rsidRPr="00001082">
              <w:t>2022/23</w:t>
            </w:r>
          </w:p>
        </w:tc>
        <w:tc>
          <w:tcPr>
            <w:tcW w:w="2884" w:type="dxa"/>
          </w:tcPr>
          <w:p w14:paraId="23A832F2" w14:textId="0BF8A9AE" w:rsidR="00731EB3" w:rsidRPr="00001082" w:rsidRDefault="00731EB3" w:rsidP="00750703">
            <w:pPr>
              <w:pStyle w:val="Tabletext"/>
              <w:jc w:val="center"/>
            </w:pPr>
            <w:r w:rsidRPr="00001082">
              <w:t>53</w:t>
            </w:r>
          </w:p>
        </w:tc>
        <w:tc>
          <w:tcPr>
            <w:tcW w:w="3685" w:type="dxa"/>
          </w:tcPr>
          <w:p w14:paraId="06B7406A" w14:textId="4B919163" w:rsidR="00731EB3" w:rsidRPr="00001082" w:rsidRDefault="00731EB3" w:rsidP="00750703">
            <w:pPr>
              <w:pStyle w:val="Tabletext"/>
              <w:jc w:val="center"/>
            </w:pPr>
            <w:r w:rsidRPr="00001082">
              <w:t>68</w:t>
            </w:r>
          </w:p>
        </w:tc>
      </w:tr>
      <w:tr w:rsidR="00731EB3" w:rsidRPr="00A76203" w14:paraId="452FA0B3" w14:textId="1712EF7B" w:rsidTr="00731EB3">
        <w:tc>
          <w:tcPr>
            <w:tcW w:w="2503" w:type="dxa"/>
          </w:tcPr>
          <w:p w14:paraId="40E2181B" w14:textId="228BCB82" w:rsidR="00731EB3" w:rsidRPr="00001082" w:rsidRDefault="00731EB3" w:rsidP="00750703">
            <w:pPr>
              <w:pStyle w:val="Tabletext"/>
            </w:pPr>
            <w:r w:rsidRPr="00001082">
              <w:t>2023/24</w:t>
            </w:r>
          </w:p>
        </w:tc>
        <w:tc>
          <w:tcPr>
            <w:tcW w:w="2884" w:type="dxa"/>
          </w:tcPr>
          <w:p w14:paraId="3CC398DA" w14:textId="09D75B54" w:rsidR="00731EB3" w:rsidRPr="00001082" w:rsidRDefault="00731EB3" w:rsidP="00750703">
            <w:pPr>
              <w:pStyle w:val="Tabletext"/>
              <w:jc w:val="center"/>
            </w:pPr>
            <w:r w:rsidRPr="00001082">
              <w:t>55</w:t>
            </w:r>
          </w:p>
        </w:tc>
        <w:tc>
          <w:tcPr>
            <w:tcW w:w="3685" w:type="dxa"/>
          </w:tcPr>
          <w:p w14:paraId="36CBC341" w14:textId="525B2FFD" w:rsidR="00731EB3" w:rsidRPr="00001082" w:rsidRDefault="00731EB3" w:rsidP="00750703">
            <w:pPr>
              <w:pStyle w:val="Tabletext"/>
              <w:jc w:val="center"/>
            </w:pPr>
            <w:r w:rsidRPr="00001082">
              <w:t>72</w:t>
            </w:r>
          </w:p>
        </w:tc>
      </w:tr>
      <w:tr w:rsidR="00731EB3" w:rsidRPr="00A76203" w14:paraId="0D749571" w14:textId="0ACA5AC5" w:rsidTr="00731EB3">
        <w:tc>
          <w:tcPr>
            <w:tcW w:w="2503" w:type="dxa"/>
          </w:tcPr>
          <w:p w14:paraId="797E15AB" w14:textId="7F5CE4F1" w:rsidR="00731EB3" w:rsidRPr="00001082" w:rsidRDefault="00731EB3" w:rsidP="00750703">
            <w:pPr>
              <w:pStyle w:val="Tabletext"/>
            </w:pPr>
            <w:r w:rsidRPr="00001082">
              <w:t>2024/25</w:t>
            </w:r>
          </w:p>
        </w:tc>
        <w:tc>
          <w:tcPr>
            <w:tcW w:w="2884" w:type="dxa"/>
          </w:tcPr>
          <w:p w14:paraId="75124391" w14:textId="73CF2AAC" w:rsidR="00731EB3" w:rsidRPr="00001082" w:rsidRDefault="00731EB3" w:rsidP="00750703">
            <w:pPr>
              <w:pStyle w:val="Tabletext"/>
              <w:jc w:val="center"/>
            </w:pPr>
            <w:r w:rsidRPr="00001082">
              <w:t>53</w:t>
            </w:r>
          </w:p>
        </w:tc>
        <w:tc>
          <w:tcPr>
            <w:tcW w:w="3685" w:type="dxa"/>
          </w:tcPr>
          <w:p w14:paraId="58B71B05" w14:textId="6CF81461" w:rsidR="00731EB3" w:rsidRPr="00001082" w:rsidRDefault="00731EB3" w:rsidP="00750703">
            <w:pPr>
              <w:pStyle w:val="Tabletext"/>
              <w:jc w:val="center"/>
            </w:pPr>
            <w:r w:rsidRPr="00001082">
              <w:t>71</w:t>
            </w:r>
          </w:p>
        </w:tc>
      </w:tr>
    </w:tbl>
    <w:p w14:paraId="06D42B0B" w14:textId="11769FCC" w:rsidR="00C2582D" w:rsidRPr="00731EB3" w:rsidRDefault="008D1A2A" w:rsidP="002B344C">
      <w:pPr>
        <w:pStyle w:val="3-BodyText"/>
        <w:numPr>
          <w:ilvl w:val="0"/>
          <w:numId w:val="0"/>
        </w:numPr>
        <w:spacing w:before="0" w:after="120"/>
        <w:rPr>
          <w:rFonts w:ascii="Arial Narrow" w:hAnsi="Arial Narrow"/>
          <w:sz w:val="18"/>
          <w:szCs w:val="18"/>
        </w:rPr>
      </w:pPr>
      <w:r w:rsidRPr="00731EB3">
        <w:rPr>
          <w:rFonts w:ascii="Arial Narrow" w:hAnsi="Arial Narrow"/>
          <w:sz w:val="18"/>
          <w:szCs w:val="18"/>
        </w:rPr>
        <w:t>Source:</w:t>
      </w:r>
      <w:r w:rsidR="00750703">
        <w:rPr>
          <w:rFonts w:ascii="Arial Narrow" w:hAnsi="Arial Narrow"/>
          <w:sz w:val="18"/>
          <w:szCs w:val="18"/>
        </w:rPr>
        <w:t xml:space="preserve"> </w:t>
      </w:r>
      <w:r w:rsidRPr="00731EB3">
        <w:rPr>
          <w:rFonts w:ascii="Arial Narrow" w:hAnsi="Arial Narrow"/>
          <w:sz w:val="18"/>
          <w:szCs w:val="18"/>
        </w:rPr>
        <w:t>Data extracted from the PBS claims database by the DUSC Secretariat, Dec 9</w:t>
      </w:r>
      <w:r w:rsidR="003D70F6" w:rsidRPr="00731EB3">
        <w:rPr>
          <w:rFonts w:ascii="Arial Narrow" w:hAnsi="Arial Narrow"/>
          <w:sz w:val="18"/>
          <w:szCs w:val="18"/>
        </w:rPr>
        <w:t>, 2025</w:t>
      </w:r>
      <w:r w:rsidRPr="00731EB3">
        <w:rPr>
          <w:rFonts w:ascii="Arial Narrow" w:hAnsi="Arial Narrow"/>
          <w:sz w:val="18"/>
          <w:szCs w:val="18"/>
        </w:rPr>
        <w:t>.</w:t>
      </w:r>
    </w:p>
    <w:p w14:paraId="4298FE1D" w14:textId="2BC1E5DF" w:rsidR="008A2907" w:rsidRPr="00102077" w:rsidRDefault="00102077" w:rsidP="00750703">
      <w:pPr>
        <w:pStyle w:val="3-BodyText"/>
        <w:numPr>
          <w:ilvl w:val="0"/>
          <w:numId w:val="0"/>
        </w:numPr>
        <w:ind w:left="1440" w:hanging="720"/>
        <w:rPr>
          <w:i/>
          <w:iCs/>
        </w:rPr>
      </w:pPr>
      <w:r w:rsidRPr="00102077">
        <w:rPr>
          <w:i/>
          <w:iCs/>
        </w:rPr>
        <w:t>For more detail on PBAC’s view, see section 7 PBAC outcome.</w:t>
      </w:r>
    </w:p>
    <w:p w14:paraId="11007907" w14:textId="77777777" w:rsidR="00AF5244" w:rsidRPr="00AF5244" w:rsidRDefault="00AF5244" w:rsidP="00750703">
      <w:pPr>
        <w:keepNext/>
        <w:numPr>
          <w:ilvl w:val="0"/>
          <w:numId w:val="1"/>
        </w:numPr>
        <w:spacing w:before="240" w:after="120"/>
        <w:jc w:val="left"/>
        <w:outlineLvl w:val="0"/>
        <w:rPr>
          <w:rFonts w:asciiTheme="minorHAnsi" w:hAnsiTheme="minorHAnsi"/>
          <w:b/>
          <w:snapToGrid w:val="0"/>
          <w:sz w:val="32"/>
          <w:szCs w:val="32"/>
        </w:rPr>
      </w:pPr>
      <w:bookmarkStart w:id="51" w:name="_Hlk76381249"/>
      <w:bookmarkStart w:id="52" w:name="_Hlk76377955"/>
      <w:r w:rsidRPr="00AF5244">
        <w:rPr>
          <w:rFonts w:asciiTheme="minorHAnsi" w:hAnsiTheme="minorHAnsi"/>
          <w:b/>
          <w:snapToGrid w:val="0"/>
          <w:sz w:val="32"/>
          <w:szCs w:val="32"/>
        </w:rPr>
        <w:t>PBAC Outcome</w:t>
      </w:r>
    </w:p>
    <w:p w14:paraId="3790A8DD" w14:textId="5284FE4F" w:rsidR="009F26A6" w:rsidRPr="002B478A" w:rsidRDefault="0027441F" w:rsidP="00750703">
      <w:pPr>
        <w:numPr>
          <w:ilvl w:val="1"/>
          <w:numId w:val="1"/>
        </w:numPr>
        <w:spacing w:after="120"/>
        <w:ind w:left="720"/>
        <w:rPr>
          <w:rFonts w:asciiTheme="minorHAnsi" w:hAnsiTheme="minorHAnsi"/>
          <w:snapToGrid w:val="0"/>
          <w:lang w:val="en-GB" w:eastAsia="en-US"/>
        </w:rPr>
      </w:pPr>
      <w:r w:rsidRPr="00672F65">
        <w:rPr>
          <w:rFonts w:asciiTheme="minorHAnsi" w:hAnsiTheme="minorHAnsi"/>
          <w:snapToGrid w:val="0"/>
          <w:lang w:val="en-GB" w:eastAsia="en-US"/>
        </w:rPr>
        <w:t xml:space="preserve">The PBAC recommended the </w:t>
      </w:r>
      <w:r w:rsidR="00012DEE" w:rsidRPr="00672F65">
        <w:rPr>
          <w:rFonts w:asciiTheme="minorHAnsi" w:hAnsiTheme="minorHAnsi"/>
          <w:snapToGrid w:val="0"/>
          <w:lang w:val="en-GB" w:eastAsia="en-US"/>
        </w:rPr>
        <w:t>Section 100</w:t>
      </w:r>
      <w:r w:rsidR="00012DEE">
        <w:rPr>
          <w:rFonts w:asciiTheme="minorHAnsi" w:hAnsiTheme="minorHAnsi"/>
          <w:snapToGrid w:val="0"/>
          <w:lang w:val="en-GB" w:eastAsia="en-US"/>
        </w:rPr>
        <w:t xml:space="preserve"> Efficient Funding of Chemotherapy Program </w:t>
      </w:r>
      <w:r w:rsidR="00B85C4E">
        <w:rPr>
          <w:rFonts w:asciiTheme="minorHAnsi" w:hAnsiTheme="minorHAnsi"/>
          <w:snapToGrid w:val="0"/>
          <w:lang w:val="en-GB" w:eastAsia="en-US"/>
        </w:rPr>
        <w:t xml:space="preserve">listing of romidepsin </w:t>
      </w:r>
      <w:r w:rsidR="009F26A6">
        <w:rPr>
          <w:rFonts w:asciiTheme="minorHAnsi" w:hAnsiTheme="minorHAnsi"/>
          <w:snapToGrid w:val="0"/>
          <w:lang w:val="en-GB" w:eastAsia="en-US"/>
        </w:rPr>
        <w:t xml:space="preserve">for the treatment of </w:t>
      </w:r>
      <w:r w:rsidR="005A02E3" w:rsidRPr="0033393E">
        <w:rPr>
          <w:rFonts w:cstheme="minorHAnsi"/>
        </w:rPr>
        <w:t>patients with relapsed or refractory (R/R) peripheral T</w:t>
      </w:r>
      <w:r w:rsidR="00750703">
        <w:rPr>
          <w:rFonts w:cstheme="minorHAnsi"/>
        </w:rPr>
        <w:noBreakHyphen/>
      </w:r>
      <w:r w:rsidR="005A02E3" w:rsidRPr="0033393E">
        <w:rPr>
          <w:rFonts w:cstheme="minorHAnsi"/>
        </w:rPr>
        <w:t>cell lymphoma (PTCL)</w:t>
      </w:r>
      <w:r w:rsidR="005B466C">
        <w:rPr>
          <w:rFonts w:cstheme="minorHAnsi"/>
        </w:rPr>
        <w:t>. The PBAC considered that</w:t>
      </w:r>
      <w:r w:rsidR="00A00CE7">
        <w:rPr>
          <w:rFonts w:cstheme="minorHAnsi"/>
        </w:rPr>
        <w:t xml:space="preserve"> despite the uncertainties associated with the </w:t>
      </w:r>
      <w:r w:rsidR="004809C8">
        <w:rPr>
          <w:rFonts w:cstheme="minorHAnsi"/>
        </w:rPr>
        <w:t>clinical</w:t>
      </w:r>
      <w:r w:rsidR="00A00CE7">
        <w:rPr>
          <w:rFonts w:cstheme="minorHAnsi"/>
        </w:rPr>
        <w:t xml:space="preserve"> comparison presented in the submission, it was likely that romidepsin provided similar </w:t>
      </w:r>
      <w:r w:rsidR="006F75A5">
        <w:rPr>
          <w:rFonts w:cstheme="minorHAnsi"/>
        </w:rPr>
        <w:t>health outcomes to pralatrexate in the proposed population. The PBAC considered that romidepsin would be acceptably cost</w:t>
      </w:r>
      <w:r w:rsidR="00750703">
        <w:rPr>
          <w:rFonts w:cstheme="minorHAnsi"/>
        </w:rPr>
        <w:noBreakHyphen/>
      </w:r>
      <w:r w:rsidR="006F75A5">
        <w:rPr>
          <w:rFonts w:cstheme="minorHAnsi"/>
        </w:rPr>
        <w:t xml:space="preserve">effective if </w:t>
      </w:r>
      <w:r w:rsidR="00925FB7">
        <w:rPr>
          <w:rFonts w:cstheme="minorHAnsi"/>
        </w:rPr>
        <w:t xml:space="preserve">the cost per patient per course was no higher than </w:t>
      </w:r>
      <w:r w:rsidR="006F75A5">
        <w:rPr>
          <w:rFonts w:cstheme="minorHAnsi"/>
        </w:rPr>
        <w:t>pralatrexate, assuming the same duration of treatment and relative dose intensity.</w:t>
      </w:r>
      <w:r w:rsidR="00750703">
        <w:rPr>
          <w:rFonts w:cstheme="minorHAnsi"/>
        </w:rPr>
        <w:t xml:space="preserve"> </w:t>
      </w:r>
    </w:p>
    <w:p w14:paraId="565B931F" w14:textId="5EC3C71C" w:rsidR="002B478A" w:rsidRDefault="00AC1553" w:rsidP="00750703">
      <w:pPr>
        <w:numPr>
          <w:ilvl w:val="1"/>
          <w:numId w:val="1"/>
        </w:numPr>
        <w:spacing w:after="120"/>
        <w:ind w:left="720"/>
        <w:rPr>
          <w:rFonts w:asciiTheme="minorHAnsi" w:hAnsiTheme="minorHAnsi"/>
          <w:snapToGrid w:val="0"/>
          <w:lang w:val="en-GB" w:eastAsia="en-US"/>
        </w:rPr>
      </w:pPr>
      <w:r>
        <w:rPr>
          <w:rFonts w:asciiTheme="minorHAnsi" w:hAnsiTheme="minorHAnsi"/>
          <w:snapToGrid w:val="0"/>
          <w:lang w:val="en-GB" w:eastAsia="en-US"/>
        </w:rPr>
        <w:t xml:space="preserve">The PBAC </w:t>
      </w:r>
      <w:r w:rsidR="004250C3">
        <w:rPr>
          <w:rFonts w:asciiTheme="minorHAnsi" w:hAnsiTheme="minorHAnsi"/>
          <w:snapToGrid w:val="0"/>
          <w:lang w:val="en-GB" w:eastAsia="en-US"/>
        </w:rPr>
        <w:t xml:space="preserve">noted that </w:t>
      </w:r>
      <w:r w:rsidR="00030D14">
        <w:rPr>
          <w:rFonts w:asciiTheme="minorHAnsi" w:hAnsiTheme="minorHAnsi"/>
          <w:snapToGrid w:val="0"/>
          <w:lang w:val="en-GB" w:eastAsia="en-US"/>
        </w:rPr>
        <w:t xml:space="preserve">PTCL </w:t>
      </w:r>
      <w:r w:rsidR="004250C3">
        <w:rPr>
          <w:rFonts w:asciiTheme="minorHAnsi" w:hAnsiTheme="minorHAnsi"/>
          <w:snapToGrid w:val="0"/>
          <w:lang w:val="en-GB" w:eastAsia="en-US"/>
        </w:rPr>
        <w:t>is</w:t>
      </w:r>
      <w:r w:rsidR="00030D14">
        <w:rPr>
          <w:rFonts w:asciiTheme="minorHAnsi" w:hAnsiTheme="minorHAnsi"/>
          <w:snapToGrid w:val="0"/>
          <w:lang w:val="en-GB" w:eastAsia="en-US"/>
        </w:rPr>
        <w:t xml:space="preserve"> a heterogenous group of rare cancers</w:t>
      </w:r>
      <w:r w:rsidR="00BD0D4A">
        <w:rPr>
          <w:rFonts w:asciiTheme="minorHAnsi" w:hAnsiTheme="minorHAnsi"/>
          <w:snapToGrid w:val="0"/>
          <w:lang w:val="en-GB" w:eastAsia="en-US"/>
        </w:rPr>
        <w:t>, that relapse is common, and that</w:t>
      </w:r>
      <w:r w:rsidR="008A1A8D">
        <w:rPr>
          <w:rFonts w:asciiTheme="minorHAnsi" w:hAnsiTheme="minorHAnsi"/>
          <w:snapToGrid w:val="0"/>
          <w:lang w:val="en-GB" w:eastAsia="en-US"/>
        </w:rPr>
        <w:t xml:space="preserve"> median survival</w:t>
      </w:r>
      <w:r w:rsidR="00BD0D4A">
        <w:rPr>
          <w:rFonts w:asciiTheme="minorHAnsi" w:hAnsiTheme="minorHAnsi"/>
          <w:snapToGrid w:val="0"/>
          <w:lang w:val="en-GB" w:eastAsia="en-US"/>
        </w:rPr>
        <w:t xml:space="preserve"> for patients who relapse is low</w:t>
      </w:r>
      <w:r w:rsidR="000840B2">
        <w:rPr>
          <w:rFonts w:asciiTheme="minorHAnsi" w:hAnsiTheme="minorHAnsi"/>
          <w:snapToGrid w:val="0"/>
          <w:lang w:val="en-GB" w:eastAsia="en-US"/>
        </w:rPr>
        <w:t xml:space="preserve">. </w:t>
      </w:r>
      <w:r w:rsidR="002B478A">
        <w:rPr>
          <w:rFonts w:asciiTheme="minorHAnsi" w:hAnsiTheme="minorHAnsi"/>
          <w:snapToGrid w:val="0"/>
          <w:lang w:val="en-GB" w:eastAsia="en-US"/>
        </w:rPr>
        <w:t xml:space="preserve">The PBAC </w:t>
      </w:r>
      <w:r w:rsidR="000840B2">
        <w:rPr>
          <w:rFonts w:asciiTheme="minorHAnsi" w:hAnsiTheme="minorHAnsi"/>
          <w:snapToGrid w:val="0"/>
          <w:lang w:val="en-GB" w:eastAsia="en-US"/>
        </w:rPr>
        <w:t xml:space="preserve">considered </w:t>
      </w:r>
      <w:r w:rsidR="00791925">
        <w:rPr>
          <w:rFonts w:asciiTheme="minorHAnsi" w:hAnsiTheme="minorHAnsi"/>
          <w:snapToGrid w:val="0"/>
          <w:lang w:val="en-GB" w:eastAsia="en-US"/>
        </w:rPr>
        <w:t>the</w:t>
      </w:r>
      <w:r w:rsidR="00A70BF1">
        <w:rPr>
          <w:rFonts w:asciiTheme="minorHAnsi" w:hAnsiTheme="minorHAnsi"/>
          <w:snapToGrid w:val="0"/>
          <w:lang w:val="en-GB" w:eastAsia="en-US"/>
        </w:rPr>
        <w:t xml:space="preserve">re </w:t>
      </w:r>
      <w:r w:rsidR="005A4C9A">
        <w:rPr>
          <w:rFonts w:asciiTheme="minorHAnsi" w:hAnsiTheme="minorHAnsi"/>
          <w:snapToGrid w:val="0"/>
          <w:lang w:val="en-GB" w:eastAsia="en-US"/>
        </w:rPr>
        <w:t>i</w:t>
      </w:r>
      <w:r w:rsidR="00A70BF1">
        <w:rPr>
          <w:rFonts w:asciiTheme="minorHAnsi" w:hAnsiTheme="minorHAnsi"/>
          <w:snapToGrid w:val="0"/>
          <w:lang w:val="en-GB" w:eastAsia="en-US"/>
        </w:rPr>
        <w:t>s a high</w:t>
      </w:r>
      <w:r w:rsidR="001A0639">
        <w:rPr>
          <w:rFonts w:asciiTheme="minorHAnsi" w:hAnsiTheme="minorHAnsi"/>
          <w:snapToGrid w:val="0"/>
          <w:lang w:val="en-GB" w:eastAsia="en-US"/>
        </w:rPr>
        <w:t xml:space="preserve"> clinical </w:t>
      </w:r>
      <w:r w:rsidR="00F937D7">
        <w:rPr>
          <w:rFonts w:asciiTheme="minorHAnsi" w:hAnsiTheme="minorHAnsi"/>
          <w:snapToGrid w:val="0"/>
          <w:lang w:val="en-GB" w:eastAsia="en-US"/>
        </w:rPr>
        <w:t>need</w:t>
      </w:r>
      <w:r w:rsidR="001A0639">
        <w:rPr>
          <w:rFonts w:asciiTheme="minorHAnsi" w:hAnsiTheme="minorHAnsi"/>
          <w:snapToGrid w:val="0"/>
          <w:lang w:val="en-GB" w:eastAsia="en-US"/>
        </w:rPr>
        <w:t xml:space="preserve"> for additional therapies </w:t>
      </w:r>
      <w:r w:rsidR="006C7CFD">
        <w:rPr>
          <w:rFonts w:asciiTheme="minorHAnsi" w:hAnsiTheme="minorHAnsi"/>
          <w:snapToGrid w:val="0"/>
          <w:lang w:val="en-GB" w:eastAsia="en-US"/>
        </w:rPr>
        <w:t>for</w:t>
      </w:r>
      <w:r w:rsidR="008E1803">
        <w:rPr>
          <w:rFonts w:asciiTheme="minorHAnsi" w:hAnsiTheme="minorHAnsi"/>
          <w:snapToGrid w:val="0"/>
          <w:lang w:val="en-GB" w:eastAsia="en-US"/>
        </w:rPr>
        <w:t xml:space="preserve"> </w:t>
      </w:r>
      <w:r w:rsidR="002B478A">
        <w:rPr>
          <w:rFonts w:asciiTheme="minorHAnsi" w:hAnsiTheme="minorHAnsi"/>
          <w:snapToGrid w:val="0"/>
          <w:lang w:val="en-GB" w:eastAsia="en-US"/>
        </w:rPr>
        <w:t xml:space="preserve">R/R </w:t>
      </w:r>
      <w:r w:rsidR="00414043">
        <w:rPr>
          <w:rFonts w:asciiTheme="minorHAnsi" w:hAnsiTheme="minorHAnsi"/>
          <w:snapToGrid w:val="0"/>
          <w:lang w:val="en-GB" w:eastAsia="en-US"/>
        </w:rPr>
        <w:t>PTC</w:t>
      </w:r>
      <w:r w:rsidR="002F6477">
        <w:rPr>
          <w:rFonts w:asciiTheme="minorHAnsi" w:hAnsiTheme="minorHAnsi"/>
          <w:snapToGrid w:val="0"/>
          <w:lang w:val="en-GB" w:eastAsia="en-US"/>
        </w:rPr>
        <w:t>L</w:t>
      </w:r>
      <w:r w:rsidR="00BB0B2F">
        <w:rPr>
          <w:rFonts w:asciiTheme="minorHAnsi" w:hAnsiTheme="minorHAnsi"/>
          <w:snapToGrid w:val="0"/>
          <w:lang w:val="en-GB" w:eastAsia="en-US"/>
        </w:rPr>
        <w:t xml:space="preserve"> and </w:t>
      </w:r>
      <w:r w:rsidR="00BE5475">
        <w:rPr>
          <w:rFonts w:asciiTheme="minorHAnsi" w:hAnsiTheme="minorHAnsi"/>
          <w:snapToGrid w:val="0"/>
          <w:lang w:val="en-GB" w:eastAsia="en-US"/>
        </w:rPr>
        <w:t>noted</w:t>
      </w:r>
      <w:r w:rsidR="00340BC7">
        <w:rPr>
          <w:rFonts w:asciiTheme="minorHAnsi" w:hAnsiTheme="minorHAnsi"/>
          <w:snapToGrid w:val="0"/>
          <w:lang w:val="en-GB" w:eastAsia="en-US"/>
        </w:rPr>
        <w:t xml:space="preserve"> </w:t>
      </w:r>
      <w:r w:rsidR="00906517">
        <w:rPr>
          <w:rFonts w:asciiTheme="minorHAnsi" w:hAnsiTheme="minorHAnsi"/>
          <w:snapToGrid w:val="0"/>
          <w:lang w:val="en-GB" w:eastAsia="en-US"/>
        </w:rPr>
        <w:t>the</w:t>
      </w:r>
      <w:r w:rsidR="00340BC7">
        <w:rPr>
          <w:rFonts w:asciiTheme="minorHAnsi" w:hAnsiTheme="minorHAnsi"/>
          <w:snapToGrid w:val="0"/>
          <w:lang w:val="en-GB" w:eastAsia="en-US"/>
        </w:rPr>
        <w:t xml:space="preserve"> </w:t>
      </w:r>
      <w:r w:rsidR="00607D99">
        <w:rPr>
          <w:rFonts w:asciiTheme="minorHAnsi" w:hAnsiTheme="minorHAnsi"/>
          <w:snapToGrid w:val="0"/>
          <w:lang w:val="en-GB" w:eastAsia="en-US"/>
        </w:rPr>
        <w:t xml:space="preserve">strong support for </w:t>
      </w:r>
      <w:r w:rsidR="00340BC7">
        <w:rPr>
          <w:rFonts w:asciiTheme="minorHAnsi" w:hAnsiTheme="minorHAnsi"/>
          <w:snapToGrid w:val="0"/>
          <w:lang w:val="en-GB" w:eastAsia="en-US"/>
        </w:rPr>
        <w:t>romidepsin</w:t>
      </w:r>
      <w:r w:rsidR="00607D99">
        <w:rPr>
          <w:rFonts w:asciiTheme="minorHAnsi" w:hAnsiTheme="minorHAnsi"/>
          <w:snapToGrid w:val="0"/>
          <w:lang w:val="en-GB" w:eastAsia="en-US"/>
        </w:rPr>
        <w:t xml:space="preserve"> in the </w:t>
      </w:r>
      <w:r w:rsidR="006C7CFD">
        <w:rPr>
          <w:rFonts w:asciiTheme="minorHAnsi" w:hAnsiTheme="minorHAnsi"/>
          <w:snapToGrid w:val="0"/>
          <w:lang w:val="en-GB" w:eastAsia="en-US"/>
        </w:rPr>
        <w:t xml:space="preserve">consumer </w:t>
      </w:r>
      <w:r w:rsidR="00F76CAB">
        <w:rPr>
          <w:rFonts w:asciiTheme="minorHAnsi" w:hAnsiTheme="minorHAnsi"/>
          <w:snapToGrid w:val="0"/>
          <w:lang w:val="en-GB" w:eastAsia="en-US"/>
        </w:rPr>
        <w:t xml:space="preserve">inputs </w:t>
      </w:r>
      <w:r w:rsidR="006C7CFD">
        <w:rPr>
          <w:rFonts w:asciiTheme="minorHAnsi" w:hAnsiTheme="minorHAnsi"/>
          <w:snapToGrid w:val="0"/>
          <w:lang w:val="en-GB" w:eastAsia="en-US"/>
        </w:rPr>
        <w:t>received</w:t>
      </w:r>
      <w:r w:rsidR="00932842">
        <w:rPr>
          <w:rFonts w:asciiTheme="minorHAnsi" w:hAnsiTheme="minorHAnsi"/>
          <w:snapToGrid w:val="0"/>
          <w:lang w:val="en-GB" w:eastAsia="en-US"/>
        </w:rPr>
        <w:t>.</w:t>
      </w:r>
      <w:r w:rsidR="002B478A">
        <w:rPr>
          <w:rFonts w:asciiTheme="minorHAnsi" w:hAnsiTheme="minorHAnsi"/>
          <w:snapToGrid w:val="0"/>
          <w:lang w:val="en-GB" w:eastAsia="en-US"/>
        </w:rPr>
        <w:t xml:space="preserve"> </w:t>
      </w:r>
    </w:p>
    <w:p w14:paraId="35DF8F2D" w14:textId="183688CD" w:rsidR="00CE3ADB" w:rsidRDefault="00CE3ADB" w:rsidP="00750703">
      <w:pPr>
        <w:numPr>
          <w:ilvl w:val="1"/>
          <w:numId w:val="1"/>
        </w:numPr>
        <w:spacing w:after="120"/>
        <w:ind w:left="720"/>
        <w:rPr>
          <w:rFonts w:asciiTheme="minorHAnsi" w:hAnsiTheme="minorHAnsi"/>
          <w:snapToGrid w:val="0"/>
          <w:lang w:val="en-GB" w:eastAsia="en-US"/>
        </w:rPr>
      </w:pPr>
      <w:r>
        <w:rPr>
          <w:rFonts w:asciiTheme="minorHAnsi" w:hAnsiTheme="minorHAnsi"/>
          <w:snapToGrid w:val="0"/>
          <w:lang w:val="en-GB" w:eastAsia="en-US"/>
        </w:rPr>
        <w:t>The PBAC noted th</w:t>
      </w:r>
      <w:r w:rsidR="00E21D53">
        <w:rPr>
          <w:rFonts w:asciiTheme="minorHAnsi" w:hAnsiTheme="minorHAnsi"/>
          <w:snapToGrid w:val="0"/>
          <w:lang w:val="en-GB" w:eastAsia="en-US"/>
        </w:rPr>
        <w:t>at</w:t>
      </w:r>
      <w:r>
        <w:rPr>
          <w:rFonts w:asciiTheme="minorHAnsi" w:hAnsiTheme="minorHAnsi"/>
          <w:snapToGrid w:val="0"/>
          <w:lang w:val="en-GB" w:eastAsia="en-US"/>
        </w:rPr>
        <w:t xml:space="preserve"> romidepsin is included </w:t>
      </w:r>
      <w:r w:rsidR="00035D6C">
        <w:rPr>
          <w:rFonts w:asciiTheme="minorHAnsi" w:hAnsiTheme="minorHAnsi"/>
          <w:snapToGrid w:val="0"/>
          <w:lang w:val="en-GB" w:eastAsia="en-US"/>
        </w:rPr>
        <w:t xml:space="preserve">as a preferred treatment in clinical </w:t>
      </w:r>
      <w:r>
        <w:rPr>
          <w:rFonts w:asciiTheme="minorHAnsi" w:hAnsiTheme="minorHAnsi"/>
          <w:snapToGrid w:val="0"/>
          <w:lang w:val="en-GB" w:eastAsia="en-US"/>
        </w:rPr>
        <w:t xml:space="preserve">guidelines </w:t>
      </w:r>
      <w:r w:rsidR="001A5A7C">
        <w:rPr>
          <w:rFonts w:asciiTheme="minorHAnsi" w:hAnsiTheme="minorHAnsi"/>
          <w:snapToGrid w:val="0"/>
          <w:lang w:val="en-GB" w:eastAsia="en-US"/>
        </w:rPr>
        <w:t xml:space="preserve">and some patients are </w:t>
      </w:r>
      <w:r w:rsidR="00FC50F3">
        <w:rPr>
          <w:rFonts w:asciiTheme="minorHAnsi" w:hAnsiTheme="minorHAnsi"/>
          <w:snapToGrid w:val="0"/>
          <w:lang w:val="en-GB" w:eastAsia="en-US"/>
        </w:rPr>
        <w:t xml:space="preserve">currently </w:t>
      </w:r>
      <w:r w:rsidR="001A5A7C">
        <w:rPr>
          <w:rFonts w:asciiTheme="minorHAnsi" w:hAnsiTheme="minorHAnsi"/>
          <w:snapToGrid w:val="0"/>
          <w:lang w:val="en-GB" w:eastAsia="en-US"/>
        </w:rPr>
        <w:t xml:space="preserve">receiving </w:t>
      </w:r>
      <w:r w:rsidR="00FC50F3">
        <w:rPr>
          <w:rFonts w:asciiTheme="minorHAnsi" w:hAnsiTheme="minorHAnsi"/>
          <w:snapToGrid w:val="0"/>
          <w:lang w:val="en-GB" w:eastAsia="en-US"/>
        </w:rPr>
        <w:t>it</w:t>
      </w:r>
      <w:r w:rsidR="00035D6C">
        <w:rPr>
          <w:rFonts w:asciiTheme="minorHAnsi" w:hAnsiTheme="minorHAnsi"/>
          <w:snapToGrid w:val="0"/>
          <w:lang w:val="en-GB" w:eastAsia="en-US"/>
        </w:rPr>
        <w:t xml:space="preserve"> as part of their treatment regimen</w:t>
      </w:r>
      <w:r w:rsidR="00A4200C">
        <w:rPr>
          <w:rFonts w:asciiTheme="minorHAnsi" w:hAnsiTheme="minorHAnsi"/>
          <w:snapToGrid w:val="0"/>
          <w:lang w:val="en-GB" w:eastAsia="en-US"/>
        </w:rPr>
        <w:t xml:space="preserve"> (e.g., via hospitals or access program)</w:t>
      </w:r>
      <w:r w:rsidR="00FC50F3">
        <w:rPr>
          <w:rFonts w:asciiTheme="minorHAnsi" w:hAnsiTheme="minorHAnsi"/>
          <w:snapToGrid w:val="0"/>
          <w:lang w:val="en-GB" w:eastAsia="en-US"/>
        </w:rPr>
        <w:t>.</w:t>
      </w:r>
      <w:r w:rsidR="00750703">
        <w:rPr>
          <w:rFonts w:asciiTheme="minorHAnsi" w:hAnsiTheme="minorHAnsi"/>
          <w:snapToGrid w:val="0"/>
          <w:lang w:val="en-GB" w:eastAsia="en-US"/>
        </w:rPr>
        <w:t xml:space="preserve"> </w:t>
      </w:r>
    </w:p>
    <w:p w14:paraId="642385BE" w14:textId="3157FBFC" w:rsidR="00C74C3D" w:rsidRDefault="001275E4" w:rsidP="00750703">
      <w:pPr>
        <w:pStyle w:val="3-BodyText"/>
        <w:ind w:left="720"/>
        <w:rPr>
          <w:rFonts w:eastAsia="Times New Roman" w:cs="Arial"/>
          <w:snapToGrid w:val="0"/>
          <w:szCs w:val="24"/>
          <w:lang w:val="en-GB" w:eastAsia="en-US"/>
        </w:rPr>
      </w:pPr>
      <w:r>
        <w:rPr>
          <w:rFonts w:eastAsia="Times New Roman" w:cs="Arial"/>
          <w:snapToGrid w:val="0"/>
          <w:szCs w:val="24"/>
          <w:lang w:val="en-GB" w:eastAsia="en-US"/>
        </w:rPr>
        <w:t>In relation to the proposed listing and restriction</w:t>
      </w:r>
      <w:r w:rsidR="00DC7373">
        <w:rPr>
          <w:rFonts w:eastAsia="Times New Roman" w:cs="Arial"/>
          <w:snapToGrid w:val="0"/>
          <w:szCs w:val="24"/>
          <w:lang w:val="en-GB" w:eastAsia="en-US"/>
        </w:rPr>
        <w:t xml:space="preserve"> the PBAC advised that</w:t>
      </w:r>
      <w:r w:rsidR="00C74C3D">
        <w:rPr>
          <w:rFonts w:eastAsia="Times New Roman" w:cs="Arial"/>
          <w:snapToGrid w:val="0"/>
          <w:szCs w:val="24"/>
          <w:lang w:val="en-GB" w:eastAsia="en-US"/>
        </w:rPr>
        <w:t>:</w:t>
      </w:r>
    </w:p>
    <w:p w14:paraId="360A9132" w14:textId="388914F6" w:rsidR="001D45A0" w:rsidRDefault="001D45A0" w:rsidP="00750703">
      <w:pPr>
        <w:pStyle w:val="3-BodyText"/>
        <w:numPr>
          <w:ilvl w:val="0"/>
          <w:numId w:val="28"/>
        </w:numPr>
        <w:rPr>
          <w:rFonts w:eastAsia="Times New Roman" w:cs="Arial"/>
          <w:snapToGrid w:val="0"/>
          <w:szCs w:val="24"/>
          <w:lang w:val="en-GB" w:eastAsia="en-US"/>
        </w:rPr>
      </w:pPr>
      <w:r>
        <w:rPr>
          <w:lang w:val="en-GB"/>
        </w:rPr>
        <w:t>An Authority Required (Telephone/Online PBS Authorities system) listing was appropriate</w:t>
      </w:r>
      <w:r w:rsidR="00DC7373">
        <w:rPr>
          <w:lang w:val="en-GB"/>
        </w:rPr>
        <w:t>.</w:t>
      </w:r>
    </w:p>
    <w:p w14:paraId="1D297F5D" w14:textId="29C13B10" w:rsidR="003D3FB0" w:rsidRPr="003D3FB0" w:rsidRDefault="00DC7373" w:rsidP="00750703">
      <w:pPr>
        <w:pStyle w:val="3-BodyText"/>
        <w:numPr>
          <w:ilvl w:val="0"/>
          <w:numId w:val="28"/>
        </w:numPr>
        <w:rPr>
          <w:rFonts w:eastAsia="Times New Roman" w:cs="Arial"/>
          <w:snapToGrid w:val="0"/>
          <w:szCs w:val="24"/>
          <w:lang w:val="en-GB" w:eastAsia="en-US"/>
        </w:rPr>
      </w:pPr>
      <w:r>
        <w:rPr>
          <w:rFonts w:eastAsia="Times New Roman" w:cs="Arial"/>
          <w:snapToGrid w:val="0"/>
          <w:szCs w:val="24"/>
          <w:lang w:val="en-GB" w:eastAsia="en-US"/>
        </w:rPr>
        <w:t>The</w:t>
      </w:r>
      <w:r w:rsidR="000E6398">
        <w:rPr>
          <w:rFonts w:eastAsia="Times New Roman" w:cs="Arial"/>
          <w:snapToGrid w:val="0"/>
          <w:szCs w:val="24"/>
          <w:lang w:val="en-GB" w:eastAsia="en-US"/>
        </w:rPr>
        <w:t xml:space="preserve"> proposed maximum amount of 40 mg </w:t>
      </w:r>
      <w:r w:rsidR="00347282">
        <w:rPr>
          <w:rFonts w:eastAsia="Times New Roman" w:cs="Arial"/>
          <w:snapToGrid w:val="0"/>
          <w:szCs w:val="24"/>
          <w:lang w:val="en-GB" w:eastAsia="en-US"/>
        </w:rPr>
        <w:t xml:space="preserve">was appropriate, noting that this </w:t>
      </w:r>
      <w:r w:rsidR="003D3FB0" w:rsidRPr="003D3FB0">
        <w:rPr>
          <w:rFonts w:eastAsia="Times New Roman" w:cs="Arial"/>
          <w:snapToGrid w:val="0"/>
          <w:szCs w:val="24"/>
          <w:lang w:val="en-GB" w:eastAsia="en-US"/>
        </w:rPr>
        <w:t xml:space="preserve">would </w:t>
      </w:r>
      <w:r w:rsidR="00347282">
        <w:rPr>
          <w:rFonts w:eastAsia="Times New Roman" w:cs="Arial"/>
          <w:snapToGrid w:val="0"/>
          <w:szCs w:val="24"/>
          <w:lang w:val="en-GB" w:eastAsia="en-US"/>
        </w:rPr>
        <w:t>be</w:t>
      </w:r>
      <w:r w:rsidR="003D3FB0" w:rsidRPr="003D3FB0">
        <w:rPr>
          <w:rFonts w:eastAsia="Times New Roman" w:cs="Arial"/>
          <w:snapToGrid w:val="0"/>
          <w:szCs w:val="24"/>
          <w:lang w:val="en-GB" w:eastAsia="en-US"/>
        </w:rPr>
        <w:t xml:space="preserve"> sufficient for patients with a body surface area of up to 2.8 m</w:t>
      </w:r>
      <w:r w:rsidR="003D3FB0" w:rsidRPr="001B2DE6">
        <w:rPr>
          <w:rFonts w:eastAsia="Times New Roman" w:cs="Arial"/>
          <w:snapToGrid w:val="0"/>
          <w:szCs w:val="24"/>
          <w:vertAlign w:val="superscript"/>
          <w:lang w:val="en-GB" w:eastAsia="en-US"/>
        </w:rPr>
        <w:t>2</w:t>
      </w:r>
      <w:r w:rsidR="003D3FB0" w:rsidRPr="003D3FB0">
        <w:rPr>
          <w:rFonts w:eastAsia="Times New Roman" w:cs="Arial"/>
          <w:snapToGrid w:val="0"/>
          <w:szCs w:val="24"/>
          <w:lang w:val="en-GB" w:eastAsia="en-US"/>
        </w:rPr>
        <w:t xml:space="preserve"> </w:t>
      </w:r>
      <w:r w:rsidR="006361AE">
        <w:rPr>
          <w:rFonts w:eastAsia="Times New Roman" w:cs="Arial"/>
          <w:snapToGrid w:val="0"/>
          <w:szCs w:val="24"/>
          <w:lang w:val="en-GB" w:eastAsia="en-US"/>
        </w:rPr>
        <w:t>(</w:t>
      </w:r>
      <w:r w:rsidR="00DD5324">
        <w:rPr>
          <w:rFonts w:eastAsia="Times New Roman" w:cs="Arial"/>
          <w:snapToGrid w:val="0"/>
          <w:szCs w:val="24"/>
          <w:lang w:val="en-GB" w:eastAsia="en-US"/>
        </w:rPr>
        <w:t>more than 99%</w:t>
      </w:r>
      <w:r w:rsidR="003D3FB0" w:rsidRPr="003D3FB0">
        <w:rPr>
          <w:rFonts w:eastAsia="Times New Roman" w:cs="Arial"/>
          <w:snapToGrid w:val="0"/>
          <w:szCs w:val="24"/>
          <w:lang w:val="en-GB" w:eastAsia="en-US"/>
        </w:rPr>
        <w:t xml:space="preserve"> of the proposed patient population</w:t>
      </w:r>
      <w:r w:rsidR="006361AE">
        <w:rPr>
          <w:rFonts w:eastAsia="Times New Roman" w:cs="Arial"/>
          <w:snapToGrid w:val="0"/>
          <w:szCs w:val="24"/>
          <w:lang w:val="en-GB" w:eastAsia="en-US"/>
        </w:rPr>
        <w:t>)</w:t>
      </w:r>
      <w:r w:rsidR="003D3FB0" w:rsidRPr="003D3FB0">
        <w:rPr>
          <w:rFonts w:eastAsia="Times New Roman" w:cs="Arial"/>
          <w:snapToGrid w:val="0"/>
          <w:szCs w:val="24"/>
          <w:lang w:val="en-GB" w:eastAsia="en-US"/>
        </w:rPr>
        <w:t>.</w:t>
      </w:r>
      <w:r w:rsidR="00750703">
        <w:rPr>
          <w:rFonts w:eastAsia="Times New Roman" w:cs="Arial"/>
          <w:snapToGrid w:val="0"/>
          <w:szCs w:val="24"/>
          <w:lang w:val="en-GB" w:eastAsia="en-US"/>
        </w:rPr>
        <w:t xml:space="preserve"> </w:t>
      </w:r>
    </w:p>
    <w:p w14:paraId="62C899BB" w14:textId="60196E0A" w:rsidR="00911F82" w:rsidRPr="00C74C3D" w:rsidRDefault="006A4A3F" w:rsidP="00750703">
      <w:pPr>
        <w:pStyle w:val="ListParagraph"/>
        <w:numPr>
          <w:ilvl w:val="0"/>
          <w:numId w:val="28"/>
        </w:numPr>
        <w:jc w:val="both"/>
        <w:rPr>
          <w:lang w:val="en-GB" w:eastAsia="en-US"/>
        </w:rPr>
      </w:pPr>
      <w:r>
        <w:rPr>
          <w:lang w:val="en-GB" w:eastAsia="en-US"/>
        </w:rPr>
        <w:lastRenderedPageBreak/>
        <w:t>C</w:t>
      </w:r>
      <w:r w:rsidR="00197D45" w:rsidRPr="00C74C3D">
        <w:rPr>
          <w:lang w:val="en-GB" w:eastAsia="en-US"/>
        </w:rPr>
        <w:t>linical criterion</w:t>
      </w:r>
      <w:r>
        <w:rPr>
          <w:lang w:val="en-GB" w:eastAsia="en-US"/>
        </w:rPr>
        <w:t xml:space="preserve"> stating that</w:t>
      </w:r>
      <w:r w:rsidR="00197D45" w:rsidRPr="00C74C3D">
        <w:rPr>
          <w:lang w:val="en-GB" w:eastAsia="en-US"/>
        </w:rPr>
        <w:t xml:space="preserve"> ‘The treatment must be the sole PBS</w:t>
      </w:r>
      <w:r w:rsidR="00750703">
        <w:rPr>
          <w:lang w:val="en-GB" w:eastAsia="en-US"/>
        </w:rPr>
        <w:noBreakHyphen/>
      </w:r>
      <w:r w:rsidR="00197D45" w:rsidRPr="00C74C3D">
        <w:rPr>
          <w:lang w:val="en-GB" w:eastAsia="en-US"/>
        </w:rPr>
        <w:t>subsidised systemic anti</w:t>
      </w:r>
      <w:r w:rsidR="00750703">
        <w:rPr>
          <w:lang w:val="en-GB" w:eastAsia="en-US"/>
        </w:rPr>
        <w:noBreakHyphen/>
      </w:r>
      <w:r w:rsidR="00197D45" w:rsidRPr="00C74C3D">
        <w:rPr>
          <w:lang w:val="en-GB" w:eastAsia="en-US"/>
        </w:rPr>
        <w:t>cancer therapy for this PBS indication</w:t>
      </w:r>
      <w:r w:rsidR="00611EA2" w:rsidRPr="00C74C3D">
        <w:rPr>
          <w:lang w:val="en-GB" w:eastAsia="en-US"/>
        </w:rPr>
        <w:t xml:space="preserve">’, </w:t>
      </w:r>
      <w:r>
        <w:rPr>
          <w:lang w:val="en-GB" w:eastAsia="en-US"/>
        </w:rPr>
        <w:t>should be included. The PBAC noted</w:t>
      </w:r>
      <w:r w:rsidR="00611EA2" w:rsidRPr="00C74C3D">
        <w:rPr>
          <w:lang w:val="en-GB" w:eastAsia="en-US"/>
        </w:rPr>
        <w:t xml:space="preserve"> that this would permit patients to </w:t>
      </w:r>
      <w:r w:rsidR="008A07EF">
        <w:rPr>
          <w:lang w:val="en-GB" w:eastAsia="en-US"/>
        </w:rPr>
        <w:t xml:space="preserve">continue to </w:t>
      </w:r>
      <w:r w:rsidR="00611EA2" w:rsidRPr="00C74C3D">
        <w:rPr>
          <w:lang w:val="en-GB" w:eastAsia="en-US"/>
        </w:rPr>
        <w:t>self</w:t>
      </w:r>
      <w:r w:rsidR="00750703">
        <w:rPr>
          <w:lang w:val="en-GB" w:eastAsia="en-US"/>
        </w:rPr>
        <w:noBreakHyphen/>
      </w:r>
      <w:r w:rsidR="00611EA2" w:rsidRPr="00C74C3D">
        <w:rPr>
          <w:lang w:val="en-GB" w:eastAsia="en-US"/>
        </w:rPr>
        <w:t xml:space="preserve">fund combination therapy with </w:t>
      </w:r>
      <w:r w:rsidR="004E30CD">
        <w:rPr>
          <w:lang w:val="en-GB" w:eastAsia="en-US"/>
        </w:rPr>
        <w:t xml:space="preserve">other </w:t>
      </w:r>
      <w:r w:rsidR="00AF63B6">
        <w:rPr>
          <w:lang w:val="en-GB" w:eastAsia="en-US"/>
        </w:rPr>
        <w:t>non</w:t>
      </w:r>
      <w:r w:rsidR="00750703">
        <w:rPr>
          <w:lang w:val="en-GB" w:eastAsia="en-US"/>
        </w:rPr>
        <w:noBreakHyphen/>
      </w:r>
      <w:r w:rsidR="00AF63B6">
        <w:rPr>
          <w:lang w:val="en-GB" w:eastAsia="en-US"/>
        </w:rPr>
        <w:t xml:space="preserve">PBS subsidised </w:t>
      </w:r>
      <w:r w:rsidR="004E30CD">
        <w:rPr>
          <w:lang w:val="en-GB" w:eastAsia="en-US"/>
        </w:rPr>
        <w:t>agents</w:t>
      </w:r>
      <w:r w:rsidR="00611EA2" w:rsidRPr="00C74C3D">
        <w:rPr>
          <w:lang w:val="en-GB" w:eastAsia="en-US"/>
        </w:rPr>
        <w:t xml:space="preserve">. </w:t>
      </w:r>
    </w:p>
    <w:p w14:paraId="0691AA50" w14:textId="6089FAA8" w:rsidR="00A22A62" w:rsidRPr="00A22A62" w:rsidRDefault="00A22A62" w:rsidP="00750703">
      <w:pPr>
        <w:pStyle w:val="ListParagraph"/>
        <w:numPr>
          <w:ilvl w:val="0"/>
          <w:numId w:val="28"/>
        </w:numPr>
        <w:jc w:val="both"/>
        <w:rPr>
          <w:lang w:val="en-GB" w:eastAsia="en-US"/>
        </w:rPr>
      </w:pPr>
      <w:r w:rsidRPr="00A22A62">
        <w:rPr>
          <w:lang w:val="en-GB" w:eastAsia="en-US"/>
        </w:rPr>
        <w:t>Flow</w:t>
      </w:r>
      <w:r w:rsidR="00750703">
        <w:rPr>
          <w:lang w:val="en-GB" w:eastAsia="en-US"/>
        </w:rPr>
        <w:noBreakHyphen/>
      </w:r>
      <w:r w:rsidRPr="00A22A62">
        <w:rPr>
          <w:lang w:val="en-GB" w:eastAsia="en-US"/>
        </w:rPr>
        <w:t xml:space="preserve">on changes </w:t>
      </w:r>
      <w:r w:rsidR="00D57F28">
        <w:rPr>
          <w:lang w:val="en-GB" w:eastAsia="en-US"/>
        </w:rPr>
        <w:t xml:space="preserve">to include the above clinical criterion </w:t>
      </w:r>
      <w:r w:rsidR="00110CFD">
        <w:rPr>
          <w:lang w:val="en-GB" w:eastAsia="en-US"/>
        </w:rPr>
        <w:t xml:space="preserve">in </w:t>
      </w:r>
      <w:r w:rsidR="00110CFD" w:rsidRPr="00A22A62">
        <w:rPr>
          <w:lang w:val="en-GB" w:eastAsia="en-US"/>
        </w:rPr>
        <w:t>the</w:t>
      </w:r>
      <w:r w:rsidRPr="00A22A62">
        <w:rPr>
          <w:lang w:val="en-GB" w:eastAsia="en-US"/>
        </w:rPr>
        <w:t xml:space="preserve"> current pralatrexate listings 11271F/11293J and 11272G/11278N would be required to preclude </w:t>
      </w:r>
      <w:r w:rsidR="004E175C">
        <w:rPr>
          <w:lang w:val="en-GB" w:eastAsia="en-US"/>
        </w:rPr>
        <w:t>the combination</w:t>
      </w:r>
      <w:r w:rsidRPr="00A22A62">
        <w:rPr>
          <w:lang w:val="en-GB" w:eastAsia="en-US"/>
        </w:rPr>
        <w:t xml:space="preserve"> use of pralatrexate </w:t>
      </w:r>
      <w:r w:rsidR="004E175C">
        <w:rPr>
          <w:lang w:val="en-GB" w:eastAsia="en-US"/>
        </w:rPr>
        <w:t xml:space="preserve">with </w:t>
      </w:r>
      <w:r w:rsidRPr="00A22A62">
        <w:rPr>
          <w:lang w:val="en-GB" w:eastAsia="en-US"/>
        </w:rPr>
        <w:t xml:space="preserve">romidepsin </w:t>
      </w:r>
      <w:r w:rsidR="004E175C">
        <w:rPr>
          <w:lang w:val="en-GB" w:eastAsia="en-US"/>
        </w:rPr>
        <w:t>or other anticancer drugs</w:t>
      </w:r>
      <w:r w:rsidRPr="00A22A62">
        <w:rPr>
          <w:lang w:val="en-GB" w:eastAsia="en-US"/>
        </w:rPr>
        <w:t xml:space="preserve"> </w:t>
      </w:r>
      <w:r w:rsidR="004E175C">
        <w:rPr>
          <w:lang w:val="en-GB" w:eastAsia="en-US"/>
        </w:rPr>
        <w:t>through the PBS</w:t>
      </w:r>
      <w:r w:rsidRPr="00A22A62">
        <w:rPr>
          <w:lang w:val="en-GB" w:eastAsia="en-US"/>
        </w:rPr>
        <w:t>.</w:t>
      </w:r>
    </w:p>
    <w:p w14:paraId="1862705E" w14:textId="4F75D5E7" w:rsidR="000F31B7" w:rsidRDefault="00993414" w:rsidP="00750703">
      <w:pPr>
        <w:pStyle w:val="3-BodyText"/>
        <w:numPr>
          <w:ilvl w:val="0"/>
          <w:numId w:val="28"/>
        </w:numPr>
        <w:rPr>
          <w:rFonts w:eastAsia="Times New Roman" w:cs="Arial"/>
          <w:snapToGrid w:val="0"/>
          <w:szCs w:val="24"/>
          <w:lang w:val="en-GB" w:eastAsia="en-US"/>
        </w:rPr>
      </w:pPr>
      <w:r>
        <w:rPr>
          <w:rFonts w:eastAsia="Times New Roman" w:cs="Arial"/>
          <w:snapToGrid w:val="0"/>
          <w:szCs w:val="24"/>
          <w:lang w:val="en-GB" w:eastAsia="en-US"/>
        </w:rPr>
        <w:t xml:space="preserve">A </w:t>
      </w:r>
      <w:r w:rsidR="000F31B7" w:rsidRPr="000F31B7">
        <w:rPr>
          <w:rFonts w:eastAsia="Times New Roman" w:cs="Arial"/>
          <w:snapToGrid w:val="0"/>
          <w:szCs w:val="24"/>
          <w:lang w:val="en-GB" w:eastAsia="en-US"/>
        </w:rPr>
        <w:t>grandfather</w:t>
      </w:r>
      <w:r w:rsidR="005C5E9A">
        <w:rPr>
          <w:rFonts w:eastAsia="Times New Roman" w:cs="Arial"/>
          <w:snapToGrid w:val="0"/>
          <w:szCs w:val="24"/>
          <w:lang w:val="en-GB" w:eastAsia="en-US"/>
        </w:rPr>
        <w:t>ing</w:t>
      </w:r>
      <w:r w:rsidR="000F31B7" w:rsidRPr="000F31B7">
        <w:rPr>
          <w:rFonts w:eastAsia="Times New Roman" w:cs="Arial"/>
          <w:snapToGrid w:val="0"/>
          <w:szCs w:val="24"/>
          <w:lang w:val="en-GB" w:eastAsia="en-US"/>
        </w:rPr>
        <w:t xml:space="preserve"> restriction </w:t>
      </w:r>
      <w:r w:rsidR="005C5E9A">
        <w:rPr>
          <w:rFonts w:eastAsia="Times New Roman" w:cs="Arial"/>
          <w:snapToGrid w:val="0"/>
          <w:szCs w:val="24"/>
          <w:lang w:val="en-GB" w:eastAsia="en-US"/>
        </w:rPr>
        <w:t xml:space="preserve">would be required </w:t>
      </w:r>
      <w:r w:rsidR="003E6883">
        <w:rPr>
          <w:rFonts w:eastAsia="Times New Roman" w:cs="Arial"/>
          <w:snapToGrid w:val="0"/>
          <w:szCs w:val="24"/>
          <w:lang w:val="en-GB" w:eastAsia="en-US"/>
        </w:rPr>
        <w:t xml:space="preserve">for </w:t>
      </w:r>
      <w:r w:rsidR="000F31B7" w:rsidRPr="000F31B7">
        <w:rPr>
          <w:rFonts w:eastAsia="Times New Roman" w:cs="Arial"/>
          <w:snapToGrid w:val="0"/>
          <w:szCs w:val="24"/>
          <w:lang w:val="en-GB" w:eastAsia="en-US"/>
        </w:rPr>
        <w:t xml:space="preserve">patients </w:t>
      </w:r>
      <w:r w:rsidR="003E6883">
        <w:rPr>
          <w:rFonts w:eastAsia="Times New Roman" w:cs="Arial"/>
          <w:snapToGrid w:val="0"/>
          <w:szCs w:val="24"/>
          <w:lang w:val="en-GB" w:eastAsia="en-US"/>
        </w:rPr>
        <w:t xml:space="preserve">currently </w:t>
      </w:r>
      <w:r w:rsidR="0065672F">
        <w:rPr>
          <w:rFonts w:eastAsia="Times New Roman" w:cs="Arial"/>
          <w:snapToGrid w:val="0"/>
          <w:szCs w:val="24"/>
          <w:lang w:val="en-GB" w:eastAsia="en-US"/>
        </w:rPr>
        <w:t xml:space="preserve">being treated with </w:t>
      </w:r>
      <w:r w:rsidR="00503249">
        <w:rPr>
          <w:rFonts w:eastAsia="Times New Roman" w:cs="Arial"/>
          <w:snapToGrid w:val="0"/>
          <w:szCs w:val="24"/>
          <w:lang w:val="en-GB" w:eastAsia="en-US"/>
        </w:rPr>
        <w:t>non</w:t>
      </w:r>
      <w:r w:rsidR="00750703">
        <w:rPr>
          <w:rFonts w:eastAsia="Times New Roman" w:cs="Arial"/>
          <w:snapToGrid w:val="0"/>
          <w:szCs w:val="24"/>
          <w:lang w:val="en-GB" w:eastAsia="en-US"/>
        </w:rPr>
        <w:noBreakHyphen/>
      </w:r>
      <w:r w:rsidR="00503249">
        <w:rPr>
          <w:rFonts w:eastAsia="Times New Roman" w:cs="Arial"/>
          <w:snapToGrid w:val="0"/>
          <w:szCs w:val="24"/>
          <w:lang w:val="en-GB" w:eastAsia="en-US"/>
        </w:rPr>
        <w:t xml:space="preserve">PBS subsidised </w:t>
      </w:r>
      <w:r w:rsidR="0065672F">
        <w:rPr>
          <w:rFonts w:eastAsia="Times New Roman" w:cs="Arial"/>
          <w:snapToGrid w:val="0"/>
          <w:szCs w:val="24"/>
          <w:lang w:val="en-GB" w:eastAsia="en-US"/>
        </w:rPr>
        <w:t>romidepsin</w:t>
      </w:r>
      <w:r w:rsidR="003E6883">
        <w:rPr>
          <w:rFonts w:eastAsia="Times New Roman" w:cs="Arial"/>
          <w:snapToGrid w:val="0"/>
          <w:szCs w:val="24"/>
          <w:lang w:val="en-GB" w:eastAsia="en-US"/>
        </w:rPr>
        <w:t xml:space="preserve">. </w:t>
      </w:r>
    </w:p>
    <w:p w14:paraId="0729D5B9" w14:textId="6C0A8E44" w:rsidR="00AF5244" w:rsidRPr="00AF5244" w:rsidRDefault="009B4E2B" w:rsidP="00750703">
      <w:pPr>
        <w:numPr>
          <w:ilvl w:val="1"/>
          <w:numId w:val="1"/>
        </w:numPr>
        <w:spacing w:after="120"/>
        <w:ind w:left="720"/>
        <w:rPr>
          <w:rFonts w:asciiTheme="minorHAnsi" w:hAnsiTheme="minorHAnsi"/>
          <w:snapToGrid w:val="0"/>
          <w:lang w:val="en-GB" w:eastAsia="en-US"/>
        </w:rPr>
      </w:pPr>
      <w:r>
        <w:rPr>
          <w:rFonts w:asciiTheme="minorHAnsi" w:hAnsiTheme="minorHAnsi"/>
          <w:snapToGrid w:val="0"/>
          <w:lang w:val="en-GB" w:eastAsia="en-US"/>
        </w:rPr>
        <w:t>T</w:t>
      </w:r>
      <w:r w:rsidR="00A75401">
        <w:rPr>
          <w:rFonts w:asciiTheme="minorHAnsi" w:hAnsiTheme="minorHAnsi"/>
          <w:snapToGrid w:val="0"/>
          <w:lang w:val="en-GB" w:eastAsia="en-US"/>
        </w:rPr>
        <w:t xml:space="preserve">he PBAC </w:t>
      </w:r>
      <w:r w:rsidR="00537F4C">
        <w:rPr>
          <w:rFonts w:asciiTheme="minorHAnsi" w:hAnsiTheme="minorHAnsi"/>
          <w:snapToGrid w:val="0"/>
          <w:lang w:val="en-GB" w:eastAsia="en-US"/>
        </w:rPr>
        <w:t xml:space="preserve">considered </w:t>
      </w:r>
      <w:r w:rsidR="007B2CE4">
        <w:rPr>
          <w:rFonts w:asciiTheme="minorHAnsi" w:hAnsiTheme="minorHAnsi"/>
          <w:snapToGrid w:val="0"/>
          <w:lang w:val="en-GB" w:eastAsia="en-US"/>
        </w:rPr>
        <w:t xml:space="preserve">pralatrexate </w:t>
      </w:r>
      <w:r w:rsidR="0005551F">
        <w:rPr>
          <w:rFonts w:asciiTheme="minorHAnsi" w:hAnsiTheme="minorHAnsi"/>
          <w:snapToGrid w:val="0"/>
          <w:lang w:val="en-GB" w:eastAsia="en-US"/>
        </w:rPr>
        <w:t>to be</w:t>
      </w:r>
      <w:r w:rsidR="007B2CE4">
        <w:rPr>
          <w:rFonts w:asciiTheme="minorHAnsi" w:hAnsiTheme="minorHAnsi"/>
          <w:snapToGrid w:val="0"/>
          <w:lang w:val="en-GB" w:eastAsia="en-US"/>
        </w:rPr>
        <w:t xml:space="preserve"> the </w:t>
      </w:r>
      <w:r w:rsidR="00537F4C">
        <w:rPr>
          <w:rFonts w:asciiTheme="minorHAnsi" w:hAnsiTheme="minorHAnsi"/>
          <w:snapToGrid w:val="0"/>
          <w:lang w:val="en-GB" w:eastAsia="en-US"/>
        </w:rPr>
        <w:t>appropriate</w:t>
      </w:r>
      <w:r w:rsidR="007B2CE4">
        <w:rPr>
          <w:rFonts w:asciiTheme="minorHAnsi" w:hAnsiTheme="minorHAnsi"/>
          <w:snapToGrid w:val="0"/>
          <w:lang w:val="en-GB" w:eastAsia="en-US"/>
        </w:rPr>
        <w:t xml:space="preserve"> comparator</w:t>
      </w:r>
      <w:r w:rsidR="00537F4C">
        <w:rPr>
          <w:rFonts w:asciiTheme="minorHAnsi" w:hAnsiTheme="minorHAnsi"/>
          <w:snapToGrid w:val="0"/>
          <w:lang w:val="en-GB" w:eastAsia="en-US"/>
        </w:rPr>
        <w:t>.</w:t>
      </w:r>
      <w:r w:rsidR="002A6779">
        <w:rPr>
          <w:rFonts w:asciiTheme="minorHAnsi" w:hAnsiTheme="minorHAnsi"/>
          <w:snapToGrid w:val="0"/>
          <w:lang w:val="en-GB" w:eastAsia="en-US"/>
        </w:rPr>
        <w:t xml:space="preserve"> </w:t>
      </w:r>
      <w:r w:rsidR="0005551F">
        <w:rPr>
          <w:rFonts w:asciiTheme="minorHAnsi" w:hAnsiTheme="minorHAnsi"/>
          <w:snapToGrid w:val="0"/>
          <w:lang w:val="en-GB" w:eastAsia="en-US"/>
        </w:rPr>
        <w:t xml:space="preserve">The PBAC </w:t>
      </w:r>
      <w:r w:rsidR="002A6779">
        <w:rPr>
          <w:rFonts w:asciiTheme="minorHAnsi" w:hAnsiTheme="minorHAnsi"/>
          <w:snapToGrid w:val="0"/>
          <w:lang w:val="en-GB" w:eastAsia="en-US"/>
        </w:rPr>
        <w:t>recalled that it had previously considered pralatrexate to be an appropriate comparator</w:t>
      </w:r>
      <w:r w:rsidR="0005551F">
        <w:rPr>
          <w:rFonts w:asciiTheme="minorHAnsi" w:hAnsiTheme="minorHAnsi"/>
          <w:snapToGrid w:val="0"/>
          <w:lang w:val="en-GB" w:eastAsia="en-US"/>
        </w:rPr>
        <w:t xml:space="preserve"> in its consideration of romidepsin in </w:t>
      </w:r>
      <w:r w:rsidR="00283B10">
        <w:rPr>
          <w:rFonts w:asciiTheme="minorHAnsi" w:hAnsiTheme="minorHAnsi"/>
          <w:snapToGrid w:val="0"/>
          <w:lang w:val="en-GB" w:eastAsia="en-US"/>
        </w:rPr>
        <w:t xml:space="preserve">December </w:t>
      </w:r>
      <w:r w:rsidR="0005551F">
        <w:rPr>
          <w:rFonts w:asciiTheme="minorHAnsi" w:hAnsiTheme="minorHAnsi"/>
          <w:snapToGrid w:val="0"/>
          <w:lang w:val="en-GB" w:eastAsia="en-US"/>
        </w:rPr>
        <w:t>2017</w:t>
      </w:r>
      <w:r w:rsidR="002A6779">
        <w:rPr>
          <w:rFonts w:asciiTheme="minorHAnsi" w:hAnsiTheme="minorHAnsi"/>
          <w:snapToGrid w:val="0"/>
          <w:lang w:val="en-GB" w:eastAsia="en-US"/>
        </w:rPr>
        <w:t>.</w:t>
      </w:r>
      <w:r w:rsidR="0005551F" w:rsidRPr="0005551F">
        <w:t xml:space="preserve"> </w:t>
      </w:r>
    </w:p>
    <w:p w14:paraId="1FE2C216" w14:textId="26143396" w:rsidR="00167F5A" w:rsidRDefault="0045172B" w:rsidP="00750703">
      <w:pPr>
        <w:numPr>
          <w:ilvl w:val="1"/>
          <w:numId w:val="1"/>
        </w:numPr>
        <w:spacing w:after="120"/>
        <w:ind w:left="720"/>
        <w:rPr>
          <w:rFonts w:asciiTheme="minorHAnsi" w:hAnsiTheme="minorHAnsi"/>
          <w:snapToGrid w:val="0"/>
          <w:lang w:val="en-GB" w:eastAsia="en-US"/>
        </w:rPr>
      </w:pPr>
      <w:r w:rsidRPr="0045172B">
        <w:rPr>
          <w:rFonts w:asciiTheme="minorHAnsi" w:hAnsiTheme="minorHAnsi"/>
          <w:snapToGrid w:val="0"/>
          <w:lang w:val="en-GB" w:eastAsia="en-US"/>
        </w:rPr>
        <w:t xml:space="preserve">The PBAC </w:t>
      </w:r>
      <w:r w:rsidR="00D16128">
        <w:rPr>
          <w:rFonts w:asciiTheme="minorHAnsi" w:hAnsiTheme="minorHAnsi"/>
          <w:snapToGrid w:val="0"/>
          <w:lang w:val="en-GB" w:eastAsia="en-US"/>
        </w:rPr>
        <w:t>noted that the submission presented an unanchored comparison of romidepsin to pralatrexate</w:t>
      </w:r>
      <w:r w:rsidR="00EF1E54">
        <w:rPr>
          <w:rFonts w:asciiTheme="minorHAnsi" w:hAnsiTheme="minorHAnsi"/>
          <w:snapToGrid w:val="0"/>
          <w:lang w:val="en-GB" w:eastAsia="en-US"/>
        </w:rPr>
        <w:t xml:space="preserve"> based on data from </w:t>
      </w:r>
      <w:r w:rsidR="00ED388F">
        <w:rPr>
          <w:rFonts w:asciiTheme="minorHAnsi" w:hAnsiTheme="minorHAnsi"/>
          <w:snapToGrid w:val="0"/>
          <w:lang w:val="en-GB" w:eastAsia="en-US"/>
        </w:rPr>
        <w:t>3 single arm romidepsin</w:t>
      </w:r>
      <w:r w:rsidR="009378CB">
        <w:rPr>
          <w:rFonts w:asciiTheme="minorHAnsi" w:hAnsiTheme="minorHAnsi"/>
          <w:snapToGrid w:val="0"/>
          <w:lang w:val="en-GB" w:eastAsia="en-US"/>
        </w:rPr>
        <w:t xml:space="preserve"> studies</w:t>
      </w:r>
      <w:r w:rsidR="00ED388F">
        <w:rPr>
          <w:rFonts w:asciiTheme="minorHAnsi" w:hAnsiTheme="minorHAnsi"/>
          <w:snapToGrid w:val="0"/>
          <w:lang w:val="en-GB" w:eastAsia="en-US"/>
        </w:rPr>
        <w:t xml:space="preserve"> (</w:t>
      </w:r>
      <w:r w:rsidR="00EF1E54">
        <w:rPr>
          <w:rFonts w:asciiTheme="minorHAnsi" w:hAnsiTheme="minorHAnsi"/>
          <w:snapToGrid w:val="0"/>
          <w:lang w:val="en-GB" w:eastAsia="en-US"/>
        </w:rPr>
        <w:t>GPI</w:t>
      </w:r>
      <w:r w:rsidR="00750703">
        <w:rPr>
          <w:rFonts w:asciiTheme="minorHAnsi" w:hAnsiTheme="minorHAnsi"/>
          <w:snapToGrid w:val="0"/>
          <w:lang w:val="en-GB" w:eastAsia="en-US"/>
        </w:rPr>
        <w:noBreakHyphen/>
      </w:r>
      <w:r w:rsidR="00EF1E54">
        <w:rPr>
          <w:rFonts w:asciiTheme="minorHAnsi" w:hAnsiTheme="minorHAnsi"/>
          <w:snapToGrid w:val="0"/>
          <w:lang w:val="en-GB" w:eastAsia="en-US"/>
        </w:rPr>
        <w:t>06</w:t>
      </w:r>
      <w:r w:rsidR="00750703">
        <w:rPr>
          <w:rFonts w:asciiTheme="minorHAnsi" w:hAnsiTheme="minorHAnsi"/>
          <w:snapToGrid w:val="0"/>
          <w:lang w:val="en-GB" w:eastAsia="en-US"/>
        </w:rPr>
        <w:noBreakHyphen/>
      </w:r>
      <w:r w:rsidR="00EF1E54">
        <w:rPr>
          <w:rFonts w:asciiTheme="minorHAnsi" w:hAnsiTheme="minorHAnsi"/>
          <w:snapToGrid w:val="0"/>
          <w:lang w:val="en-GB" w:eastAsia="en-US"/>
        </w:rPr>
        <w:t>0002, P</w:t>
      </w:r>
      <w:r w:rsidR="00C014C8">
        <w:rPr>
          <w:rFonts w:asciiTheme="minorHAnsi" w:hAnsiTheme="minorHAnsi"/>
          <w:snapToGrid w:val="0"/>
          <w:lang w:val="en-GB" w:eastAsia="en-US"/>
        </w:rPr>
        <w:t xml:space="preserve">iekarz </w:t>
      </w:r>
      <w:r w:rsidR="00736921">
        <w:rPr>
          <w:rFonts w:asciiTheme="minorHAnsi" w:hAnsiTheme="minorHAnsi"/>
          <w:snapToGrid w:val="0"/>
          <w:lang w:val="en-GB" w:eastAsia="en-US"/>
        </w:rPr>
        <w:t xml:space="preserve">et al., </w:t>
      </w:r>
      <w:r w:rsidR="00C014C8">
        <w:rPr>
          <w:rFonts w:asciiTheme="minorHAnsi" w:hAnsiTheme="minorHAnsi"/>
          <w:snapToGrid w:val="0"/>
          <w:lang w:val="en-GB" w:eastAsia="en-US"/>
        </w:rPr>
        <w:t>2011</w:t>
      </w:r>
      <w:r w:rsidR="00EF1E54">
        <w:rPr>
          <w:rFonts w:asciiTheme="minorHAnsi" w:hAnsiTheme="minorHAnsi"/>
          <w:snapToGrid w:val="0"/>
          <w:lang w:val="en-GB" w:eastAsia="en-US"/>
        </w:rPr>
        <w:t xml:space="preserve"> and </w:t>
      </w:r>
      <w:r w:rsidR="00C014C8">
        <w:rPr>
          <w:rFonts w:asciiTheme="minorHAnsi" w:hAnsiTheme="minorHAnsi"/>
          <w:snapToGrid w:val="0"/>
          <w:lang w:val="en-GB" w:eastAsia="en-US"/>
        </w:rPr>
        <w:t xml:space="preserve">Maruyama </w:t>
      </w:r>
      <w:r w:rsidR="00736921">
        <w:rPr>
          <w:rFonts w:asciiTheme="minorHAnsi" w:hAnsiTheme="minorHAnsi"/>
          <w:snapToGrid w:val="0"/>
          <w:lang w:val="en-GB" w:eastAsia="en-US"/>
        </w:rPr>
        <w:t xml:space="preserve">et al., </w:t>
      </w:r>
      <w:r w:rsidR="00C014C8">
        <w:rPr>
          <w:rFonts w:asciiTheme="minorHAnsi" w:hAnsiTheme="minorHAnsi"/>
          <w:snapToGrid w:val="0"/>
          <w:lang w:val="en-GB" w:eastAsia="en-US"/>
        </w:rPr>
        <w:t>2017</w:t>
      </w:r>
      <w:r w:rsidR="00ED388F">
        <w:rPr>
          <w:rFonts w:asciiTheme="minorHAnsi" w:hAnsiTheme="minorHAnsi"/>
          <w:snapToGrid w:val="0"/>
          <w:lang w:val="en-GB" w:eastAsia="en-US"/>
        </w:rPr>
        <w:t xml:space="preserve">) and 1 single arm pralatrexate </w:t>
      </w:r>
      <w:r w:rsidR="009378CB">
        <w:rPr>
          <w:rFonts w:asciiTheme="minorHAnsi" w:hAnsiTheme="minorHAnsi"/>
          <w:snapToGrid w:val="0"/>
          <w:lang w:val="en-GB" w:eastAsia="en-US"/>
        </w:rPr>
        <w:t xml:space="preserve">study </w:t>
      </w:r>
      <w:r w:rsidR="00ED388F">
        <w:rPr>
          <w:rFonts w:asciiTheme="minorHAnsi" w:hAnsiTheme="minorHAnsi"/>
          <w:snapToGrid w:val="0"/>
          <w:lang w:val="en-GB" w:eastAsia="en-US"/>
        </w:rPr>
        <w:t>(PROPEL)</w:t>
      </w:r>
      <w:r w:rsidR="00D85172">
        <w:rPr>
          <w:rFonts w:asciiTheme="minorHAnsi" w:hAnsiTheme="minorHAnsi"/>
          <w:snapToGrid w:val="0"/>
          <w:lang w:val="en-GB" w:eastAsia="en-US"/>
        </w:rPr>
        <w:t xml:space="preserve"> in patients with R/R PTCL</w:t>
      </w:r>
      <w:r w:rsidR="00ED388F">
        <w:rPr>
          <w:rFonts w:asciiTheme="minorHAnsi" w:hAnsiTheme="minorHAnsi"/>
          <w:snapToGrid w:val="0"/>
          <w:lang w:val="en-GB" w:eastAsia="en-US"/>
        </w:rPr>
        <w:t xml:space="preserve">. </w:t>
      </w:r>
      <w:r w:rsidR="00D85172">
        <w:rPr>
          <w:rFonts w:asciiTheme="minorHAnsi" w:hAnsiTheme="minorHAnsi"/>
          <w:snapToGrid w:val="0"/>
          <w:lang w:val="en-GB" w:eastAsia="en-US"/>
        </w:rPr>
        <w:t xml:space="preserve">The PBAC considered the </w:t>
      </w:r>
      <w:r w:rsidR="00794F11">
        <w:rPr>
          <w:rFonts w:asciiTheme="minorHAnsi" w:hAnsiTheme="minorHAnsi"/>
          <w:snapToGrid w:val="0"/>
          <w:lang w:val="en-GB" w:eastAsia="en-US"/>
        </w:rPr>
        <w:t xml:space="preserve">data was of </w:t>
      </w:r>
      <w:r w:rsidR="00CC0E80">
        <w:rPr>
          <w:rFonts w:asciiTheme="minorHAnsi" w:hAnsiTheme="minorHAnsi"/>
          <w:snapToGrid w:val="0"/>
          <w:lang w:val="en-GB" w:eastAsia="en-US"/>
        </w:rPr>
        <w:t>low</w:t>
      </w:r>
      <w:r w:rsidR="00794F11">
        <w:rPr>
          <w:rFonts w:asciiTheme="minorHAnsi" w:hAnsiTheme="minorHAnsi"/>
          <w:snapToGrid w:val="0"/>
          <w:lang w:val="en-GB" w:eastAsia="en-US"/>
        </w:rPr>
        <w:t xml:space="preserve"> quality for decision making</w:t>
      </w:r>
      <w:r w:rsidR="00DB6D33">
        <w:rPr>
          <w:rFonts w:asciiTheme="minorHAnsi" w:hAnsiTheme="minorHAnsi"/>
          <w:snapToGrid w:val="0"/>
          <w:lang w:val="en-GB" w:eastAsia="en-US"/>
        </w:rPr>
        <w:t xml:space="preserve"> given the unanchored nature of the comparison, </w:t>
      </w:r>
      <w:r w:rsidR="00647B15">
        <w:rPr>
          <w:rFonts w:asciiTheme="minorHAnsi" w:hAnsiTheme="minorHAnsi"/>
          <w:snapToGrid w:val="0"/>
          <w:lang w:val="en-GB" w:eastAsia="en-US"/>
        </w:rPr>
        <w:t xml:space="preserve">and </w:t>
      </w:r>
      <w:r w:rsidR="00DB6D33">
        <w:rPr>
          <w:rFonts w:asciiTheme="minorHAnsi" w:hAnsiTheme="minorHAnsi"/>
          <w:snapToGrid w:val="0"/>
          <w:lang w:val="en-GB" w:eastAsia="en-US"/>
        </w:rPr>
        <w:t xml:space="preserve">the low patient numbers and </w:t>
      </w:r>
      <w:r w:rsidR="00F66C65">
        <w:rPr>
          <w:rFonts w:asciiTheme="minorHAnsi" w:hAnsiTheme="minorHAnsi"/>
          <w:snapToGrid w:val="0"/>
          <w:lang w:val="en-GB" w:eastAsia="en-US"/>
        </w:rPr>
        <w:t xml:space="preserve">the heterogeneity of </w:t>
      </w:r>
      <w:r w:rsidR="00E25FF1">
        <w:rPr>
          <w:rFonts w:asciiTheme="minorHAnsi" w:hAnsiTheme="minorHAnsi"/>
          <w:snapToGrid w:val="0"/>
          <w:lang w:val="en-GB" w:eastAsia="en-US"/>
        </w:rPr>
        <w:t>PTCL</w:t>
      </w:r>
      <w:r w:rsidR="00647B15">
        <w:rPr>
          <w:rFonts w:asciiTheme="minorHAnsi" w:hAnsiTheme="minorHAnsi"/>
          <w:snapToGrid w:val="0"/>
          <w:lang w:val="en-GB" w:eastAsia="en-US"/>
        </w:rPr>
        <w:t xml:space="preserve"> in the studies</w:t>
      </w:r>
      <w:r w:rsidR="007116C4">
        <w:rPr>
          <w:rFonts w:asciiTheme="minorHAnsi" w:hAnsiTheme="minorHAnsi"/>
          <w:snapToGrid w:val="0"/>
          <w:lang w:val="en-GB" w:eastAsia="en-US"/>
        </w:rPr>
        <w:t>.</w:t>
      </w:r>
      <w:r w:rsidR="00750703">
        <w:rPr>
          <w:rFonts w:asciiTheme="minorHAnsi" w:hAnsiTheme="minorHAnsi"/>
          <w:snapToGrid w:val="0"/>
          <w:lang w:val="en-GB" w:eastAsia="en-US"/>
        </w:rPr>
        <w:t xml:space="preserve"> </w:t>
      </w:r>
    </w:p>
    <w:p w14:paraId="6DF1F16B" w14:textId="1182A236" w:rsidR="00F6088E" w:rsidRDefault="0095394F" w:rsidP="00750703">
      <w:pPr>
        <w:numPr>
          <w:ilvl w:val="1"/>
          <w:numId w:val="1"/>
        </w:numPr>
        <w:spacing w:after="120"/>
        <w:ind w:left="720"/>
        <w:rPr>
          <w:rFonts w:asciiTheme="minorHAnsi" w:hAnsiTheme="minorHAnsi"/>
          <w:snapToGrid w:val="0"/>
          <w:lang w:val="en-GB" w:eastAsia="en-US"/>
        </w:rPr>
      </w:pPr>
      <w:r w:rsidRPr="0095394F">
        <w:rPr>
          <w:rFonts w:asciiTheme="minorHAnsi" w:hAnsiTheme="minorHAnsi"/>
          <w:snapToGrid w:val="0"/>
          <w:lang w:val="en-GB" w:eastAsia="en-US"/>
        </w:rPr>
        <w:t xml:space="preserve">The </w:t>
      </w:r>
      <w:r>
        <w:rPr>
          <w:rFonts w:asciiTheme="minorHAnsi" w:hAnsiTheme="minorHAnsi"/>
          <w:snapToGrid w:val="0"/>
          <w:lang w:val="en-GB" w:eastAsia="en-US"/>
        </w:rPr>
        <w:t xml:space="preserve">PBAC considered that the submission’s </w:t>
      </w:r>
      <w:r w:rsidRPr="0095394F">
        <w:rPr>
          <w:rFonts w:asciiTheme="minorHAnsi" w:hAnsiTheme="minorHAnsi"/>
          <w:snapToGrid w:val="0"/>
          <w:lang w:val="en-GB" w:eastAsia="en-US"/>
        </w:rPr>
        <w:t>claim of non</w:t>
      </w:r>
      <w:r w:rsidR="00750703">
        <w:rPr>
          <w:rFonts w:asciiTheme="minorHAnsi" w:hAnsiTheme="minorHAnsi"/>
          <w:snapToGrid w:val="0"/>
          <w:lang w:val="en-GB" w:eastAsia="en-US"/>
        </w:rPr>
        <w:noBreakHyphen/>
      </w:r>
      <w:r w:rsidRPr="0095394F">
        <w:rPr>
          <w:rFonts w:asciiTheme="minorHAnsi" w:hAnsiTheme="minorHAnsi"/>
          <w:snapToGrid w:val="0"/>
          <w:lang w:val="en-GB" w:eastAsia="en-US"/>
        </w:rPr>
        <w:t xml:space="preserve">inferior effectiveness </w:t>
      </w:r>
      <w:r>
        <w:rPr>
          <w:rFonts w:asciiTheme="minorHAnsi" w:hAnsiTheme="minorHAnsi"/>
          <w:snapToGrid w:val="0"/>
          <w:lang w:val="en-GB" w:eastAsia="en-US"/>
        </w:rPr>
        <w:t xml:space="preserve">for romidepsin compared to pralatrexate </w:t>
      </w:r>
      <w:r w:rsidRPr="0095394F">
        <w:rPr>
          <w:rFonts w:asciiTheme="minorHAnsi" w:hAnsiTheme="minorHAnsi"/>
          <w:snapToGrid w:val="0"/>
          <w:lang w:val="en-GB" w:eastAsia="en-US"/>
        </w:rPr>
        <w:t>was difficult to conclude</w:t>
      </w:r>
      <w:r w:rsidR="002F342F">
        <w:rPr>
          <w:rFonts w:asciiTheme="minorHAnsi" w:hAnsiTheme="minorHAnsi"/>
          <w:snapToGrid w:val="0"/>
          <w:lang w:val="en-GB" w:eastAsia="en-US"/>
        </w:rPr>
        <w:t xml:space="preserve"> based on the evidence presented</w:t>
      </w:r>
      <w:r w:rsidR="00BF5468">
        <w:rPr>
          <w:rFonts w:asciiTheme="minorHAnsi" w:hAnsiTheme="minorHAnsi"/>
          <w:snapToGrid w:val="0"/>
          <w:lang w:val="en-GB" w:eastAsia="en-US"/>
        </w:rPr>
        <w:t>. H</w:t>
      </w:r>
      <w:r w:rsidR="00BF5468" w:rsidRPr="0095394F">
        <w:rPr>
          <w:rFonts w:asciiTheme="minorHAnsi" w:hAnsiTheme="minorHAnsi"/>
          <w:snapToGrid w:val="0"/>
          <w:lang w:val="en-GB" w:eastAsia="en-US"/>
        </w:rPr>
        <w:t>owever,</w:t>
      </w:r>
      <w:r w:rsidRPr="0095394F">
        <w:rPr>
          <w:rFonts w:asciiTheme="minorHAnsi" w:hAnsiTheme="minorHAnsi"/>
          <w:snapToGrid w:val="0"/>
          <w:lang w:val="en-GB" w:eastAsia="en-US"/>
        </w:rPr>
        <w:t xml:space="preserve"> </w:t>
      </w:r>
      <w:r w:rsidR="000068DB">
        <w:rPr>
          <w:rFonts w:asciiTheme="minorHAnsi" w:hAnsiTheme="minorHAnsi"/>
          <w:snapToGrid w:val="0"/>
          <w:lang w:val="en-GB" w:eastAsia="en-US"/>
        </w:rPr>
        <w:t xml:space="preserve">the Committee </w:t>
      </w:r>
      <w:r w:rsidR="002F342F">
        <w:rPr>
          <w:rFonts w:asciiTheme="minorHAnsi" w:hAnsiTheme="minorHAnsi"/>
          <w:snapToGrid w:val="0"/>
          <w:lang w:val="en-GB" w:eastAsia="en-US"/>
        </w:rPr>
        <w:t xml:space="preserve">considered that, on balance, </w:t>
      </w:r>
      <w:r w:rsidR="002D5B9F">
        <w:rPr>
          <w:rFonts w:asciiTheme="minorHAnsi" w:hAnsiTheme="minorHAnsi"/>
          <w:snapToGrid w:val="0"/>
          <w:lang w:val="en-GB" w:eastAsia="en-US"/>
        </w:rPr>
        <w:t xml:space="preserve">noting the response rates presented in </w:t>
      </w:r>
      <w:r w:rsidR="002D5B9F">
        <w:rPr>
          <w:rFonts w:asciiTheme="minorHAnsi" w:hAnsiTheme="minorHAnsi"/>
          <w:snapToGrid w:val="0"/>
          <w:lang w:val="en-GB" w:eastAsia="en-US"/>
        </w:rPr>
        <w:fldChar w:fldCharType="begin"/>
      </w:r>
      <w:r w:rsidR="002D5B9F">
        <w:rPr>
          <w:rFonts w:asciiTheme="minorHAnsi" w:hAnsiTheme="minorHAnsi"/>
          <w:snapToGrid w:val="0"/>
          <w:lang w:val="en-GB" w:eastAsia="en-US"/>
        </w:rPr>
        <w:instrText xml:space="preserve"> REF _Ref216689175 \h </w:instrText>
      </w:r>
      <w:r w:rsidR="002D5B9F">
        <w:rPr>
          <w:rFonts w:asciiTheme="minorHAnsi" w:hAnsiTheme="minorHAnsi"/>
          <w:snapToGrid w:val="0"/>
          <w:lang w:val="en-GB" w:eastAsia="en-US"/>
        </w:rPr>
      </w:r>
      <w:r w:rsidR="002D5B9F">
        <w:rPr>
          <w:rFonts w:asciiTheme="minorHAnsi" w:hAnsiTheme="minorHAnsi"/>
          <w:snapToGrid w:val="0"/>
          <w:lang w:val="en-GB" w:eastAsia="en-US"/>
        </w:rPr>
        <w:fldChar w:fldCharType="separate"/>
      </w:r>
      <w:r w:rsidR="002D5B9F">
        <w:t xml:space="preserve">Table </w:t>
      </w:r>
      <w:r w:rsidR="002D5B9F">
        <w:rPr>
          <w:noProof/>
        </w:rPr>
        <w:t>6</w:t>
      </w:r>
      <w:r w:rsidR="002D5B9F">
        <w:rPr>
          <w:rFonts w:asciiTheme="minorHAnsi" w:hAnsiTheme="minorHAnsi"/>
          <w:snapToGrid w:val="0"/>
          <w:lang w:val="en-GB" w:eastAsia="en-US"/>
        </w:rPr>
        <w:fldChar w:fldCharType="end"/>
      </w:r>
      <w:r w:rsidR="002D5B9F">
        <w:rPr>
          <w:rFonts w:asciiTheme="minorHAnsi" w:hAnsiTheme="minorHAnsi"/>
          <w:snapToGrid w:val="0"/>
          <w:lang w:val="en-GB" w:eastAsia="en-US"/>
        </w:rPr>
        <w:t xml:space="preserve">, </w:t>
      </w:r>
      <w:proofErr w:type="spellStart"/>
      <w:r w:rsidR="002F342F">
        <w:rPr>
          <w:rFonts w:asciiTheme="minorHAnsi" w:hAnsiTheme="minorHAnsi"/>
          <w:snapToGrid w:val="0"/>
          <w:lang w:val="en-GB" w:eastAsia="en-US"/>
        </w:rPr>
        <w:t>romidepsin</w:t>
      </w:r>
      <w:proofErr w:type="spellEnd"/>
      <w:r w:rsidR="002F342F">
        <w:rPr>
          <w:rFonts w:asciiTheme="minorHAnsi" w:hAnsiTheme="minorHAnsi"/>
          <w:snapToGrid w:val="0"/>
          <w:lang w:val="en-GB" w:eastAsia="en-US"/>
        </w:rPr>
        <w:t xml:space="preserve"> </w:t>
      </w:r>
      <w:r w:rsidR="00AB702A">
        <w:rPr>
          <w:rFonts w:asciiTheme="minorHAnsi" w:hAnsiTheme="minorHAnsi"/>
          <w:snapToGrid w:val="0"/>
          <w:lang w:val="en-GB" w:eastAsia="en-US"/>
        </w:rPr>
        <w:t xml:space="preserve">was </w:t>
      </w:r>
      <w:r w:rsidR="00424A7C">
        <w:rPr>
          <w:rFonts w:asciiTheme="minorHAnsi" w:hAnsiTheme="minorHAnsi"/>
          <w:snapToGrid w:val="0"/>
          <w:lang w:val="en-GB" w:eastAsia="en-US"/>
        </w:rPr>
        <w:t>likely to provide similar health outcomes to pralatrexate.</w:t>
      </w:r>
      <w:r w:rsidR="00750703">
        <w:rPr>
          <w:rFonts w:asciiTheme="minorHAnsi" w:hAnsiTheme="minorHAnsi"/>
          <w:snapToGrid w:val="0"/>
          <w:lang w:val="en-GB" w:eastAsia="en-US"/>
        </w:rPr>
        <w:t xml:space="preserve"> </w:t>
      </w:r>
    </w:p>
    <w:p w14:paraId="67A0F11B" w14:textId="161C64B4" w:rsidR="00AF5244" w:rsidRPr="0045172B" w:rsidRDefault="00167F5A" w:rsidP="00750703">
      <w:pPr>
        <w:numPr>
          <w:ilvl w:val="1"/>
          <w:numId w:val="1"/>
        </w:numPr>
        <w:spacing w:after="120"/>
        <w:ind w:left="720"/>
        <w:rPr>
          <w:rFonts w:asciiTheme="minorHAnsi" w:hAnsiTheme="minorHAnsi"/>
          <w:snapToGrid w:val="0"/>
          <w:lang w:val="en-GB" w:eastAsia="en-US"/>
        </w:rPr>
      </w:pPr>
      <w:r>
        <w:rPr>
          <w:rFonts w:asciiTheme="minorHAnsi" w:hAnsiTheme="minorHAnsi"/>
          <w:snapToGrid w:val="0"/>
          <w:lang w:val="en-GB" w:eastAsia="en-US"/>
        </w:rPr>
        <w:t xml:space="preserve">The PBAC </w:t>
      </w:r>
      <w:r w:rsidR="0045172B" w:rsidRPr="0045172B">
        <w:rPr>
          <w:rFonts w:asciiTheme="minorHAnsi" w:hAnsiTheme="minorHAnsi"/>
          <w:snapToGrid w:val="0"/>
          <w:lang w:val="en-GB" w:eastAsia="en-US"/>
        </w:rPr>
        <w:t>considered that the</w:t>
      </w:r>
      <w:r w:rsidR="00F6088E">
        <w:rPr>
          <w:rFonts w:asciiTheme="minorHAnsi" w:hAnsiTheme="minorHAnsi"/>
          <w:snapToGrid w:val="0"/>
          <w:lang w:val="en-GB" w:eastAsia="en-US"/>
        </w:rPr>
        <w:t xml:space="preserve"> submission’s</w:t>
      </w:r>
      <w:r w:rsidR="0045172B" w:rsidRPr="0045172B">
        <w:rPr>
          <w:rFonts w:asciiTheme="minorHAnsi" w:hAnsiTheme="minorHAnsi"/>
          <w:snapToGrid w:val="0"/>
          <w:lang w:val="en-GB" w:eastAsia="en-US"/>
        </w:rPr>
        <w:t xml:space="preserve"> claim of different but non</w:t>
      </w:r>
      <w:r w:rsidR="00750703">
        <w:rPr>
          <w:rFonts w:asciiTheme="minorHAnsi" w:hAnsiTheme="minorHAnsi"/>
          <w:snapToGrid w:val="0"/>
          <w:lang w:val="en-GB" w:eastAsia="en-US"/>
        </w:rPr>
        <w:noBreakHyphen/>
      </w:r>
      <w:r w:rsidR="0045172B" w:rsidRPr="0045172B">
        <w:rPr>
          <w:rFonts w:asciiTheme="minorHAnsi" w:hAnsiTheme="minorHAnsi"/>
          <w:snapToGrid w:val="0"/>
          <w:lang w:val="en-GB" w:eastAsia="en-US"/>
        </w:rPr>
        <w:t xml:space="preserve">inferior safety </w:t>
      </w:r>
      <w:r w:rsidR="0045172B">
        <w:rPr>
          <w:rFonts w:asciiTheme="minorHAnsi" w:hAnsiTheme="minorHAnsi"/>
          <w:snapToGrid w:val="0"/>
          <w:lang w:val="en-GB" w:eastAsia="en-US"/>
        </w:rPr>
        <w:t xml:space="preserve">for romidepsin </w:t>
      </w:r>
      <w:r w:rsidR="009C4A40">
        <w:rPr>
          <w:rFonts w:asciiTheme="minorHAnsi" w:hAnsiTheme="minorHAnsi"/>
          <w:snapToGrid w:val="0"/>
          <w:lang w:val="en-GB" w:eastAsia="en-US"/>
        </w:rPr>
        <w:t>compared to pralatrexate</w:t>
      </w:r>
      <w:r w:rsidR="0045172B" w:rsidRPr="0045172B">
        <w:rPr>
          <w:rFonts w:asciiTheme="minorHAnsi" w:hAnsiTheme="minorHAnsi"/>
          <w:snapToGrid w:val="0"/>
          <w:lang w:val="en-GB" w:eastAsia="en-US"/>
        </w:rPr>
        <w:t xml:space="preserve"> was not adequately supported </w:t>
      </w:r>
      <w:r w:rsidR="00050A7A">
        <w:rPr>
          <w:rFonts w:asciiTheme="minorHAnsi" w:hAnsiTheme="minorHAnsi"/>
          <w:snapToGrid w:val="0"/>
          <w:lang w:val="en-GB" w:eastAsia="en-US"/>
        </w:rPr>
        <w:t xml:space="preserve">based on the evidence presented. </w:t>
      </w:r>
      <w:r w:rsidR="00801E68">
        <w:rPr>
          <w:rFonts w:asciiTheme="minorHAnsi" w:hAnsiTheme="minorHAnsi"/>
          <w:snapToGrid w:val="0"/>
          <w:lang w:val="en-GB" w:eastAsia="en-US"/>
        </w:rPr>
        <w:t xml:space="preserve">The PBAC noted more thrombocytopenia and cardiac adverse events for romidepsin and more mucositis </w:t>
      </w:r>
      <w:r w:rsidR="007E1B73">
        <w:rPr>
          <w:rFonts w:asciiTheme="minorHAnsi" w:hAnsiTheme="minorHAnsi"/>
          <w:snapToGrid w:val="0"/>
          <w:lang w:val="en-GB" w:eastAsia="en-US"/>
        </w:rPr>
        <w:t>for pralatrexate.</w:t>
      </w:r>
      <w:r w:rsidR="00750703">
        <w:rPr>
          <w:rFonts w:asciiTheme="minorHAnsi" w:hAnsiTheme="minorHAnsi"/>
          <w:snapToGrid w:val="0"/>
          <w:lang w:val="en-GB" w:eastAsia="en-US"/>
        </w:rPr>
        <w:t xml:space="preserve"> </w:t>
      </w:r>
      <w:r w:rsidR="008B2B14">
        <w:rPr>
          <w:rFonts w:asciiTheme="minorHAnsi" w:hAnsiTheme="minorHAnsi"/>
          <w:snapToGrid w:val="0"/>
          <w:lang w:val="en-GB" w:eastAsia="en-US"/>
        </w:rPr>
        <w:t xml:space="preserve">The PBAC </w:t>
      </w:r>
      <w:r w:rsidR="00F65BF8">
        <w:rPr>
          <w:rFonts w:asciiTheme="minorHAnsi" w:hAnsiTheme="minorHAnsi"/>
          <w:snapToGrid w:val="0"/>
          <w:lang w:val="en-GB" w:eastAsia="en-US"/>
        </w:rPr>
        <w:t>considered that romidepsin and pralatrexate have a different safety profile</w:t>
      </w:r>
      <w:r w:rsidR="00AF5244" w:rsidRPr="0045172B">
        <w:rPr>
          <w:rFonts w:asciiTheme="minorHAnsi" w:hAnsiTheme="minorHAnsi"/>
          <w:snapToGrid w:val="0"/>
          <w:lang w:val="en-GB" w:eastAsia="en-US"/>
        </w:rPr>
        <w:t>.</w:t>
      </w:r>
    </w:p>
    <w:p w14:paraId="43E7D072" w14:textId="09C11D1F" w:rsidR="00813D85" w:rsidRPr="00813D85" w:rsidRDefault="00DD2257" w:rsidP="00750703">
      <w:pPr>
        <w:pStyle w:val="3-BodyText"/>
        <w:ind w:left="720"/>
        <w:rPr>
          <w:rFonts w:eastAsia="Times New Roman" w:cs="Arial"/>
          <w:snapToGrid w:val="0"/>
          <w:szCs w:val="24"/>
          <w:lang w:val="en-GB" w:eastAsia="en-US"/>
        </w:rPr>
      </w:pPr>
      <w:r>
        <w:rPr>
          <w:snapToGrid w:val="0"/>
          <w:lang w:val="en-GB" w:eastAsia="en-US"/>
        </w:rPr>
        <w:t xml:space="preserve">The PBAC noted </w:t>
      </w:r>
      <w:r w:rsidR="00565348">
        <w:rPr>
          <w:snapToGrid w:val="0"/>
          <w:lang w:val="en-GB" w:eastAsia="en-US"/>
        </w:rPr>
        <w:t xml:space="preserve">that </w:t>
      </w:r>
      <w:r>
        <w:rPr>
          <w:snapToGrid w:val="0"/>
          <w:lang w:val="en-GB" w:eastAsia="en-US"/>
        </w:rPr>
        <w:t xml:space="preserve">the submission had presented a </w:t>
      </w:r>
      <w:r w:rsidR="00A3498A">
        <w:rPr>
          <w:snapToGrid w:val="0"/>
          <w:lang w:val="en-GB" w:eastAsia="en-US"/>
        </w:rPr>
        <w:t>CMA</w:t>
      </w:r>
      <w:r w:rsidR="005E1439">
        <w:rPr>
          <w:snapToGrid w:val="0"/>
          <w:lang w:val="en-GB" w:eastAsia="en-US"/>
        </w:rPr>
        <w:t xml:space="preserve"> </w:t>
      </w:r>
      <w:r w:rsidR="000750A5">
        <w:rPr>
          <w:snapToGrid w:val="0"/>
          <w:lang w:val="en-GB" w:eastAsia="en-US"/>
        </w:rPr>
        <w:t>comparing</w:t>
      </w:r>
      <w:r w:rsidR="005E1439">
        <w:rPr>
          <w:snapToGrid w:val="0"/>
          <w:lang w:val="en-GB" w:eastAsia="en-US"/>
        </w:rPr>
        <w:t xml:space="preserve"> romidepsin to pralatrexate, using median PFS </w:t>
      </w:r>
      <w:r w:rsidR="00B02616">
        <w:rPr>
          <w:snapToGrid w:val="0"/>
          <w:lang w:val="en-GB" w:eastAsia="en-US"/>
        </w:rPr>
        <w:t xml:space="preserve">from </w:t>
      </w:r>
      <w:r w:rsidR="003D2DA7">
        <w:rPr>
          <w:snapToGrid w:val="0"/>
          <w:lang w:val="en-GB" w:eastAsia="en-US"/>
        </w:rPr>
        <w:t>GPI</w:t>
      </w:r>
      <w:r w:rsidR="00750703">
        <w:rPr>
          <w:snapToGrid w:val="0"/>
          <w:lang w:val="en-GB" w:eastAsia="en-US"/>
        </w:rPr>
        <w:noBreakHyphen/>
      </w:r>
      <w:r w:rsidR="003D2DA7">
        <w:rPr>
          <w:snapToGrid w:val="0"/>
          <w:lang w:val="en-GB" w:eastAsia="en-US"/>
        </w:rPr>
        <w:t>06</w:t>
      </w:r>
      <w:r w:rsidR="00750703">
        <w:rPr>
          <w:snapToGrid w:val="0"/>
          <w:lang w:val="en-GB" w:eastAsia="en-US"/>
        </w:rPr>
        <w:noBreakHyphen/>
      </w:r>
      <w:r w:rsidR="003D2DA7">
        <w:rPr>
          <w:snapToGrid w:val="0"/>
          <w:lang w:val="en-GB" w:eastAsia="en-US"/>
        </w:rPr>
        <w:t xml:space="preserve">0002 and PROPEL </w:t>
      </w:r>
      <w:r w:rsidR="005E1439">
        <w:rPr>
          <w:snapToGrid w:val="0"/>
          <w:lang w:val="en-GB" w:eastAsia="en-US"/>
        </w:rPr>
        <w:t>as a proxy for duration of treatment</w:t>
      </w:r>
      <w:r w:rsidR="003E733F">
        <w:rPr>
          <w:snapToGrid w:val="0"/>
          <w:lang w:val="en-GB" w:eastAsia="en-US"/>
        </w:rPr>
        <w:t xml:space="preserve">. </w:t>
      </w:r>
      <w:r w:rsidR="003D0874">
        <w:rPr>
          <w:snapToGrid w:val="0"/>
          <w:lang w:val="en-GB" w:eastAsia="en-US"/>
        </w:rPr>
        <w:t xml:space="preserve">Given more accurate data </w:t>
      </w:r>
      <w:r w:rsidR="00316392">
        <w:rPr>
          <w:snapToGrid w:val="0"/>
          <w:lang w:val="en-GB" w:eastAsia="en-US"/>
        </w:rPr>
        <w:t xml:space="preserve">on treatment duration </w:t>
      </w:r>
      <w:r w:rsidR="003D0874">
        <w:rPr>
          <w:snapToGrid w:val="0"/>
          <w:lang w:val="en-GB" w:eastAsia="en-US"/>
        </w:rPr>
        <w:t>was not available, t</w:t>
      </w:r>
      <w:r w:rsidR="003E733F">
        <w:rPr>
          <w:snapToGrid w:val="0"/>
          <w:lang w:val="en-GB" w:eastAsia="en-US"/>
        </w:rPr>
        <w:t xml:space="preserve">he PBAC considered </w:t>
      </w:r>
      <w:r w:rsidR="00582822">
        <w:rPr>
          <w:snapToGrid w:val="0"/>
          <w:lang w:val="en-GB" w:eastAsia="en-US"/>
        </w:rPr>
        <w:t>use of median PFS</w:t>
      </w:r>
      <w:r w:rsidR="003E733F">
        <w:rPr>
          <w:snapToGrid w:val="0"/>
          <w:lang w:val="en-GB" w:eastAsia="en-US"/>
        </w:rPr>
        <w:t xml:space="preserve"> </w:t>
      </w:r>
      <w:r w:rsidR="000750A5">
        <w:rPr>
          <w:snapToGrid w:val="0"/>
          <w:lang w:val="en-GB" w:eastAsia="en-US"/>
        </w:rPr>
        <w:t>was</w:t>
      </w:r>
      <w:r w:rsidR="003D0874">
        <w:rPr>
          <w:snapToGrid w:val="0"/>
          <w:lang w:val="en-GB" w:eastAsia="en-US"/>
        </w:rPr>
        <w:t xml:space="preserve"> </w:t>
      </w:r>
      <w:r w:rsidR="003E733F">
        <w:rPr>
          <w:snapToGrid w:val="0"/>
          <w:lang w:val="en-GB" w:eastAsia="en-US"/>
        </w:rPr>
        <w:t>reasonable</w:t>
      </w:r>
      <w:r w:rsidR="00316392">
        <w:rPr>
          <w:snapToGrid w:val="0"/>
          <w:lang w:val="en-GB" w:eastAsia="en-US"/>
        </w:rPr>
        <w:t>, noting</w:t>
      </w:r>
      <w:r w:rsidR="003E733F">
        <w:rPr>
          <w:snapToGrid w:val="0"/>
          <w:lang w:val="en-GB" w:eastAsia="en-US"/>
        </w:rPr>
        <w:t xml:space="preserve"> </w:t>
      </w:r>
      <w:r w:rsidR="00582822">
        <w:rPr>
          <w:snapToGrid w:val="0"/>
          <w:lang w:val="en-GB" w:eastAsia="en-US"/>
        </w:rPr>
        <w:t>that this</w:t>
      </w:r>
      <w:r w:rsidR="003E733F">
        <w:rPr>
          <w:snapToGrid w:val="0"/>
          <w:lang w:val="en-GB" w:eastAsia="en-US"/>
        </w:rPr>
        <w:t xml:space="preserve"> was 3.5 months for both romidepsin and pralatrexate. </w:t>
      </w:r>
      <w:r w:rsidR="00813D85" w:rsidRPr="00813D85">
        <w:rPr>
          <w:rFonts w:eastAsia="Times New Roman" w:cs="Arial"/>
          <w:snapToGrid w:val="0"/>
          <w:szCs w:val="24"/>
          <w:lang w:val="en-GB" w:eastAsia="en-US"/>
        </w:rPr>
        <w:t xml:space="preserve">The PBAC considered that it would be reasonable </w:t>
      </w:r>
      <w:r w:rsidR="00316392">
        <w:rPr>
          <w:rFonts w:eastAsia="Times New Roman" w:cs="Arial"/>
          <w:snapToGrid w:val="0"/>
          <w:szCs w:val="24"/>
          <w:lang w:val="en-GB" w:eastAsia="en-US"/>
        </w:rPr>
        <w:t xml:space="preserve">for the CMA to </w:t>
      </w:r>
      <w:r w:rsidR="00813D85" w:rsidRPr="00813D85">
        <w:rPr>
          <w:rFonts w:eastAsia="Times New Roman" w:cs="Arial"/>
          <w:snapToGrid w:val="0"/>
          <w:szCs w:val="24"/>
          <w:lang w:val="en-GB" w:eastAsia="en-US"/>
        </w:rPr>
        <w:t>apply the same relative dose intensity</w:t>
      </w:r>
      <w:r w:rsidR="00732A15">
        <w:rPr>
          <w:rFonts w:eastAsia="Times New Roman" w:cs="Arial"/>
          <w:snapToGrid w:val="0"/>
          <w:szCs w:val="24"/>
          <w:lang w:val="en-GB" w:eastAsia="en-US"/>
        </w:rPr>
        <w:t xml:space="preserve"> for romidepsin and pralatrexate</w:t>
      </w:r>
      <w:r w:rsidR="00813D85" w:rsidRPr="00813D85">
        <w:rPr>
          <w:rFonts w:eastAsia="Times New Roman" w:cs="Arial"/>
          <w:snapToGrid w:val="0"/>
          <w:szCs w:val="24"/>
          <w:lang w:val="en-GB" w:eastAsia="en-US"/>
        </w:rPr>
        <w:t xml:space="preserve">. </w:t>
      </w:r>
    </w:p>
    <w:p w14:paraId="37A46FB7" w14:textId="635DAC82" w:rsidR="00057E9A" w:rsidRPr="00057E9A" w:rsidRDefault="00A325F6" w:rsidP="00750703">
      <w:pPr>
        <w:numPr>
          <w:ilvl w:val="1"/>
          <w:numId w:val="1"/>
        </w:numPr>
        <w:spacing w:after="120"/>
        <w:ind w:left="720"/>
        <w:rPr>
          <w:rFonts w:asciiTheme="minorHAnsi" w:hAnsiTheme="minorHAnsi"/>
          <w:snapToGrid w:val="0"/>
          <w:lang w:val="en-GB" w:eastAsia="en-US"/>
        </w:rPr>
      </w:pPr>
      <w:r w:rsidRPr="00057E9A">
        <w:rPr>
          <w:rFonts w:asciiTheme="minorHAnsi" w:hAnsiTheme="minorHAnsi"/>
          <w:snapToGrid w:val="0"/>
          <w:lang w:val="en-GB" w:eastAsia="en-US"/>
        </w:rPr>
        <w:t>The PBAC considered the equi</w:t>
      </w:r>
      <w:r w:rsidR="00750703">
        <w:rPr>
          <w:rFonts w:asciiTheme="minorHAnsi" w:hAnsiTheme="minorHAnsi"/>
          <w:snapToGrid w:val="0"/>
          <w:lang w:val="en-GB" w:eastAsia="en-US"/>
        </w:rPr>
        <w:noBreakHyphen/>
      </w:r>
      <w:r w:rsidRPr="00057E9A">
        <w:rPr>
          <w:rFonts w:asciiTheme="minorHAnsi" w:hAnsiTheme="minorHAnsi"/>
          <w:snapToGrid w:val="0"/>
          <w:lang w:val="en-GB" w:eastAsia="en-US"/>
        </w:rPr>
        <w:t>effective doses to be</w:t>
      </w:r>
      <w:r w:rsidR="00057E9A" w:rsidRPr="00057E9A">
        <w:rPr>
          <w:rFonts w:asciiTheme="minorHAnsi" w:hAnsiTheme="minorHAnsi"/>
          <w:snapToGrid w:val="0"/>
          <w:lang w:val="en-GB" w:eastAsia="en-US"/>
        </w:rPr>
        <w:t>:</w:t>
      </w:r>
    </w:p>
    <w:p w14:paraId="711B15C4" w14:textId="6BC7D0E9" w:rsidR="00AF5244" w:rsidRPr="00057E9A" w:rsidRDefault="00057E9A" w:rsidP="00750703">
      <w:pPr>
        <w:pStyle w:val="ListParagraph"/>
        <w:numPr>
          <w:ilvl w:val="0"/>
          <w:numId w:val="27"/>
        </w:numPr>
        <w:jc w:val="both"/>
        <w:rPr>
          <w:lang w:val="en-GB" w:eastAsia="en-US"/>
        </w:rPr>
      </w:pPr>
      <w:r w:rsidRPr="00057E9A">
        <w:rPr>
          <w:lang w:val="en-GB" w:eastAsia="en-US"/>
        </w:rPr>
        <w:lastRenderedPageBreak/>
        <w:t>3 doses of romi</w:t>
      </w:r>
      <w:r w:rsidR="00421ED1">
        <w:rPr>
          <w:lang w:val="en-GB" w:eastAsia="en-US"/>
        </w:rPr>
        <w:t>depsin</w:t>
      </w:r>
      <w:r w:rsidRPr="00057E9A">
        <w:rPr>
          <w:lang w:val="en-GB" w:eastAsia="en-US"/>
        </w:rPr>
        <w:t xml:space="preserve"> at 14 mg/m</w:t>
      </w:r>
      <w:r w:rsidRPr="00057E9A">
        <w:rPr>
          <w:vertAlign w:val="superscript"/>
          <w:lang w:val="en-GB" w:eastAsia="en-US"/>
        </w:rPr>
        <w:t>2</w:t>
      </w:r>
      <w:r w:rsidRPr="00057E9A">
        <w:rPr>
          <w:lang w:val="en-GB" w:eastAsia="en-US"/>
        </w:rPr>
        <w:t xml:space="preserve"> every </w:t>
      </w:r>
      <w:r w:rsidR="00A3498A" w:rsidRPr="00057E9A">
        <w:rPr>
          <w:lang w:val="en-GB" w:eastAsia="en-US"/>
        </w:rPr>
        <w:t>28</w:t>
      </w:r>
      <w:r w:rsidR="00750703">
        <w:rPr>
          <w:lang w:val="en-GB" w:eastAsia="en-US"/>
        </w:rPr>
        <w:noBreakHyphen/>
      </w:r>
      <w:r w:rsidR="00A3498A" w:rsidRPr="00057E9A">
        <w:rPr>
          <w:lang w:val="en-GB" w:eastAsia="en-US"/>
        </w:rPr>
        <w:t>day</w:t>
      </w:r>
      <w:r w:rsidRPr="00057E9A">
        <w:rPr>
          <w:lang w:val="en-GB" w:eastAsia="en-US"/>
        </w:rPr>
        <w:t xml:space="preserve"> cycle for 3.5 months (3.80 cycles) is equivalent to 6 doses of pralatrexate at 30 mg/m</w:t>
      </w:r>
      <w:r w:rsidRPr="00057E9A">
        <w:rPr>
          <w:vertAlign w:val="superscript"/>
          <w:lang w:val="en-GB" w:eastAsia="en-US"/>
        </w:rPr>
        <w:t>2</w:t>
      </w:r>
      <w:r w:rsidRPr="00057E9A">
        <w:rPr>
          <w:lang w:val="en-GB" w:eastAsia="en-US"/>
        </w:rPr>
        <w:t xml:space="preserve"> every 49</w:t>
      </w:r>
      <w:r w:rsidR="00750703">
        <w:rPr>
          <w:lang w:val="en-GB" w:eastAsia="en-US"/>
        </w:rPr>
        <w:noBreakHyphen/>
      </w:r>
      <w:r w:rsidRPr="00057E9A">
        <w:rPr>
          <w:lang w:val="en-GB" w:eastAsia="en-US"/>
        </w:rPr>
        <w:t>day cycle for 3.5 months (2.17 cycles)</w:t>
      </w:r>
      <w:r w:rsidR="00A325F6" w:rsidRPr="00057E9A">
        <w:rPr>
          <w:lang w:val="en-GB" w:eastAsia="en-US"/>
        </w:rPr>
        <w:t>.</w:t>
      </w:r>
    </w:p>
    <w:p w14:paraId="7552D4E0" w14:textId="4E65A678" w:rsidR="003D0874" w:rsidRDefault="0069100C" w:rsidP="00750703">
      <w:pPr>
        <w:numPr>
          <w:ilvl w:val="1"/>
          <w:numId w:val="1"/>
        </w:numPr>
        <w:spacing w:after="120"/>
        <w:ind w:left="720"/>
        <w:rPr>
          <w:rFonts w:asciiTheme="minorHAnsi" w:hAnsiTheme="minorHAnsi" w:cstheme="minorHAnsi"/>
          <w:lang w:eastAsia="en-US"/>
        </w:rPr>
      </w:pPr>
      <w:r>
        <w:rPr>
          <w:rFonts w:asciiTheme="minorHAnsi" w:hAnsiTheme="minorHAnsi" w:cstheme="minorHAnsi"/>
          <w:lang w:eastAsia="en-US"/>
        </w:rPr>
        <w:t xml:space="preserve">The PBAC noted </w:t>
      </w:r>
      <w:r w:rsidR="0012776E">
        <w:rPr>
          <w:rFonts w:asciiTheme="minorHAnsi" w:hAnsiTheme="minorHAnsi" w:cstheme="minorHAnsi"/>
          <w:lang w:eastAsia="en-US"/>
        </w:rPr>
        <w:t xml:space="preserve">that </w:t>
      </w:r>
      <w:r>
        <w:rPr>
          <w:rFonts w:asciiTheme="minorHAnsi" w:hAnsiTheme="minorHAnsi" w:cstheme="minorHAnsi"/>
          <w:lang w:eastAsia="en-US"/>
        </w:rPr>
        <w:t>the CMA included costs for</w:t>
      </w:r>
      <w:r w:rsidR="0012776E">
        <w:rPr>
          <w:rFonts w:asciiTheme="minorHAnsi" w:hAnsiTheme="minorHAnsi" w:cstheme="minorHAnsi"/>
          <w:lang w:eastAsia="en-US"/>
        </w:rPr>
        <w:t xml:space="preserve"> administration, </w:t>
      </w:r>
      <w:r w:rsidR="006F3D15">
        <w:rPr>
          <w:rFonts w:asciiTheme="minorHAnsi" w:hAnsiTheme="minorHAnsi" w:cstheme="minorHAnsi"/>
          <w:lang w:eastAsia="en-US"/>
        </w:rPr>
        <w:t>concurrent medication</w:t>
      </w:r>
      <w:r w:rsidR="00553813">
        <w:rPr>
          <w:rFonts w:asciiTheme="minorHAnsi" w:hAnsiTheme="minorHAnsi" w:cstheme="minorHAnsi"/>
          <w:lang w:eastAsia="en-US"/>
        </w:rPr>
        <w:t>, screening tests</w:t>
      </w:r>
      <w:r w:rsidR="00377491">
        <w:rPr>
          <w:rFonts w:asciiTheme="minorHAnsi" w:hAnsiTheme="minorHAnsi" w:cstheme="minorHAnsi"/>
          <w:lang w:eastAsia="en-US"/>
        </w:rPr>
        <w:t xml:space="preserve"> and management of adverse events</w:t>
      </w:r>
      <w:r w:rsidR="00E609E4">
        <w:rPr>
          <w:rFonts w:asciiTheme="minorHAnsi" w:hAnsiTheme="minorHAnsi" w:cstheme="minorHAnsi"/>
          <w:lang w:eastAsia="en-US"/>
        </w:rPr>
        <w:t xml:space="preserve">. </w:t>
      </w:r>
      <w:r w:rsidR="00AF1340">
        <w:rPr>
          <w:rFonts w:asciiTheme="minorHAnsi" w:hAnsiTheme="minorHAnsi" w:cstheme="minorHAnsi"/>
          <w:lang w:eastAsia="en-US"/>
        </w:rPr>
        <w:t xml:space="preserve">The PBAC considered the </w:t>
      </w:r>
      <w:r w:rsidR="00A53F34">
        <w:rPr>
          <w:rFonts w:asciiTheme="minorHAnsi" w:hAnsiTheme="minorHAnsi" w:cstheme="minorHAnsi"/>
          <w:lang w:eastAsia="en-US"/>
        </w:rPr>
        <w:t>costs for concurrent medication</w:t>
      </w:r>
      <w:r w:rsidR="00593F51">
        <w:rPr>
          <w:rFonts w:asciiTheme="minorHAnsi" w:hAnsiTheme="minorHAnsi" w:cstheme="minorHAnsi"/>
          <w:lang w:eastAsia="en-US"/>
        </w:rPr>
        <w:t xml:space="preserve"> </w:t>
      </w:r>
      <w:r w:rsidR="003710D2">
        <w:rPr>
          <w:rFonts w:asciiTheme="minorHAnsi" w:hAnsiTheme="minorHAnsi" w:cstheme="minorHAnsi"/>
          <w:lang w:eastAsia="en-US"/>
        </w:rPr>
        <w:t>(</w:t>
      </w:r>
      <w:proofErr w:type="gramStart"/>
      <w:r w:rsidR="003710D2">
        <w:rPr>
          <w:rFonts w:asciiTheme="minorHAnsi" w:hAnsiTheme="minorHAnsi" w:cstheme="minorHAnsi"/>
          <w:lang w:eastAsia="en-US"/>
        </w:rPr>
        <w:t>with the exception of</w:t>
      </w:r>
      <w:proofErr w:type="gramEnd"/>
      <w:r w:rsidR="007D28A1">
        <w:rPr>
          <w:rFonts w:asciiTheme="minorHAnsi" w:hAnsiTheme="minorHAnsi" w:cstheme="minorHAnsi"/>
          <w:lang w:eastAsia="en-US"/>
        </w:rPr>
        <w:t xml:space="preserve"> calcium folinate</w:t>
      </w:r>
      <w:r w:rsidR="003710D2">
        <w:rPr>
          <w:rFonts w:asciiTheme="minorHAnsi" w:hAnsiTheme="minorHAnsi" w:cstheme="minorHAnsi"/>
          <w:lang w:eastAsia="en-US"/>
        </w:rPr>
        <w:t xml:space="preserve">) </w:t>
      </w:r>
      <w:r w:rsidR="00593F51">
        <w:rPr>
          <w:rFonts w:asciiTheme="minorHAnsi" w:hAnsiTheme="minorHAnsi" w:cstheme="minorHAnsi"/>
          <w:lang w:eastAsia="en-US"/>
        </w:rPr>
        <w:t xml:space="preserve">and </w:t>
      </w:r>
      <w:r w:rsidR="00A53F34">
        <w:rPr>
          <w:rFonts w:asciiTheme="minorHAnsi" w:hAnsiTheme="minorHAnsi" w:cstheme="minorHAnsi"/>
          <w:lang w:eastAsia="en-US"/>
        </w:rPr>
        <w:t>screening tests were</w:t>
      </w:r>
      <w:r w:rsidR="00280CF1">
        <w:rPr>
          <w:rFonts w:asciiTheme="minorHAnsi" w:hAnsiTheme="minorHAnsi" w:cstheme="minorHAnsi"/>
          <w:lang w:eastAsia="en-US"/>
        </w:rPr>
        <w:t xml:space="preserve"> small and </w:t>
      </w:r>
      <w:r w:rsidR="00593F51">
        <w:rPr>
          <w:rFonts w:asciiTheme="minorHAnsi" w:hAnsiTheme="minorHAnsi" w:cstheme="minorHAnsi"/>
          <w:lang w:eastAsia="en-US"/>
        </w:rPr>
        <w:t xml:space="preserve">unlikely to be </w:t>
      </w:r>
      <w:r w:rsidR="00280CF1">
        <w:rPr>
          <w:rFonts w:asciiTheme="minorHAnsi" w:hAnsiTheme="minorHAnsi" w:cstheme="minorHAnsi"/>
          <w:lang w:eastAsia="en-US"/>
        </w:rPr>
        <w:t xml:space="preserve">substantially </w:t>
      </w:r>
      <w:r w:rsidR="00593F51">
        <w:rPr>
          <w:rFonts w:asciiTheme="minorHAnsi" w:hAnsiTheme="minorHAnsi" w:cstheme="minorHAnsi"/>
          <w:lang w:eastAsia="en-US"/>
        </w:rPr>
        <w:t xml:space="preserve">different </w:t>
      </w:r>
      <w:r w:rsidR="005733D5">
        <w:rPr>
          <w:rFonts w:asciiTheme="minorHAnsi" w:hAnsiTheme="minorHAnsi" w:cstheme="minorHAnsi"/>
          <w:lang w:eastAsia="en-US"/>
        </w:rPr>
        <w:t xml:space="preserve">between </w:t>
      </w:r>
      <w:r w:rsidR="00593F51">
        <w:rPr>
          <w:rFonts w:asciiTheme="minorHAnsi" w:hAnsiTheme="minorHAnsi" w:cstheme="minorHAnsi"/>
          <w:lang w:eastAsia="en-US"/>
        </w:rPr>
        <w:t xml:space="preserve">romidepsin and </w:t>
      </w:r>
      <w:r w:rsidR="00D20348">
        <w:rPr>
          <w:rFonts w:asciiTheme="minorHAnsi" w:hAnsiTheme="minorHAnsi" w:cstheme="minorHAnsi"/>
          <w:lang w:eastAsia="en-US"/>
        </w:rPr>
        <w:t>pralatrexate. The PB</w:t>
      </w:r>
      <w:r w:rsidR="00B92447">
        <w:rPr>
          <w:rFonts w:asciiTheme="minorHAnsi" w:hAnsiTheme="minorHAnsi" w:cstheme="minorHAnsi"/>
          <w:lang w:eastAsia="en-US"/>
        </w:rPr>
        <w:t>A</w:t>
      </w:r>
      <w:r w:rsidR="00D20348">
        <w:rPr>
          <w:rFonts w:asciiTheme="minorHAnsi" w:hAnsiTheme="minorHAnsi" w:cstheme="minorHAnsi"/>
          <w:lang w:eastAsia="en-US"/>
        </w:rPr>
        <w:t xml:space="preserve">C advised it was reasonable to </w:t>
      </w:r>
      <w:r w:rsidR="005733D5">
        <w:rPr>
          <w:rFonts w:asciiTheme="minorHAnsi" w:hAnsiTheme="minorHAnsi" w:cstheme="minorHAnsi"/>
          <w:lang w:eastAsia="en-US"/>
        </w:rPr>
        <w:t>exclude</w:t>
      </w:r>
      <w:r w:rsidR="00D20348">
        <w:rPr>
          <w:rFonts w:asciiTheme="minorHAnsi" w:hAnsiTheme="minorHAnsi" w:cstheme="minorHAnsi"/>
          <w:lang w:eastAsia="en-US"/>
        </w:rPr>
        <w:t xml:space="preserve"> these costs</w:t>
      </w:r>
      <w:r w:rsidR="005733D5">
        <w:rPr>
          <w:rFonts w:asciiTheme="minorHAnsi" w:hAnsiTheme="minorHAnsi" w:cstheme="minorHAnsi"/>
          <w:lang w:eastAsia="en-US"/>
        </w:rPr>
        <w:t xml:space="preserve"> from the CMA.</w:t>
      </w:r>
      <w:r w:rsidR="00B92447">
        <w:rPr>
          <w:rFonts w:asciiTheme="minorHAnsi" w:hAnsiTheme="minorHAnsi" w:cstheme="minorHAnsi"/>
          <w:lang w:eastAsia="en-US"/>
        </w:rPr>
        <w:t xml:space="preserve"> With respect to </w:t>
      </w:r>
      <w:r w:rsidR="00131042">
        <w:rPr>
          <w:rFonts w:asciiTheme="minorHAnsi" w:hAnsiTheme="minorHAnsi" w:cstheme="minorHAnsi"/>
          <w:lang w:eastAsia="en-US"/>
        </w:rPr>
        <w:t>the inclusion of the cost of</w:t>
      </w:r>
      <w:r w:rsidR="007D28A1">
        <w:rPr>
          <w:rFonts w:asciiTheme="minorHAnsi" w:hAnsiTheme="minorHAnsi" w:cstheme="minorHAnsi"/>
          <w:lang w:eastAsia="en-US"/>
        </w:rPr>
        <w:t xml:space="preserve"> calcium folinate</w:t>
      </w:r>
      <w:r w:rsidR="00131042">
        <w:rPr>
          <w:rFonts w:asciiTheme="minorHAnsi" w:hAnsiTheme="minorHAnsi" w:cstheme="minorHAnsi"/>
          <w:lang w:eastAsia="en-US"/>
        </w:rPr>
        <w:t xml:space="preserve"> for </w:t>
      </w:r>
      <w:r w:rsidR="00E45062">
        <w:rPr>
          <w:rFonts w:asciiTheme="minorHAnsi" w:hAnsiTheme="minorHAnsi" w:cstheme="minorHAnsi"/>
          <w:lang w:eastAsia="en-US"/>
        </w:rPr>
        <w:t>pralatrexate</w:t>
      </w:r>
      <w:r w:rsidR="00B92447">
        <w:rPr>
          <w:rFonts w:asciiTheme="minorHAnsi" w:hAnsiTheme="minorHAnsi" w:cstheme="minorHAnsi"/>
          <w:lang w:eastAsia="en-US"/>
        </w:rPr>
        <w:t>, the PBAC noted prophylaxis of mucositis is important</w:t>
      </w:r>
      <w:r w:rsidR="00131042">
        <w:rPr>
          <w:rFonts w:asciiTheme="minorHAnsi" w:hAnsiTheme="minorHAnsi" w:cstheme="minorHAnsi"/>
          <w:lang w:eastAsia="en-US"/>
        </w:rPr>
        <w:t xml:space="preserve"> and likely to be incurred by all patients, therefore </w:t>
      </w:r>
      <w:r w:rsidR="00F76CAB">
        <w:rPr>
          <w:rFonts w:asciiTheme="minorHAnsi" w:hAnsiTheme="minorHAnsi" w:cstheme="minorHAnsi"/>
          <w:lang w:eastAsia="en-US"/>
        </w:rPr>
        <w:t>inclusion of the cost of calcium folinate</w:t>
      </w:r>
      <w:r w:rsidR="00131042">
        <w:rPr>
          <w:rFonts w:asciiTheme="minorHAnsi" w:hAnsiTheme="minorHAnsi" w:cstheme="minorHAnsi"/>
          <w:lang w:eastAsia="en-US"/>
        </w:rPr>
        <w:t xml:space="preserve"> in the CMA was appropriate.</w:t>
      </w:r>
      <w:r w:rsidR="00750703">
        <w:rPr>
          <w:rFonts w:asciiTheme="minorHAnsi" w:hAnsiTheme="minorHAnsi" w:cstheme="minorHAnsi"/>
          <w:lang w:eastAsia="en-US"/>
        </w:rPr>
        <w:t xml:space="preserve"> </w:t>
      </w:r>
      <w:r w:rsidR="003D0874" w:rsidDel="00BB24B4">
        <w:rPr>
          <w:rFonts w:asciiTheme="minorHAnsi" w:hAnsiTheme="minorHAnsi" w:cstheme="minorHAnsi"/>
          <w:lang w:eastAsia="en-US"/>
        </w:rPr>
        <w:t xml:space="preserve">The PBAC </w:t>
      </w:r>
      <w:r w:rsidR="007D28A1">
        <w:rPr>
          <w:rFonts w:asciiTheme="minorHAnsi" w:hAnsiTheme="minorHAnsi" w:cstheme="minorHAnsi"/>
          <w:lang w:eastAsia="en-US"/>
        </w:rPr>
        <w:t>noted management of severe mucositis was included in the CMA for pralatr</w:t>
      </w:r>
      <w:r w:rsidR="00F71551">
        <w:rPr>
          <w:rFonts w:asciiTheme="minorHAnsi" w:hAnsiTheme="minorHAnsi" w:cstheme="minorHAnsi"/>
          <w:lang w:eastAsia="en-US"/>
        </w:rPr>
        <w:t>e</w:t>
      </w:r>
      <w:r w:rsidR="007D28A1">
        <w:rPr>
          <w:rFonts w:asciiTheme="minorHAnsi" w:hAnsiTheme="minorHAnsi" w:cstheme="minorHAnsi"/>
          <w:lang w:eastAsia="en-US"/>
        </w:rPr>
        <w:t xml:space="preserve">xate. </w:t>
      </w:r>
      <w:r w:rsidR="003D0874">
        <w:rPr>
          <w:rFonts w:asciiTheme="minorHAnsi" w:hAnsiTheme="minorHAnsi" w:cstheme="minorHAnsi"/>
          <w:lang w:eastAsia="en-US"/>
        </w:rPr>
        <w:t xml:space="preserve">The PBAC considered </w:t>
      </w:r>
      <w:r w:rsidR="00021146">
        <w:rPr>
          <w:rFonts w:asciiTheme="minorHAnsi" w:hAnsiTheme="minorHAnsi" w:cstheme="minorHAnsi"/>
          <w:lang w:eastAsia="en-US"/>
        </w:rPr>
        <w:t xml:space="preserve">that </w:t>
      </w:r>
      <w:r w:rsidR="00732A15">
        <w:rPr>
          <w:rFonts w:asciiTheme="minorHAnsi" w:hAnsiTheme="minorHAnsi" w:cstheme="minorHAnsi"/>
          <w:lang w:eastAsia="en-US"/>
        </w:rPr>
        <w:t xml:space="preserve">severe mucositis </w:t>
      </w:r>
      <w:r w:rsidR="00021146">
        <w:rPr>
          <w:rFonts w:asciiTheme="minorHAnsi" w:hAnsiTheme="minorHAnsi" w:cstheme="minorHAnsi"/>
          <w:lang w:eastAsia="en-US"/>
        </w:rPr>
        <w:t>is</w:t>
      </w:r>
      <w:r w:rsidR="00732A15">
        <w:rPr>
          <w:rFonts w:asciiTheme="minorHAnsi" w:hAnsiTheme="minorHAnsi" w:cstheme="minorHAnsi"/>
          <w:lang w:eastAsia="en-US"/>
        </w:rPr>
        <w:t xml:space="preserve"> rare when treatment protocol</w:t>
      </w:r>
      <w:r w:rsidR="00217A77">
        <w:rPr>
          <w:rFonts w:asciiTheme="minorHAnsi" w:hAnsiTheme="minorHAnsi" w:cstheme="minorHAnsi"/>
          <w:lang w:eastAsia="en-US"/>
        </w:rPr>
        <w:t>s that include</w:t>
      </w:r>
      <w:r w:rsidR="00732A15">
        <w:rPr>
          <w:rFonts w:asciiTheme="minorHAnsi" w:hAnsiTheme="minorHAnsi" w:cstheme="minorHAnsi"/>
          <w:lang w:eastAsia="en-US"/>
        </w:rPr>
        <w:t xml:space="preserve"> prophylaxis with calcium folinate are followed appropriately</w:t>
      </w:r>
      <w:r w:rsidR="00217A77">
        <w:rPr>
          <w:rFonts w:asciiTheme="minorHAnsi" w:hAnsiTheme="minorHAnsi" w:cstheme="minorHAnsi"/>
          <w:lang w:eastAsia="en-US"/>
        </w:rPr>
        <w:t>, and as such that</w:t>
      </w:r>
      <w:r w:rsidR="00732A15">
        <w:rPr>
          <w:rFonts w:asciiTheme="minorHAnsi" w:hAnsiTheme="minorHAnsi" w:cstheme="minorHAnsi"/>
          <w:lang w:eastAsia="en-US"/>
        </w:rPr>
        <w:t xml:space="preserve"> </w:t>
      </w:r>
      <w:r w:rsidR="002D36F7">
        <w:rPr>
          <w:rFonts w:asciiTheme="minorHAnsi" w:hAnsiTheme="minorHAnsi" w:cstheme="minorHAnsi"/>
          <w:lang w:eastAsia="en-US"/>
        </w:rPr>
        <w:t>the</w:t>
      </w:r>
      <w:r w:rsidR="003D0874">
        <w:rPr>
          <w:rFonts w:asciiTheme="minorHAnsi" w:hAnsiTheme="minorHAnsi" w:cstheme="minorHAnsi"/>
          <w:lang w:eastAsia="en-US"/>
        </w:rPr>
        <w:t xml:space="preserve"> </w:t>
      </w:r>
      <w:r w:rsidR="00055A10">
        <w:rPr>
          <w:rFonts w:asciiTheme="minorHAnsi" w:hAnsiTheme="minorHAnsi" w:cstheme="minorHAnsi"/>
          <w:lang w:eastAsia="en-US"/>
        </w:rPr>
        <w:t>hospital admission costs for mucositis</w:t>
      </w:r>
      <w:r w:rsidR="00D82095">
        <w:rPr>
          <w:rFonts w:asciiTheme="minorHAnsi" w:hAnsiTheme="minorHAnsi" w:cstheme="minorHAnsi"/>
          <w:lang w:eastAsia="en-US"/>
        </w:rPr>
        <w:t xml:space="preserve"> for pralatrexate</w:t>
      </w:r>
      <w:r w:rsidR="002D36F7">
        <w:rPr>
          <w:rFonts w:asciiTheme="minorHAnsi" w:hAnsiTheme="minorHAnsi" w:cstheme="minorHAnsi"/>
          <w:lang w:eastAsia="en-US"/>
        </w:rPr>
        <w:t xml:space="preserve"> in the CMA should be removed</w:t>
      </w:r>
      <w:r w:rsidR="00A3498A">
        <w:rPr>
          <w:rFonts w:asciiTheme="minorHAnsi" w:hAnsiTheme="minorHAnsi" w:cstheme="minorHAnsi"/>
          <w:lang w:eastAsia="en-US"/>
        </w:rPr>
        <w:t>.</w:t>
      </w:r>
      <w:r w:rsidR="005C458B">
        <w:rPr>
          <w:rFonts w:asciiTheme="minorHAnsi" w:hAnsiTheme="minorHAnsi" w:cstheme="minorHAnsi"/>
          <w:lang w:eastAsia="en-US"/>
        </w:rPr>
        <w:t xml:space="preserve"> </w:t>
      </w:r>
      <w:r w:rsidR="00F76CAB">
        <w:rPr>
          <w:rFonts w:asciiTheme="minorHAnsi" w:hAnsiTheme="minorHAnsi" w:cstheme="minorHAnsi"/>
          <w:lang w:eastAsia="en-US"/>
        </w:rPr>
        <w:t>The PBAC noted that the CMA should be conducted based on ex</w:t>
      </w:r>
      <w:r w:rsidR="00750703">
        <w:rPr>
          <w:rFonts w:asciiTheme="minorHAnsi" w:hAnsiTheme="minorHAnsi" w:cstheme="minorHAnsi"/>
          <w:lang w:eastAsia="en-US"/>
        </w:rPr>
        <w:noBreakHyphen/>
      </w:r>
      <w:r w:rsidR="00F76CAB">
        <w:rPr>
          <w:rFonts w:asciiTheme="minorHAnsi" w:hAnsiTheme="minorHAnsi" w:cstheme="minorHAnsi"/>
          <w:lang w:eastAsia="en-US"/>
        </w:rPr>
        <w:t>manufacturer prices.</w:t>
      </w:r>
    </w:p>
    <w:p w14:paraId="4012E9D6" w14:textId="1D4ECE1B" w:rsidR="005E59EF" w:rsidRPr="00526466" w:rsidRDefault="00593847" w:rsidP="00750703">
      <w:pPr>
        <w:numPr>
          <w:ilvl w:val="1"/>
          <w:numId w:val="1"/>
        </w:numPr>
        <w:spacing w:after="120"/>
        <w:ind w:left="720"/>
        <w:rPr>
          <w:rFonts w:ascii="Times New Roman" w:hAnsi="Times New Roman" w:cs="Times New Roman"/>
          <w:lang w:eastAsia="en-US"/>
        </w:rPr>
      </w:pPr>
      <w:r w:rsidRPr="00526466">
        <w:rPr>
          <w:rFonts w:asciiTheme="minorHAnsi" w:hAnsiTheme="minorHAnsi"/>
          <w:snapToGrid w:val="0"/>
          <w:lang w:val="en-GB" w:eastAsia="en-US"/>
        </w:rPr>
        <w:t xml:space="preserve">The PBAC noted that </w:t>
      </w:r>
      <w:r w:rsidR="00A9270E" w:rsidRPr="00526466">
        <w:rPr>
          <w:rFonts w:asciiTheme="minorHAnsi" w:hAnsiTheme="minorHAnsi"/>
          <w:snapToGrid w:val="0"/>
          <w:lang w:val="en-GB" w:eastAsia="en-US"/>
        </w:rPr>
        <w:t>the</w:t>
      </w:r>
      <w:r w:rsidR="005E6E55" w:rsidRPr="00526466">
        <w:rPr>
          <w:rFonts w:asciiTheme="minorHAnsi" w:hAnsiTheme="minorHAnsi"/>
          <w:snapToGrid w:val="0"/>
          <w:lang w:val="en-GB" w:eastAsia="en-US"/>
        </w:rPr>
        <w:t xml:space="preserve"> net cost to the PBS/RPBS over the first 6 years of listing</w:t>
      </w:r>
      <w:r w:rsidR="00BD299B" w:rsidRPr="00526466">
        <w:rPr>
          <w:rFonts w:asciiTheme="minorHAnsi" w:hAnsiTheme="minorHAnsi"/>
          <w:snapToGrid w:val="0"/>
          <w:lang w:val="en-GB" w:eastAsia="en-US"/>
        </w:rPr>
        <w:t xml:space="preserve"> </w:t>
      </w:r>
      <w:r w:rsidR="00A9270E" w:rsidRPr="00526466">
        <w:rPr>
          <w:rFonts w:asciiTheme="minorHAnsi" w:hAnsiTheme="minorHAnsi"/>
          <w:snapToGrid w:val="0"/>
          <w:lang w:val="en-GB" w:eastAsia="en-US"/>
        </w:rPr>
        <w:t>was estimated to be</w:t>
      </w:r>
      <w:r w:rsidR="00BD299B" w:rsidRPr="00526466">
        <w:rPr>
          <w:rFonts w:asciiTheme="minorHAnsi" w:hAnsiTheme="minorHAnsi"/>
          <w:snapToGrid w:val="0"/>
          <w:lang w:val="en-GB" w:eastAsia="en-US"/>
        </w:rPr>
        <w:t xml:space="preserve"> approximately $</w:t>
      </w:r>
      <w:r w:rsidR="00B20A13" w:rsidRPr="00B20A13">
        <w:rPr>
          <w:rFonts w:asciiTheme="minorHAnsi" w:hAnsiTheme="minorHAnsi"/>
          <w:snapToGrid w:val="0"/>
          <w:lang w:val="en-GB" w:eastAsia="en-US"/>
        </w:rPr>
        <w:t>10 million to &lt; $20 million</w:t>
      </w:r>
      <w:r w:rsidR="005E6E55" w:rsidRPr="00526466">
        <w:rPr>
          <w:rFonts w:asciiTheme="minorHAnsi" w:hAnsiTheme="minorHAnsi"/>
          <w:snapToGrid w:val="0"/>
          <w:lang w:val="en-GB" w:eastAsia="en-US"/>
        </w:rPr>
        <w:t xml:space="preserve">, given patients currently receiving romidepsin </w:t>
      </w:r>
      <w:r w:rsidR="00A9270E" w:rsidRPr="00526466">
        <w:rPr>
          <w:rFonts w:asciiTheme="minorHAnsi" w:hAnsiTheme="minorHAnsi"/>
          <w:snapToGrid w:val="0"/>
          <w:lang w:val="en-GB" w:eastAsia="en-US"/>
        </w:rPr>
        <w:t>through</w:t>
      </w:r>
      <w:r w:rsidR="0092380A" w:rsidRPr="00526466">
        <w:rPr>
          <w:rFonts w:asciiTheme="minorHAnsi" w:hAnsiTheme="minorHAnsi"/>
          <w:snapToGrid w:val="0"/>
          <w:lang w:val="en-GB" w:eastAsia="en-US"/>
        </w:rPr>
        <w:t xml:space="preserve"> a </w:t>
      </w:r>
      <w:r w:rsidR="00F76CAB">
        <w:rPr>
          <w:rFonts w:asciiTheme="minorHAnsi" w:hAnsiTheme="minorHAnsi"/>
          <w:snapToGrid w:val="0"/>
          <w:lang w:val="en-GB" w:eastAsia="en-US"/>
        </w:rPr>
        <w:t>patient</w:t>
      </w:r>
      <w:r w:rsidR="00F76CAB" w:rsidRPr="00526466">
        <w:rPr>
          <w:rFonts w:asciiTheme="minorHAnsi" w:hAnsiTheme="minorHAnsi"/>
          <w:snapToGrid w:val="0"/>
          <w:lang w:val="en-GB" w:eastAsia="en-US"/>
        </w:rPr>
        <w:t xml:space="preserve"> </w:t>
      </w:r>
      <w:r w:rsidR="0092380A" w:rsidRPr="00526466">
        <w:rPr>
          <w:rFonts w:asciiTheme="minorHAnsi" w:hAnsiTheme="minorHAnsi"/>
          <w:snapToGrid w:val="0"/>
          <w:lang w:val="en-GB" w:eastAsia="en-US"/>
        </w:rPr>
        <w:t>access scheme</w:t>
      </w:r>
      <w:r w:rsidR="00A02248" w:rsidRPr="00526466">
        <w:rPr>
          <w:rFonts w:asciiTheme="minorHAnsi" w:hAnsiTheme="minorHAnsi"/>
          <w:snapToGrid w:val="0"/>
          <w:lang w:val="en-GB" w:eastAsia="en-US"/>
        </w:rPr>
        <w:t xml:space="preserve"> would </w:t>
      </w:r>
      <w:r w:rsidR="004B2339" w:rsidRPr="00526466">
        <w:rPr>
          <w:rFonts w:asciiTheme="minorHAnsi" w:hAnsiTheme="minorHAnsi"/>
          <w:snapToGrid w:val="0"/>
          <w:lang w:val="en-GB" w:eastAsia="en-US"/>
        </w:rPr>
        <w:t xml:space="preserve">alternatively </w:t>
      </w:r>
      <w:r w:rsidR="000A247E" w:rsidRPr="00526466">
        <w:rPr>
          <w:rFonts w:asciiTheme="minorHAnsi" w:hAnsiTheme="minorHAnsi"/>
          <w:snapToGrid w:val="0"/>
          <w:lang w:val="en-GB" w:eastAsia="en-US"/>
        </w:rPr>
        <w:t>access romidepsin on the PBS</w:t>
      </w:r>
      <w:r w:rsidR="003E391D" w:rsidRPr="00526466">
        <w:rPr>
          <w:rFonts w:asciiTheme="minorHAnsi" w:hAnsiTheme="minorHAnsi"/>
          <w:snapToGrid w:val="0"/>
          <w:lang w:val="en-GB" w:eastAsia="en-US"/>
        </w:rPr>
        <w:t xml:space="preserve">. </w:t>
      </w:r>
      <w:r w:rsidR="00CF69DA" w:rsidRPr="00526466">
        <w:rPr>
          <w:rFonts w:asciiTheme="minorHAnsi" w:hAnsiTheme="minorHAnsi"/>
          <w:snapToGrid w:val="0"/>
          <w:lang w:val="en-GB" w:eastAsia="en-US"/>
        </w:rPr>
        <w:t xml:space="preserve">The PBAC </w:t>
      </w:r>
      <w:r w:rsidR="004B2339" w:rsidRPr="00526466">
        <w:rPr>
          <w:rFonts w:asciiTheme="minorHAnsi" w:hAnsiTheme="minorHAnsi"/>
          <w:snapToGrid w:val="0"/>
          <w:lang w:val="en-GB" w:eastAsia="en-US"/>
        </w:rPr>
        <w:t>considered</w:t>
      </w:r>
      <w:r w:rsidR="00CF69DA" w:rsidRPr="00526466">
        <w:rPr>
          <w:rFonts w:asciiTheme="minorHAnsi" w:hAnsiTheme="minorHAnsi"/>
          <w:snapToGrid w:val="0"/>
          <w:lang w:val="en-GB" w:eastAsia="en-US"/>
        </w:rPr>
        <w:t xml:space="preserve"> the cost of listing romidepsin </w:t>
      </w:r>
      <w:r w:rsidR="00ED3EC6" w:rsidRPr="00526466">
        <w:rPr>
          <w:rFonts w:asciiTheme="minorHAnsi" w:hAnsiTheme="minorHAnsi"/>
          <w:snapToGrid w:val="0"/>
          <w:lang w:val="en-GB" w:eastAsia="en-US"/>
        </w:rPr>
        <w:t>to be</w:t>
      </w:r>
      <w:r w:rsidR="00CA7D73" w:rsidRPr="00526466">
        <w:rPr>
          <w:rFonts w:asciiTheme="minorHAnsi" w:hAnsiTheme="minorHAnsi"/>
          <w:snapToGrid w:val="0"/>
          <w:lang w:val="en-GB" w:eastAsia="en-US"/>
        </w:rPr>
        <w:t xml:space="preserve"> </w:t>
      </w:r>
      <w:r w:rsidR="00CF69DA" w:rsidRPr="00526466">
        <w:rPr>
          <w:rFonts w:asciiTheme="minorHAnsi" w:hAnsiTheme="minorHAnsi"/>
          <w:snapToGrid w:val="0"/>
          <w:lang w:val="en-GB" w:eastAsia="en-US"/>
        </w:rPr>
        <w:t>uncertain and likely underestimated</w:t>
      </w:r>
      <w:r w:rsidR="00D013BE" w:rsidRPr="00526466">
        <w:rPr>
          <w:rFonts w:asciiTheme="minorHAnsi" w:hAnsiTheme="minorHAnsi"/>
          <w:snapToGrid w:val="0"/>
          <w:lang w:val="en-GB" w:eastAsia="en-US"/>
        </w:rPr>
        <w:t xml:space="preserve">. The PBAC considered </w:t>
      </w:r>
      <w:r w:rsidR="00CA7D73" w:rsidRPr="00526466">
        <w:rPr>
          <w:rFonts w:asciiTheme="minorHAnsi" w:hAnsiTheme="minorHAnsi"/>
          <w:snapToGrid w:val="0"/>
          <w:lang w:val="en-GB" w:eastAsia="en-US"/>
        </w:rPr>
        <w:t xml:space="preserve">that there will be some </w:t>
      </w:r>
      <w:r w:rsidR="004F6FA9" w:rsidRPr="00526466">
        <w:rPr>
          <w:rFonts w:asciiTheme="minorHAnsi" w:hAnsiTheme="minorHAnsi"/>
          <w:snapToGrid w:val="0"/>
          <w:lang w:val="en-GB" w:eastAsia="en-US"/>
        </w:rPr>
        <w:t xml:space="preserve">growth in the market </w:t>
      </w:r>
      <w:r w:rsidR="00ED3EC6" w:rsidRPr="00526466">
        <w:rPr>
          <w:rFonts w:asciiTheme="minorHAnsi" w:hAnsiTheme="minorHAnsi"/>
          <w:snapToGrid w:val="0"/>
          <w:lang w:val="en-GB" w:eastAsia="en-US"/>
        </w:rPr>
        <w:t>because of</w:t>
      </w:r>
      <w:r w:rsidR="00842037" w:rsidRPr="00526466">
        <w:rPr>
          <w:rFonts w:asciiTheme="minorHAnsi" w:hAnsiTheme="minorHAnsi"/>
          <w:snapToGrid w:val="0"/>
          <w:lang w:val="en-GB" w:eastAsia="en-US"/>
        </w:rPr>
        <w:t xml:space="preserve"> </w:t>
      </w:r>
      <w:r w:rsidR="004F6FA9" w:rsidRPr="00526466">
        <w:rPr>
          <w:rFonts w:asciiTheme="minorHAnsi" w:hAnsiTheme="minorHAnsi"/>
          <w:snapToGrid w:val="0"/>
          <w:lang w:val="en-GB" w:eastAsia="en-US"/>
        </w:rPr>
        <w:t xml:space="preserve">sequential use of pralatrexate </w:t>
      </w:r>
      <w:r w:rsidR="00842037" w:rsidRPr="00526466">
        <w:rPr>
          <w:rFonts w:asciiTheme="minorHAnsi" w:hAnsiTheme="minorHAnsi"/>
          <w:snapToGrid w:val="0"/>
          <w:lang w:val="en-GB" w:eastAsia="en-US"/>
        </w:rPr>
        <w:t xml:space="preserve">and romidepsin </w:t>
      </w:r>
      <w:r w:rsidR="004F6FA9" w:rsidRPr="00526466">
        <w:rPr>
          <w:rFonts w:asciiTheme="minorHAnsi" w:hAnsiTheme="minorHAnsi"/>
          <w:snapToGrid w:val="0"/>
          <w:lang w:val="en-GB" w:eastAsia="en-US"/>
        </w:rPr>
        <w:t>in some patients</w:t>
      </w:r>
      <w:r w:rsidR="00F76CAB">
        <w:rPr>
          <w:rFonts w:asciiTheme="minorHAnsi" w:hAnsiTheme="minorHAnsi"/>
          <w:snapToGrid w:val="0"/>
          <w:lang w:val="en-GB" w:eastAsia="en-US"/>
        </w:rPr>
        <w:t>, however the overall impact would likely be reasonable given the rarity of PTCL</w:t>
      </w:r>
      <w:r w:rsidR="004F6FA9" w:rsidRPr="00526466">
        <w:rPr>
          <w:rFonts w:asciiTheme="minorHAnsi" w:hAnsiTheme="minorHAnsi"/>
          <w:snapToGrid w:val="0"/>
          <w:lang w:val="en-GB" w:eastAsia="en-US"/>
        </w:rPr>
        <w:t xml:space="preserve">. </w:t>
      </w:r>
    </w:p>
    <w:p w14:paraId="4CB6474D" w14:textId="050C1A1F" w:rsidR="00AF5244" w:rsidRPr="00AA7DA5" w:rsidRDefault="00AF5244" w:rsidP="00750703">
      <w:pPr>
        <w:numPr>
          <w:ilvl w:val="1"/>
          <w:numId w:val="1"/>
        </w:numPr>
        <w:spacing w:after="120"/>
        <w:ind w:left="720"/>
        <w:rPr>
          <w:rFonts w:asciiTheme="minorHAnsi" w:hAnsiTheme="minorHAnsi"/>
          <w:bCs/>
          <w:snapToGrid w:val="0"/>
          <w:lang w:val="en-GB" w:eastAsia="en-US"/>
        </w:rPr>
      </w:pPr>
      <w:r w:rsidRPr="00AA7DA5">
        <w:rPr>
          <w:rFonts w:asciiTheme="minorHAnsi" w:hAnsiTheme="minorHAnsi"/>
          <w:bCs/>
          <w:snapToGrid w:val="0"/>
          <w:lang w:val="en-GB" w:eastAsia="en-US"/>
        </w:rPr>
        <w:t xml:space="preserve">The PBAC advised that </w:t>
      </w:r>
      <w:r w:rsidR="00300156" w:rsidRPr="00AA7DA5">
        <w:rPr>
          <w:rFonts w:asciiTheme="minorHAnsi" w:hAnsiTheme="minorHAnsi"/>
          <w:bCs/>
          <w:snapToGrid w:val="0"/>
          <w:lang w:val="en-GB" w:eastAsia="en-US"/>
        </w:rPr>
        <w:t>romidepsin</w:t>
      </w:r>
      <w:r w:rsidRPr="00AA7DA5">
        <w:rPr>
          <w:rFonts w:asciiTheme="minorHAnsi" w:hAnsiTheme="minorHAnsi"/>
          <w:bCs/>
          <w:snapToGrid w:val="0"/>
          <w:lang w:val="en-GB" w:eastAsia="en-US"/>
        </w:rPr>
        <w:t xml:space="preserve"> is not suitable for prescribing by nurse practitioners.</w:t>
      </w:r>
    </w:p>
    <w:p w14:paraId="761DD40B" w14:textId="023DF24A" w:rsidR="000760EE" w:rsidRPr="000760EE" w:rsidRDefault="000760EE" w:rsidP="00750703">
      <w:pPr>
        <w:pStyle w:val="3-BodyText"/>
        <w:ind w:left="720"/>
        <w:rPr>
          <w:rFonts w:eastAsia="Times New Roman" w:cs="Arial"/>
          <w:bCs/>
          <w:snapToGrid w:val="0"/>
          <w:szCs w:val="24"/>
          <w:lang w:val="en-GB" w:eastAsia="en-US"/>
        </w:rPr>
      </w:pPr>
      <w:r w:rsidRPr="000760EE">
        <w:rPr>
          <w:rFonts w:eastAsia="Times New Roman" w:cs="Arial"/>
          <w:bCs/>
          <w:snapToGrid w:val="0"/>
          <w:szCs w:val="24"/>
          <w:lang w:val="en-GB" w:eastAsia="en-US"/>
        </w:rPr>
        <w:t xml:space="preserve">The PBAC advised that, under subsection 101(3BA) of the </w:t>
      </w:r>
      <w:r w:rsidRPr="000760EE">
        <w:rPr>
          <w:rFonts w:eastAsia="Times New Roman" w:cs="Arial"/>
          <w:bCs/>
          <w:i/>
          <w:iCs/>
          <w:snapToGrid w:val="0"/>
          <w:szCs w:val="24"/>
          <w:lang w:val="en-GB" w:eastAsia="en-US"/>
        </w:rPr>
        <w:t>National Health Act 1953</w:t>
      </w:r>
      <w:r w:rsidRPr="000760EE">
        <w:rPr>
          <w:rFonts w:eastAsia="Times New Roman" w:cs="Arial"/>
          <w:bCs/>
          <w:snapToGrid w:val="0"/>
          <w:szCs w:val="24"/>
          <w:lang w:val="en-GB" w:eastAsia="en-US"/>
        </w:rPr>
        <w:t xml:space="preserve"> </w:t>
      </w:r>
      <w:r>
        <w:rPr>
          <w:rFonts w:eastAsia="Times New Roman" w:cs="Arial"/>
          <w:bCs/>
          <w:snapToGrid w:val="0"/>
          <w:szCs w:val="24"/>
          <w:lang w:val="en-GB" w:eastAsia="en-US"/>
        </w:rPr>
        <w:t>romidepsin</w:t>
      </w:r>
      <w:r w:rsidRPr="000760EE">
        <w:rPr>
          <w:rFonts w:eastAsia="Times New Roman" w:cs="Arial"/>
          <w:bCs/>
          <w:snapToGrid w:val="0"/>
          <w:szCs w:val="24"/>
          <w:lang w:val="en-GB" w:eastAsia="en-US"/>
        </w:rPr>
        <w:t xml:space="preserve"> should not be treated as interchangeable on an individual patient basis with any other drugs.</w:t>
      </w:r>
    </w:p>
    <w:p w14:paraId="715CA3C0" w14:textId="45420ABA" w:rsidR="000760EE" w:rsidRPr="000760EE" w:rsidRDefault="000760EE" w:rsidP="00750703">
      <w:pPr>
        <w:pStyle w:val="3-BodyText"/>
        <w:ind w:left="720"/>
        <w:rPr>
          <w:rFonts w:eastAsia="Times New Roman" w:cs="Arial"/>
          <w:bCs/>
          <w:snapToGrid w:val="0"/>
          <w:szCs w:val="24"/>
          <w:lang w:val="en-GB" w:eastAsia="en-US"/>
        </w:rPr>
      </w:pPr>
      <w:r w:rsidRPr="000760EE">
        <w:rPr>
          <w:rFonts w:eastAsia="Times New Roman" w:cs="Arial"/>
          <w:bCs/>
          <w:snapToGrid w:val="0"/>
          <w:szCs w:val="24"/>
          <w:lang w:val="en-GB" w:eastAsia="en-US"/>
        </w:rPr>
        <w:t>The PBAC considered that the Early Supply Rule should not apply.</w:t>
      </w:r>
    </w:p>
    <w:p w14:paraId="1C28714F" w14:textId="15AD123B" w:rsidR="00177084" w:rsidRPr="00AF5244" w:rsidRDefault="00750703" w:rsidP="00750703">
      <w:pPr>
        <w:ind w:left="720" w:hanging="720"/>
        <w:rPr>
          <w:rFonts w:asciiTheme="minorHAnsi" w:hAnsiTheme="minorHAnsi" w:cstheme="minorHAnsi"/>
        </w:rPr>
      </w:pPr>
      <w:r>
        <w:rPr>
          <w:rFonts w:eastAsia="Calibri" w:cs="Calibri"/>
          <w:szCs w:val="22"/>
          <w:lang w:eastAsia="en-US"/>
        </w:rPr>
        <w:t xml:space="preserve">7.16 </w:t>
      </w:r>
      <w:r w:rsidR="00177084" w:rsidRPr="00177084">
        <w:rPr>
          <w:rFonts w:eastAsia="Calibri" w:cs="Calibri"/>
          <w:szCs w:val="22"/>
          <w:lang w:eastAsia="en-US"/>
        </w:rPr>
        <w:tab/>
        <w:t xml:space="preserve">The </w:t>
      </w:r>
      <w:r w:rsidR="008129C6">
        <w:rPr>
          <w:rFonts w:cstheme="minorHAnsi"/>
          <w:lang w:val="en-GB" w:eastAsia="en-US"/>
        </w:rPr>
        <w:t>P</w:t>
      </w:r>
      <w:r w:rsidR="00AF5244" w:rsidRPr="00AF5244">
        <w:rPr>
          <w:rFonts w:cstheme="minorHAnsi"/>
          <w:lang w:val="en-GB" w:eastAsia="en-US"/>
        </w:rPr>
        <w:t>BAC noted that its recommendation was on a cost</w:t>
      </w:r>
      <w:r>
        <w:rPr>
          <w:rFonts w:cstheme="minorHAnsi"/>
          <w:lang w:val="en-GB" w:eastAsia="en-US"/>
        </w:rPr>
        <w:noBreakHyphen/>
      </w:r>
      <w:r w:rsidR="00AF5244" w:rsidRPr="00AF5244">
        <w:rPr>
          <w:rFonts w:cstheme="minorHAnsi"/>
          <w:lang w:val="en-GB" w:eastAsia="en-US"/>
        </w:rPr>
        <w:t xml:space="preserve">minimisation basis and advised that, because </w:t>
      </w:r>
      <w:r w:rsidR="00551DF2">
        <w:rPr>
          <w:rFonts w:cstheme="minorHAnsi"/>
          <w:lang w:val="en-GB" w:eastAsia="en-US"/>
        </w:rPr>
        <w:t>romidepsin</w:t>
      </w:r>
      <w:r w:rsidR="00AF5244" w:rsidRPr="00AF5244">
        <w:rPr>
          <w:rFonts w:cstheme="minorHAnsi"/>
          <w:lang w:val="en-GB" w:eastAsia="en-US"/>
        </w:rPr>
        <w:t xml:space="preserve"> is not expected to provide a substantial</w:t>
      </w:r>
      <w:r w:rsidR="00AF5244" w:rsidRPr="00AF5244">
        <w:rPr>
          <w:rFonts w:cs="Times New Roman"/>
          <w:bCs/>
          <w:lang w:val="en-GB" w:eastAsia="en-US"/>
        </w:rPr>
        <w:t xml:space="preserve"> and clinically relevant improvement in efficacy, or reduction of toxicity, over </w:t>
      </w:r>
      <w:r w:rsidR="00300156">
        <w:rPr>
          <w:rFonts w:cs="Times New Roman"/>
          <w:bCs/>
          <w:lang w:val="en-GB" w:eastAsia="en-US"/>
        </w:rPr>
        <w:t>pralatrexate</w:t>
      </w:r>
      <w:r w:rsidR="00AF5244" w:rsidRPr="00AF5244">
        <w:rPr>
          <w:rFonts w:cs="Times New Roman"/>
          <w:bCs/>
          <w:lang w:val="en-GB" w:eastAsia="en-US"/>
        </w:rPr>
        <w:t xml:space="preserve">, or not expected to address a high and urgent unmet clinical need given the presence of an alternative therapy, the criteria prescribed by the </w:t>
      </w:r>
      <w:r w:rsidR="00AF5244" w:rsidRPr="00AF5244">
        <w:rPr>
          <w:rFonts w:cs="Times New Roman"/>
          <w:bCs/>
          <w:i/>
          <w:lang w:val="en-GB" w:eastAsia="en-US"/>
        </w:rPr>
        <w:t>National Health (Pharmaceuticals and Vaccines – Cost Recovery) Regulations 2022</w:t>
      </w:r>
      <w:r w:rsidR="00AF5244" w:rsidRPr="00AF5244">
        <w:rPr>
          <w:rFonts w:cs="Times New Roman"/>
          <w:bCs/>
          <w:lang w:val="en-GB" w:eastAsia="en-US"/>
        </w:rPr>
        <w:t xml:space="preserve"> for Pricing Pathway A were not met.</w:t>
      </w:r>
    </w:p>
    <w:p w14:paraId="1A23BAA5" w14:textId="6764C4F9" w:rsidR="00AF5244" w:rsidRPr="00AF5244" w:rsidRDefault="00177084" w:rsidP="00750703">
      <w:pPr>
        <w:spacing w:before="120"/>
        <w:ind w:left="720" w:hanging="720"/>
        <w:rPr>
          <w:rFonts w:asciiTheme="minorHAnsi" w:hAnsiTheme="minorHAnsi"/>
          <w:bCs/>
          <w:snapToGrid w:val="0"/>
          <w:lang w:val="en-GB" w:eastAsia="en-US"/>
        </w:rPr>
      </w:pPr>
      <w:r w:rsidRPr="00177084">
        <w:rPr>
          <w:rFonts w:asciiTheme="minorHAnsi" w:hAnsiTheme="minorHAnsi"/>
          <w:bCs/>
          <w:snapToGrid w:val="0"/>
          <w:lang w:val="en-GB" w:eastAsia="en-US"/>
        </w:rPr>
        <w:t>7.1</w:t>
      </w:r>
      <w:r w:rsidR="00750703">
        <w:rPr>
          <w:rFonts w:asciiTheme="minorHAnsi" w:hAnsiTheme="minorHAnsi"/>
          <w:bCs/>
          <w:snapToGrid w:val="0"/>
          <w:lang w:val="en-GB" w:eastAsia="en-US"/>
        </w:rPr>
        <w:t>7</w:t>
      </w:r>
      <w:r w:rsidRPr="00177084">
        <w:rPr>
          <w:rFonts w:asciiTheme="minorHAnsi" w:hAnsiTheme="minorHAnsi"/>
          <w:bCs/>
          <w:snapToGrid w:val="0"/>
          <w:lang w:val="en-GB" w:eastAsia="en-US"/>
        </w:rPr>
        <w:tab/>
      </w:r>
      <w:r w:rsidR="00AF5244" w:rsidRPr="00AF5244">
        <w:rPr>
          <w:rFonts w:asciiTheme="minorHAnsi" w:hAnsiTheme="minorHAnsi"/>
          <w:bCs/>
          <w:snapToGrid w:val="0"/>
          <w:lang w:val="en-GB" w:eastAsia="en-US"/>
        </w:rPr>
        <w:t>The PBAC noted that this submission is not eligible for an Independent Review</w:t>
      </w:r>
      <w:r w:rsidR="00830666">
        <w:rPr>
          <w:rFonts w:asciiTheme="minorHAnsi" w:hAnsiTheme="minorHAnsi"/>
          <w:bCs/>
          <w:snapToGrid w:val="0"/>
          <w:lang w:val="en-GB" w:eastAsia="en-US"/>
        </w:rPr>
        <w:t xml:space="preserve"> as it received a positive recommendation</w:t>
      </w:r>
      <w:r w:rsidR="00AF5244" w:rsidRPr="00AF5244">
        <w:rPr>
          <w:rFonts w:asciiTheme="minorHAnsi" w:hAnsiTheme="minorHAnsi"/>
          <w:bCs/>
          <w:snapToGrid w:val="0"/>
          <w:lang w:val="en-GB" w:eastAsia="en-US"/>
        </w:rPr>
        <w:t xml:space="preserve">. </w:t>
      </w:r>
    </w:p>
    <w:p w14:paraId="67BC01AA" w14:textId="77777777" w:rsidR="00AF5244" w:rsidRPr="00AF5244" w:rsidRDefault="00AF5244" w:rsidP="00750703">
      <w:pPr>
        <w:spacing w:before="240"/>
        <w:rPr>
          <w:rFonts w:asciiTheme="minorHAnsi" w:hAnsiTheme="minorHAnsi"/>
          <w:b/>
          <w:bCs/>
          <w:snapToGrid w:val="0"/>
          <w:lang w:val="en-GB" w:eastAsia="en-US"/>
        </w:rPr>
      </w:pPr>
      <w:r w:rsidRPr="00AF5244">
        <w:rPr>
          <w:rFonts w:asciiTheme="minorHAnsi" w:hAnsiTheme="minorHAnsi"/>
          <w:b/>
          <w:bCs/>
          <w:snapToGrid w:val="0"/>
          <w:lang w:val="en-GB" w:eastAsia="en-US"/>
        </w:rPr>
        <w:lastRenderedPageBreak/>
        <w:t>Outcome:</w:t>
      </w:r>
    </w:p>
    <w:p w14:paraId="3298B9AA" w14:textId="179E00DB" w:rsidR="00AF5244" w:rsidRPr="00AF5244" w:rsidRDefault="00AF5244" w:rsidP="00750703">
      <w:pPr>
        <w:spacing w:after="120"/>
        <w:rPr>
          <w:rFonts w:asciiTheme="minorHAnsi" w:hAnsiTheme="minorHAnsi"/>
          <w:bCs/>
          <w:snapToGrid w:val="0"/>
          <w:lang w:val="en-GB" w:eastAsia="en-US"/>
        </w:rPr>
      </w:pPr>
      <w:r w:rsidRPr="00AF5244">
        <w:rPr>
          <w:rFonts w:asciiTheme="minorHAnsi" w:hAnsiTheme="minorHAnsi"/>
          <w:bCs/>
          <w:snapToGrid w:val="0"/>
          <w:lang w:val="en-GB" w:eastAsia="en-US"/>
        </w:rPr>
        <w:t xml:space="preserve">Recommended </w:t>
      </w:r>
    </w:p>
    <w:p w14:paraId="28177F9B" w14:textId="77777777" w:rsidR="00AF5244" w:rsidRPr="00AF5244" w:rsidRDefault="00AF5244" w:rsidP="00750703">
      <w:pPr>
        <w:spacing w:after="120"/>
        <w:rPr>
          <w:rFonts w:asciiTheme="minorHAnsi" w:hAnsiTheme="minorHAnsi"/>
          <w:b/>
          <w:bCs/>
          <w:snapToGrid w:val="0"/>
          <w:lang w:eastAsia="en-US"/>
        </w:rPr>
      </w:pPr>
    </w:p>
    <w:bookmarkEnd w:id="51"/>
    <w:p w14:paraId="0FF8D2DA" w14:textId="30495EBD" w:rsidR="00AF5244" w:rsidRPr="00AF5244" w:rsidRDefault="00AF5244" w:rsidP="00750703">
      <w:pPr>
        <w:keepNext/>
        <w:numPr>
          <w:ilvl w:val="0"/>
          <w:numId w:val="1"/>
        </w:numPr>
        <w:spacing w:before="240" w:after="120"/>
        <w:jc w:val="left"/>
        <w:outlineLvl w:val="0"/>
        <w:rPr>
          <w:rFonts w:asciiTheme="minorHAnsi" w:hAnsiTheme="minorHAnsi"/>
          <w:b/>
          <w:snapToGrid w:val="0"/>
          <w:sz w:val="32"/>
          <w:szCs w:val="32"/>
        </w:rPr>
      </w:pPr>
      <w:r w:rsidRPr="00AF5244">
        <w:rPr>
          <w:rFonts w:asciiTheme="minorHAnsi" w:hAnsiTheme="minorHAnsi"/>
          <w:b/>
          <w:snapToGrid w:val="0"/>
          <w:sz w:val="32"/>
          <w:szCs w:val="32"/>
        </w:rPr>
        <w:t>Recommended listing</w:t>
      </w:r>
    </w:p>
    <w:p w14:paraId="3C6A3B97" w14:textId="2B42E8EC" w:rsidR="00177084" w:rsidRPr="00EB55C8" w:rsidRDefault="00177084" w:rsidP="00750703">
      <w:pPr>
        <w:numPr>
          <w:ilvl w:val="1"/>
          <w:numId w:val="1"/>
        </w:numPr>
        <w:spacing w:after="120"/>
        <w:ind w:left="720"/>
        <w:contextualSpacing/>
        <w:jc w:val="left"/>
        <w:rPr>
          <w:rFonts w:asciiTheme="minorHAnsi" w:hAnsiTheme="minorHAnsi"/>
          <w:b/>
          <w:bCs/>
          <w:snapToGrid w:val="0"/>
          <w:lang w:eastAsia="en-US"/>
        </w:rPr>
      </w:pPr>
      <w:r>
        <w:rPr>
          <w:rFonts w:asciiTheme="minorHAnsi" w:hAnsiTheme="minorHAnsi"/>
          <w:bCs/>
          <w:snapToGrid w:val="0"/>
          <w:lang w:eastAsia="en-US"/>
        </w:rPr>
        <w:t>Add new item:</w:t>
      </w:r>
    </w:p>
    <w:p w14:paraId="00FCD2EE" w14:textId="77777777" w:rsidR="00EB55C8" w:rsidRPr="00177084" w:rsidRDefault="00EB55C8" w:rsidP="00750703">
      <w:pPr>
        <w:spacing w:after="120"/>
        <w:contextualSpacing/>
        <w:jc w:val="left"/>
        <w:rPr>
          <w:rFonts w:asciiTheme="minorHAnsi" w:hAnsiTheme="minorHAnsi"/>
          <w:b/>
          <w:bCs/>
          <w:snapToGrid w:val="0"/>
          <w:lang w:eastAsia="en-US"/>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709"/>
        <w:gridCol w:w="1681"/>
        <w:gridCol w:w="1973"/>
        <w:gridCol w:w="1973"/>
        <w:gridCol w:w="1976"/>
      </w:tblGrid>
      <w:tr w:rsidR="00352109" w:rsidRPr="00F43D20" w14:paraId="6DB6088F" w14:textId="77777777" w:rsidTr="00F850C3">
        <w:trPr>
          <w:cantSplit/>
          <w:trHeight w:val="20"/>
        </w:trPr>
        <w:tc>
          <w:tcPr>
            <w:tcW w:w="3094" w:type="dxa"/>
            <w:gridSpan w:val="3"/>
            <w:vAlign w:val="center"/>
          </w:tcPr>
          <w:bookmarkEnd w:id="52"/>
          <w:p w14:paraId="4E2CE271" w14:textId="77777777" w:rsidR="00352109" w:rsidRPr="00F43D20" w:rsidRDefault="00352109" w:rsidP="00750703">
            <w:pPr>
              <w:keepNext/>
              <w:rPr>
                <w:rFonts w:ascii="Arial Narrow" w:hAnsi="Arial Narrow"/>
                <w:b/>
                <w:bCs/>
                <w:sz w:val="20"/>
                <w:szCs w:val="20"/>
              </w:rPr>
            </w:pPr>
            <w:r w:rsidRPr="00F43D20">
              <w:rPr>
                <w:rFonts w:ascii="Arial Narrow" w:hAnsi="Arial Narrow"/>
                <w:b/>
                <w:bCs/>
                <w:sz w:val="20"/>
                <w:szCs w:val="20"/>
              </w:rPr>
              <w:t>MEDICINAL PRODUCT</w:t>
            </w:r>
          </w:p>
          <w:p w14:paraId="2AF7D6C1" w14:textId="77777777" w:rsidR="00352109" w:rsidRPr="00F43D20" w:rsidRDefault="00352109" w:rsidP="00750703">
            <w:pPr>
              <w:keepNext/>
              <w:rPr>
                <w:rFonts w:ascii="Arial Narrow" w:hAnsi="Arial Narrow"/>
                <w:b/>
                <w:sz w:val="20"/>
                <w:szCs w:val="20"/>
              </w:rPr>
            </w:pPr>
            <w:r w:rsidRPr="00F43D20">
              <w:rPr>
                <w:rFonts w:ascii="Arial Narrow" w:hAnsi="Arial Narrow"/>
                <w:b/>
                <w:sz w:val="20"/>
                <w:szCs w:val="20"/>
              </w:rPr>
              <w:t>Form</w:t>
            </w:r>
          </w:p>
        </w:tc>
        <w:tc>
          <w:tcPr>
            <w:tcW w:w="1973" w:type="dxa"/>
            <w:vAlign w:val="center"/>
          </w:tcPr>
          <w:p w14:paraId="00F66B74" w14:textId="77777777" w:rsidR="00352109" w:rsidRPr="00F43D20" w:rsidRDefault="00352109" w:rsidP="00750703">
            <w:pPr>
              <w:keepNext/>
              <w:jc w:val="center"/>
              <w:rPr>
                <w:rFonts w:ascii="Arial Narrow" w:hAnsi="Arial Narrow"/>
                <w:b/>
                <w:sz w:val="20"/>
                <w:szCs w:val="20"/>
              </w:rPr>
            </w:pPr>
            <w:r w:rsidRPr="00F43D20">
              <w:rPr>
                <w:rFonts w:ascii="Arial Narrow" w:hAnsi="Arial Narrow"/>
                <w:b/>
                <w:sz w:val="20"/>
                <w:szCs w:val="20"/>
              </w:rPr>
              <w:t>PBS item code</w:t>
            </w:r>
          </w:p>
        </w:tc>
        <w:tc>
          <w:tcPr>
            <w:tcW w:w="1973" w:type="dxa"/>
            <w:vAlign w:val="center"/>
          </w:tcPr>
          <w:p w14:paraId="0885039B" w14:textId="77777777" w:rsidR="00352109" w:rsidRPr="00F43D20" w:rsidRDefault="00352109" w:rsidP="00750703">
            <w:pPr>
              <w:keepNext/>
              <w:jc w:val="center"/>
              <w:rPr>
                <w:rFonts w:ascii="Arial Narrow" w:hAnsi="Arial Narrow"/>
                <w:b/>
                <w:sz w:val="20"/>
                <w:szCs w:val="20"/>
              </w:rPr>
            </w:pPr>
            <w:r w:rsidRPr="00F43D20">
              <w:rPr>
                <w:rFonts w:ascii="Arial Narrow" w:hAnsi="Arial Narrow"/>
                <w:b/>
                <w:sz w:val="20"/>
                <w:szCs w:val="20"/>
              </w:rPr>
              <w:t>Max. Amount</w:t>
            </w:r>
          </w:p>
        </w:tc>
        <w:tc>
          <w:tcPr>
            <w:tcW w:w="1976" w:type="dxa"/>
            <w:vAlign w:val="center"/>
          </w:tcPr>
          <w:p w14:paraId="71E80934" w14:textId="77777777" w:rsidR="00352109" w:rsidRPr="00F43D20" w:rsidRDefault="00352109" w:rsidP="00750703">
            <w:pPr>
              <w:keepNext/>
              <w:jc w:val="center"/>
              <w:rPr>
                <w:rFonts w:ascii="Arial Narrow" w:hAnsi="Arial Narrow"/>
                <w:b/>
                <w:sz w:val="20"/>
                <w:szCs w:val="20"/>
              </w:rPr>
            </w:pPr>
            <w:r w:rsidRPr="00F43D20">
              <w:rPr>
                <w:rFonts w:ascii="Arial Narrow" w:hAnsi="Arial Narrow"/>
                <w:b/>
                <w:sz w:val="20"/>
                <w:szCs w:val="20"/>
              </w:rPr>
              <w:t>№.of Rpts</w:t>
            </w:r>
          </w:p>
        </w:tc>
      </w:tr>
      <w:tr w:rsidR="00352109" w:rsidRPr="00F43D20" w14:paraId="710736FF" w14:textId="77777777" w:rsidTr="00F850C3">
        <w:trPr>
          <w:cantSplit/>
          <w:trHeight w:val="20"/>
        </w:trPr>
        <w:tc>
          <w:tcPr>
            <w:tcW w:w="3094" w:type="dxa"/>
            <w:gridSpan w:val="3"/>
            <w:vAlign w:val="center"/>
          </w:tcPr>
          <w:p w14:paraId="7B73577F" w14:textId="77777777" w:rsidR="00352109" w:rsidRPr="00F43D20" w:rsidRDefault="00352109" w:rsidP="00750703">
            <w:pPr>
              <w:keepNext/>
              <w:rPr>
                <w:rFonts w:ascii="Arial Narrow" w:hAnsi="Arial Narrow"/>
                <w:sz w:val="20"/>
                <w:szCs w:val="20"/>
              </w:rPr>
            </w:pPr>
            <w:r w:rsidRPr="00F43D20">
              <w:rPr>
                <w:rFonts w:ascii="Arial Narrow" w:hAnsi="Arial Narrow"/>
                <w:sz w:val="20"/>
                <w:szCs w:val="20"/>
              </w:rPr>
              <w:t xml:space="preserve">ROMIDEPSIN </w:t>
            </w:r>
            <w:r w:rsidRPr="00F43D20">
              <w:rPr>
                <w:rFonts w:ascii="Arial Narrow" w:hAnsi="Arial Narrow"/>
                <w:sz w:val="20"/>
                <w:szCs w:val="20"/>
              </w:rPr>
              <w:br/>
              <w:t>Injection</w:t>
            </w:r>
          </w:p>
        </w:tc>
        <w:tc>
          <w:tcPr>
            <w:tcW w:w="1973" w:type="dxa"/>
            <w:vAlign w:val="center"/>
          </w:tcPr>
          <w:p w14:paraId="12F0A597" w14:textId="77777777" w:rsidR="00352109" w:rsidRPr="00F43D20" w:rsidRDefault="00352109" w:rsidP="00750703">
            <w:pPr>
              <w:keepNext/>
              <w:rPr>
                <w:rFonts w:ascii="Arial Narrow" w:hAnsi="Arial Narrow"/>
                <w:sz w:val="20"/>
                <w:szCs w:val="20"/>
              </w:rPr>
            </w:pPr>
            <w:r w:rsidRPr="00F43D20">
              <w:rPr>
                <w:rFonts w:ascii="Arial Narrow" w:hAnsi="Arial Narrow"/>
                <w:sz w:val="20"/>
                <w:szCs w:val="20"/>
              </w:rPr>
              <w:t xml:space="preserve">NEW (Public) </w:t>
            </w:r>
          </w:p>
          <w:p w14:paraId="350D4E79" w14:textId="77777777" w:rsidR="00352109" w:rsidRPr="00F43D20" w:rsidRDefault="00352109" w:rsidP="00750703">
            <w:pPr>
              <w:keepNext/>
              <w:rPr>
                <w:rFonts w:ascii="Arial Narrow" w:hAnsi="Arial Narrow"/>
                <w:sz w:val="20"/>
                <w:szCs w:val="20"/>
              </w:rPr>
            </w:pPr>
            <w:r w:rsidRPr="00F43D20">
              <w:rPr>
                <w:rFonts w:ascii="Arial Narrow" w:hAnsi="Arial Narrow"/>
                <w:sz w:val="20"/>
                <w:szCs w:val="20"/>
              </w:rPr>
              <w:t>NEW (Private)</w:t>
            </w:r>
          </w:p>
        </w:tc>
        <w:tc>
          <w:tcPr>
            <w:tcW w:w="1973" w:type="dxa"/>
            <w:vAlign w:val="center"/>
          </w:tcPr>
          <w:p w14:paraId="5A884FC6" w14:textId="77777777" w:rsidR="00352109" w:rsidRPr="00F43D20" w:rsidRDefault="00352109" w:rsidP="00750703">
            <w:pPr>
              <w:keepNext/>
              <w:jc w:val="center"/>
              <w:rPr>
                <w:rFonts w:ascii="Arial Narrow" w:hAnsi="Arial Narrow"/>
                <w:sz w:val="20"/>
                <w:szCs w:val="20"/>
              </w:rPr>
            </w:pPr>
            <w:r w:rsidRPr="00F43D20">
              <w:rPr>
                <w:rFonts w:ascii="Arial Narrow" w:hAnsi="Arial Narrow"/>
                <w:sz w:val="20"/>
                <w:szCs w:val="20"/>
              </w:rPr>
              <w:t xml:space="preserve">40 mg </w:t>
            </w:r>
          </w:p>
        </w:tc>
        <w:tc>
          <w:tcPr>
            <w:tcW w:w="1976" w:type="dxa"/>
            <w:vAlign w:val="center"/>
          </w:tcPr>
          <w:p w14:paraId="3A693446" w14:textId="77777777" w:rsidR="00352109" w:rsidRPr="00F43D20" w:rsidRDefault="00352109" w:rsidP="00750703">
            <w:pPr>
              <w:keepNext/>
              <w:jc w:val="center"/>
              <w:rPr>
                <w:rFonts w:ascii="Arial Narrow" w:hAnsi="Arial Narrow"/>
                <w:sz w:val="20"/>
                <w:szCs w:val="20"/>
              </w:rPr>
            </w:pPr>
            <w:r w:rsidRPr="00F43D20">
              <w:rPr>
                <w:rFonts w:ascii="Arial Narrow" w:hAnsi="Arial Narrow"/>
                <w:sz w:val="20"/>
                <w:szCs w:val="20"/>
              </w:rPr>
              <w:t>5</w:t>
            </w:r>
          </w:p>
        </w:tc>
      </w:tr>
      <w:tr w:rsidR="00352109" w:rsidRPr="00F43D20" w14:paraId="6F11735B" w14:textId="77777777" w:rsidTr="00F850C3">
        <w:trPr>
          <w:cantSplit/>
          <w:trHeight w:val="20"/>
        </w:trPr>
        <w:tc>
          <w:tcPr>
            <w:tcW w:w="9016" w:type="dxa"/>
            <w:gridSpan w:val="6"/>
            <w:vAlign w:val="center"/>
          </w:tcPr>
          <w:p w14:paraId="3CD5BF1C" w14:textId="77777777" w:rsidR="00352109" w:rsidRPr="00F43D20" w:rsidRDefault="00352109" w:rsidP="00750703">
            <w:pPr>
              <w:keepNext/>
              <w:rPr>
                <w:rFonts w:ascii="Arial Narrow" w:hAnsi="Arial Narrow"/>
                <w:b/>
                <w:sz w:val="20"/>
                <w:szCs w:val="20"/>
              </w:rPr>
            </w:pPr>
            <w:r w:rsidRPr="00F43D20">
              <w:rPr>
                <w:rFonts w:ascii="Arial Narrow" w:hAnsi="Arial Narrow"/>
                <w:b/>
                <w:sz w:val="20"/>
                <w:szCs w:val="20"/>
              </w:rPr>
              <w:t xml:space="preserve">Available brands </w:t>
            </w:r>
          </w:p>
        </w:tc>
      </w:tr>
      <w:tr w:rsidR="00352109" w:rsidRPr="00F43D20" w14:paraId="0301EA6C" w14:textId="77777777" w:rsidTr="00F850C3">
        <w:trPr>
          <w:cantSplit/>
          <w:trHeight w:val="20"/>
        </w:trPr>
        <w:tc>
          <w:tcPr>
            <w:tcW w:w="9016" w:type="dxa"/>
            <w:gridSpan w:val="6"/>
            <w:vAlign w:val="center"/>
          </w:tcPr>
          <w:p w14:paraId="47AAEAE3" w14:textId="5EA3C768" w:rsidR="00352109" w:rsidRPr="00F43D20" w:rsidRDefault="00352109" w:rsidP="00750703">
            <w:pPr>
              <w:keepNext/>
              <w:jc w:val="left"/>
              <w:rPr>
                <w:rFonts w:ascii="Arial Narrow" w:hAnsi="Arial Narrow"/>
                <w:sz w:val="20"/>
                <w:szCs w:val="20"/>
              </w:rPr>
            </w:pPr>
            <w:r w:rsidRPr="00F43D20">
              <w:rPr>
                <w:rFonts w:ascii="Arial Narrow" w:hAnsi="Arial Narrow"/>
                <w:sz w:val="20"/>
                <w:szCs w:val="20"/>
              </w:rPr>
              <w:t>Romidepsin (Reach)</w:t>
            </w:r>
            <w:r w:rsidRPr="00F43D20">
              <w:rPr>
                <w:rFonts w:ascii="Arial Narrow" w:hAnsi="Arial Narrow"/>
                <w:sz w:val="20"/>
                <w:szCs w:val="20"/>
              </w:rPr>
              <w:br/>
              <w:t>(romidepsin 10 mg injection [1 vial] (&amp;) inert substance diluent [2 mL vial], 1 pack)</w:t>
            </w:r>
          </w:p>
        </w:tc>
      </w:tr>
      <w:tr w:rsidR="00352109" w:rsidRPr="00F43D20" w14:paraId="1C3B175C" w14:textId="77777777" w:rsidTr="00F850C3">
        <w:trPr>
          <w:cantSplit/>
          <w:trHeight w:val="20"/>
        </w:trPr>
        <w:tc>
          <w:tcPr>
            <w:tcW w:w="9016" w:type="dxa"/>
            <w:gridSpan w:val="6"/>
            <w:vAlign w:val="center"/>
          </w:tcPr>
          <w:p w14:paraId="7B8AF08C" w14:textId="77777777" w:rsidR="00352109" w:rsidRPr="00F43D20" w:rsidRDefault="00352109" w:rsidP="00750703">
            <w:pPr>
              <w:rPr>
                <w:rFonts w:ascii="Arial Narrow" w:hAnsi="Arial Narrow"/>
                <w:sz w:val="20"/>
                <w:szCs w:val="20"/>
              </w:rPr>
            </w:pPr>
          </w:p>
        </w:tc>
      </w:tr>
      <w:tr w:rsidR="00352109" w:rsidRPr="00F43D20" w14:paraId="5922BB5C" w14:textId="77777777" w:rsidTr="00F850C3">
        <w:trPr>
          <w:cantSplit/>
          <w:trHeight w:val="20"/>
        </w:trPr>
        <w:tc>
          <w:tcPr>
            <w:tcW w:w="9016" w:type="dxa"/>
            <w:gridSpan w:val="6"/>
            <w:vAlign w:val="center"/>
          </w:tcPr>
          <w:p w14:paraId="21FBEF94" w14:textId="77777777" w:rsidR="00352109" w:rsidRPr="00F43D20" w:rsidRDefault="00352109" w:rsidP="00750703">
            <w:pPr>
              <w:keepNext/>
              <w:rPr>
                <w:rFonts w:ascii="Arial Narrow" w:hAnsi="Arial Narrow"/>
                <w:sz w:val="20"/>
                <w:szCs w:val="20"/>
              </w:rPr>
            </w:pPr>
            <w:r w:rsidRPr="00F43D20">
              <w:rPr>
                <w:rFonts w:ascii="Arial Narrow" w:hAnsi="Arial Narrow"/>
                <w:b/>
                <w:sz w:val="20"/>
                <w:szCs w:val="20"/>
              </w:rPr>
              <w:t>Restriction Summary [7525] / Treatment of Concept: [7558]</w:t>
            </w:r>
          </w:p>
        </w:tc>
      </w:tr>
      <w:tr w:rsidR="00352109" w:rsidRPr="00F43D20" w14:paraId="6116F412"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Merge w:val="restart"/>
          </w:tcPr>
          <w:p w14:paraId="247A93E9" w14:textId="77777777" w:rsidR="00352109" w:rsidRPr="00F43D20" w:rsidRDefault="00352109" w:rsidP="00750703">
            <w:pPr>
              <w:keepNext/>
              <w:jc w:val="center"/>
              <w:rPr>
                <w:rFonts w:ascii="Arial Narrow" w:hAnsi="Arial Narrow"/>
                <w:b/>
                <w:sz w:val="20"/>
                <w:szCs w:val="20"/>
              </w:rPr>
            </w:pPr>
            <w:r w:rsidRPr="00F43D20">
              <w:rPr>
                <w:rFonts w:ascii="Arial Narrow" w:hAnsi="Arial Narrow"/>
                <w:b/>
                <w:sz w:val="20"/>
                <w:szCs w:val="20"/>
              </w:rPr>
              <w:t xml:space="preserve">Concept ID </w:t>
            </w:r>
            <w:r w:rsidRPr="00F43D20">
              <w:rPr>
                <w:rFonts w:ascii="Arial Narrow" w:hAnsi="Arial Narrow"/>
                <w:sz w:val="20"/>
                <w:szCs w:val="20"/>
              </w:rPr>
              <w:t>(for internal Dept. use)</w:t>
            </w:r>
          </w:p>
        </w:tc>
        <w:tc>
          <w:tcPr>
            <w:tcW w:w="7603" w:type="dxa"/>
            <w:gridSpan w:val="4"/>
          </w:tcPr>
          <w:p w14:paraId="0D89232B" w14:textId="77777777" w:rsidR="00352109" w:rsidRPr="00F43D20" w:rsidRDefault="00352109" w:rsidP="00750703">
            <w:pPr>
              <w:keepNext/>
              <w:rPr>
                <w:rFonts w:ascii="Arial Narrow" w:hAnsi="Arial Narrow"/>
                <w:sz w:val="20"/>
                <w:szCs w:val="20"/>
              </w:rPr>
            </w:pPr>
            <w:r w:rsidRPr="00F43D20">
              <w:rPr>
                <w:rFonts w:ascii="Arial Narrow" w:hAnsi="Arial Narrow"/>
                <w:b/>
                <w:sz w:val="20"/>
                <w:szCs w:val="20"/>
              </w:rPr>
              <w:t xml:space="preserve">Category / Program: </w:t>
            </w:r>
            <w:r w:rsidRPr="00F43D20">
              <w:rPr>
                <w:rFonts w:ascii="Arial Narrow" w:hAnsi="Arial Narrow"/>
                <w:sz w:val="20"/>
                <w:szCs w:val="20"/>
              </w:rPr>
              <w:t>Section 100 – Efficient Funding of Chemotherapy Public/Private hospitals</w:t>
            </w:r>
          </w:p>
        </w:tc>
      </w:tr>
      <w:tr w:rsidR="00352109" w:rsidRPr="00F43D20" w14:paraId="4B9250F9"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Merge/>
          </w:tcPr>
          <w:p w14:paraId="489E535F" w14:textId="77777777" w:rsidR="00352109" w:rsidRPr="00F43D20" w:rsidRDefault="00352109" w:rsidP="00750703">
            <w:pPr>
              <w:keepNext/>
              <w:rPr>
                <w:rFonts w:ascii="Arial Narrow" w:hAnsi="Arial Narrow"/>
                <w:sz w:val="20"/>
                <w:szCs w:val="20"/>
              </w:rPr>
            </w:pPr>
          </w:p>
        </w:tc>
        <w:tc>
          <w:tcPr>
            <w:tcW w:w="7603" w:type="dxa"/>
            <w:gridSpan w:val="4"/>
          </w:tcPr>
          <w:p w14:paraId="7CF12E83" w14:textId="77777777" w:rsidR="00352109" w:rsidRPr="00F43D20" w:rsidRDefault="00352109" w:rsidP="00750703">
            <w:pPr>
              <w:keepNext/>
              <w:rPr>
                <w:rFonts w:ascii="Arial Narrow" w:hAnsi="Arial Narrow"/>
                <w:b/>
                <w:sz w:val="20"/>
                <w:szCs w:val="20"/>
              </w:rPr>
            </w:pPr>
            <w:r w:rsidRPr="00F43D20">
              <w:rPr>
                <w:rFonts w:ascii="Arial Narrow" w:hAnsi="Arial Narrow"/>
                <w:b/>
                <w:sz w:val="20"/>
                <w:szCs w:val="20"/>
              </w:rPr>
              <w:t xml:space="preserve">Prescriber type: </w:t>
            </w:r>
            <w:r w:rsidRPr="00F43D20">
              <w:rPr>
                <w:rFonts w:ascii="Arial Narrow" w:hAnsi="Arial Narrow"/>
                <w:sz w:val="20"/>
                <w:szCs w:val="20"/>
              </w:rPr>
              <w:fldChar w:fldCharType="begin">
                <w:ffData>
                  <w:name w:val=""/>
                  <w:enabled/>
                  <w:calcOnExit w:val="0"/>
                  <w:checkBox>
                    <w:sizeAuto/>
                    <w:default w:val="1"/>
                  </w:checkBox>
                </w:ffData>
              </w:fldChar>
            </w:r>
            <w:r w:rsidRPr="00F43D20">
              <w:rPr>
                <w:rFonts w:ascii="Arial Narrow" w:hAnsi="Arial Narrow"/>
                <w:sz w:val="20"/>
                <w:szCs w:val="20"/>
              </w:rPr>
              <w:instrText xml:space="preserve"> FORMCHECKBOX </w:instrText>
            </w:r>
            <w:r w:rsidRPr="00F43D20">
              <w:rPr>
                <w:rFonts w:ascii="Arial Narrow" w:hAnsi="Arial Narrow"/>
                <w:sz w:val="20"/>
                <w:szCs w:val="20"/>
              </w:rPr>
            </w:r>
            <w:r w:rsidRPr="00F43D20">
              <w:rPr>
                <w:rFonts w:ascii="Arial Narrow" w:hAnsi="Arial Narrow"/>
                <w:sz w:val="20"/>
                <w:szCs w:val="20"/>
              </w:rPr>
              <w:fldChar w:fldCharType="separate"/>
            </w:r>
            <w:r w:rsidRPr="00F43D20">
              <w:rPr>
                <w:rFonts w:ascii="Arial Narrow" w:hAnsi="Arial Narrow"/>
                <w:sz w:val="20"/>
                <w:szCs w:val="20"/>
              </w:rPr>
              <w:fldChar w:fldCharType="end"/>
            </w:r>
            <w:r w:rsidRPr="00F43D20">
              <w:rPr>
                <w:rFonts w:ascii="Arial Narrow" w:hAnsi="Arial Narrow"/>
                <w:sz w:val="20"/>
                <w:szCs w:val="20"/>
              </w:rPr>
              <w:t>Medical Practitioners</w:t>
            </w:r>
          </w:p>
        </w:tc>
      </w:tr>
      <w:tr w:rsidR="00352109" w:rsidRPr="00F43D20" w14:paraId="58D0081D"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Merge/>
          </w:tcPr>
          <w:p w14:paraId="47394430" w14:textId="77777777" w:rsidR="00352109" w:rsidRPr="00F43D20" w:rsidRDefault="00352109" w:rsidP="00750703">
            <w:pPr>
              <w:rPr>
                <w:rFonts w:ascii="Arial Narrow" w:hAnsi="Arial Narrow"/>
                <w:sz w:val="20"/>
                <w:szCs w:val="20"/>
              </w:rPr>
            </w:pPr>
          </w:p>
        </w:tc>
        <w:tc>
          <w:tcPr>
            <w:tcW w:w="7603" w:type="dxa"/>
            <w:gridSpan w:val="4"/>
          </w:tcPr>
          <w:p w14:paraId="7AF9B635" w14:textId="77777777" w:rsidR="00352109" w:rsidRPr="00F43D20" w:rsidRDefault="00352109" w:rsidP="00750703">
            <w:pPr>
              <w:rPr>
                <w:rFonts w:ascii="Arial Narrow" w:eastAsia="Calibri" w:hAnsi="Arial Narrow"/>
                <w:sz w:val="20"/>
                <w:szCs w:val="20"/>
              </w:rPr>
            </w:pPr>
            <w:r w:rsidRPr="00F43D20">
              <w:rPr>
                <w:rFonts w:ascii="Arial Narrow" w:hAnsi="Arial Narrow"/>
                <w:b/>
                <w:sz w:val="20"/>
                <w:szCs w:val="20"/>
              </w:rPr>
              <w:t xml:space="preserve">Restriction type: </w:t>
            </w:r>
            <w:r w:rsidRPr="00F43D20">
              <w:rPr>
                <w:rFonts w:ascii="Arial Narrow" w:eastAsia="Calibri" w:hAnsi="Arial Narrow"/>
                <w:sz w:val="20"/>
                <w:szCs w:val="20"/>
              </w:rPr>
              <w:fldChar w:fldCharType="begin">
                <w:ffData>
                  <w:name w:val="Check3"/>
                  <w:enabled/>
                  <w:calcOnExit w:val="0"/>
                  <w:checkBox>
                    <w:sizeAuto/>
                    <w:default w:val="1"/>
                  </w:checkBox>
                </w:ffData>
              </w:fldChar>
            </w:r>
            <w:r w:rsidRPr="00F43D20">
              <w:rPr>
                <w:rFonts w:ascii="Arial Narrow" w:eastAsia="Calibri" w:hAnsi="Arial Narrow"/>
                <w:sz w:val="20"/>
                <w:szCs w:val="20"/>
              </w:rPr>
              <w:instrText xml:space="preserve"> FORMCHECKBOX </w:instrText>
            </w:r>
            <w:r w:rsidRPr="00F43D20">
              <w:rPr>
                <w:rFonts w:ascii="Arial Narrow" w:eastAsia="Calibri" w:hAnsi="Arial Narrow"/>
                <w:sz w:val="20"/>
                <w:szCs w:val="20"/>
              </w:rPr>
            </w:r>
            <w:r w:rsidRPr="00F43D20">
              <w:rPr>
                <w:rFonts w:ascii="Arial Narrow" w:eastAsia="Calibri" w:hAnsi="Arial Narrow"/>
                <w:sz w:val="20"/>
                <w:szCs w:val="20"/>
              </w:rPr>
              <w:fldChar w:fldCharType="separate"/>
            </w:r>
            <w:r w:rsidRPr="00F43D20">
              <w:rPr>
                <w:rFonts w:ascii="Arial Narrow" w:eastAsia="Calibri" w:hAnsi="Arial Narrow"/>
                <w:sz w:val="20"/>
                <w:szCs w:val="20"/>
              </w:rPr>
              <w:fldChar w:fldCharType="end"/>
            </w:r>
            <w:r w:rsidRPr="00F43D20">
              <w:rPr>
                <w:rFonts w:ascii="Arial Narrow" w:eastAsia="Calibri" w:hAnsi="Arial Narrow"/>
                <w:sz w:val="20"/>
                <w:szCs w:val="20"/>
              </w:rPr>
              <w:t xml:space="preserve">Authority Required (telephone/online PBS Authorities system) </w:t>
            </w:r>
          </w:p>
        </w:tc>
      </w:tr>
      <w:tr w:rsidR="00352109" w:rsidRPr="00F43D20" w14:paraId="7342DE41" w14:textId="77777777" w:rsidTr="0070635B">
        <w:tblPrEx>
          <w:tblCellMar>
            <w:top w:w="15" w:type="dxa"/>
            <w:bottom w:w="15" w:type="dxa"/>
          </w:tblCellMar>
          <w:tblLook w:val="04A0" w:firstRow="1" w:lastRow="0" w:firstColumn="1" w:lastColumn="0" w:noHBand="0" w:noVBand="1"/>
        </w:tblPrEx>
        <w:trPr>
          <w:trHeight w:val="20"/>
        </w:trPr>
        <w:tc>
          <w:tcPr>
            <w:tcW w:w="704" w:type="dxa"/>
            <w:vMerge w:val="restart"/>
            <w:textDirection w:val="btLr"/>
            <w:vAlign w:val="center"/>
          </w:tcPr>
          <w:p w14:paraId="3FD419ED" w14:textId="77777777" w:rsidR="00352109" w:rsidRPr="00F43D20" w:rsidRDefault="00352109" w:rsidP="00750703">
            <w:pPr>
              <w:keepLines/>
              <w:ind w:right="113"/>
              <w:jc w:val="center"/>
              <w:rPr>
                <w:rFonts w:ascii="Arial Narrow" w:hAnsi="Arial Narrow"/>
                <w:sz w:val="20"/>
                <w:szCs w:val="20"/>
              </w:rPr>
            </w:pPr>
            <w:r w:rsidRPr="00F43D20">
              <w:rPr>
                <w:rFonts w:ascii="Arial Narrow" w:hAnsi="Arial Narrow"/>
                <w:sz w:val="20"/>
                <w:szCs w:val="20"/>
              </w:rPr>
              <w:t>Prescribing rule level</w:t>
            </w:r>
          </w:p>
        </w:tc>
        <w:tc>
          <w:tcPr>
            <w:tcW w:w="709" w:type="dxa"/>
            <w:vAlign w:val="center"/>
          </w:tcPr>
          <w:p w14:paraId="46F36753" w14:textId="7345B607" w:rsidR="00352109" w:rsidRPr="00F43D20" w:rsidRDefault="00352109" w:rsidP="00750703">
            <w:pPr>
              <w:keepLines/>
              <w:ind w:hanging="35"/>
              <w:jc w:val="center"/>
              <w:rPr>
                <w:rFonts w:ascii="Arial Narrow" w:hAnsi="Arial Narrow"/>
                <w:sz w:val="20"/>
                <w:szCs w:val="20"/>
              </w:rPr>
            </w:pPr>
          </w:p>
        </w:tc>
        <w:tc>
          <w:tcPr>
            <w:tcW w:w="7603" w:type="dxa"/>
            <w:gridSpan w:val="4"/>
            <w:vAlign w:val="center"/>
          </w:tcPr>
          <w:p w14:paraId="02CFA6E9" w14:textId="77777777" w:rsidR="00352109" w:rsidRPr="00F43D20" w:rsidRDefault="00352109" w:rsidP="00750703">
            <w:pPr>
              <w:keepLines/>
              <w:rPr>
                <w:rFonts w:ascii="Arial Narrow" w:hAnsi="Arial Narrow"/>
                <w:sz w:val="20"/>
                <w:szCs w:val="20"/>
              </w:rPr>
            </w:pPr>
            <w:r w:rsidRPr="00F43D20">
              <w:rPr>
                <w:rFonts w:ascii="Arial Narrow" w:hAnsi="Arial Narrow"/>
                <w:b/>
                <w:bCs/>
                <w:sz w:val="20"/>
                <w:szCs w:val="20"/>
              </w:rPr>
              <w:t xml:space="preserve">Administrative Advice: </w:t>
            </w:r>
            <w:r w:rsidRPr="00F43D20">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9C471F" w:rsidRPr="00F43D20" w14:paraId="2830BA4E" w14:textId="77777777" w:rsidTr="0070635B">
        <w:tblPrEx>
          <w:tblCellMar>
            <w:top w:w="15" w:type="dxa"/>
            <w:bottom w:w="15" w:type="dxa"/>
          </w:tblCellMar>
        </w:tblPrEx>
        <w:trPr>
          <w:trHeight w:val="20"/>
        </w:trPr>
        <w:tc>
          <w:tcPr>
            <w:tcW w:w="704" w:type="dxa"/>
            <w:vMerge/>
            <w:textDirection w:val="btLr"/>
            <w:vAlign w:val="center"/>
          </w:tcPr>
          <w:p w14:paraId="3B0FD126" w14:textId="77777777" w:rsidR="009C471F" w:rsidRPr="00F43D20" w:rsidRDefault="009C471F" w:rsidP="00750703">
            <w:pPr>
              <w:keepLines/>
              <w:ind w:right="113"/>
              <w:jc w:val="center"/>
              <w:rPr>
                <w:rFonts w:ascii="Arial Narrow" w:hAnsi="Arial Narrow"/>
                <w:sz w:val="20"/>
                <w:szCs w:val="20"/>
              </w:rPr>
            </w:pPr>
          </w:p>
        </w:tc>
        <w:tc>
          <w:tcPr>
            <w:tcW w:w="709" w:type="dxa"/>
          </w:tcPr>
          <w:p w14:paraId="68D781A2" w14:textId="54651910" w:rsidR="009C471F" w:rsidRPr="009C471F" w:rsidRDefault="009C471F" w:rsidP="00750703">
            <w:pPr>
              <w:keepLines/>
              <w:ind w:hanging="35"/>
              <w:jc w:val="center"/>
              <w:rPr>
                <w:rFonts w:ascii="Arial Narrow" w:hAnsi="Arial Narrow"/>
                <w:sz w:val="20"/>
                <w:szCs w:val="20"/>
              </w:rPr>
            </w:pPr>
          </w:p>
        </w:tc>
        <w:tc>
          <w:tcPr>
            <w:tcW w:w="7603" w:type="dxa"/>
            <w:gridSpan w:val="4"/>
          </w:tcPr>
          <w:p w14:paraId="2E951418" w14:textId="75845E2A" w:rsidR="009C471F" w:rsidRPr="009C471F" w:rsidRDefault="009C471F" w:rsidP="00750703">
            <w:pPr>
              <w:keepLines/>
              <w:rPr>
                <w:rFonts w:ascii="Arial Narrow" w:hAnsi="Arial Narrow"/>
                <w:b/>
                <w:bCs/>
                <w:sz w:val="20"/>
                <w:szCs w:val="20"/>
              </w:rPr>
            </w:pPr>
            <w:r w:rsidRPr="009C471F">
              <w:rPr>
                <w:rFonts w:ascii="Arial Narrow" w:hAnsi="Arial Narrow"/>
                <w:sz w:val="20"/>
                <w:szCs w:val="20"/>
              </w:rPr>
              <w:t>Administrative Advice: No increase in the maximum amount or number of units may be authorised</w:t>
            </w:r>
          </w:p>
        </w:tc>
      </w:tr>
      <w:tr w:rsidR="00352109" w:rsidRPr="00F43D20" w14:paraId="168CE62E" w14:textId="77777777" w:rsidTr="0070635B">
        <w:tblPrEx>
          <w:tblCellMar>
            <w:top w:w="15" w:type="dxa"/>
            <w:bottom w:w="15" w:type="dxa"/>
          </w:tblCellMar>
          <w:tblLook w:val="04A0" w:firstRow="1" w:lastRow="0" w:firstColumn="1" w:lastColumn="0" w:noHBand="0" w:noVBand="1"/>
        </w:tblPrEx>
        <w:trPr>
          <w:trHeight w:val="20"/>
        </w:trPr>
        <w:tc>
          <w:tcPr>
            <w:tcW w:w="704" w:type="dxa"/>
            <w:vMerge/>
            <w:vAlign w:val="center"/>
          </w:tcPr>
          <w:p w14:paraId="67556ADC" w14:textId="77777777" w:rsidR="00352109" w:rsidRPr="00F43D20" w:rsidRDefault="00352109" w:rsidP="00750703">
            <w:pPr>
              <w:keepLines/>
              <w:jc w:val="center"/>
              <w:rPr>
                <w:rFonts w:ascii="Arial Narrow" w:hAnsi="Arial Narrow"/>
                <w:sz w:val="20"/>
                <w:szCs w:val="20"/>
              </w:rPr>
            </w:pPr>
          </w:p>
        </w:tc>
        <w:tc>
          <w:tcPr>
            <w:tcW w:w="709" w:type="dxa"/>
            <w:vAlign w:val="center"/>
          </w:tcPr>
          <w:p w14:paraId="52F16571" w14:textId="457F51A8" w:rsidR="00352109" w:rsidRPr="00F43D20" w:rsidRDefault="00352109" w:rsidP="00750703">
            <w:pPr>
              <w:keepLines/>
              <w:ind w:hanging="35"/>
              <w:jc w:val="center"/>
              <w:rPr>
                <w:rFonts w:ascii="Arial Narrow" w:hAnsi="Arial Narrow"/>
                <w:sz w:val="20"/>
                <w:szCs w:val="20"/>
              </w:rPr>
            </w:pPr>
          </w:p>
        </w:tc>
        <w:tc>
          <w:tcPr>
            <w:tcW w:w="7603" w:type="dxa"/>
            <w:gridSpan w:val="4"/>
            <w:vAlign w:val="center"/>
          </w:tcPr>
          <w:p w14:paraId="11CD92FE" w14:textId="77777777" w:rsidR="00352109" w:rsidRPr="00F43D20" w:rsidRDefault="00352109" w:rsidP="00750703">
            <w:pPr>
              <w:keepLines/>
              <w:rPr>
                <w:rFonts w:ascii="Arial Narrow" w:hAnsi="Arial Narrow"/>
                <w:b/>
                <w:bCs/>
                <w:sz w:val="20"/>
                <w:szCs w:val="20"/>
              </w:rPr>
            </w:pPr>
            <w:r w:rsidRPr="00F43D20">
              <w:rPr>
                <w:rFonts w:ascii="Arial Narrow" w:hAnsi="Arial Narrow"/>
                <w:b/>
                <w:bCs/>
                <w:sz w:val="20"/>
                <w:szCs w:val="20"/>
              </w:rPr>
              <w:t>Administrative Advice:</w:t>
            </w:r>
            <w:r w:rsidRPr="00F43D20">
              <w:rPr>
                <w:rFonts w:ascii="Open Sans" w:hAnsi="Open Sans" w:cs="Open Sans"/>
                <w:sz w:val="22"/>
                <w:szCs w:val="22"/>
                <w:shd w:val="clear" w:color="auto" w:fill="FFFFFF"/>
              </w:rPr>
              <w:t xml:space="preserve"> </w:t>
            </w:r>
            <w:r w:rsidRPr="00F43D20">
              <w:rPr>
                <w:rFonts w:ascii="Arial Narrow" w:hAnsi="Arial Narrow"/>
                <w:sz w:val="20"/>
                <w:szCs w:val="20"/>
              </w:rPr>
              <w:t>No increase in the maximum number of repeats may be authorised</w:t>
            </w:r>
          </w:p>
        </w:tc>
      </w:tr>
      <w:tr w:rsidR="00352109" w:rsidRPr="00F43D20" w14:paraId="6479BC83" w14:textId="77777777" w:rsidTr="00C278EE">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1C6096CB" w14:textId="406C6183" w:rsidR="00352109" w:rsidRPr="00F43D20" w:rsidRDefault="00352109" w:rsidP="00750703">
            <w:pPr>
              <w:keepLines/>
              <w:jc w:val="center"/>
              <w:rPr>
                <w:rFonts w:ascii="Arial Narrow" w:hAnsi="Arial Narrow"/>
                <w:sz w:val="20"/>
                <w:szCs w:val="20"/>
              </w:rPr>
            </w:pPr>
          </w:p>
        </w:tc>
        <w:tc>
          <w:tcPr>
            <w:tcW w:w="7603" w:type="dxa"/>
            <w:gridSpan w:val="4"/>
            <w:vAlign w:val="center"/>
            <w:hideMark/>
          </w:tcPr>
          <w:p w14:paraId="4085B4E6" w14:textId="584EDBE7" w:rsidR="00352109" w:rsidRPr="00F43D20" w:rsidRDefault="00352109" w:rsidP="00750703">
            <w:pPr>
              <w:keepLines/>
              <w:rPr>
                <w:rFonts w:ascii="Arial Narrow" w:hAnsi="Arial Narrow"/>
                <w:sz w:val="20"/>
                <w:szCs w:val="20"/>
              </w:rPr>
            </w:pPr>
            <w:r w:rsidRPr="00F43D20">
              <w:rPr>
                <w:rFonts w:ascii="Arial Narrow" w:hAnsi="Arial Narrow"/>
                <w:b/>
                <w:bCs/>
                <w:sz w:val="20"/>
                <w:szCs w:val="20"/>
              </w:rPr>
              <w:t>Indication:</w:t>
            </w:r>
            <w:r w:rsidRPr="00F43D20">
              <w:rPr>
                <w:rFonts w:ascii="Arial Narrow" w:hAnsi="Arial Narrow"/>
                <w:sz w:val="20"/>
                <w:szCs w:val="20"/>
              </w:rPr>
              <w:t xml:space="preserve"> </w:t>
            </w:r>
            <w:r w:rsidRPr="00F43D20">
              <w:rPr>
                <w:rFonts w:ascii="Arial Narrow" w:hAnsi="Arial Narrow"/>
                <w:bCs/>
                <w:sz w:val="20"/>
                <w:szCs w:val="20"/>
              </w:rPr>
              <w:t>Relapsed or chemotherapy refractory Peripheral T</w:t>
            </w:r>
            <w:r w:rsidR="00750703">
              <w:rPr>
                <w:rFonts w:ascii="Arial Narrow" w:hAnsi="Arial Narrow"/>
                <w:bCs/>
                <w:sz w:val="20"/>
                <w:szCs w:val="20"/>
              </w:rPr>
              <w:noBreakHyphen/>
            </w:r>
            <w:r w:rsidRPr="00F43D20">
              <w:rPr>
                <w:rFonts w:ascii="Arial Narrow" w:hAnsi="Arial Narrow"/>
                <w:bCs/>
                <w:sz w:val="20"/>
                <w:szCs w:val="20"/>
              </w:rPr>
              <w:t>cell lymphoma</w:t>
            </w:r>
          </w:p>
        </w:tc>
      </w:tr>
      <w:tr w:rsidR="00352109" w:rsidRPr="00F43D20" w14:paraId="59D571D6"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2D41C914" w14:textId="77777777" w:rsidR="00352109" w:rsidRPr="00F43D20" w:rsidRDefault="00352109" w:rsidP="00750703">
            <w:pPr>
              <w:keepLines/>
              <w:jc w:val="center"/>
              <w:rPr>
                <w:rFonts w:ascii="Arial Narrow" w:hAnsi="Arial Narrow"/>
                <w:strike/>
                <w:sz w:val="20"/>
                <w:szCs w:val="20"/>
              </w:rPr>
            </w:pPr>
          </w:p>
        </w:tc>
        <w:tc>
          <w:tcPr>
            <w:tcW w:w="7603" w:type="dxa"/>
            <w:gridSpan w:val="4"/>
            <w:vAlign w:val="center"/>
          </w:tcPr>
          <w:p w14:paraId="4FCBD5C9" w14:textId="77777777" w:rsidR="00352109" w:rsidRPr="00F43D20" w:rsidRDefault="00352109" w:rsidP="00750703">
            <w:pPr>
              <w:keepLines/>
              <w:rPr>
                <w:rFonts w:ascii="Arial Narrow" w:hAnsi="Arial Narrow"/>
                <w:sz w:val="20"/>
                <w:szCs w:val="20"/>
              </w:rPr>
            </w:pPr>
            <w:r w:rsidRPr="00F43D20">
              <w:rPr>
                <w:rFonts w:ascii="Arial Narrow" w:hAnsi="Arial Narrow"/>
                <w:b/>
                <w:bCs/>
                <w:sz w:val="20"/>
                <w:szCs w:val="20"/>
              </w:rPr>
              <w:t xml:space="preserve">Treatment Phase: </w:t>
            </w:r>
            <w:r w:rsidRPr="00F43D20">
              <w:rPr>
                <w:rFonts w:ascii="Arial Narrow" w:hAnsi="Arial Narrow"/>
                <w:sz w:val="20"/>
                <w:szCs w:val="20"/>
              </w:rPr>
              <w:t>Initial treatment</w:t>
            </w:r>
          </w:p>
        </w:tc>
      </w:tr>
      <w:tr w:rsidR="00352109" w:rsidRPr="00F43D20" w14:paraId="45441DDB"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6C7CF535" w14:textId="18E5C35F" w:rsidR="00352109" w:rsidRPr="00F43D20" w:rsidRDefault="00352109" w:rsidP="00750703">
            <w:pPr>
              <w:jc w:val="center"/>
              <w:rPr>
                <w:rFonts w:ascii="Arial Narrow" w:hAnsi="Arial Narrow"/>
                <w:sz w:val="20"/>
                <w:szCs w:val="20"/>
              </w:rPr>
            </w:pPr>
          </w:p>
        </w:tc>
        <w:tc>
          <w:tcPr>
            <w:tcW w:w="7603" w:type="dxa"/>
            <w:gridSpan w:val="4"/>
            <w:vAlign w:val="center"/>
            <w:hideMark/>
          </w:tcPr>
          <w:p w14:paraId="10D7E3A0" w14:textId="77777777" w:rsidR="00352109" w:rsidRPr="00F43D20" w:rsidRDefault="00352109" w:rsidP="00750703">
            <w:pPr>
              <w:rPr>
                <w:rFonts w:ascii="Arial Narrow" w:hAnsi="Arial Narrow"/>
                <w:sz w:val="20"/>
                <w:szCs w:val="20"/>
              </w:rPr>
            </w:pPr>
            <w:r w:rsidRPr="00F43D20">
              <w:rPr>
                <w:rFonts w:ascii="Arial Narrow" w:hAnsi="Arial Narrow"/>
                <w:b/>
                <w:bCs/>
                <w:sz w:val="20"/>
                <w:szCs w:val="20"/>
              </w:rPr>
              <w:t xml:space="preserve">Clinical criteria: </w:t>
            </w:r>
          </w:p>
        </w:tc>
      </w:tr>
      <w:tr w:rsidR="00352109" w:rsidRPr="00F43D20" w14:paraId="13646F38"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613A4541" w14:textId="4184D2C0" w:rsidR="00352109" w:rsidRPr="00F43D20" w:rsidRDefault="00352109" w:rsidP="00750703">
            <w:pPr>
              <w:jc w:val="center"/>
              <w:rPr>
                <w:rFonts w:ascii="Arial Narrow" w:hAnsi="Arial Narrow"/>
                <w:sz w:val="20"/>
                <w:szCs w:val="20"/>
              </w:rPr>
            </w:pPr>
          </w:p>
        </w:tc>
        <w:tc>
          <w:tcPr>
            <w:tcW w:w="7603" w:type="dxa"/>
            <w:gridSpan w:val="4"/>
            <w:vAlign w:val="center"/>
            <w:hideMark/>
          </w:tcPr>
          <w:p w14:paraId="2734105C" w14:textId="77777777" w:rsidR="00352109" w:rsidRPr="00F43D20" w:rsidRDefault="00352109" w:rsidP="00750703">
            <w:pPr>
              <w:rPr>
                <w:rFonts w:ascii="Arial Narrow" w:hAnsi="Arial Narrow"/>
                <w:sz w:val="20"/>
                <w:szCs w:val="20"/>
                <w:lang w:val="en-GB"/>
              </w:rPr>
            </w:pPr>
            <w:r w:rsidRPr="00F43D20">
              <w:rPr>
                <w:rFonts w:ascii="Arial Narrow" w:hAnsi="Arial Narrow"/>
                <w:sz w:val="20"/>
                <w:szCs w:val="20"/>
                <w:lang w:val="en-GB"/>
              </w:rPr>
              <w:t>The condition must be relapsed or chemotherapy refractory</w:t>
            </w:r>
          </w:p>
        </w:tc>
      </w:tr>
      <w:tr w:rsidR="00352109" w:rsidRPr="00F43D20" w14:paraId="234FE8F6"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0F0B6A00" w14:textId="77777777" w:rsidR="00352109" w:rsidRPr="00F43D20" w:rsidDel="00380D66" w:rsidRDefault="00352109" w:rsidP="00750703">
            <w:pPr>
              <w:jc w:val="center"/>
              <w:rPr>
                <w:rFonts w:ascii="Arial Narrow" w:hAnsi="Arial Narrow"/>
                <w:sz w:val="20"/>
                <w:szCs w:val="20"/>
              </w:rPr>
            </w:pPr>
          </w:p>
        </w:tc>
        <w:tc>
          <w:tcPr>
            <w:tcW w:w="7603" w:type="dxa"/>
            <w:gridSpan w:val="4"/>
            <w:vAlign w:val="center"/>
          </w:tcPr>
          <w:p w14:paraId="43EE2D62" w14:textId="77777777" w:rsidR="00352109" w:rsidRPr="00F43D20" w:rsidRDefault="00352109" w:rsidP="00750703">
            <w:pPr>
              <w:rPr>
                <w:rFonts w:ascii="Arial Narrow" w:hAnsi="Arial Narrow"/>
                <w:b/>
                <w:bCs/>
                <w:sz w:val="20"/>
                <w:szCs w:val="20"/>
              </w:rPr>
            </w:pPr>
            <w:r w:rsidRPr="00F43D20">
              <w:rPr>
                <w:rFonts w:ascii="Arial Narrow" w:hAnsi="Arial Narrow"/>
                <w:b/>
                <w:bCs/>
                <w:sz w:val="20"/>
                <w:szCs w:val="20"/>
              </w:rPr>
              <w:t>AND</w:t>
            </w:r>
          </w:p>
        </w:tc>
      </w:tr>
      <w:tr w:rsidR="00352109" w:rsidRPr="00F43D20" w14:paraId="7DB73172"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4BA8EF79" w14:textId="1F95F548" w:rsidR="00352109" w:rsidRPr="00F43D20" w:rsidRDefault="00352109" w:rsidP="00750703">
            <w:pPr>
              <w:jc w:val="center"/>
              <w:rPr>
                <w:rFonts w:ascii="Arial Narrow" w:hAnsi="Arial Narrow"/>
                <w:sz w:val="20"/>
                <w:szCs w:val="20"/>
              </w:rPr>
            </w:pPr>
          </w:p>
        </w:tc>
        <w:tc>
          <w:tcPr>
            <w:tcW w:w="7603" w:type="dxa"/>
            <w:gridSpan w:val="4"/>
            <w:vAlign w:val="center"/>
          </w:tcPr>
          <w:p w14:paraId="2AF7C116" w14:textId="77777777" w:rsidR="00352109" w:rsidRPr="00F43D20" w:rsidRDefault="00352109" w:rsidP="00750703">
            <w:pPr>
              <w:rPr>
                <w:rFonts w:ascii="Arial Narrow" w:hAnsi="Arial Narrow"/>
                <w:sz w:val="20"/>
                <w:szCs w:val="20"/>
                <w:lang w:val="en-GB"/>
              </w:rPr>
            </w:pPr>
            <w:r w:rsidRPr="00F43D20">
              <w:rPr>
                <w:rFonts w:ascii="Arial Narrow" w:hAnsi="Arial Narrow"/>
                <w:b/>
                <w:bCs/>
                <w:sz w:val="20"/>
                <w:szCs w:val="20"/>
              </w:rPr>
              <w:t xml:space="preserve">Clinical criteria: </w:t>
            </w:r>
          </w:p>
        </w:tc>
      </w:tr>
      <w:tr w:rsidR="00352109" w:rsidRPr="00F43D20" w14:paraId="0B64028A"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77F0D50D" w14:textId="56EF835A" w:rsidR="00352109" w:rsidRPr="00F43D20" w:rsidRDefault="00352109" w:rsidP="00750703">
            <w:pPr>
              <w:jc w:val="center"/>
              <w:rPr>
                <w:rFonts w:ascii="Arial Narrow" w:hAnsi="Arial Narrow"/>
                <w:sz w:val="20"/>
                <w:szCs w:val="20"/>
              </w:rPr>
            </w:pPr>
          </w:p>
        </w:tc>
        <w:tc>
          <w:tcPr>
            <w:tcW w:w="7603" w:type="dxa"/>
            <w:gridSpan w:val="4"/>
            <w:vAlign w:val="center"/>
          </w:tcPr>
          <w:p w14:paraId="6D2A50A0" w14:textId="78FBBA09" w:rsidR="00352109" w:rsidRPr="00F43D20" w:rsidDel="00084238" w:rsidRDefault="00352109" w:rsidP="00750703">
            <w:pPr>
              <w:rPr>
                <w:rFonts w:ascii="Arial Narrow" w:hAnsi="Arial Narrow"/>
                <w:sz w:val="20"/>
                <w:szCs w:val="20"/>
                <w:lang w:val="en-GB"/>
              </w:rPr>
            </w:pPr>
            <w:r w:rsidRPr="00F43D20">
              <w:rPr>
                <w:rFonts w:ascii="Arial Narrow" w:hAnsi="Arial Narrow"/>
                <w:sz w:val="20"/>
                <w:szCs w:val="20"/>
                <w:lang w:val="en-GB"/>
              </w:rPr>
              <w:t>Patient must have undergone appropriate prior front</w:t>
            </w:r>
            <w:r w:rsidR="00750703">
              <w:rPr>
                <w:rFonts w:ascii="Arial Narrow" w:hAnsi="Arial Narrow"/>
                <w:sz w:val="20"/>
                <w:szCs w:val="20"/>
                <w:lang w:val="en-GB"/>
              </w:rPr>
              <w:noBreakHyphen/>
            </w:r>
            <w:r w:rsidRPr="00F43D20">
              <w:rPr>
                <w:rFonts w:ascii="Arial Narrow" w:hAnsi="Arial Narrow"/>
                <w:sz w:val="20"/>
                <w:szCs w:val="20"/>
                <w:lang w:val="en-GB"/>
              </w:rPr>
              <w:t>line curative intent chemotherapy</w:t>
            </w:r>
          </w:p>
        </w:tc>
      </w:tr>
      <w:tr w:rsidR="00352109" w:rsidRPr="00F43D20" w14:paraId="41B4E40B"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16C217B7" w14:textId="77777777" w:rsidR="00352109" w:rsidRPr="00F43D20" w:rsidRDefault="00352109" w:rsidP="00750703">
            <w:pPr>
              <w:jc w:val="center"/>
              <w:rPr>
                <w:rFonts w:ascii="Arial Narrow" w:hAnsi="Arial Narrow"/>
                <w:sz w:val="20"/>
                <w:szCs w:val="20"/>
              </w:rPr>
            </w:pPr>
          </w:p>
        </w:tc>
        <w:tc>
          <w:tcPr>
            <w:tcW w:w="7603" w:type="dxa"/>
            <w:gridSpan w:val="4"/>
            <w:vAlign w:val="center"/>
          </w:tcPr>
          <w:p w14:paraId="2F148812" w14:textId="77777777" w:rsidR="00352109" w:rsidRPr="00F43D20" w:rsidRDefault="00352109" w:rsidP="00750703">
            <w:pPr>
              <w:rPr>
                <w:rFonts w:ascii="Arial Narrow" w:hAnsi="Arial Narrow"/>
                <w:sz w:val="20"/>
                <w:szCs w:val="20"/>
                <w:lang w:val="en-GB"/>
              </w:rPr>
            </w:pPr>
            <w:r w:rsidRPr="00F43D20">
              <w:rPr>
                <w:rFonts w:ascii="Arial Narrow" w:hAnsi="Arial Narrow"/>
                <w:b/>
                <w:bCs/>
                <w:sz w:val="20"/>
                <w:szCs w:val="20"/>
              </w:rPr>
              <w:t>AND</w:t>
            </w:r>
          </w:p>
        </w:tc>
      </w:tr>
      <w:tr w:rsidR="00352109" w:rsidRPr="00F43D20" w14:paraId="26987D4B"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539D5B1A" w14:textId="3D8EF660" w:rsidR="00352109" w:rsidRPr="00F43D20" w:rsidRDefault="00352109" w:rsidP="00750703">
            <w:pPr>
              <w:jc w:val="center"/>
              <w:rPr>
                <w:rFonts w:ascii="Arial Narrow" w:hAnsi="Arial Narrow"/>
                <w:sz w:val="20"/>
                <w:szCs w:val="20"/>
              </w:rPr>
            </w:pPr>
          </w:p>
        </w:tc>
        <w:tc>
          <w:tcPr>
            <w:tcW w:w="7603" w:type="dxa"/>
            <w:gridSpan w:val="4"/>
            <w:vAlign w:val="center"/>
          </w:tcPr>
          <w:p w14:paraId="56BCDDDE" w14:textId="77777777" w:rsidR="00352109" w:rsidRPr="00F43D20" w:rsidRDefault="00352109" w:rsidP="00750703">
            <w:pPr>
              <w:rPr>
                <w:rFonts w:ascii="Arial Narrow" w:hAnsi="Arial Narrow"/>
                <w:sz w:val="20"/>
                <w:szCs w:val="20"/>
                <w:lang w:val="en-GB"/>
              </w:rPr>
            </w:pPr>
            <w:r w:rsidRPr="00F43D20">
              <w:rPr>
                <w:rFonts w:ascii="Arial Narrow" w:hAnsi="Arial Narrow"/>
                <w:b/>
                <w:bCs/>
                <w:sz w:val="20"/>
                <w:szCs w:val="20"/>
              </w:rPr>
              <w:t xml:space="preserve">Clinical criteria: </w:t>
            </w:r>
          </w:p>
        </w:tc>
      </w:tr>
      <w:tr w:rsidR="00352109" w:rsidRPr="00F43D20" w14:paraId="0FC7140D"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430B7273" w14:textId="308EA32F" w:rsidR="00352109" w:rsidRPr="00F43D20" w:rsidRDefault="00352109" w:rsidP="00750703">
            <w:pPr>
              <w:jc w:val="center"/>
              <w:rPr>
                <w:rFonts w:ascii="Arial Narrow" w:hAnsi="Arial Narrow"/>
                <w:sz w:val="20"/>
                <w:szCs w:val="20"/>
              </w:rPr>
            </w:pPr>
          </w:p>
        </w:tc>
        <w:tc>
          <w:tcPr>
            <w:tcW w:w="7603" w:type="dxa"/>
            <w:gridSpan w:val="4"/>
            <w:vAlign w:val="center"/>
          </w:tcPr>
          <w:p w14:paraId="29327534" w14:textId="44649D2F" w:rsidR="00352109" w:rsidRPr="00F43D20" w:rsidRDefault="00352109" w:rsidP="00750703">
            <w:pPr>
              <w:rPr>
                <w:rFonts w:ascii="Arial Narrow" w:hAnsi="Arial Narrow"/>
                <w:sz w:val="20"/>
                <w:szCs w:val="20"/>
                <w:lang w:val="en-GB"/>
              </w:rPr>
            </w:pPr>
            <w:r w:rsidRPr="00F43D20">
              <w:rPr>
                <w:rFonts w:ascii="Arial Narrow" w:hAnsi="Arial Narrow"/>
                <w:sz w:val="20"/>
                <w:szCs w:val="20"/>
              </w:rPr>
              <w:t>The treatment must be the sole PBS</w:t>
            </w:r>
            <w:r w:rsidR="00750703">
              <w:rPr>
                <w:rFonts w:ascii="Arial Narrow" w:hAnsi="Arial Narrow"/>
                <w:sz w:val="20"/>
                <w:szCs w:val="20"/>
              </w:rPr>
              <w:noBreakHyphen/>
            </w:r>
            <w:r w:rsidRPr="00F43D20">
              <w:rPr>
                <w:rFonts w:ascii="Arial Narrow" w:hAnsi="Arial Narrow"/>
                <w:sz w:val="20"/>
                <w:szCs w:val="20"/>
              </w:rPr>
              <w:t>subsidised systemic anti</w:t>
            </w:r>
            <w:r w:rsidR="00750703">
              <w:rPr>
                <w:rFonts w:ascii="Arial Narrow" w:hAnsi="Arial Narrow"/>
                <w:sz w:val="20"/>
                <w:szCs w:val="20"/>
              </w:rPr>
              <w:noBreakHyphen/>
            </w:r>
            <w:r w:rsidRPr="00F43D20">
              <w:rPr>
                <w:rFonts w:ascii="Arial Narrow" w:hAnsi="Arial Narrow"/>
                <w:sz w:val="20"/>
                <w:szCs w:val="20"/>
              </w:rPr>
              <w:t>cancer therapy for this PBS indication.</w:t>
            </w:r>
          </w:p>
        </w:tc>
      </w:tr>
    </w:tbl>
    <w:p w14:paraId="5583C348" w14:textId="6E171BCE" w:rsidR="002914B0" w:rsidRPr="00F43D20" w:rsidRDefault="002914B0" w:rsidP="00750703">
      <w:pPr>
        <w:jc w:val="left"/>
        <w:rPr>
          <w:rFonts w:asciiTheme="minorHAnsi" w:hAnsiTheme="minorHAnsi" w:cstheme="minorHAnsi"/>
          <w:bCs/>
          <w:caps/>
          <w:sz w:val="32"/>
          <w:u w:val="single"/>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660"/>
        <w:gridCol w:w="753"/>
        <w:gridCol w:w="1681"/>
        <w:gridCol w:w="1973"/>
        <w:gridCol w:w="1973"/>
        <w:gridCol w:w="1976"/>
      </w:tblGrid>
      <w:tr w:rsidR="00352109" w:rsidRPr="00F43D20" w14:paraId="37F790E5" w14:textId="77777777" w:rsidTr="00F850C3">
        <w:trPr>
          <w:cantSplit/>
          <w:trHeight w:val="20"/>
        </w:trPr>
        <w:tc>
          <w:tcPr>
            <w:tcW w:w="3094" w:type="dxa"/>
            <w:gridSpan w:val="3"/>
            <w:vAlign w:val="center"/>
          </w:tcPr>
          <w:p w14:paraId="64A79D80" w14:textId="77777777" w:rsidR="00352109" w:rsidRPr="00F43D20" w:rsidRDefault="00352109" w:rsidP="00C278EE">
            <w:pPr>
              <w:keepNext/>
              <w:rPr>
                <w:rFonts w:ascii="Arial Narrow" w:hAnsi="Arial Narrow"/>
                <w:b/>
                <w:bCs/>
                <w:sz w:val="20"/>
                <w:szCs w:val="20"/>
              </w:rPr>
            </w:pPr>
            <w:r w:rsidRPr="00F43D20">
              <w:rPr>
                <w:rFonts w:ascii="Arial Narrow" w:hAnsi="Arial Narrow"/>
                <w:b/>
                <w:bCs/>
                <w:sz w:val="20"/>
                <w:szCs w:val="20"/>
              </w:rPr>
              <w:lastRenderedPageBreak/>
              <w:t>MEDICINAL PRODUCT</w:t>
            </w:r>
          </w:p>
          <w:p w14:paraId="0D522067" w14:textId="77777777" w:rsidR="00352109" w:rsidRPr="00F43D20" w:rsidRDefault="00352109" w:rsidP="00C278EE">
            <w:pPr>
              <w:keepNext/>
              <w:rPr>
                <w:rFonts w:ascii="Arial Narrow" w:hAnsi="Arial Narrow"/>
                <w:b/>
                <w:sz w:val="20"/>
                <w:szCs w:val="20"/>
              </w:rPr>
            </w:pPr>
            <w:r w:rsidRPr="00F43D20">
              <w:rPr>
                <w:rFonts w:ascii="Arial Narrow" w:hAnsi="Arial Narrow"/>
                <w:b/>
                <w:sz w:val="20"/>
                <w:szCs w:val="20"/>
              </w:rPr>
              <w:t>Form</w:t>
            </w:r>
          </w:p>
        </w:tc>
        <w:tc>
          <w:tcPr>
            <w:tcW w:w="1973" w:type="dxa"/>
            <w:vAlign w:val="center"/>
          </w:tcPr>
          <w:p w14:paraId="22B1CE49" w14:textId="77777777" w:rsidR="00352109" w:rsidRPr="00F43D20" w:rsidRDefault="00352109" w:rsidP="00C278EE">
            <w:pPr>
              <w:keepNext/>
              <w:jc w:val="center"/>
              <w:rPr>
                <w:rFonts w:ascii="Arial Narrow" w:hAnsi="Arial Narrow"/>
                <w:b/>
                <w:sz w:val="20"/>
                <w:szCs w:val="20"/>
              </w:rPr>
            </w:pPr>
            <w:r w:rsidRPr="00F43D20">
              <w:rPr>
                <w:rFonts w:ascii="Arial Narrow" w:hAnsi="Arial Narrow"/>
                <w:b/>
                <w:sz w:val="20"/>
                <w:szCs w:val="20"/>
              </w:rPr>
              <w:t>PBS item code</w:t>
            </w:r>
          </w:p>
        </w:tc>
        <w:tc>
          <w:tcPr>
            <w:tcW w:w="1973" w:type="dxa"/>
            <w:vAlign w:val="center"/>
          </w:tcPr>
          <w:p w14:paraId="1A438935" w14:textId="77777777" w:rsidR="00352109" w:rsidRPr="00F43D20" w:rsidRDefault="00352109" w:rsidP="00C278EE">
            <w:pPr>
              <w:keepNext/>
              <w:jc w:val="center"/>
              <w:rPr>
                <w:rFonts w:ascii="Arial Narrow" w:hAnsi="Arial Narrow"/>
                <w:b/>
                <w:sz w:val="20"/>
                <w:szCs w:val="20"/>
              </w:rPr>
            </w:pPr>
            <w:r w:rsidRPr="00F43D20">
              <w:rPr>
                <w:rFonts w:ascii="Arial Narrow" w:hAnsi="Arial Narrow"/>
                <w:b/>
                <w:sz w:val="20"/>
                <w:szCs w:val="20"/>
              </w:rPr>
              <w:t>Max. Amount</w:t>
            </w:r>
          </w:p>
        </w:tc>
        <w:tc>
          <w:tcPr>
            <w:tcW w:w="1976" w:type="dxa"/>
            <w:vAlign w:val="center"/>
          </w:tcPr>
          <w:p w14:paraId="2BF3830F" w14:textId="77777777" w:rsidR="00352109" w:rsidRPr="00F43D20" w:rsidRDefault="00352109" w:rsidP="00C278EE">
            <w:pPr>
              <w:keepNext/>
              <w:jc w:val="center"/>
              <w:rPr>
                <w:rFonts w:ascii="Arial Narrow" w:hAnsi="Arial Narrow"/>
                <w:b/>
                <w:sz w:val="20"/>
                <w:szCs w:val="20"/>
              </w:rPr>
            </w:pPr>
            <w:r w:rsidRPr="00F43D20">
              <w:rPr>
                <w:rFonts w:ascii="Arial Narrow" w:hAnsi="Arial Narrow"/>
                <w:b/>
                <w:sz w:val="20"/>
                <w:szCs w:val="20"/>
              </w:rPr>
              <w:t>№.of Rpts</w:t>
            </w:r>
          </w:p>
        </w:tc>
      </w:tr>
      <w:tr w:rsidR="00352109" w:rsidRPr="00F43D20" w14:paraId="7DBADEC0" w14:textId="77777777" w:rsidTr="00F850C3">
        <w:trPr>
          <w:cantSplit/>
          <w:trHeight w:val="20"/>
        </w:trPr>
        <w:tc>
          <w:tcPr>
            <w:tcW w:w="3094" w:type="dxa"/>
            <w:gridSpan w:val="3"/>
            <w:vAlign w:val="center"/>
          </w:tcPr>
          <w:p w14:paraId="2F7E6EBE" w14:textId="77777777" w:rsidR="00352109" w:rsidRPr="00F43D20" w:rsidRDefault="00352109" w:rsidP="00C278EE">
            <w:pPr>
              <w:keepNext/>
              <w:rPr>
                <w:rFonts w:ascii="Arial Narrow" w:hAnsi="Arial Narrow"/>
                <w:sz w:val="20"/>
                <w:szCs w:val="20"/>
              </w:rPr>
            </w:pPr>
            <w:r w:rsidRPr="00F43D20">
              <w:rPr>
                <w:rFonts w:ascii="Arial Narrow" w:hAnsi="Arial Narrow"/>
                <w:sz w:val="20"/>
                <w:szCs w:val="20"/>
              </w:rPr>
              <w:t xml:space="preserve">ROMIDEPSIN </w:t>
            </w:r>
            <w:r w:rsidRPr="00F43D20">
              <w:rPr>
                <w:rFonts w:ascii="Arial Narrow" w:hAnsi="Arial Narrow"/>
                <w:sz w:val="20"/>
                <w:szCs w:val="20"/>
              </w:rPr>
              <w:br/>
              <w:t>Injection</w:t>
            </w:r>
          </w:p>
        </w:tc>
        <w:tc>
          <w:tcPr>
            <w:tcW w:w="1973" w:type="dxa"/>
            <w:vAlign w:val="center"/>
          </w:tcPr>
          <w:p w14:paraId="206B48CA" w14:textId="77777777" w:rsidR="00352109" w:rsidRPr="00F43D20" w:rsidRDefault="00352109" w:rsidP="00C278EE">
            <w:pPr>
              <w:keepNext/>
              <w:rPr>
                <w:rFonts w:ascii="Arial Narrow" w:hAnsi="Arial Narrow"/>
                <w:sz w:val="20"/>
                <w:szCs w:val="20"/>
              </w:rPr>
            </w:pPr>
            <w:r w:rsidRPr="00F43D20">
              <w:rPr>
                <w:rFonts w:ascii="Arial Narrow" w:hAnsi="Arial Narrow"/>
                <w:sz w:val="20"/>
                <w:szCs w:val="20"/>
              </w:rPr>
              <w:t xml:space="preserve">NEW (Public) </w:t>
            </w:r>
          </w:p>
          <w:p w14:paraId="4ED43816" w14:textId="77777777" w:rsidR="00352109" w:rsidRPr="00F43D20" w:rsidRDefault="00352109" w:rsidP="00C278EE">
            <w:pPr>
              <w:keepNext/>
              <w:rPr>
                <w:rFonts w:ascii="Arial Narrow" w:hAnsi="Arial Narrow"/>
                <w:sz w:val="20"/>
                <w:szCs w:val="20"/>
              </w:rPr>
            </w:pPr>
            <w:r w:rsidRPr="00F43D20">
              <w:rPr>
                <w:rFonts w:ascii="Arial Narrow" w:hAnsi="Arial Narrow"/>
                <w:sz w:val="20"/>
                <w:szCs w:val="20"/>
              </w:rPr>
              <w:t>NEW (Private)</w:t>
            </w:r>
          </w:p>
        </w:tc>
        <w:tc>
          <w:tcPr>
            <w:tcW w:w="1973" w:type="dxa"/>
            <w:vAlign w:val="center"/>
          </w:tcPr>
          <w:p w14:paraId="3E788181" w14:textId="77777777" w:rsidR="00352109" w:rsidRPr="00F43D20" w:rsidRDefault="00352109" w:rsidP="00C278EE">
            <w:pPr>
              <w:keepNext/>
              <w:jc w:val="center"/>
              <w:rPr>
                <w:rFonts w:ascii="Arial Narrow" w:hAnsi="Arial Narrow"/>
                <w:sz w:val="20"/>
                <w:szCs w:val="20"/>
              </w:rPr>
            </w:pPr>
            <w:r w:rsidRPr="00F43D20">
              <w:rPr>
                <w:rFonts w:ascii="Arial Narrow" w:hAnsi="Arial Narrow"/>
                <w:sz w:val="20"/>
                <w:szCs w:val="20"/>
              </w:rPr>
              <w:t xml:space="preserve">40 mg </w:t>
            </w:r>
          </w:p>
        </w:tc>
        <w:tc>
          <w:tcPr>
            <w:tcW w:w="1976" w:type="dxa"/>
            <w:vAlign w:val="center"/>
          </w:tcPr>
          <w:p w14:paraId="300CFFB7" w14:textId="77777777" w:rsidR="00352109" w:rsidRPr="00F43D20" w:rsidRDefault="00352109" w:rsidP="00C278EE">
            <w:pPr>
              <w:keepNext/>
              <w:jc w:val="center"/>
              <w:rPr>
                <w:rFonts w:ascii="Arial Narrow" w:hAnsi="Arial Narrow"/>
                <w:sz w:val="20"/>
                <w:szCs w:val="20"/>
              </w:rPr>
            </w:pPr>
            <w:r w:rsidRPr="00F43D20">
              <w:rPr>
                <w:rFonts w:ascii="Arial Narrow" w:hAnsi="Arial Narrow"/>
                <w:sz w:val="20"/>
                <w:szCs w:val="20"/>
              </w:rPr>
              <w:t>8</w:t>
            </w:r>
          </w:p>
        </w:tc>
      </w:tr>
      <w:tr w:rsidR="00352109" w:rsidRPr="00F43D20" w14:paraId="7D3CF5BF" w14:textId="77777777" w:rsidTr="00F850C3">
        <w:trPr>
          <w:cantSplit/>
          <w:trHeight w:val="20"/>
        </w:trPr>
        <w:tc>
          <w:tcPr>
            <w:tcW w:w="9016" w:type="dxa"/>
            <w:gridSpan w:val="6"/>
            <w:vAlign w:val="center"/>
          </w:tcPr>
          <w:p w14:paraId="050072B3" w14:textId="77777777" w:rsidR="00352109" w:rsidRPr="00F43D20" w:rsidRDefault="00352109" w:rsidP="00C278EE">
            <w:pPr>
              <w:keepNext/>
              <w:rPr>
                <w:rFonts w:ascii="Arial Narrow" w:hAnsi="Arial Narrow"/>
                <w:b/>
                <w:sz w:val="20"/>
                <w:szCs w:val="20"/>
              </w:rPr>
            </w:pPr>
            <w:r w:rsidRPr="00F43D20">
              <w:rPr>
                <w:rFonts w:ascii="Arial Narrow" w:hAnsi="Arial Narrow"/>
                <w:b/>
                <w:sz w:val="20"/>
                <w:szCs w:val="20"/>
              </w:rPr>
              <w:t xml:space="preserve">Available brands </w:t>
            </w:r>
          </w:p>
        </w:tc>
      </w:tr>
      <w:tr w:rsidR="00352109" w:rsidRPr="00F43D20" w14:paraId="44BC9381" w14:textId="77777777" w:rsidTr="00F850C3">
        <w:trPr>
          <w:cantSplit/>
          <w:trHeight w:val="20"/>
        </w:trPr>
        <w:tc>
          <w:tcPr>
            <w:tcW w:w="9016" w:type="dxa"/>
            <w:gridSpan w:val="6"/>
            <w:vAlign w:val="center"/>
          </w:tcPr>
          <w:p w14:paraId="26AC8D7C" w14:textId="77777777" w:rsidR="00352109" w:rsidRPr="00F43D20" w:rsidRDefault="00352109" w:rsidP="00C278EE">
            <w:pPr>
              <w:keepNext/>
              <w:jc w:val="left"/>
              <w:rPr>
                <w:rFonts w:ascii="Arial Narrow" w:hAnsi="Arial Narrow"/>
                <w:sz w:val="20"/>
                <w:szCs w:val="20"/>
              </w:rPr>
            </w:pPr>
            <w:r w:rsidRPr="00F43D20">
              <w:rPr>
                <w:rFonts w:ascii="Arial Narrow" w:hAnsi="Arial Narrow"/>
                <w:sz w:val="20"/>
                <w:szCs w:val="20"/>
              </w:rPr>
              <w:t>Romidepsin (Reach)</w:t>
            </w:r>
            <w:r w:rsidRPr="00F43D20">
              <w:rPr>
                <w:rFonts w:ascii="Arial Narrow" w:hAnsi="Arial Narrow"/>
                <w:sz w:val="20"/>
                <w:szCs w:val="20"/>
              </w:rPr>
              <w:br/>
              <w:t>(romidepsin 10 mg injection [1 vial] (&amp;) inert substance diluent [2 mL vial], 1 pack)</w:t>
            </w:r>
          </w:p>
        </w:tc>
      </w:tr>
      <w:tr w:rsidR="00352109" w:rsidRPr="00F43D20" w14:paraId="1C7372D9" w14:textId="77777777" w:rsidTr="00F850C3">
        <w:trPr>
          <w:cantSplit/>
          <w:trHeight w:val="20"/>
        </w:trPr>
        <w:tc>
          <w:tcPr>
            <w:tcW w:w="9016" w:type="dxa"/>
            <w:gridSpan w:val="6"/>
            <w:vAlign w:val="center"/>
          </w:tcPr>
          <w:p w14:paraId="1173A451" w14:textId="77777777" w:rsidR="00352109" w:rsidRPr="00F43D20" w:rsidRDefault="00352109" w:rsidP="00C278EE">
            <w:pPr>
              <w:keepNext/>
              <w:rPr>
                <w:rFonts w:ascii="Arial Narrow" w:hAnsi="Arial Narrow"/>
                <w:sz w:val="20"/>
                <w:szCs w:val="20"/>
              </w:rPr>
            </w:pPr>
          </w:p>
        </w:tc>
      </w:tr>
      <w:tr w:rsidR="00352109" w:rsidRPr="00F43D20" w14:paraId="50E0DFA8" w14:textId="77777777" w:rsidTr="00F850C3">
        <w:trPr>
          <w:cantSplit/>
          <w:trHeight w:val="20"/>
        </w:trPr>
        <w:tc>
          <w:tcPr>
            <w:tcW w:w="9016" w:type="dxa"/>
            <w:gridSpan w:val="6"/>
            <w:vAlign w:val="center"/>
          </w:tcPr>
          <w:p w14:paraId="1409A3E2" w14:textId="77777777" w:rsidR="00352109" w:rsidRPr="00F43D20" w:rsidRDefault="00352109" w:rsidP="00750703">
            <w:pPr>
              <w:keepNext/>
              <w:rPr>
                <w:rFonts w:ascii="Arial Narrow" w:hAnsi="Arial Narrow"/>
                <w:sz w:val="20"/>
                <w:szCs w:val="20"/>
              </w:rPr>
            </w:pPr>
            <w:r w:rsidRPr="00F43D20">
              <w:rPr>
                <w:rFonts w:ascii="Arial Narrow" w:hAnsi="Arial Narrow"/>
                <w:b/>
                <w:sz w:val="20"/>
                <w:szCs w:val="20"/>
              </w:rPr>
              <w:t>Restriction Summary [7545] / Treatment of Concept: [7526]</w:t>
            </w:r>
          </w:p>
        </w:tc>
      </w:tr>
      <w:tr w:rsidR="00352109" w:rsidRPr="00F43D20" w14:paraId="411144F1"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Merge w:val="restart"/>
          </w:tcPr>
          <w:p w14:paraId="5DF0FF9B" w14:textId="77777777" w:rsidR="00352109" w:rsidRPr="00F43D20" w:rsidRDefault="00352109" w:rsidP="00750703">
            <w:pPr>
              <w:keepNext/>
              <w:jc w:val="center"/>
              <w:rPr>
                <w:rFonts w:ascii="Arial Narrow" w:hAnsi="Arial Narrow"/>
                <w:b/>
                <w:sz w:val="20"/>
                <w:szCs w:val="20"/>
              </w:rPr>
            </w:pPr>
            <w:r w:rsidRPr="00F43D20">
              <w:rPr>
                <w:rFonts w:ascii="Arial Narrow" w:hAnsi="Arial Narrow"/>
                <w:b/>
                <w:sz w:val="20"/>
                <w:szCs w:val="20"/>
              </w:rPr>
              <w:t xml:space="preserve">Concept ID </w:t>
            </w:r>
            <w:r w:rsidRPr="00F43D20">
              <w:rPr>
                <w:rFonts w:ascii="Arial Narrow" w:hAnsi="Arial Narrow"/>
                <w:sz w:val="20"/>
                <w:szCs w:val="20"/>
              </w:rPr>
              <w:t>(for internal Dept. use)</w:t>
            </w:r>
          </w:p>
        </w:tc>
        <w:tc>
          <w:tcPr>
            <w:tcW w:w="7603" w:type="dxa"/>
            <w:gridSpan w:val="4"/>
          </w:tcPr>
          <w:p w14:paraId="018AB368" w14:textId="77777777" w:rsidR="00352109" w:rsidRPr="00F43D20" w:rsidRDefault="00352109" w:rsidP="00750703">
            <w:pPr>
              <w:keepNext/>
              <w:rPr>
                <w:rFonts w:ascii="Arial Narrow" w:hAnsi="Arial Narrow"/>
                <w:sz w:val="20"/>
                <w:szCs w:val="20"/>
              </w:rPr>
            </w:pPr>
            <w:r w:rsidRPr="00F43D20">
              <w:rPr>
                <w:rFonts w:ascii="Arial Narrow" w:hAnsi="Arial Narrow"/>
                <w:b/>
                <w:sz w:val="20"/>
                <w:szCs w:val="20"/>
              </w:rPr>
              <w:t xml:space="preserve">Category / Program: </w:t>
            </w:r>
            <w:r w:rsidRPr="00F43D20">
              <w:rPr>
                <w:rFonts w:ascii="Arial Narrow" w:hAnsi="Arial Narrow"/>
                <w:sz w:val="20"/>
                <w:szCs w:val="20"/>
              </w:rPr>
              <w:t>Section 100 – Efficient Funding of Chemotherapy Public/Private hospitals</w:t>
            </w:r>
          </w:p>
        </w:tc>
      </w:tr>
      <w:tr w:rsidR="00352109" w:rsidRPr="00F43D20" w14:paraId="7051DA7B"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Merge/>
          </w:tcPr>
          <w:p w14:paraId="4E8EB92D" w14:textId="77777777" w:rsidR="00352109" w:rsidRPr="00F43D20" w:rsidRDefault="00352109" w:rsidP="00750703">
            <w:pPr>
              <w:keepNext/>
              <w:rPr>
                <w:rFonts w:ascii="Arial Narrow" w:hAnsi="Arial Narrow"/>
                <w:sz w:val="20"/>
                <w:szCs w:val="20"/>
              </w:rPr>
            </w:pPr>
          </w:p>
        </w:tc>
        <w:tc>
          <w:tcPr>
            <w:tcW w:w="7603" w:type="dxa"/>
            <w:gridSpan w:val="4"/>
          </w:tcPr>
          <w:p w14:paraId="5462E0AB" w14:textId="77777777" w:rsidR="00352109" w:rsidRPr="00F43D20" w:rsidRDefault="00352109" w:rsidP="00750703">
            <w:pPr>
              <w:keepNext/>
              <w:rPr>
                <w:rFonts w:ascii="Arial Narrow" w:hAnsi="Arial Narrow"/>
                <w:b/>
                <w:sz w:val="20"/>
                <w:szCs w:val="20"/>
              </w:rPr>
            </w:pPr>
            <w:r w:rsidRPr="00F43D20">
              <w:rPr>
                <w:rFonts w:ascii="Arial Narrow" w:hAnsi="Arial Narrow"/>
                <w:b/>
                <w:sz w:val="20"/>
                <w:szCs w:val="20"/>
              </w:rPr>
              <w:t xml:space="preserve">Prescriber type: </w:t>
            </w:r>
            <w:r w:rsidRPr="00F43D20">
              <w:rPr>
                <w:rFonts w:ascii="Arial Narrow" w:hAnsi="Arial Narrow"/>
                <w:sz w:val="20"/>
                <w:szCs w:val="20"/>
              </w:rPr>
              <w:fldChar w:fldCharType="begin">
                <w:ffData>
                  <w:name w:val=""/>
                  <w:enabled/>
                  <w:calcOnExit w:val="0"/>
                  <w:checkBox>
                    <w:sizeAuto/>
                    <w:default w:val="1"/>
                  </w:checkBox>
                </w:ffData>
              </w:fldChar>
            </w:r>
            <w:r w:rsidRPr="00F43D20">
              <w:rPr>
                <w:rFonts w:ascii="Arial Narrow" w:hAnsi="Arial Narrow"/>
                <w:sz w:val="20"/>
                <w:szCs w:val="20"/>
              </w:rPr>
              <w:instrText xml:space="preserve"> FORMCHECKBOX </w:instrText>
            </w:r>
            <w:r w:rsidRPr="00F43D20">
              <w:rPr>
                <w:rFonts w:ascii="Arial Narrow" w:hAnsi="Arial Narrow"/>
                <w:sz w:val="20"/>
                <w:szCs w:val="20"/>
              </w:rPr>
            </w:r>
            <w:r w:rsidRPr="00F43D20">
              <w:rPr>
                <w:rFonts w:ascii="Arial Narrow" w:hAnsi="Arial Narrow"/>
                <w:sz w:val="20"/>
                <w:szCs w:val="20"/>
              </w:rPr>
              <w:fldChar w:fldCharType="separate"/>
            </w:r>
            <w:r w:rsidRPr="00F43D20">
              <w:rPr>
                <w:rFonts w:ascii="Arial Narrow" w:hAnsi="Arial Narrow"/>
                <w:sz w:val="20"/>
                <w:szCs w:val="20"/>
              </w:rPr>
              <w:fldChar w:fldCharType="end"/>
            </w:r>
            <w:r w:rsidRPr="00F43D20">
              <w:rPr>
                <w:rFonts w:ascii="Arial Narrow" w:hAnsi="Arial Narrow"/>
                <w:sz w:val="20"/>
                <w:szCs w:val="20"/>
              </w:rPr>
              <w:t>Medical Practitioners</w:t>
            </w:r>
          </w:p>
        </w:tc>
      </w:tr>
      <w:tr w:rsidR="00352109" w:rsidRPr="00F43D20" w14:paraId="3EE9BEB2"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Merge/>
          </w:tcPr>
          <w:p w14:paraId="0F37A323" w14:textId="77777777" w:rsidR="00352109" w:rsidRPr="00F43D20" w:rsidRDefault="00352109" w:rsidP="00750703">
            <w:pPr>
              <w:rPr>
                <w:rFonts w:ascii="Arial Narrow" w:hAnsi="Arial Narrow"/>
                <w:sz w:val="20"/>
                <w:szCs w:val="20"/>
              </w:rPr>
            </w:pPr>
          </w:p>
        </w:tc>
        <w:tc>
          <w:tcPr>
            <w:tcW w:w="7603" w:type="dxa"/>
            <w:gridSpan w:val="4"/>
          </w:tcPr>
          <w:p w14:paraId="647A3254" w14:textId="77777777" w:rsidR="00352109" w:rsidRPr="00F43D20" w:rsidRDefault="00352109" w:rsidP="00750703">
            <w:pPr>
              <w:rPr>
                <w:rFonts w:ascii="Arial Narrow" w:eastAsia="Calibri" w:hAnsi="Arial Narrow"/>
                <w:sz w:val="20"/>
                <w:szCs w:val="20"/>
              </w:rPr>
            </w:pPr>
            <w:r w:rsidRPr="00F43D20">
              <w:rPr>
                <w:rFonts w:ascii="Arial Narrow" w:hAnsi="Arial Narrow"/>
                <w:b/>
                <w:sz w:val="20"/>
                <w:szCs w:val="20"/>
              </w:rPr>
              <w:t xml:space="preserve">Restriction type: </w:t>
            </w:r>
            <w:r w:rsidRPr="00F43D20">
              <w:rPr>
                <w:rFonts w:ascii="Arial Narrow" w:eastAsia="Calibri" w:hAnsi="Arial Narrow"/>
                <w:sz w:val="20"/>
                <w:szCs w:val="20"/>
              </w:rPr>
              <w:fldChar w:fldCharType="begin">
                <w:ffData>
                  <w:name w:val="Check3"/>
                  <w:enabled/>
                  <w:calcOnExit w:val="0"/>
                  <w:checkBox>
                    <w:sizeAuto/>
                    <w:default w:val="1"/>
                  </w:checkBox>
                </w:ffData>
              </w:fldChar>
            </w:r>
            <w:r w:rsidRPr="00F43D20">
              <w:rPr>
                <w:rFonts w:ascii="Arial Narrow" w:eastAsia="Calibri" w:hAnsi="Arial Narrow"/>
                <w:sz w:val="20"/>
                <w:szCs w:val="20"/>
              </w:rPr>
              <w:instrText xml:space="preserve"> FORMCHECKBOX </w:instrText>
            </w:r>
            <w:r w:rsidRPr="00F43D20">
              <w:rPr>
                <w:rFonts w:ascii="Arial Narrow" w:eastAsia="Calibri" w:hAnsi="Arial Narrow"/>
                <w:sz w:val="20"/>
                <w:szCs w:val="20"/>
              </w:rPr>
            </w:r>
            <w:r w:rsidRPr="00F43D20">
              <w:rPr>
                <w:rFonts w:ascii="Arial Narrow" w:eastAsia="Calibri" w:hAnsi="Arial Narrow"/>
                <w:sz w:val="20"/>
                <w:szCs w:val="20"/>
              </w:rPr>
              <w:fldChar w:fldCharType="separate"/>
            </w:r>
            <w:r w:rsidRPr="00F43D20">
              <w:rPr>
                <w:rFonts w:ascii="Arial Narrow" w:eastAsia="Calibri" w:hAnsi="Arial Narrow"/>
                <w:sz w:val="20"/>
                <w:szCs w:val="20"/>
              </w:rPr>
              <w:fldChar w:fldCharType="end"/>
            </w:r>
            <w:r w:rsidRPr="00F43D20">
              <w:rPr>
                <w:rFonts w:ascii="Arial Narrow" w:eastAsia="Calibri" w:hAnsi="Arial Narrow"/>
                <w:sz w:val="20"/>
                <w:szCs w:val="20"/>
              </w:rPr>
              <w:t xml:space="preserve">Authority Required (telephone/online PBS Authorities system) </w:t>
            </w:r>
          </w:p>
        </w:tc>
      </w:tr>
      <w:tr w:rsidR="00352109" w:rsidRPr="00F43D20" w14:paraId="09BDF5F5" w14:textId="77777777" w:rsidTr="0070635B">
        <w:tblPrEx>
          <w:tblCellMar>
            <w:top w:w="15" w:type="dxa"/>
            <w:bottom w:w="15" w:type="dxa"/>
          </w:tblCellMar>
          <w:tblLook w:val="04A0" w:firstRow="1" w:lastRow="0" w:firstColumn="1" w:lastColumn="0" w:noHBand="0" w:noVBand="1"/>
        </w:tblPrEx>
        <w:trPr>
          <w:trHeight w:val="20"/>
        </w:trPr>
        <w:tc>
          <w:tcPr>
            <w:tcW w:w="660" w:type="dxa"/>
            <w:vMerge w:val="restart"/>
            <w:textDirection w:val="btLr"/>
            <w:vAlign w:val="center"/>
          </w:tcPr>
          <w:p w14:paraId="28458802" w14:textId="77777777" w:rsidR="00352109" w:rsidRPr="00F43D20" w:rsidRDefault="00352109" w:rsidP="00750703">
            <w:pPr>
              <w:keepLines/>
              <w:ind w:right="113"/>
              <w:jc w:val="center"/>
              <w:rPr>
                <w:rFonts w:ascii="Arial Narrow" w:hAnsi="Arial Narrow"/>
                <w:sz w:val="20"/>
                <w:szCs w:val="20"/>
              </w:rPr>
            </w:pPr>
            <w:r w:rsidRPr="00F43D20">
              <w:rPr>
                <w:rFonts w:ascii="Arial Narrow" w:hAnsi="Arial Narrow"/>
                <w:sz w:val="20"/>
                <w:szCs w:val="20"/>
              </w:rPr>
              <w:t>Prescribing rule level</w:t>
            </w:r>
          </w:p>
        </w:tc>
        <w:tc>
          <w:tcPr>
            <w:tcW w:w="753" w:type="dxa"/>
            <w:vAlign w:val="center"/>
          </w:tcPr>
          <w:p w14:paraId="0E7F8A4C" w14:textId="6B170189" w:rsidR="00352109" w:rsidRPr="00F43D20" w:rsidRDefault="00352109" w:rsidP="00750703">
            <w:pPr>
              <w:keepLines/>
              <w:ind w:hanging="35"/>
              <w:jc w:val="center"/>
              <w:rPr>
                <w:rFonts w:ascii="Arial Narrow" w:hAnsi="Arial Narrow"/>
                <w:sz w:val="20"/>
                <w:szCs w:val="20"/>
              </w:rPr>
            </w:pPr>
          </w:p>
        </w:tc>
        <w:tc>
          <w:tcPr>
            <w:tcW w:w="7603" w:type="dxa"/>
            <w:gridSpan w:val="4"/>
            <w:vAlign w:val="center"/>
          </w:tcPr>
          <w:p w14:paraId="4DE949B8" w14:textId="77777777" w:rsidR="00352109" w:rsidRPr="00F43D20" w:rsidRDefault="00352109" w:rsidP="00750703">
            <w:pPr>
              <w:keepLines/>
              <w:rPr>
                <w:rFonts w:ascii="Arial Narrow" w:hAnsi="Arial Narrow"/>
                <w:sz w:val="20"/>
                <w:szCs w:val="20"/>
              </w:rPr>
            </w:pPr>
            <w:r w:rsidRPr="00F43D20">
              <w:rPr>
                <w:rFonts w:ascii="Arial Narrow" w:hAnsi="Arial Narrow"/>
                <w:b/>
                <w:bCs/>
                <w:sz w:val="20"/>
                <w:szCs w:val="20"/>
              </w:rPr>
              <w:t xml:space="preserve">Administrative Advice: </w:t>
            </w:r>
            <w:r w:rsidRPr="00F43D20">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BA7629" w:rsidRPr="00F43D20" w14:paraId="1098D838" w14:textId="77777777" w:rsidTr="0070635B">
        <w:tblPrEx>
          <w:tblCellMar>
            <w:top w:w="15" w:type="dxa"/>
            <w:bottom w:w="15" w:type="dxa"/>
          </w:tblCellMar>
        </w:tblPrEx>
        <w:trPr>
          <w:trHeight w:val="20"/>
        </w:trPr>
        <w:tc>
          <w:tcPr>
            <w:tcW w:w="660" w:type="dxa"/>
            <w:vMerge/>
            <w:textDirection w:val="btLr"/>
            <w:vAlign w:val="center"/>
          </w:tcPr>
          <w:p w14:paraId="0F21FD62" w14:textId="77777777" w:rsidR="00BA7629" w:rsidRPr="00F43D20" w:rsidRDefault="00BA7629" w:rsidP="00750703">
            <w:pPr>
              <w:keepLines/>
              <w:ind w:right="113"/>
              <w:jc w:val="center"/>
              <w:rPr>
                <w:rFonts w:ascii="Arial Narrow" w:hAnsi="Arial Narrow"/>
                <w:sz w:val="20"/>
                <w:szCs w:val="20"/>
              </w:rPr>
            </w:pPr>
          </w:p>
        </w:tc>
        <w:tc>
          <w:tcPr>
            <w:tcW w:w="753" w:type="dxa"/>
          </w:tcPr>
          <w:p w14:paraId="26024AF5" w14:textId="6CA2DF33" w:rsidR="00BA7629" w:rsidRPr="00F43D20" w:rsidRDefault="00BA7629" w:rsidP="00750703">
            <w:pPr>
              <w:keepLines/>
              <w:ind w:hanging="35"/>
              <w:jc w:val="center"/>
              <w:rPr>
                <w:rFonts w:ascii="Arial Narrow" w:hAnsi="Arial Narrow"/>
                <w:sz w:val="20"/>
                <w:szCs w:val="20"/>
              </w:rPr>
            </w:pPr>
          </w:p>
        </w:tc>
        <w:tc>
          <w:tcPr>
            <w:tcW w:w="7603" w:type="dxa"/>
            <w:gridSpan w:val="4"/>
          </w:tcPr>
          <w:p w14:paraId="41024EE1" w14:textId="276F92ED" w:rsidR="00BA7629" w:rsidRPr="00F43D20" w:rsidRDefault="00BA7629" w:rsidP="00750703">
            <w:pPr>
              <w:keepLines/>
              <w:rPr>
                <w:rFonts w:ascii="Arial Narrow" w:hAnsi="Arial Narrow"/>
                <w:b/>
                <w:bCs/>
                <w:sz w:val="20"/>
                <w:szCs w:val="20"/>
              </w:rPr>
            </w:pPr>
            <w:r w:rsidRPr="009C471F">
              <w:rPr>
                <w:rFonts w:ascii="Arial Narrow" w:hAnsi="Arial Narrow"/>
                <w:sz w:val="20"/>
                <w:szCs w:val="20"/>
              </w:rPr>
              <w:t>Administrative Advice: No increase in the maximum amount or number of units may be authorised</w:t>
            </w:r>
          </w:p>
        </w:tc>
      </w:tr>
      <w:tr w:rsidR="00352109" w:rsidRPr="00F43D20" w14:paraId="6FD3FB9A" w14:textId="77777777" w:rsidTr="0070635B">
        <w:tblPrEx>
          <w:tblCellMar>
            <w:top w:w="15" w:type="dxa"/>
            <w:bottom w:w="15" w:type="dxa"/>
          </w:tblCellMar>
          <w:tblLook w:val="04A0" w:firstRow="1" w:lastRow="0" w:firstColumn="1" w:lastColumn="0" w:noHBand="0" w:noVBand="1"/>
        </w:tblPrEx>
        <w:trPr>
          <w:trHeight w:val="20"/>
        </w:trPr>
        <w:tc>
          <w:tcPr>
            <w:tcW w:w="660" w:type="dxa"/>
            <w:vMerge/>
            <w:vAlign w:val="center"/>
          </w:tcPr>
          <w:p w14:paraId="579170E0" w14:textId="77777777" w:rsidR="00352109" w:rsidRPr="00F43D20" w:rsidRDefault="00352109" w:rsidP="00750703">
            <w:pPr>
              <w:keepLines/>
              <w:jc w:val="center"/>
              <w:rPr>
                <w:rFonts w:ascii="Arial Narrow" w:hAnsi="Arial Narrow"/>
                <w:sz w:val="20"/>
                <w:szCs w:val="20"/>
              </w:rPr>
            </w:pPr>
          </w:p>
        </w:tc>
        <w:tc>
          <w:tcPr>
            <w:tcW w:w="753" w:type="dxa"/>
            <w:vAlign w:val="center"/>
          </w:tcPr>
          <w:p w14:paraId="01A4160C" w14:textId="3F59A03D" w:rsidR="00352109" w:rsidRPr="00F43D20" w:rsidRDefault="00352109" w:rsidP="00750703">
            <w:pPr>
              <w:keepLines/>
              <w:ind w:hanging="35"/>
              <w:jc w:val="center"/>
              <w:rPr>
                <w:rFonts w:ascii="Arial Narrow" w:hAnsi="Arial Narrow"/>
                <w:sz w:val="20"/>
                <w:szCs w:val="20"/>
              </w:rPr>
            </w:pPr>
          </w:p>
        </w:tc>
        <w:tc>
          <w:tcPr>
            <w:tcW w:w="7603" w:type="dxa"/>
            <w:gridSpan w:val="4"/>
            <w:vAlign w:val="center"/>
          </w:tcPr>
          <w:p w14:paraId="0EEE8794" w14:textId="77777777" w:rsidR="00352109" w:rsidRPr="00F43D20" w:rsidRDefault="00352109" w:rsidP="00750703">
            <w:pPr>
              <w:keepLines/>
              <w:rPr>
                <w:rFonts w:ascii="Arial Narrow" w:hAnsi="Arial Narrow"/>
                <w:b/>
                <w:bCs/>
                <w:sz w:val="20"/>
                <w:szCs w:val="20"/>
              </w:rPr>
            </w:pPr>
            <w:r w:rsidRPr="00F43D20">
              <w:rPr>
                <w:rFonts w:ascii="Arial Narrow" w:hAnsi="Arial Narrow"/>
                <w:b/>
                <w:bCs/>
                <w:sz w:val="20"/>
                <w:szCs w:val="20"/>
              </w:rPr>
              <w:t>Administrative Advice:</w:t>
            </w:r>
            <w:r w:rsidRPr="00F43D20">
              <w:rPr>
                <w:rFonts w:ascii="Open Sans" w:hAnsi="Open Sans" w:cs="Open Sans"/>
                <w:sz w:val="22"/>
                <w:szCs w:val="22"/>
                <w:shd w:val="clear" w:color="auto" w:fill="FFFFFF"/>
              </w:rPr>
              <w:t xml:space="preserve"> </w:t>
            </w:r>
            <w:r w:rsidRPr="00F43D20">
              <w:rPr>
                <w:rFonts w:ascii="Arial Narrow" w:hAnsi="Arial Narrow"/>
                <w:sz w:val="20"/>
                <w:szCs w:val="20"/>
              </w:rPr>
              <w:t>No increase in the maximum number of repeats may be authorised</w:t>
            </w:r>
          </w:p>
        </w:tc>
      </w:tr>
      <w:tr w:rsidR="00352109" w:rsidRPr="00F43D20" w14:paraId="705A5335" w14:textId="77777777" w:rsidTr="00C278EE">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7A3F70FE" w14:textId="6C650F9C" w:rsidR="00352109" w:rsidRPr="00F43D20" w:rsidRDefault="00352109" w:rsidP="00750703">
            <w:pPr>
              <w:keepLines/>
              <w:jc w:val="center"/>
              <w:rPr>
                <w:rFonts w:ascii="Arial Narrow" w:hAnsi="Arial Narrow"/>
                <w:strike/>
                <w:sz w:val="20"/>
                <w:szCs w:val="20"/>
              </w:rPr>
            </w:pPr>
          </w:p>
        </w:tc>
        <w:tc>
          <w:tcPr>
            <w:tcW w:w="7603" w:type="dxa"/>
            <w:gridSpan w:val="4"/>
            <w:vAlign w:val="center"/>
            <w:hideMark/>
          </w:tcPr>
          <w:p w14:paraId="6EDEB1DD" w14:textId="03B9B538" w:rsidR="00352109" w:rsidRPr="00F43D20" w:rsidRDefault="00352109" w:rsidP="00750703">
            <w:pPr>
              <w:keepLines/>
              <w:rPr>
                <w:rFonts w:ascii="Arial Narrow" w:hAnsi="Arial Narrow"/>
                <w:sz w:val="20"/>
                <w:szCs w:val="20"/>
              </w:rPr>
            </w:pPr>
            <w:r w:rsidRPr="00F43D20">
              <w:rPr>
                <w:rFonts w:ascii="Arial Narrow" w:hAnsi="Arial Narrow"/>
                <w:b/>
                <w:bCs/>
                <w:sz w:val="20"/>
                <w:szCs w:val="20"/>
              </w:rPr>
              <w:t>Indication:</w:t>
            </w:r>
            <w:r w:rsidRPr="00F43D20">
              <w:rPr>
                <w:rFonts w:ascii="Arial Narrow" w:hAnsi="Arial Narrow"/>
                <w:sz w:val="20"/>
                <w:szCs w:val="20"/>
              </w:rPr>
              <w:t xml:space="preserve"> </w:t>
            </w:r>
            <w:r w:rsidRPr="00F43D20">
              <w:rPr>
                <w:rFonts w:ascii="Arial Narrow" w:hAnsi="Arial Narrow"/>
                <w:bCs/>
                <w:sz w:val="20"/>
                <w:szCs w:val="20"/>
              </w:rPr>
              <w:t>Relapsed or chemotherapy refractory Peripheral T</w:t>
            </w:r>
            <w:r w:rsidR="00750703">
              <w:rPr>
                <w:rFonts w:ascii="Arial Narrow" w:hAnsi="Arial Narrow"/>
                <w:bCs/>
                <w:sz w:val="20"/>
                <w:szCs w:val="20"/>
              </w:rPr>
              <w:noBreakHyphen/>
            </w:r>
            <w:r w:rsidRPr="00F43D20">
              <w:rPr>
                <w:rFonts w:ascii="Arial Narrow" w:hAnsi="Arial Narrow"/>
                <w:bCs/>
                <w:sz w:val="20"/>
                <w:szCs w:val="20"/>
              </w:rPr>
              <w:t>cell lymphoma</w:t>
            </w:r>
          </w:p>
        </w:tc>
      </w:tr>
      <w:tr w:rsidR="00352109" w:rsidRPr="00F43D20" w14:paraId="61A5C51B"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5437160F" w14:textId="77777777" w:rsidR="00352109" w:rsidRPr="00F43D20" w:rsidRDefault="00352109" w:rsidP="00750703">
            <w:pPr>
              <w:keepLines/>
              <w:jc w:val="center"/>
              <w:rPr>
                <w:rFonts w:ascii="Arial Narrow" w:hAnsi="Arial Narrow"/>
                <w:strike/>
                <w:sz w:val="20"/>
                <w:szCs w:val="20"/>
              </w:rPr>
            </w:pPr>
          </w:p>
        </w:tc>
        <w:tc>
          <w:tcPr>
            <w:tcW w:w="7603" w:type="dxa"/>
            <w:gridSpan w:val="4"/>
            <w:vAlign w:val="center"/>
          </w:tcPr>
          <w:p w14:paraId="60561663" w14:textId="77777777" w:rsidR="00352109" w:rsidRPr="00F43D20" w:rsidRDefault="00352109" w:rsidP="00750703">
            <w:pPr>
              <w:keepLines/>
              <w:rPr>
                <w:rFonts w:ascii="Arial Narrow" w:hAnsi="Arial Narrow"/>
                <w:sz w:val="20"/>
                <w:szCs w:val="20"/>
              </w:rPr>
            </w:pPr>
            <w:r w:rsidRPr="00F43D20">
              <w:rPr>
                <w:rFonts w:ascii="Arial Narrow" w:hAnsi="Arial Narrow"/>
                <w:b/>
                <w:bCs/>
                <w:sz w:val="20"/>
                <w:szCs w:val="20"/>
              </w:rPr>
              <w:t xml:space="preserve">Treatment Phase: </w:t>
            </w:r>
            <w:r w:rsidRPr="00F43D20">
              <w:rPr>
                <w:rFonts w:ascii="Arial Narrow" w:hAnsi="Arial Narrow"/>
                <w:sz w:val="20"/>
                <w:szCs w:val="20"/>
              </w:rPr>
              <w:t>Continuing treatment</w:t>
            </w:r>
          </w:p>
        </w:tc>
      </w:tr>
      <w:tr w:rsidR="00352109" w:rsidRPr="00F43D20" w14:paraId="18B1FFB0"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2F87814A" w14:textId="7C14D080" w:rsidR="00352109" w:rsidRPr="00F43D20" w:rsidRDefault="00352109" w:rsidP="00750703">
            <w:pPr>
              <w:jc w:val="center"/>
              <w:rPr>
                <w:rFonts w:ascii="Arial Narrow" w:hAnsi="Arial Narrow"/>
                <w:strike/>
                <w:sz w:val="20"/>
                <w:szCs w:val="20"/>
              </w:rPr>
            </w:pPr>
          </w:p>
        </w:tc>
        <w:tc>
          <w:tcPr>
            <w:tcW w:w="7603" w:type="dxa"/>
            <w:gridSpan w:val="4"/>
            <w:vAlign w:val="center"/>
            <w:hideMark/>
          </w:tcPr>
          <w:p w14:paraId="7C77BD9C" w14:textId="77777777" w:rsidR="00352109" w:rsidRPr="00F43D20" w:rsidRDefault="00352109" w:rsidP="00750703">
            <w:pPr>
              <w:rPr>
                <w:rFonts w:ascii="Arial Narrow" w:hAnsi="Arial Narrow"/>
                <w:sz w:val="20"/>
                <w:szCs w:val="20"/>
              </w:rPr>
            </w:pPr>
            <w:r w:rsidRPr="00F43D20">
              <w:rPr>
                <w:rFonts w:ascii="Arial Narrow" w:hAnsi="Arial Narrow"/>
                <w:b/>
                <w:bCs/>
                <w:sz w:val="20"/>
                <w:szCs w:val="20"/>
              </w:rPr>
              <w:t xml:space="preserve">Clinical criteria: </w:t>
            </w:r>
          </w:p>
        </w:tc>
      </w:tr>
      <w:tr w:rsidR="00352109" w:rsidRPr="00F43D20" w14:paraId="3ABA3B71"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7FAAB9B5" w14:textId="458FB004" w:rsidR="00352109" w:rsidRPr="00F43D20" w:rsidRDefault="00352109" w:rsidP="00750703">
            <w:pPr>
              <w:jc w:val="center"/>
              <w:rPr>
                <w:rFonts w:ascii="Arial Narrow" w:hAnsi="Arial Narrow"/>
                <w:strike/>
                <w:sz w:val="20"/>
                <w:szCs w:val="20"/>
              </w:rPr>
            </w:pPr>
          </w:p>
        </w:tc>
        <w:tc>
          <w:tcPr>
            <w:tcW w:w="7603" w:type="dxa"/>
            <w:gridSpan w:val="4"/>
            <w:vAlign w:val="center"/>
            <w:hideMark/>
          </w:tcPr>
          <w:p w14:paraId="53A34C7D" w14:textId="77777777" w:rsidR="00352109" w:rsidRPr="00F43D20" w:rsidRDefault="00352109" w:rsidP="00750703">
            <w:pPr>
              <w:rPr>
                <w:rFonts w:ascii="Arial Narrow" w:hAnsi="Arial Narrow"/>
                <w:sz w:val="20"/>
                <w:szCs w:val="20"/>
                <w:lang w:val="en-GB"/>
              </w:rPr>
            </w:pPr>
            <w:r w:rsidRPr="00F43D20">
              <w:rPr>
                <w:rFonts w:ascii="Arial Narrow" w:hAnsi="Arial Narrow"/>
                <w:sz w:val="20"/>
                <w:szCs w:val="20"/>
                <w:lang w:val="en-GB"/>
              </w:rPr>
              <w:t>The condition must be relapsed or chemotherapy refractory</w:t>
            </w:r>
          </w:p>
        </w:tc>
      </w:tr>
      <w:tr w:rsidR="00352109" w:rsidRPr="00F43D20" w14:paraId="4A94CD6D"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15872456" w14:textId="77777777" w:rsidR="00352109" w:rsidRPr="00F43D20" w:rsidDel="00380D66" w:rsidRDefault="00352109" w:rsidP="00750703">
            <w:pPr>
              <w:jc w:val="center"/>
              <w:rPr>
                <w:rFonts w:ascii="Arial Narrow" w:hAnsi="Arial Narrow"/>
                <w:sz w:val="20"/>
                <w:szCs w:val="20"/>
              </w:rPr>
            </w:pPr>
          </w:p>
        </w:tc>
        <w:tc>
          <w:tcPr>
            <w:tcW w:w="7603" w:type="dxa"/>
            <w:gridSpan w:val="4"/>
            <w:vAlign w:val="center"/>
          </w:tcPr>
          <w:p w14:paraId="7C89B940" w14:textId="77777777" w:rsidR="00352109" w:rsidRPr="00F43D20" w:rsidRDefault="00352109" w:rsidP="00750703">
            <w:pPr>
              <w:rPr>
                <w:rFonts w:ascii="Arial Narrow" w:hAnsi="Arial Narrow"/>
                <w:b/>
                <w:bCs/>
                <w:sz w:val="20"/>
                <w:szCs w:val="20"/>
              </w:rPr>
            </w:pPr>
            <w:r w:rsidRPr="00F43D20">
              <w:rPr>
                <w:rFonts w:ascii="Arial Narrow" w:hAnsi="Arial Narrow"/>
                <w:b/>
                <w:bCs/>
                <w:sz w:val="20"/>
                <w:szCs w:val="20"/>
              </w:rPr>
              <w:t>AND</w:t>
            </w:r>
          </w:p>
        </w:tc>
      </w:tr>
      <w:tr w:rsidR="00352109" w:rsidRPr="00F43D20" w14:paraId="294BEC81"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4999AE22" w14:textId="34606A7C" w:rsidR="00352109" w:rsidRPr="00F43D20" w:rsidRDefault="00352109" w:rsidP="00750703">
            <w:pPr>
              <w:jc w:val="center"/>
              <w:rPr>
                <w:rFonts w:ascii="Arial Narrow" w:hAnsi="Arial Narrow"/>
                <w:sz w:val="20"/>
                <w:szCs w:val="20"/>
              </w:rPr>
            </w:pPr>
          </w:p>
        </w:tc>
        <w:tc>
          <w:tcPr>
            <w:tcW w:w="7603" w:type="dxa"/>
            <w:gridSpan w:val="4"/>
            <w:vAlign w:val="center"/>
          </w:tcPr>
          <w:p w14:paraId="27BA1888" w14:textId="77777777" w:rsidR="00352109" w:rsidRPr="00F43D20" w:rsidRDefault="00352109" w:rsidP="00750703">
            <w:pPr>
              <w:rPr>
                <w:rFonts w:ascii="Arial Narrow" w:hAnsi="Arial Narrow"/>
                <w:sz w:val="20"/>
                <w:szCs w:val="20"/>
                <w:lang w:val="en-GB"/>
              </w:rPr>
            </w:pPr>
            <w:r w:rsidRPr="00F43D20">
              <w:rPr>
                <w:rFonts w:ascii="Arial Narrow" w:hAnsi="Arial Narrow"/>
                <w:b/>
                <w:bCs/>
                <w:sz w:val="20"/>
                <w:szCs w:val="20"/>
              </w:rPr>
              <w:t xml:space="preserve">Clinical criteria: </w:t>
            </w:r>
          </w:p>
        </w:tc>
      </w:tr>
      <w:tr w:rsidR="00352109" w:rsidRPr="00F43D20" w14:paraId="42CB0195"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60BCD532" w14:textId="71E1F980" w:rsidR="00352109" w:rsidRPr="00F43D20" w:rsidRDefault="00352109" w:rsidP="00750703">
            <w:pPr>
              <w:jc w:val="center"/>
              <w:rPr>
                <w:rFonts w:ascii="Arial Narrow" w:hAnsi="Arial Narrow"/>
                <w:sz w:val="20"/>
                <w:szCs w:val="20"/>
              </w:rPr>
            </w:pPr>
          </w:p>
        </w:tc>
        <w:tc>
          <w:tcPr>
            <w:tcW w:w="7603" w:type="dxa"/>
            <w:gridSpan w:val="4"/>
            <w:vAlign w:val="center"/>
          </w:tcPr>
          <w:p w14:paraId="474BD22E" w14:textId="237C5B50" w:rsidR="00352109" w:rsidRPr="00F43D20" w:rsidDel="00084238" w:rsidRDefault="00352109" w:rsidP="00750703">
            <w:pPr>
              <w:rPr>
                <w:rFonts w:ascii="Arial Narrow" w:hAnsi="Arial Narrow"/>
                <w:sz w:val="20"/>
                <w:szCs w:val="20"/>
                <w:lang w:val="en-GB"/>
              </w:rPr>
            </w:pPr>
            <w:r w:rsidRPr="00F43D20">
              <w:rPr>
                <w:rFonts w:ascii="Arial Narrow" w:hAnsi="Arial Narrow"/>
                <w:sz w:val="20"/>
                <w:szCs w:val="20"/>
                <w:lang w:val="en-GB"/>
              </w:rPr>
              <w:t>Patient must not develop progressive disease while receiving PBS</w:t>
            </w:r>
            <w:r w:rsidR="00750703">
              <w:rPr>
                <w:rFonts w:ascii="Arial Narrow" w:hAnsi="Arial Narrow"/>
                <w:sz w:val="20"/>
                <w:szCs w:val="20"/>
                <w:lang w:val="en-GB"/>
              </w:rPr>
              <w:noBreakHyphen/>
            </w:r>
            <w:r w:rsidRPr="00F43D20">
              <w:rPr>
                <w:rFonts w:ascii="Arial Narrow" w:hAnsi="Arial Narrow"/>
                <w:sz w:val="20"/>
                <w:szCs w:val="20"/>
                <w:lang w:val="en-GB"/>
              </w:rPr>
              <w:t>subsidised treatment with this drug for this condition</w:t>
            </w:r>
          </w:p>
        </w:tc>
      </w:tr>
      <w:tr w:rsidR="00352109" w:rsidRPr="00F43D20" w14:paraId="38506B80"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010886ED" w14:textId="77777777" w:rsidR="00352109" w:rsidRPr="00F43D20" w:rsidRDefault="00352109" w:rsidP="00750703">
            <w:pPr>
              <w:jc w:val="center"/>
              <w:rPr>
                <w:rFonts w:ascii="Arial Narrow" w:hAnsi="Arial Narrow"/>
                <w:sz w:val="20"/>
                <w:szCs w:val="20"/>
              </w:rPr>
            </w:pPr>
          </w:p>
        </w:tc>
        <w:tc>
          <w:tcPr>
            <w:tcW w:w="7603" w:type="dxa"/>
            <w:gridSpan w:val="4"/>
            <w:vAlign w:val="center"/>
          </w:tcPr>
          <w:p w14:paraId="3F2CE4C0" w14:textId="77777777" w:rsidR="00352109" w:rsidRPr="00F43D20" w:rsidRDefault="00352109" w:rsidP="00750703">
            <w:pPr>
              <w:rPr>
                <w:rFonts w:ascii="Arial Narrow" w:hAnsi="Arial Narrow"/>
                <w:sz w:val="20"/>
                <w:szCs w:val="20"/>
                <w:lang w:val="en-GB"/>
              </w:rPr>
            </w:pPr>
            <w:r w:rsidRPr="00F43D20">
              <w:rPr>
                <w:rFonts w:ascii="Arial Narrow" w:hAnsi="Arial Narrow"/>
                <w:b/>
                <w:bCs/>
                <w:sz w:val="20"/>
                <w:szCs w:val="20"/>
              </w:rPr>
              <w:t>AND</w:t>
            </w:r>
          </w:p>
        </w:tc>
      </w:tr>
      <w:tr w:rsidR="00352109" w:rsidRPr="00F43D20" w14:paraId="2765E8ED"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0038D2F6" w14:textId="052D9745" w:rsidR="00352109" w:rsidRPr="00F43D20" w:rsidRDefault="00352109" w:rsidP="00750703">
            <w:pPr>
              <w:jc w:val="center"/>
              <w:rPr>
                <w:rFonts w:ascii="Arial Narrow" w:hAnsi="Arial Narrow"/>
                <w:sz w:val="20"/>
                <w:szCs w:val="20"/>
              </w:rPr>
            </w:pPr>
          </w:p>
        </w:tc>
        <w:tc>
          <w:tcPr>
            <w:tcW w:w="7603" w:type="dxa"/>
            <w:gridSpan w:val="4"/>
            <w:vAlign w:val="center"/>
          </w:tcPr>
          <w:p w14:paraId="1F01E975" w14:textId="77777777" w:rsidR="00352109" w:rsidRPr="00F43D20" w:rsidRDefault="00352109" w:rsidP="00750703">
            <w:pPr>
              <w:rPr>
                <w:rFonts w:ascii="Arial Narrow" w:hAnsi="Arial Narrow"/>
                <w:sz w:val="20"/>
                <w:szCs w:val="20"/>
                <w:lang w:val="en-GB"/>
              </w:rPr>
            </w:pPr>
            <w:r w:rsidRPr="00F43D20">
              <w:rPr>
                <w:rFonts w:ascii="Arial Narrow" w:hAnsi="Arial Narrow"/>
                <w:b/>
                <w:bCs/>
                <w:sz w:val="20"/>
                <w:szCs w:val="20"/>
              </w:rPr>
              <w:t xml:space="preserve">Clinical criteria: </w:t>
            </w:r>
          </w:p>
        </w:tc>
      </w:tr>
      <w:tr w:rsidR="00352109" w:rsidRPr="00F43D20" w14:paraId="78385900"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0BA58F89" w14:textId="4110D79B" w:rsidR="00352109" w:rsidRPr="00F43D20" w:rsidRDefault="00352109" w:rsidP="00750703">
            <w:pPr>
              <w:jc w:val="center"/>
              <w:rPr>
                <w:rFonts w:ascii="Arial Narrow" w:hAnsi="Arial Narrow"/>
                <w:sz w:val="20"/>
                <w:szCs w:val="20"/>
              </w:rPr>
            </w:pPr>
          </w:p>
        </w:tc>
        <w:tc>
          <w:tcPr>
            <w:tcW w:w="7603" w:type="dxa"/>
            <w:gridSpan w:val="4"/>
            <w:vAlign w:val="center"/>
          </w:tcPr>
          <w:p w14:paraId="69804087" w14:textId="2E4B1FF6" w:rsidR="00352109" w:rsidRPr="00F43D20" w:rsidRDefault="00352109" w:rsidP="00750703">
            <w:pPr>
              <w:rPr>
                <w:rFonts w:ascii="Arial Narrow" w:hAnsi="Arial Narrow"/>
                <w:sz w:val="20"/>
                <w:szCs w:val="20"/>
                <w:lang w:val="en-GB"/>
              </w:rPr>
            </w:pPr>
            <w:r w:rsidRPr="00F43D20">
              <w:rPr>
                <w:rFonts w:ascii="Arial Narrow" w:hAnsi="Arial Narrow"/>
                <w:sz w:val="20"/>
                <w:szCs w:val="20"/>
                <w:lang w:val="en-GB"/>
              </w:rPr>
              <w:t>Patient must have previously received PBS</w:t>
            </w:r>
            <w:r w:rsidR="00750703">
              <w:rPr>
                <w:rFonts w:ascii="Arial Narrow" w:hAnsi="Arial Narrow"/>
                <w:sz w:val="20"/>
                <w:szCs w:val="20"/>
                <w:lang w:val="en-GB"/>
              </w:rPr>
              <w:noBreakHyphen/>
            </w:r>
            <w:r w:rsidRPr="00F43D20">
              <w:rPr>
                <w:rFonts w:ascii="Arial Narrow" w:hAnsi="Arial Narrow"/>
                <w:sz w:val="20"/>
                <w:szCs w:val="20"/>
                <w:lang w:val="en-GB"/>
              </w:rPr>
              <w:t>subsidised treatment with this drug for this condition</w:t>
            </w:r>
          </w:p>
        </w:tc>
      </w:tr>
      <w:tr w:rsidR="00352109" w:rsidRPr="00F43D20" w14:paraId="75458F09"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24BB4CAA" w14:textId="77777777" w:rsidR="00352109" w:rsidRPr="00F43D20" w:rsidRDefault="00352109" w:rsidP="00750703">
            <w:pPr>
              <w:jc w:val="center"/>
              <w:rPr>
                <w:rFonts w:ascii="Arial Narrow" w:hAnsi="Arial Narrow"/>
                <w:sz w:val="20"/>
                <w:szCs w:val="20"/>
              </w:rPr>
            </w:pPr>
          </w:p>
        </w:tc>
        <w:tc>
          <w:tcPr>
            <w:tcW w:w="7603" w:type="dxa"/>
            <w:gridSpan w:val="4"/>
            <w:vAlign w:val="center"/>
          </w:tcPr>
          <w:p w14:paraId="4078CC61" w14:textId="77777777" w:rsidR="00352109" w:rsidRPr="00F43D20" w:rsidRDefault="00352109" w:rsidP="00750703">
            <w:pPr>
              <w:rPr>
                <w:rFonts w:ascii="Arial Narrow" w:hAnsi="Arial Narrow"/>
                <w:sz w:val="20"/>
                <w:szCs w:val="20"/>
                <w:lang w:val="en-GB"/>
              </w:rPr>
            </w:pPr>
            <w:r w:rsidRPr="00F43D20">
              <w:rPr>
                <w:rFonts w:ascii="Arial Narrow" w:hAnsi="Arial Narrow"/>
                <w:b/>
                <w:bCs/>
                <w:sz w:val="20"/>
                <w:szCs w:val="20"/>
              </w:rPr>
              <w:t>AND</w:t>
            </w:r>
          </w:p>
        </w:tc>
      </w:tr>
      <w:tr w:rsidR="00352109" w:rsidRPr="00F43D20" w14:paraId="57CDF20D"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088D3865" w14:textId="3E2C2F39" w:rsidR="00352109" w:rsidRPr="00F43D20" w:rsidRDefault="00352109" w:rsidP="00750703">
            <w:pPr>
              <w:jc w:val="center"/>
              <w:rPr>
                <w:rFonts w:ascii="Arial Narrow" w:hAnsi="Arial Narrow"/>
                <w:sz w:val="20"/>
                <w:szCs w:val="20"/>
              </w:rPr>
            </w:pPr>
          </w:p>
        </w:tc>
        <w:tc>
          <w:tcPr>
            <w:tcW w:w="7603" w:type="dxa"/>
            <w:gridSpan w:val="4"/>
            <w:vAlign w:val="center"/>
          </w:tcPr>
          <w:p w14:paraId="2CB9325D" w14:textId="77777777" w:rsidR="00352109" w:rsidRPr="00F43D20" w:rsidRDefault="00352109" w:rsidP="00750703">
            <w:pPr>
              <w:rPr>
                <w:rFonts w:ascii="Arial Narrow" w:hAnsi="Arial Narrow"/>
                <w:sz w:val="20"/>
                <w:szCs w:val="20"/>
                <w:lang w:val="en-GB"/>
              </w:rPr>
            </w:pPr>
            <w:r w:rsidRPr="00F43D20">
              <w:rPr>
                <w:rFonts w:ascii="Arial Narrow" w:hAnsi="Arial Narrow"/>
                <w:b/>
                <w:bCs/>
                <w:sz w:val="20"/>
                <w:szCs w:val="20"/>
              </w:rPr>
              <w:t xml:space="preserve">Clinical criteria: </w:t>
            </w:r>
          </w:p>
        </w:tc>
      </w:tr>
      <w:tr w:rsidR="00352109" w:rsidRPr="00F43D20" w14:paraId="7B256977"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12CBB584" w14:textId="401C7659" w:rsidR="00352109" w:rsidRPr="00F43D20" w:rsidRDefault="00352109" w:rsidP="00750703">
            <w:pPr>
              <w:jc w:val="center"/>
              <w:rPr>
                <w:rFonts w:ascii="Arial Narrow" w:hAnsi="Arial Narrow"/>
                <w:sz w:val="20"/>
                <w:szCs w:val="20"/>
              </w:rPr>
            </w:pPr>
          </w:p>
        </w:tc>
        <w:tc>
          <w:tcPr>
            <w:tcW w:w="7603" w:type="dxa"/>
            <w:gridSpan w:val="4"/>
            <w:vAlign w:val="center"/>
          </w:tcPr>
          <w:p w14:paraId="2BFF45CC" w14:textId="1D875FB5" w:rsidR="00352109" w:rsidRPr="00F43D20" w:rsidRDefault="00352109" w:rsidP="00750703">
            <w:pPr>
              <w:rPr>
                <w:rFonts w:ascii="Arial Narrow" w:hAnsi="Arial Narrow"/>
                <w:sz w:val="20"/>
                <w:szCs w:val="20"/>
                <w:lang w:val="en-GB"/>
              </w:rPr>
            </w:pPr>
            <w:r w:rsidRPr="00F43D20">
              <w:rPr>
                <w:rFonts w:ascii="Arial Narrow" w:hAnsi="Arial Narrow"/>
                <w:sz w:val="20"/>
                <w:szCs w:val="20"/>
              </w:rPr>
              <w:t>The treatment must be the sole PBS</w:t>
            </w:r>
            <w:r w:rsidR="00750703">
              <w:rPr>
                <w:rFonts w:ascii="Arial Narrow" w:hAnsi="Arial Narrow"/>
                <w:sz w:val="20"/>
                <w:szCs w:val="20"/>
              </w:rPr>
              <w:noBreakHyphen/>
            </w:r>
            <w:r w:rsidRPr="00F43D20">
              <w:rPr>
                <w:rFonts w:ascii="Arial Narrow" w:hAnsi="Arial Narrow"/>
                <w:sz w:val="20"/>
                <w:szCs w:val="20"/>
              </w:rPr>
              <w:t>subsidised systemic anti</w:t>
            </w:r>
            <w:r w:rsidR="00750703">
              <w:rPr>
                <w:rFonts w:ascii="Arial Narrow" w:hAnsi="Arial Narrow"/>
                <w:sz w:val="20"/>
                <w:szCs w:val="20"/>
              </w:rPr>
              <w:noBreakHyphen/>
            </w:r>
            <w:r w:rsidRPr="00F43D20">
              <w:rPr>
                <w:rFonts w:ascii="Arial Narrow" w:hAnsi="Arial Narrow"/>
                <w:sz w:val="20"/>
                <w:szCs w:val="20"/>
              </w:rPr>
              <w:t>cancer therapy for this PBS indication.</w:t>
            </w:r>
          </w:p>
        </w:tc>
      </w:tr>
      <w:tr w:rsidR="00352109" w:rsidRPr="00F43D20" w14:paraId="2C4C833F" w14:textId="77777777" w:rsidTr="00F850C3">
        <w:tblPrEx>
          <w:tblCellMar>
            <w:top w:w="15" w:type="dxa"/>
            <w:bottom w:w="15" w:type="dxa"/>
          </w:tblCellMar>
          <w:tblLook w:val="04A0" w:firstRow="1" w:lastRow="0" w:firstColumn="1" w:lastColumn="0" w:noHBand="0" w:noVBand="1"/>
        </w:tblPrEx>
        <w:trPr>
          <w:cantSplit/>
          <w:trHeight w:val="20"/>
        </w:trPr>
        <w:tc>
          <w:tcPr>
            <w:tcW w:w="9016" w:type="dxa"/>
            <w:gridSpan w:val="6"/>
            <w:vAlign w:val="center"/>
          </w:tcPr>
          <w:p w14:paraId="654BE992" w14:textId="77777777" w:rsidR="00352109" w:rsidRPr="00F43D20" w:rsidRDefault="00352109" w:rsidP="00750703">
            <w:pPr>
              <w:rPr>
                <w:rFonts w:ascii="Arial Narrow" w:hAnsi="Arial Narrow"/>
                <w:sz w:val="20"/>
                <w:szCs w:val="20"/>
                <w:lang w:val="en-GB"/>
              </w:rPr>
            </w:pPr>
          </w:p>
        </w:tc>
      </w:tr>
      <w:tr w:rsidR="00352109" w:rsidRPr="00F43D20" w14:paraId="40472DED" w14:textId="77777777" w:rsidTr="00CE5E16">
        <w:tblPrEx>
          <w:tblCellMar>
            <w:top w:w="15" w:type="dxa"/>
            <w:bottom w:w="15" w:type="dxa"/>
          </w:tblCellMar>
          <w:tblLook w:val="04A0" w:firstRow="1" w:lastRow="0" w:firstColumn="1" w:lastColumn="0" w:noHBand="0" w:noVBand="1"/>
        </w:tblPrEx>
        <w:trPr>
          <w:cantSplit/>
          <w:trHeight w:val="391"/>
        </w:trPr>
        <w:tc>
          <w:tcPr>
            <w:tcW w:w="9016" w:type="dxa"/>
            <w:gridSpan w:val="6"/>
            <w:vAlign w:val="center"/>
          </w:tcPr>
          <w:p w14:paraId="0E53CF5F" w14:textId="77777777" w:rsidR="00352109" w:rsidRPr="00F43D20" w:rsidRDefault="00352109" w:rsidP="00750703">
            <w:pPr>
              <w:rPr>
                <w:rFonts w:ascii="Arial Narrow" w:hAnsi="Arial Narrow"/>
                <w:sz w:val="20"/>
                <w:szCs w:val="20"/>
                <w:lang w:val="en-GB"/>
              </w:rPr>
            </w:pPr>
            <w:r w:rsidRPr="00F43D20">
              <w:rPr>
                <w:rFonts w:ascii="Arial Narrow" w:hAnsi="Arial Narrow"/>
                <w:b/>
                <w:sz w:val="20"/>
                <w:szCs w:val="20"/>
              </w:rPr>
              <w:t>Restriction Summary [New] / Treatment of Concept: [New]</w:t>
            </w:r>
          </w:p>
        </w:tc>
      </w:tr>
      <w:tr w:rsidR="00352109" w:rsidRPr="00F43D20" w14:paraId="0F9F75C2"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3FD3DEB5" w14:textId="1EF5099A" w:rsidR="00352109" w:rsidRPr="00F43D20" w:rsidRDefault="00352109" w:rsidP="00750703">
            <w:pPr>
              <w:jc w:val="center"/>
              <w:rPr>
                <w:rFonts w:ascii="Arial Narrow" w:hAnsi="Arial Narrow"/>
                <w:b/>
                <w:sz w:val="20"/>
                <w:szCs w:val="20"/>
              </w:rPr>
            </w:pPr>
          </w:p>
        </w:tc>
        <w:tc>
          <w:tcPr>
            <w:tcW w:w="7603" w:type="dxa"/>
            <w:gridSpan w:val="4"/>
            <w:vAlign w:val="center"/>
          </w:tcPr>
          <w:p w14:paraId="3E13909C" w14:textId="64C75608" w:rsidR="00352109" w:rsidRPr="00F43D20" w:rsidRDefault="00352109" w:rsidP="00750703">
            <w:pPr>
              <w:rPr>
                <w:rFonts w:ascii="Arial Narrow" w:hAnsi="Arial Narrow"/>
                <w:b/>
                <w:sz w:val="20"/>
                <w:szCs w:val="20"/>
              </w:rPr>
            </w:pPr>
            <w:r w:rsidRPr="00F43D20">
              <w:rPr>
                <w:rFonts w:ascii="Arial Narrow" w:hAnsi="Arial Narrow"/>
                <w:b/>
                <w:bCs/>
                <w:sz w:val="20"/>
                <w:szCs w:val="20"/>
              </w:rPr>
              <w:t>Indication:</w:t>
            </w:r>
            <w:r w:rsidRPr="00F43D20">
              <w:rPr>
                <w:rFonts w:ascii="Arial Narrow" w:hAnsi="Arial Narrow"/>
                <w:sz w:val="20"/>
                <w:szCs w:val="20"/>
              </w:rPr>
              <w:t xml:space="preserve"> </w:t>
            </w:r>
            <w:r w:rsidRPr="00F43D20">
              <w:rPr>
                <w:rFonts w:ascii="Arial Narrow" w:hAnsi="Arial Narrow"/>
                <w:bCs/>
                <w:sz w:val="20"/>
                <w:szCs w:val="20"/>
              </w:rPr>
              <w:t>Relapsed or chemotherapy refractory Peripheral T</w:t>
            </w:r>
            <w:r w:rsidR="00750703">
              <w:rPr>
                <w:rFonts w:ascii="Arial Narrow" w:hAnsi="Arial Narrow"/>
                <w:bCs/>
                <w:sz w:val="20"/>
                <w:szCs w:val="20"/>
              </w:rPr>
              <w:noBreakHyphen/>
            </w:r>
            <w:r w:rsidRPr="00F43D20">
              <w:rPr>
                <w:rFonts w:ascii="Arial Narrow" w:hAnsi="Arial Narrow"/>
                <w:bCs/>
                <w:sz w:val="20"/>
                <w:szCs w:val="20"/>
              </w:rPr>
              <w:t>cell lymphoma</w:t>
            </w:r>
          </w:p>
        </w:tc>
      </w:tr>
      <w:tr w:rsidR="00352109" w:rsidRPr="00F43D20" w14:paraId="04E77FFF"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73755915" w14:textId="77777777" w:rsidR="00352109" w:rsidRPr="00F43D20" w:rsidRDefault="00352109" w:rsidP="00750703">
            <w:pPr>
              <w:rPr>
                <w:rFonts w:ascii="Arial Narrow" w:hAnsi="Arial Narrow"/>
                <w:b/>
                <w:sz w:val="20"/>
                <w:szCs w:val="20"/>
              </w:rPr>
            </w:pPr>
          </w:p>
        </w:tc>
        <w:tc>
          <w:tcPr>
            <w:tcW w:w="7603" w:type="dxa"/>
            <w:gridSpan w:val="4"/>
            <w:vAlign w:val="center"/>
          </w:tcPr>
          <w:p w14:paraId="77E77103" w14:textId="632F3DC1" w:rsidR="00352109" w:rsidRPr="00F43D20" w:rsidRDefault="00352109" w:rsidP="00750703">
            <w:pPr>
              <w:rPr>
                <w:rFonts w:ascii="Arial Narrow" w:hAnsi="Arial Narrow"/>
                <w:b/>
                <w:sz w:val="20"/>
                <w:szCs w:val="20"/>
              </w:rPr>
            </w:pPr>
            <w:r w:rsidRPr="00F43D20">
              <w:rPr>
                <w:rFonts w:ascii="Arial Narrow" w:hAnsi="Arial Narrow"/>
                <w:b/>
                <w:bCs/>
                <w:sz w:val="20"/>
                <w:szCs w:val="20"/>
              </w:rPr>
              <w:t xml:space="preserve">Treatment Phase: </w:t>
            </w:r>
            <w:r w:rsidRPr="00F43D20">
              <w:rPr>
                <w:rFonts w:ascii="Arial Narrow" w:hAnsi="Arial Narrow"/>
                <w:sz w:val="20"/>
                <w:szCs w:val="20"/>
              </w:rPr>
              <w:t>Transitioning from non</w:t>
            </w:r>
            <w:r w:rsidR="00750703">
              <w:rPr>
                <w:rFonts w:ascii="Arial Narrow" w:hAnsi="Arial Narrow"/>
                <w:sz w:val="20"/>
                <w:szCs w:val="20"/>
              </w:rPr>
              <w:noBreakHyphen/>
            </w:r>
            <w:r w:rsidRPr="00F43D20">
              <w:rPr>
                <w:rFonts w:ascii="Arial Narrow" w:hAnsi="Arial Narrow"/>
                <w:sz w:val="20"/>
                <w:szCs w:val="20"/>
              </w:rPr>
              <w:t>PBS subsidised treatment</w:t>
            </w:r>
            <w:r w:rsidR="00750703">
              <w:rPr>
                <w:rFonts w:ascii="Arial Narrow" w:hAnsi="Arial Narrow"/>
                <w:sz w:val="20"/>
                <w:szCs w:val="20"/>
              </w:rPr>
              <w:noBreakHyphen/>
            </w:r>
            <w:r w:rsidRPr="00F43D20">
              <w:rPr>
                <w:rFonts w:ascii="Arial Narrow" w:hAnsi="Arial Narrow"/>
                <w:b/>
                <w:bCs/>
                <w:sz w:val="20"/>
                <w:szCs w:val="20"/>
              </w:rPr>
              <w:t xml:space="preserve"> </w:t>
            </w:r>
            <w:r w:rsidRPr="00F43D20">
              <w:rPr>
                <w:rFonts w:ascii="Arial Narrow" w:hAnsi="Arial Narrow"/>
                <w:sz w:val="20"/>
                <w:szCs w:val="20"/>
              </w:rPr>
              <w:t>Grandfather arrangement</w:t>
            </w:r>
          </w:p>
        </w:tc>
      </w:tr>
      <w:tr w:rsidR="00352109" w:rsidRPr="00F43D20" w14:paraId="6DD37E24"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40260F83" w14:textId="397E278C" w:rsidR="00352109" w:rsidRPr="00F43D20" w:rsidRDefault="00352109" w:rsidP="00750703">
            <w:pPr>
              <w:jc w:val="center"/>
              <w:rPr>
                <w:rFonts w:ascii="Arial Narrow" w:hAnsi="Arial Narrow"/>
                <w:bCs/>
                <w:sz w:val="20"/>
                <w:szCs w:val="20"/>
              </w:rPr>
            </w:pPr>
          </w:p>
        </w:tc>
        <w:tc>
          <w:tcPr>
            <w:tcW w:w="7603" w:type="dxa"/>
            <w:gridSpan w:val="4"/>
            <w:vAlign w:val="center"/>
          </w:tcPr>
          <w:p w14:paraId="0F2DDF12" w14:textId="77777777" w:rsidR="00352109" w:rsidRPr="00F43D20" w:rsidRDefault="00352109" w:rsidP="00750703">
            <w:pPr>
              <w:rPr>
                <w:rFonts w:ascii="Arial Narrow" w:hAnsi="Arial Narrow"/>
                <w:b/>
                <w:sz w:val="20"/>
                <w:szCs w:val="20"/>
              </w:rPr>
            </w:pPr>
            <w:r w:rsidRPr="00F43D20">
              <w:rPr>
                <w:rFonts w:ascii="Arial Narrow" w:hAnsi="Arial Narrow"/>
                <w:b/>
                <w:bCs/>
                <w:sz w:val="20"/>
                <w:szCs w:val="20"/>
              </w:rPr>
              <w:t xml:space="preserve">Clinical criteria: </w:t>
            </w:r>
          </w:p>
        </w:tc>
      </w:tr>
      <w:tr w:rsidR="00352109" w:rsidRPr="00F43D20" w14:paraId="05B5C1DD"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659B2BA7" w14:textId="37BFEE17" w:rsidR="00352109" w:rsidRPr="00F43D20" w:rsidRDefault="00352109" w:rsidP="00750703">
            <w:pPr>
              <w:jc w:val="center"/>
              <w:rPr>
                <w:rFonts w:ascii="Arial Narrow" w:hAnsi="Arial Narrow"/>
                <w:sz w:val="20"/>
                <w:szCs w:val="20"/>
              </w:rPr>
            </w:pPr>
          </w:p>
        </w:tc>
        <w:tc>
          <w:tcPr>
            <w:tcW w:w="7603" w:type="dxa"/>
            <w:gridSpan w:val="4"/>
            <w:vAlign w:val="center"/>
          </w:tcPr>
          <w:p w14:paraId="0CE69A2F" w14:textId="59D967BB" w:rsidR="00352109" w:rsidRPr="00F43D20" w:rsidRDefault="00352109" w:rsidP="00750703">
            <w:pPr>
              <w:rPr>
                <w:rFonts w:ascii="Arial Narrow" w:hAnsi="Arial Narrow"/>
                <w:b/>
                <w:bCs/>
                <w:sz w:val="20"/>
                <w:szCs w:val="20"/>
              </w:rPr>
            </w:pPr>
            <w:r w:rsidRPr="00F43D20">
              <w:rPr>
                <w:rFonts w:ascii="Arial Narrow" w:hAnsi="Arial Narrow"/>
                <w:sz w:val="20"/>
                <w:szCs w:val="20"/>
                <w:lang w:val="en-GB"/>
              </w:rPr>
              <w:t>Patient must have previously received non</w:t>
            </w:r>
            <w:r w:rsidR="00750703">
              <w:rPr>
                <w:rFonts w:ascii="Arial Narrow" w:hAnsi="Arial Narrow"/>
                <w:sz w:val="20"/>
                <w:szCs w:val="20"/>
                <w:lang w:val="en-GB"/>
              </w:rPr>
              <w:noBreakHyphen/>
            </w:r>
            <w:r w:rsidRPr="00F43D20">
              <w:rPr>
                <w:rFonts w:ascii="Arial Narrow" w:hAnsi="Arial Narrow"/>
                <w:sz w:val="20"/>
                <w:szCs w:val="20"/>
                <w:lang w:val="en-GB"/>
              </w:rPr>
              <w:t>PBS</w:t>
            </w:r>
            <w:r w:rsidR="00750703">
              <w:rPr>
                <w:rFonts w:ascii="Arial Narrow" w:hAnsi="Arial Narrow"/>
                <w:sz w:val="20"/>
                <w:szCs w:val="20"/>
                <w:lang w:val="en-GB"/>
              </w:rPr>
              <w:noBreakHyphen/>
            </w:r>
            <w:r w:rsidRPr="00F43D20">
              <w:rPr>
                <w:rFonts w:ascii="Arial Narrow" w:hAnsi="Arial Narrow"/>
                <w:sz w:val="20"/>
                <w:szCs w:val="20"/>
                <w:lang w:val="en-GB"/>
              </w:rPr>
              <w:t>subsidised treatment with this drug for this condition prior to [listing date]</w:t>
            </w:r>
          </w:p>
        </w:tc>
      </w:tr>
      <w:tr w:rsidR="00352109" w:rsidRPr="00F43D20" w14:paraId="7EBB3531"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28DAE506" w14:textId="77777777" w:rsidR="00352109" w:rsidRPr="00F43D20" w:rsidRDefault="00352109" w:rsidP="00750703">
            <w:pPr>
              <w:jc w:val="center"/>
              <w:rPr>
                <w:rFonts w:ascii="Arial Narrow" w:hAnsi="Arial Narrow"/>
                <w:sz w:val="20"/>
                <w:szCs w:val="20"/>
              </w:rPr>
            </w:pPr>
          </w:p>
        </w:tc>
        <w:tc>
          <w:tcPr>
            <w:tcW w:w="7603" w:type="dxa"/>
            <w:gridSpan w:val="4"/>
            <w:vAlign w:val="center"/>
          </w:tcPr>
          <w:p w14:paraId="7090D152" w14:textId="77777777" w:rsidR="00352109" w:rsidRPr="00F43D20" w:rsidRDefault="00352109" w:rsidP="00750703">
            <w:pPr>
              <w:rPr>
                <w:rFonts w:ascii="Arial Narrow" w:hAnsi="Arial Narrow"/>
                <w:b/>
                <w:bCs/>
                <w:sz w:val="20"/>
                <w:szCs w:val="20"/>
              </w:rPr>
            </w:pPr>
            <w:r w:rsidRPr="00F43D20">
              <w:rPr>
                <w:rFonts w:ascii="Arial Narrow" w:hAnsi="Arial Narrow"/>
                <w:b/>
                <w:bCs/>
                <w:sz w:val="20"/>
                <w:szCs w:val="20"/>
              </w:rPr>
              <w:t>AND</w:t>
            </w:r>
          </w:p>
        </w:tc>
      </w:tr>
      <w:tr w:rsidR="00352109" w:rsidRPr="00F43D20" w14:paraId="6D478387"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6EF4831F" w14:textId="591DC617" w:rsidR="00352109" w:rsidRPr="00F43D20" w:rsidRDefault="00352109" w:rsidP="00750703">
            <w:pPr>
              <w:jc w:val="center"/>
              <w:rPr>
                <w:rFonts w:ascii="Arial Narrow" w:hAnsi="Arial Narrow"/>
                <w:sz w:val="20"/>
                <w:szCs w:val="20"/>
              </w:rPr>
            </w:pPr>
          </w:p>
        </w:tc>
        <w:tc>
          <w:tcPr>
            <w:tcW w:w="7603" w:type="dxa"/>
            <w:gridSpan w:val="4"/>
            <w:vAlign w:val="center"/>
          </w:tcPr>
          <w:p w14:paraId="355732E0" w14:textId="77777777" w:rsidR="00352109" w:rsidRPr="00F43D20" w:rsidRDefault="00352109" w:rsidP="00750703">
            <w:pPr>
              <w:rPr>
                <w:rFonts w:ascii="Arial Narrow" w:hAnsi="Arial Narrow"/>
                <w:b/>
                <w:bCs/>
                <w:sz w:val="20"/>
                <w:szCs w:val="20"/>
              </w:rPr>
            </w:pPr>
            <w:r w:rsidRPr="00F43D20">
              <w:rPr>
                <w:rFonts w:ascii="Arial Narrow" w:hAnsi="Arial Narrow"/>
                <w:b/>
                <w:bCs/>
                <w:sz w:val="20"/>
                <w:szCs w:val="20"/>
              </w:rPr>
              <w:t xml:space="preserve">Clinical criteria: </w:t>
            </w:r>
          </w:p>
        </w:tc>
      </w:tr>
      <w:tr w:rsidR="00352109" w:rsidRPr="00F43D20" w14:paraId="6B26EDA3"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6B8DCF2C" w14:textId="6645431C" w:rsidR="00352109" w:rsidRPr="00F43D20" w:rsidRDefault="00352109" w:rsidP="00750703">
            <w:pPr>
              <w:jc w:val="center"/>
              <w:rPr>
                <w:rFonts w:ascii="Arial Narrow" w:hAnsi="Arial Narrow"/>
                <w:b/>
                <w:sz w:val="20"/>
                <w:szCs w:val="20"/>
              </w:rPr>
            </w:pPr>
          </w:p>
        </w:tc>
        <w:tc>
          <w:tcPr>
            <w:tcW w:w="7603" w:type="dxa"/>
            <w:gridSpan w:val="4"/>
            <w:vAlign w:val="center"/>
          </w:tcPr>
          <w:p w14:paraId="3A51B203" w14:textId="13AFB0AA" w:rsidR="00352109" w:rsidRPr="00F43D20" w:rsidRDefault="00352109" w:rsidP="00750703">
            <w:pPr>
              <w:rPr>
                <w:rFonts w:ascii="Arial Narrow" w:hAnsi="Arial Narrow"/>
                <w:b/>
                <w:sz w:val="20"/>
                <w:szCs w:val="20"/>
              </w:rPr>
            </w:pPr>
            <w:r w:rsidRPr="00F43D20">
              <w:rPr>
                <w:rFonts w:ascii="Arial Narrow" w:hAnsi="Arial Narrow"/>
                <w:sz w:val="20"/>
                <w:szCs w:val="20"/>
                <w:lang w:val="en-GB"/>
              </w:rPr>
              <w:t xml:space="preserve">The condition must be relapsed or chemotherapy refractory </w:t>
            </w:r>
          </w:p>
        </w:tc>
      </w:tr>
      <w:tr w:rsidR="00352109" w:rsidRPr="00F43D20" w14:paraId="7412E4D8"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4F776A2B" w14:textId="77777777" w:rsidR="00352109" w:rsidRPr="00F43D20" w:rsidRDefault="00352109" w:rsidP="00750703">
            <w:pPr>
              <w:rPr>
                <w:rFonts w:ascii="Arial Narrow" w:hAnsi="Arial Narrow"/>
                <w:b/>
                <w:sz w:val="20"/>
                <w:szCs w:val="20"/>
              </w:rPr>
            </w:pPr>
          </w:p>
        </w:tc>
        <w:tc>
          <w:tcPr>
            <w:tcW w:w="7603" w:type="dxa"/>
            <w:gridSpan w:val="4"/>
            <w:vAlign w:val="center"/>
          </w:tcPr>
          <w:p w14:paraId="3330D973" w14:textId="77777777" w:rsidR="00352109" w:rsidRPr="00F43D20" w:rsidRDefault="00352109" w:rsidP="00750703">
            <w:pPr>
              <w:rPr>
                <w:rFonts w:ascii="Arial Narrow" w:hAnsi="Arial Narrow"/>
                <w:b/>
                <w:sz w:val="20"/>
                <w:szCs w:val="20"/>
              </w:rPr>
            </w:pPr>
            <w:r w:rsidRPr="00F43D20">
              <w:rPr>
                <w:rFonts w:ascii="Arial Narrow" w:hAnsi="Arial Narrow"/>
                <w:b/>
                <w:bCs/>
                <w:sz w:val="20"/>
                <w:szCs w:val="20"/>
              </w:rPr>
              <w:t>AND</w:t>
            </w:r>
          </w:p>
        </w:tc>
      </w:tr>
      <w:tr w:rsidR="00352109" w:rsidRPr="00F43D20" w14:paraId="2C2000F2"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13E22B08" w14:textId="0A2C7273" w:rsidR="00352109" w:rsidRPr="00F43D20" w:rsidRDefault="00352109" w:rsidP="00750703">
            <w:pPr>
              <w:jc w:val="center"/>
              <w:rPr>
                <w:rFonts w:ascii="Arial Narrow" w:hAnsi="Arial Narrow"/>
                <w:b/>
                <w:sz w:val="20"/>
                <w:szCs w:val="20"/>
              </w:rPr>
            </w:pPr>
          </w:p>
        </w:tc>
        <w:tc>
          <w:tcPr>
            <w:tcW w:w="7603" w:type="dxa"/>
            <w:gridSpan w:val="4"/>
            <w:vAlign w:val="center"/>
          </w:tcPr>
          <w:p w14:paraId="66998F6C" w14:textId="77777777" w:rsidR="00352109" w:rsidRPr="00F43D20" w:rsidRDefault="00352109" w:rsidP="00750703">
            <w:pPr>
              <w:rPr>
                <w:rFonts w:ascii="Arial Narrow" w:hAnsi="Arial Narrow"/>
                <w:b/>
                <w:sz w:val="20"/>
                <w:szCs w:val="20"/>
              </w:rPr>
            </w:pPr>
            <w:r w:rsidRPr="00F43D20">
              <w:rPr>
                <w:rFonts w:ascii="Arial Narrow" w:hAnsi="Arial Narrow"/>
                <w:b/>
                <w:bCs/>
                <w:sz w:val="20"/>
                <w:szCs w:val="20"/>
              </w:rPr>
              <w:t xml:space="preserve">Clinical criteria: </w:t>
            </w:r>
          </w:p>
        </w:tc>
      </w:tr>
      <w:tr w:rsidR="00352109" w:rsidRPr="00F43D20" w14:paraId="2DC55D27"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62D10E2B" w14:textId="662F611E" w:rsidR="00352109" w:rsidRPr="00F43D20" w:rsidRDefault="00352109" w:rsidP="00750703">
            <w:pPr>
              <w:jc w:val="center"/>
              <w:rPr>
                <w:rFonts w:ascii="Arial Narrow" w:hAnsi="Arial Narrow"/>
                <w:b/>
                <w:sz w:val="20"/>
                <w:szCs w:val="20"/>
              </w:rPr>
            </w:pPr>
          </w:p>
        </w:tc>
        <w:tc>
          <w:tcPr>
            <w:tcW w:w="7603" w:type="dxa"/>
            <w:gridSpan w:val="4"/>
            <w:vAlign w:val="center"/>
          </w:tcPr>
          <w:p w14:paraId="091961B0" w14:textId="67F96C07" w:rsidR="00352109" w:rsidRPr="00F43D20" w:rsidRDefault="00352109" w:rsidP="00750703">
            <w:pPr>
              <w:rPr>
                <w:rFonts w:ascii="Arial Narrow" w:hAnsi="Arial Narrow"/>
                <w:b/>
                <w:sz w:val="20"/>
                <w:szCs w:val="20"/>
              </w:rPr>
            </w:pPr>
            <w:r w:rsidRPr="00F43D20">
              <w:rPr>
                <w:rFonts w:ascii="Arial Narrow" w:hAnsi="Arial Narrow"/>
                <w:sz w:val="20"/>
                <w:szCs w:val="20"/>
                <w:lang w:val="en-GB"/>
              </w:rPr>
              <w:t>Patient must have undergone appropriate prior front</w:t>
            </w:r>
            <w:r w:rsidR="00750703">
              <w:rPr>
                <w:rFonts w:ascii="Arial Narrow" w:hAnsi="Arial Narrow"/>
                <w:sz w:val="20"/>
                <w:szCs w:val="20"/>
                <w:lang w:val="en-GB"/>
              </w:rPr>
              <w:noBreakHyphen/>
            </w:r>
            <w:r w:rsidRPr="00F43D20">
              <w:rPr>
                <w:rFonts w:ascii="Arial Narrow" w:hAnsi="Arial Narrow"/>
                <w:sz w:val="20"/>
                <w:szCs w:val="20"/>
                <w:lang w:val="en-GB"/>
              </w:rPr>
              <w:t>line curative intent chemotherapy prior to commencing non</w:t>
            </w:r>
            <w:r w:rsidR="00750703">
              <w:rPr>
                <w:rFonts w:ascii="Arial Narrow" w:hAnsi="Arial Narrow"/>
                <w:sz w:val="20"/>
                <w:szCs w:val="20"/>
                <w:lang w:val="en-GB"/>
              </w:rPr>
              <w:noBreakHyphen/>
            </w:r>
            <w:r w:rsidRPr="00F43D20">
              <w:rPr>
                <w:rFonts w:ascii="Arial Narrow" w:hAnsi="Arial Narrow"/>
                <w:sz w:val="20"/>
                <w:szCs w:val="20"/>
                <w:lang w:val="en-GB"/>
              </w:rPr>
              <w:t xml:space="preserve">PBS subsidised treatment with this drug for this condition </w:t>
            </w:r>
          </w:p>
        </w:tc>
      </w:tr>
      <w:tr w:rsidR="00352109" w:rsidRPr="00F43D20" w14:paraId="51E5E024"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07936E33" w14:textId="77777777" w:rsidR="00352109" w:rsidRPr="00F43D20" w:rsidRDefault="00352109" w:rsidP="00750703">
            <w:pPr>
              <w:jc w:val="center"/>
              <w:rPr>
                <w:rFonts w:ascii="Arial Narrow" w:hAnsi="Arial Narrow"/>
                <w:sz w:val="20"/>
                <w:szCs w:val="20"/>
              </w:rPr>
            </w:pPr>
          </w:p>
        </w:tc>
        <w:tc>
          <w:tcPr>
            <w:tcW w:w="7603" w:type="dxa"/>
            <w:gridSpan w:val="4"/>
            <w:vAlign w:val="center"/>
          </w:tcPr>
          <w:p w14:paraId="3DF74383" w14:textId="77777777" w:rsidR="00352109" w:rsidRPr="00F43D20" w:rsidRDefault="00352109" w:rsidP="00750703">
            <w:pPr>
              <w:rPr>
                <w:rFonts w:ascii="Arial Narrow" w:hAnsi="Arial Narrow"/>
                <w:sz w:val="20"/>
                <w:szCs w:val="20"/>
                <w:lang w:val="en-GB"/>
              </w:rPr>
            </w:pPr>
            <w:r w:rsidRPr="00F43D20">
              <w:rPr>
                <w:rFonts w:ascii="Arial Narrow" w:hAnsi="Arial Narrow"/>
                <w:b/>
                <w:bCs/>
                <w:sz w:val="20"/>
                <w:szCs w:val="20"/>
              </w:rPr>
              <w:t>AND</w:t>
            </w:r>
          </w:p>
        </w:tc>
      </w:tr>
      <w:tr w:rsidR="00352109" w:rsidRPr="00F43D20" w14:paraId="70479CDA"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7AD49FF6" w14:textId="42ADB6B5" w:rsidR="00352109" w:rsidRPr="00F43D20" w:rsidRDefault="00352109" w:rsidP="00750703">
            <w:pPr>
              <w:jc w:val="center"/>
              <w:rPr>
                <w:rFonts w:ascii="Arial Narrow" w:hAnsi="Arial Narrow"/>
                <w:sz w:val="20"/>
                <w:szCs w:val="20"/>
              </w:rPr>
            </w:pPr>
          </w:p>
        </w:tc>
        <w:tc>
          <w:tcPr>
            <w:tcW w:w="7603" w:type="dxa"/>
            <w:gridSpan w:val="4"/>
            <w:vAlign w:val="center"/>
          </w:tcPr>
          <w:p w14:paraId="4A09AD3B" w14:textId="77777777" w:rsidR="00352109" w:rsidRPr="00F43D20" w:rsidRDefault="00352109" w:rsidP="00750703">
            <w:pPr>
              <w:rPr>
                <w:rFonts w:ascii="Arial Narrow" w:hAnsi="Arial Narrow"/>
                <w:sz w:val="20"/>
                <w:szCs w:val="20"/>
                <w:lang w:val="en-GB"/>
              </w:rPr>
            </w:pPr>
            <w:r w:rsidRPr="00F43D20">
              <w:rPr>
                <w:rFonts w:ascii="Arial Narrow" w:hAnsi="Arial Narrow"/>
                <w:b/>
                <w:bCs/>
                <w:sz w:val="20"/>
                <w:szCs w:val="20"/>
              </w:rPr>
              <w:t xml:space="preserve">Clinical criteria: </w:t>
            </w:r>
          </w:p>
        </w:tc>
      </w:tr>
      <w:tr w:rsidR="00352109" w:rsidRPr="00F43D20" w14:paraId="5D3F10FE" w14:textId="77777777" w:rsidTr="0070635B">
        <w:tblPrEx>
          <w:tblCellMar>
            <w:top w:w="15" w:type="dxa"/>
            <w:bottom w:w="15" w:type="dxa"/>
          </w:tblCellMar>
          <w:tblLook w:val="04A0" w:firstRow="1" w:lastRow="0" w:firstColumn="1" w:lastColumn="0" w:noHBand="0" w:noVBand="1"/>
        </w:tblPrEx>
        <w:trPr>
          <w:cantSplit/>
          <w:trHeight w:val="50"/>
        </w:trPr>
        <w:tc>
          <w:tcPr>
            <w:tcW w:w="1413" w:type="dxa"/>
            <w:gridSpan w:val="2"/>
            <w:vAlign w:val="center"/>
          </w:tcPr>
          <w:p w14:paraId="06595108" w14:textId="1D470C6E" w:rsidR="00352109" w:rsidRPr="00F43D20" w:rsidRDefault="00352109" w:rsidP="00750703">
            <w:pPr>
              <w:jc w:val="center"/>
              <w:rPr>
                <w:rFonts w:ascii="Arial Narrow" w:hAnsi="Arial Narrow"/>
                <w:sz w:val="20"/>
                <w:szCs w:val="20"/>
              </w:rPr>
            </w:pPr>
          </w:p>
        </w:tc>
        <w:tc>
          <w:tcPr>
            <w:tcW w:w="7603" w:type="dxa"/>
            <w:gridSpan w:val="4"/>
            <w:vAlign w:val="center"/>
          </w:tcPr>
          <w:p w14:paraId="2B8660DF" w14:textId="01972E9E" w:rsidR="00352109" w:rsidRPr="00F43D20" w:rsidRDefault="00352109" w:rsidP="00750703">
            <w:pPr>
              <w:rPr>
                <w:rFonts w:ascii="Arial Narrow" w:hAnsi="Arial Narrow"/>
                <w:sz w:val="20"/>
                <w:szCs w:val="20"/>
                <w:lang w:val="en-GB"/>
              </w:rPr>
            </w:pPr>
            <w:r w:rsidRPr="00F43D20">
              <w:rPr>
                <w:rFonts w:ascii="Arial Narrow" w:hAnsi="Arial Narrow"/>
                <w:sz w:val="20"/>
                <w:szCs w:val="20"/>
                <w:lang w:val="en-GB"/>
              </w:rPr>
              <w:t>Patient must not have developed progressive disease while receiving treatment with this drug for this condition</w:t>
            </w:r>
          </w:p>
        </w:tc>
      </w:tr>
      <w:tr w:rsidR="00352109" w:rsidRPr="00F43D20" w14:paraId="2AE23E20"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577BD323" w14:textId="77777777" w:rsidR="00352109" w:rsidRPr="00F43D20" w:rsidRDefault="00352109" w:rsidP="00750703">
            <w:pPr>
              <w:jc w:val="center"/>
              <w:rPr>
                <w:rFonts w:ascii="Arial Narrow" w:hAnsi="Arial Narrow"/>
                <w:sz w:val="20"/>
                <w:szCs w:val="20"/>
              </w:rPr>
            </w:pPr>
          </w:p>
        </w:tc>
        <w:tc>
          <w:tcPr>
            <w:tcW w:w="7603" w:type="dxa"/>
            <w:gridSpan w:val="4"/>
            <w:vAlign w:val="center"/>
          </w:tcPr>
          <w:p w14:paraId="445FD103" w14:textId="77777777" w:rsidR="00352109" w:rsidRPr="00F43D20" w:rsidRDefault="00352109" w:rsidP="00750703">
            <w:pPr>
              <w:rPr>
                <w:rFonts w:ascii="Arial Narrow" w:hAnsi="Arial Narrow"/>
                <w:sz w:val="20"/>
                <w:szCs w:val="20"/>
                <w:lang w:val="en-GB"/>
              </w:rPr>
            </w:pPr>
            <w:r w:rsidRPr="00F43D20">
              <w:rPr>
                <w:rFonts w:ascii="Arial Narrow" w:hAnsi="Arial Narrow"/>
                <w:b/>
                <w:bCs/>
                <w:sz w:val="20"/>
                <w:szCs w:val="20"/>
              </w:rPr>
              <w:t>AND</w:t>
            </w:r>
          </w:p>
        </w:tc>
      </w:tr>
      <w:tr w:rsidR="00352109" w:rsidRPr="00F43D20" w14:paraId="09B5D89B"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447629E4" w14:textId="49B4A729" w:rsidR="00352109" w:rsidRPr="00F43D20" w:rsidRDefault="00352109" w:rsidP="00750703">
            <w:pPr>
              <w:jc w:val="center"/>
              <w:rPr>
                <w:rFonts w:ascii="Arial Narrow" w:hAnsi="Arial Narrow"/>
                <w:sz w:val="20"/>
                <w:szCs w:val="20"/>
              </w:rPr>
            </w:pPr>
          </w:p>
        </w:tc>
        <w:tc>
          <w:tcPr>
            <w:tcW w:w="7603" w:type="dxa"/>
            <w:gridSpan w:val="4"/>
            <w:vAlign w:val="center"/>
          </w:tcPr>
          <w:p w14:paraId="0431E89F" w14:textId="77777777" w:rsidR="00352109" w:rsidRPr="00F43D20" w:rsidRDefault="00352109" w:rsidP="00750703">
            <w:pPr>
              <w:rPr>
                <w:rFonts w:ascii="Arial Narrow" w:hAnsi="Arial Narrow"/>
                <w:sz w:val="20"/>
                <w:szCs w:val="20"/>
                <w:lang w:val="en-GB"/>
              </w:rPr>
            </w:pPr>
            <w:r w:rsidRPr="00F43D20">
              <w:rPr>
                <w:rFonts w:ascii="Arial Narrow" w:hAnsi="Arial Narrow"/>
                <w:b/>
                <w:bCs/>
                <w:sz w:val="20"/>
                <w:szCs w:val="20"/>
              </w:rPr>
              <w:t xml:space="preserve">Clinical criteria: </w:t>
            </w:r>
          </w:p>
        </w:tc>
      </w:tr>
      <w:tr w:rsidR="00352109" w:rsidRPr="00F43D20" w14:paraId="582C1923"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204378AB" w14:textId="327DA983" w:rsidR="00352109" w:rsidRPr="00F43D20" w:rsidRDefault="00352109" w:rsidP="00750703">
            <w:pPr>
              <w:jc w:val="center"/>
              <w:rPr>
                <w:rFonts w:ascii="Arial Narrow" w:hAnsi="Arial Narrow"/>
                <w:sz w:val="20"/>
                <w:szCs w:val="20"/>
              </w:rPr>
            </w:pPr>
          </w:p>
        </w:tc>
        <w:tc>
          <w:tcPr>
            <w:tcW w:w="7603" w:type="dxa"/>
            <w:gridSpan w:val="4"/>
            <w:vAlign w:val="center"/>
          </w:tcPr>
          <w:p w14:paraId="5779011A" w14:textId="72FFE692" w:rsidR="00352109" w:rsidRPr="00F43D20" w:rsidRDefault="00352109" w:rsidP="00750703">
            <w:pPr>
              <w:rPr>
                <w:rFonts w:ascii="Arial Narrow" w:hAnsi="Arial Narrow"/>
                <w:sz w:val="20"/>
                <w:szCs w:val="20"/>
                <w:lang w:val="en-GB"/>
              </w:rPr>
            </w:pPr>
            <w:r w:rsidRPr="00F43D20">
              <w:rPr>
                <w:rFonts w:ascii="Arial Narrow" w:hAnsi="Arial Narrow"/>
                <w:sz w:val="20"/>
                <w:szCs w:val="20"/>
              </w:rPr>
              <w:t>The treatment must be the sole PBS</w:t>
            </w:r>
            <w:r w:rsidR="00750703">
              <w:rPr>
                <w:rFonts w:ascii="Arial Narrow" w:hAnsi="Arial Narrow"/>
                <w:sz w:val="20"/>
                <w:szCs w:val="20"/>
              </w:rPr>
              <w:noBreakHyphen/>
            </w:r>
            <w:r w:rsidRPr="00F43D20">
              <w:rPr>
                <w:rFonts w:ascii="Arial Narrow" w:hAnsi="Arial Narrow"/>
                <w:sz w:val="20"/>
                <w:szCs w:val="20"/>
              </w:rPr>
              <w:t>subsidised systemic anti</w:t>
            </w:r>
            <w:r w:rsidR="00750703">
              <w:rPr>
                <w:rFonts w:ascii="Arial Narrow" w:hAnsi="Arial Narrow"/>
                <w:sz w:val="20"/>
                <w:szCs w:val="20"/>
              </w:rPr>
              <w:noBreakHyphen/>
            </w:r>
            <w:r w:rsidRPr="00F43D20">
              <w:rPr>
                <w:rFonts w:ascii="Arial Narrow" w:hAnsi="Arial Narrow"/>
                <w:sz w:val="20"/>
                <w:szCs w:val="20"/>
              </w:rPr>
              <w:t>cancer therapy for this PBS indication.</w:t>
            </w:r>
          </w:p>
        </w:tc>
      </w:tr>
      <w:tr w:rsidR="00A64DE9" w:rsidRPr="00F43D20" w14:paraId="3DC4E6DB" w14:textId="77777777" w:rsidTr="0070635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06DA57AF" w14:textId="19DCC35C" w:rsidR="00A64DE9" w:rsidRPr="00A64DE9" w:rsidRDefault="00A64DE9" w:rsidP="00750703">
            <w:pPr>
              <w:jc w:val="center"/>
              <w:rPr>
                <w:rFonts w:ascii="Arial Narrow" w:hAnsi="Arial Narrow"/>
                <w:sz w:val="20"/>
                <w:szCs w:val="20"/>
              </w:rPr>
            </w:pPr>
          </w:p>
        </w:tc>
        <w:tc>
          <w:tcPr>
            <w:tcW w:w="7603" w:type="dxa"/>
            <w:gridSpan w:val="4"/>
            <w:vAlign w:val="center"/>
          </w:tcPr>
          <w:p w14:paraId="78506980" w14:textId="77777777" w:rsidR="00A64DE9" w:rsidRPr="00A64DE9" w:rsidRDefault="00A64DE9" w:rsidP="00750703">
            <w:pPr>
              <w:rPr>
                <w:rFonts w:ascii="Arial Narrow" w:eastAsia="Calibri" w:hAnsi="Arial Narrow"/>
                <w:sz w:val="20"/>
                <w:szCs w:val="20"/>
              </w:rPr>
            </w:pPr>
            <w:r w:rsidRPr="00A64DE9">
              <w:rPr>
                <w:rFonts w:ascii="Arial Narrow" w:hAnsi="Arial Narrow"/>
                <w:b/>
                <w:bCs/>
                <w:sz w:val="20"/>
                <w:szCs w:val="20"/>
              </w:rPr>
              <w:t>Prescribing Instructions:</w:t>
            </w:r>
          </w:p>
          <w:p w14:paraId="01629398" w14:textId="2EC12476" w:rsidR="00A64DE9" w:rsidRPr="00A64DE9" w:rsidRDefault="00A64DE9" w:rsidP="00750703">
            <w:pPr>
              <w:rPr>
                <w:rFonts w:ascii="Arial Narrow" w:hAnsi="Arial Narrow"/>
                <w:sz w:val="20"/>
                <w:szCs w:val="20"/>
              </w:rPr>
            </w:pPr>
            <w:r w:rsidRPr="00A64DE9">
              <w:rPr>
                <w:rFonts w:ascii="Arial Narrow" w:hAnsi="Arial Narrow"/>
                <w:sz w:val="20"/>
                <w:szCs w:val="20"/>
              </w:rPr>
              <w:t>A patient may qualify for PBS</w:t>
            </w:r>
            <w:r w:rsidR="00750703">
              <w:rPr>
                <w:rFonts w:ascii="Arial Narrow" w:hAnsi="Arial Narrow"/>
                <w:sz w:val="20"/>
                <w:szCs w:val="20"/>
              </w:rPr>
              <w:noBreakHyphen/>
            </w:r>
            <w:r w:rsidRPr="00A64DE9">
              <w:rPr>
                <w:rFonts w:ascii="Arial Narrow" w:hAnsi="Arial Narrow"/>
                <w:sz w:val="20"/>
                <w:szCs w:val="20"/>
              </w:rPr>
              <w:t>subsidised treatment under this restriction once only. For continuing PBS</w:t>
            </w:r>
            <w:r w:rsidR="00750703">
              <w:rPr>
                <w:rFonts w:ascii="Arial Narrow" w:hAnsi="Arial Narrow"/>
                <w:sz w:val="20"/>
                <w:szCs w:val="20"/>
              </w:rPr>
              <w:noBreakHyphen/>
            </w:r>
            <w:r w:rsidRPr="00A64DE9">
              <w:rPr>
                <w:rFonts w:ascii="Arial Narrow" w:hAnsi="Arial Narrow"/>
                <w:sz w:val="20"/>
                <w:szCs w:val="20"/>
              </w:rPr>
              <w:t>subsidised treatment, a Grandfathered patient must qualify under the Continuing treatment criteria.</w:t>
            </w:r>
          </w:p>
        </w:tc>
      </w:tr>
      <w:tr w:rsidR="00A64DE9" w:rsidRPr="00F43D20" w14:paraId="5C929D88" w14:textId="77777777" w:rsidTr="0070635B">
        <w:tblPrEx>
          <w:tblCellMar>
            <w:top w:w="15" w:type="dxa"/>
            <w:bottom w:w="15" w:type="dxa"/>
          </w:tblCellMar>
        </w:tblPrEx>
        <w:trPr>
          <w:cantSplit/>
          <w:trHeight w:val="20"/>
        </w:trPr>
        <w:tc>
          <w:tcPr>
            <w:tcW w:w="1413" w:type="dxa"/>
            <w:gridSpan w:val="2"/>
          </w:tcPr>
          <w:p w14:paraId="7023344B" w14:textId="453F5FD0" w:rsidR="00A64DE9" w:rsidRPr="00A64DE9" w:rsidRDefault="00A64DE9" w:rsidP="00750703">
            <w:pPr>
              <w:jc w:val="center"/>
              <w:rPr>
                <w:rFonts w:ascii="Arial Narrow" w:hAnsi="Arial Narrow"/>
                <w:sz w:val="20"/>
                <w:szCs w:val="20"/>
              </w:rPr>
            </w:pPr>
          </w:p>
        </w:tc>
        <w:tc>
          <w:tcPr>
            <w:tcW w:w="7603" w:type="dxa"/>
            <w:gridSpan w:val="4"/>
            <w:vAlign w:val="center"/>
          </w:tcPr>
          <w:p w14:paraId="46596937" w14:textId="77777777" w:rsidR="00A64DE9" w:rsidRPr="00A64DE9" w:rsidRDefault="00A64DE9" w:rsidP="00750703">
            <w:pPr>
              <w:rPr>
                <w:rFonts w:ascii="Arial Narrow" w:eastAsia="Calibri" w:hAnsi="Arial Narrow"/>
                <w:sz w:val="20"/>
                <w:szCs w:val="20"/>
              </w:rPr>
            </w:pPr>
            <w:r w:rsidRPr="00A64DE9">
              <w:rPr>
                <w:rFonts w:ascii="Arial Narrow" w:hAnsi="Arial Narrow"/>
                <w:b/>
                <w:bCs/>
                <w:sz w:val="20"/>
                <w:szCs w:val="20"/>
              </w:rPr>
              <w:t>Prescribing Instructions:</w:t>
            </w:r>
          </w:p>
          <w:p w14:paraId="119A03DB" w14:textId="6F2642F6" w:rsidR="00A64DE9" w:rsidRPr="00A64DE9" w:rsidRDefault="00A64DE9" w:rsidP="00750703">
            <w:pPr>
              <w:rPr>
                <w:rFonts w:ascii="Arial Narrow" w:hAnsi="Arial Narrow"/>
                <w:sz w:val="20"/>
                <w:szCs w:val="20"/>
              </w:rPr>
            </w:pPr>
            <w:r w:rsidRPr="00A64DE9">
              <w:rPr>
                <w:rFonts w:ascii="Arial Narrow" w:eastAsia="Calibri" w:hAnsi="Arial Narrow"/>
                <w:sz w:val="20"/>
                <w:szCs w:val="20"/>
              </w:rPr>
              <w:t>This grandfather restriction will cease to operate from 12 months after the date specified in the clinical criteria.</w:t>
            </w:r>
          </w:p>
        </w:tc>
      </w:tr>
    </w:tbl>
    <w:p w14:paraId="2ECD33A0" w14:textId="77777777" w:rsidR="00352109" w:rsidRPr="005A2C3A" w:rsidRDefault="00352109" w:rsidP="00750703">
      <w:pPr>
        <w:rPr>
          <w:rFonts w:asciiTheme="minorHAnsi" w:hAnsiTheme="minorHAnsi"/>
          <w:b/>
          <w:i/>
          <w:iCs/>
          <w:snapToGrid w:val="0"/>
          <w:lang w:val="en-GB"/>
        </w:rPr>
      </w:pPr>
    </w:p>
    <w:p w14:paraId="18A0C7D3" w14:textId="270D38E7" w:rsidR="004D2FCB" w:rsidRPr="00503249" w:rsidRDefault="004D2FCB" w:rsidP="00750703">
      <w:pPr>
        <w:pStyle w:val="3-BodyText"/>
        <w:rPr>
          <w:rFonts w:cstheme="minorHAnsi"/>
          <w:snapToGrid w:val="0"/>
        </w:rPr>
      </w:pPr>
      <w:r w:rsidRPr="00503249">
        <w:rPr>
          <w:rFonts w:cstheme="minorHAnsi"/>
          <w:snapToGrid w:val="0"/>
        </w:rPr>
        <w:t xml:space="preserve">Flow </w:t>
      </w:r>
      <w:r w:rsidR="00503249" w:rsidRPr="00503249">
        <w:rPr>
          <w:rFonts w:cstheme="minorHAnsi"/>
          <w:snapToGrid w:val="0"/>
        </w:rPr>
        <w:t>o</w:t>
      </w:r>
      <w:r w:rsidRPr="00503249">
        <w:rPr>
          <w:rFonts w:cstheme="minorHAnsi"/>
          <w:snapToGrid w:val="0"/>
        </w:rPr>
        <w:t>n Changes</w:t>
      </w:r>
      <w:r w:rsidR="00F64CC5" w:rsidRPr="00503249">
        <w:rPr>
          <w:rFonts w:cstheme="minorHAnsi"/>
          <w:bCs/>
        </w:rPr>
        <w:t xml:space="preserve"> to pralatrexate listi</w:t>
      </w:r>
      <w:r w:rsidR="00F64CC5" w:rsidRPr="00503249">
        <w:rPr>
          <w:rFonts w:cstheme="minorHAnsi"/>
          <w:bCs/>
          <w:snapToGrid w:val="0"/>
        </w:rPr>
        <w:t xml:space="preserve">ngs </w:t>
      </w:r>
      <w:r w:rsidR="00F64CC5" w:rsidRPr="00503249">
        <w:rPr>
          <w:rFonts w:eastAsia="Times New Roman" w:cstheme="minorHAnsi"/>
          <w:bCs/>
          <w:snapToGrid w:val="0"/>
        </w:rPr>
        <w:t xml:space="preserve">for </w:t>
      </w:r>
      <w:r w:rsidR="0092202E" w:rsidRPr="00503249">
        <w:rPr>
          <w:rFonts w:eastAsia="Times New Roman" w:cstheme="minorHAnsi"/>
          <w:bCs/>
          <w:snapToGrid w:val="0"/>
        </w:rPr>
        <w:t>Relapsed or chemotherapy refractory Peripheral T</w:t>
      </w:r>
      <w:r w:rsidR="00750703">
        <w:rPr>
          <w:rFonts w:eastAsia="Times New Roman" w:cstheme="minorHAnsi"/>
          <w:bCs/>
          <w:snapToGrid w:val="0"/>
        </w:rPr>
        <w:noBreakHyphen/>
      </w:r>
      <w:r w:rsidR="0092202E" w:rsidRPr="00503249">
        <w:rPr>
          <w:rFonts w:eastAsia="Times New Roman" w:cstheme="minorHAnsi"/>
          <w:bCs/>
          <w:snapToGrid w:val="0"/>
        </w:rPr>
        <w:t xml:space="preserve">cell Lymphoma in the </w:t>
      </w:r>
      <w:r w:rsidR="00F64CC5" w:rsidRPr="00503249">
        <w:rPr>
          <w:rFonts w:eastAsia="Times New Roman" w:cstheme="minorHAnsi"/>
          <w:bCs/>
          <w:snapToGrid w:val="0"/>
        </w:rPr>
        <w:t>initial treatment</w:t>
      </w:r>
      <w:r w:rsidR="00CE5185" w:rsidRPr="00503249">
        <w:rPr>
          <w:rFonts w:eastAsia="Times New Roman" w:cstheme="minorHAnsi"/>
          <w:bCs/>
          <w:snapToGrid w:val="0"/>
        </w:rPr>
        <w:t xml:space="preserve">, (PBS item codes: </w:t>
      </w:r>
      <w:r w:rsidR="00F64CC5" w:rsidRPr="004D2FCB">
        <w:rPr>
          <w:rFonts w:eastAsia="Times New Roman" w:cstheme="minorHAnsi"/>
          <w:bCs/>
          <w:snapToGrid w:val="0"/>
        </w:rPr>
        <w:t xml:space="preserve">11271F/11293J </w:t>
      </w:r>
      <w:r w:rsidR="00F64CC5" w:rsidRPr="00503249">
        <w:rPr>
          <w:rFonts w:eastAsia="Times New Roman" w:cstheme="minorHAnsi"/>
          <w:bCs/>
          <w:snapToGrid w:val="0"/>
        </w:rPr>
        <w:t xml:space="preserve">and </w:t>
      </w:r>
      <w:r w:rsidR="0092202E" w:rsidRPr="00503249">
        <w:rPr>
          <w:rFonts w:eastAsia="Times New Roman" w:cstheme="minorHAnsi"/>
          <w:bCs/>
          <w:snapToGrid w:val="0"/>
        </w:rPr>
        <w:t>the</w:t>
      </w:r>
      <w:r w:rsidR="00F64CC5" w:rsidRPr="00503249">
        <w:rPr>
          <w:rFonts w:eastAsia="Times New Roman" w:cstheme="minorHAnsi"/>
          <w:bCs/>
          <w:snapToGrid w:val="0"/>
        </w:rPr>
        <w:t xml:space="preserve"> continuing treatment (</w:t>
      </w:r>
      <w:r w:rsidR="00CE5185" w:rsidRPr="00503249">
        <w:rPr>
          <w:rFonts w:eastAsia="Times New Roman" w:cstheme="minorHAnsi"/>
          <w:bCs/>
          <w:snapToGrid w:val="0"/>
        </w:rPr>
        <w:t xml:space="preserve">PBS item codes </w:t>
      </w:r>
      <w:r w:rsidR="00F64CC5" w:rsidRPr="004D2FCB">
        <w:rPr>
          <w:rFonts w:eastAsia="Times New Roman" w:cstheme="minorHAnsi"/>
          <w:bCs/>
          <w:snapToGrid w:val="0"/>
        </w:rPr>
        <w:t>11272G/11278N</w:t>
      </w:r>
      <w:r w:rsidR="00F64CC5" w:rsidRPr="00503249">
        <w:rPr>
          <w:rFonts w:eastAsia="Times New Roman" w:cstheme="minorHAnsi"/>
          <w:bCs/>
          <w:snapToGrid w:val="0"/>
        </w:rPr>
        <w:t>)</w:t>
      </w:r>
      <w:r w:rsidR="00F64CC5" w:rsidRPr="004D2FCB">
        <w:rPr>
          <w:rFonts w:eastAsia="Times New Roman" w:cstheme="minorHAnsi"/>
          <w:bCs/>
          <w:snapToGrid w:val="0"/>
        </w:rPr>
        <w:t xml:space="preserve"> </w:t>
      </w:r>
      <w:r w:rsidR="00F64CC5" w:rsidRPr="00503249">
        <w:rPr>
          <w:rFonts w:cstheme="minorHAnsi"/>
          <w:bCs/>
          <w:snapToGrid w:val="0"/>
        </w:rPr>
        <w:t>to include</w:t>
      </w:r>
      <w:r w:rsidRPr="00503249">
        <w:rPr>
          <w:rFonts w:cstheme="minorHAnsi"/>
          <w:snapToGrid w:val="0"/>
        </w:rPr>
        <w:t xml:space="preserve">: </w:t>
      </w:r>
    </w:p>
    <w:p w14:paraId="13C06729" w14:textId="77777777" w:rsidR="004D2FCB" w:rsidRPr="004D2FCB" w:rsidRDefault="004D2FCB" w:rsidP="00750703">
      <w:pPr>
        <w:rPr>
          <w:rFonts w:asciiTheme="minorHAnsi" w:hAnsiTheme="minorHAnsi" w:cstheme="minorHAnsi"/>
          <w:b/>
          <w:snapToGrid w:val="0"/>
        </w:rPr>
      </w:pPr>
    </w:p>
    <w:p w14:paraId="345ED6A6" w14:textId="5D231A4C" w:rsidR="004D2FCB" w:rsidRPr="004D2FCB" w:rsidRDefault="004D2FCB" w:rsidP="00750703">
      <w:pPr>
        <w:pStyle w:val="ListParagraph"/>
        <w:numPr>
          <w:ilvl w:val="0"/>
          <w:numId w:val="31"/>
        </w:numPr>
        <w:jc w:val="both"/>
        <w:rPr>
          <w:rFonts w:ascii="Arial Narrow" w:hAnsi="Arial Narrow"/>
          <w:bCs/>
        </w:rPr>
      </w:pPr>
      <w:r w:rsidRPr="002C641F">
        <w:rPr>
          <w:rFonts w:cstheme="minorHAnsi"/>
          <w:bCs/>
        </w:rPr>
        <w:t xml:space="preserve"> </w:t>
      </w:r>
      <w:r w:rsidR="00F64CC5" w:rsidRPr="002C641F">
        <w:rPr>
          <w:rFonts w:cstheme="minorHAnsi"/>
          <w:bCs/>
        </w:rPr>
        <w:t>The clinical criteri</w:t>
      </w:r>
      <w:r w:rsidR="00D36D2A" w:rsidRPr="002C641F">
        <w:rPr>
          <w:rFonts w:cstheme="minorHAnsi"/>
          <w:bCs/>
        </w:rPr>
        <w:t>on</w:t>
      </w:r>
      <w:r w:rsidR="00F64CC5" w:rsidRPr="002C641F">
        <w:rPr>
          <w:rFonts w:cstheme="minorHAnsi"/>
          <w:bCs/>
        </w:rPr>
        <w:t>: ‘</w:t>
      </w:r>
      <w:r w:rsidR="00F64CC5" w:rsidRPr="002C641F">
        <w:rPr>
          <w:rFonts w:cstheme="minorHAnsi"/>
          <w:bCs/>
          <w:i/>
          <w:iCs/>
        </w:rPr>
        <w:t>The</w:t>
      </w:r>
      <w:r w:rsidRPr="002C641F">
        <w:rPr>
          <w:rFonts w:cstheme="minorHAnsi"/>
          <w:bCs/>
          <w:i/>
          <w:iCs/>
        </w:rPr>
        <w:t xml:space="preserve"> treatment must be the sole PBS</w:t>
      </w:r>
      <w:r w:rsidR="00750703">
        <w:rPr>
          <w:rFonts w:cstheme="minorHAnsi"/>
          <w:bCs/>
          <w:i/>
          <w:iCs/>
        </w:rPr>
        <w:noBreakHyphen/>
      </w:r>
      <w:r w:rsidRPr="002C641F">
        <w:rPr>
          <w:rFonts w:cstheme="minorHAnsi"/>
          <w:bCs/>
          <w:i/>
          <w:iCs/>
        </w:rPr>
        <w:t>subsidised systemic anti</w:t>
      </w:r>
      <w:r w:rsidR="00750703">
        <w:rPr>
          <w:rFonts w:cstheme="minorHAnsi"/>
          <w:bCs/>
          <w:i/>
          <w:iCs/>
        </w:rPr>
        <w:noBreakHyphen/>
      </w:r>
      <w:r w:rsidRPr="002C641F">
        <w:rPr>
          <w:rFonts w:cstheme="minorHAnsi"/>
          <w:bCs/>
          <w:i/>
          <w:iCs/>
        </w:rPr>
        <w:t>cancer therapy for this PBS indication’</w:t>
      </w:r>
      <w:r w:rsidRPr="002C641F">
        <w:rPr>
          <w:rFonts w:cstheme="minorHAnsi"/>
          <w:bCs/>
        </w:rPr>
        <w:t xml:space="preserve"> </w:t>
      </w:r>
      <w:r w:rsidR="00503249" w:rsidRPr="002C641F">
        <w:rPr>
          <w:rFonts w:cstheme="minorHAnsi"/>
          <w:lang w:val="en-GB" w:eastAsia="en-US"/>
        </w:rPr>
        <w:t xml:space="preserve">to </w:t>
      </w:r>
      <w:r w:rsidR="002C641F" w:rsidRPr="002C641F">
        <w:rPr>
          <w:rFonts w:cstheme="minorHAnsi"/>
          <w:lang w:val="en-GB" w:eastAsia="en-US"/>
        </w:rPr>
        <w:t>preclude the combination use of pralatrexate with romidepsin or any other anticancer drug through the PBS for this indication.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The clinical criterion: ‘The treatment must be the sole PBS subsidised systemic anti cancer therapy for this PBS indication’ to preclude the combination use of pralatrexate with romidepsin or any other anticancer drug through the PBS for this indication."/>
      </w:tblPr>
      <w:tblGrid>
        <w:gridCol w:w="1271"/>
        <w:gridCol w:w="7745"/>
      </w:tblGrid>
      <w:tr w:rsidR="004D2FCB" w:rsidRPr="004D2FCB" w14:paraId="773223CF" w14:textId="77777777" w:rsidTr="00FE0175">
        <w:trPr>
          <w:cantSplit/>
          <w:trHeight w:val="20"/>
        </w:trPr>
        <w:tc>
          <w:tcPr>
            <w:tcW w:w="1271" w:type="dxa"/>
            <w:vAlign w:val="center"/>
          </w:tcPr>
          <w:p w14:paraId="355D736D" w14:textId="2B4B7BAA" w:rsidR="004D2FCB" w:rsidRPr="004D2FCB" w:rsidRDefault="00F64CC5" w:rsidP="00750703">
            <w:pPr>
              <w:rPr>
                <w:rFonts w:ascii="Arial Narrow" w:hAnsi="Arial Narrow"/>
                <w:bCs/>
                <w:snapToGrid w:val="0"/>
                <w:sz w:val="20"/>
                <w:szCs w:val="20"/>
              </w:rPr>
            </w:pPr>
            <w:r w:rsidRPr="00F64CC5">
              <w:rPr>
                <w:rFonts w:ascii="Arial Narrow" w:hAnsi="Arial Narrow"/>
                <w:bCs/>
                <w:snapToGrid w:val="0"/>
                <w:sz w:val="20"/>
                <w:szCs w:val="20"/>
              </w:rPr>
              <w:t xml:space="preserve">Add </w:t>
            </w:r>
          </w:p>
        </w:tc>
        <w:tc>
          <w:tcPr>
            <w:tcW w:w="7745" w:type="dxa"/>
            <w:vAlign w:val="center"/>
          </w:tcPr>
          <w:p w14:paraId="5D21DD42" w14:textId="77777777" w:rsidR="004D2FCB" w:rsidRPr="004D2FCB" w:rsidRDefault="004D2FCB" w:rsidP="00750703">
            <w:pPr>
              <w:rPr>
                <w:rFonts w:ascii="Arial Narrow" w:hAnsi="Arial Narrow"/>
                <w:b/>
                <w:snapToGrid w:val="0"/>
                <w:sz w:val="20"/>
                <w:szCs w:val="20"/>
                <w:lang w:val="en-GB"/>
              </w:rPr>
            </w:pPr>
            <w:r w:rsidRPr="004D2FCB">
              <w:rPr>
                <w:rFonts w:ascii="Arial Narrow" w:hAnsi="Arial Narrow"/>
                <w:b/>
                <w:bCs/>
                <w:snapToGrid w:val="0"/>
                <w:sz w:val="20"/>
                <w:szCs w:val="20"/>
              </w:rPr>
              <w:t xml:space="preserve">Clinical criteria: </w:t>
            </w:r>
          </w:p>
        </w:tc>
      </w:tr>
      <w:tr w:rsidR="004D2FCB" w:rsidRPr="004D2FCB" w14:paraId="261DC406" w14:textId="77777777" w:rsidTr="00FE0175">
        <w:trPr>
          <w:cantSplit/>
          <w:trHeight w:val="20"/>
        </w:trPr>
        <w:tc>
          <w:tcPr>
            <w:tcW w:w="1271" w:type="dxa"/>
            <w:vAlign w:val="center"/>
          </w:tcPr>
          <w:p w14:paraId="5994BF8C" w14:textId="09D3FF14" w:rsidR="004D2FCB" w:rsidRPr="004D2FCB" w:rsidRDefault="00F64CC5" w:rsidP="00750703">
            <w:pPr>
              <w:rPr>
                <w:rFonts w:ascii="Arial Narrow" w:hAnsi="Arial Narrow"/>
                <w:bCs/>
                <w:snapToGrid w:val="0"/>
                <w:sz w:val="20"/>
                <w:szCs w:val="20"/>
              </w:rPr>
            </w:pPr>
            <w:r w:rsidRPr="00F64CC5">
              <w:rPr>
                <w:rFonts w:ascii="Arial Narrow" w:hAnsi="Arial Narrow"/>
                <w:bCs/>
                <w:snapToGrid w:val="0"/>
                <w:sz w:val="20"/>
                <w:szCs w:val="20"/>
              </w:rPr>
              <w:t>A</w:t>
            </w:r>
            <w:r>
              <w:rPr>
                <w:rFonts w:ascii="Arial Narrow" w:hAnsi="Arial Narrow"/>
                <w:bCs/>
                <w:snapToGrid w:val="0"/>
                <w:sz w:val="20"/>
                <w:szCs w:val="20"/>
              </w:rPr>
              <w:t xml:space="preserve">dd </w:t>
            </w:r>
          </w:p>
        </w:tc>
        <w:tc>
          <w:tcPr>
            <w:tcW w:w="7745" w:type="dxa"/>
            <w:vAlign w:val="center"/>
          </w:tcPr>
          <w:p w14:paraId="3A8547BC" w14:textId="0E7695FA" w:rsidR="004D2FCB" w:rsidRPr="004D2FCB" w:rsidRDefault="004D2FCB" w:rsidP="00750703">
            <w:pPr>
              <w:rPr>
                <w:rFonts w:ascii="Arial Narrow" w:hAnsi="Arial Narrow"/>
                <w:bCs/>
                <w:snapToGrid w:val="0"/>
                <w:sz w:val="20"/>
                <w:szCs w:val="20"/>
                <w:lang w:val="en-GB"/>
              </w:rPr>
            </w:pPr>
            <w:r w:rsidRPr="004D2FCB">
              <w:rPr>
                <w:rFonts w:ascii="Arial Narrow" w:hAnsi="Arial Narrow"/>
                <w:bCs/>
                <w:snapToGrid w:val="0"/>
                <w:sz w:val="20"/>
                <w:szCs w:val="20"/>
              </w:rPr>
              <w:t>The treatment must be the sole PBS</w:t>
            </w:r>
            <w:r w:rsidR="00750703">
              <w:rPr>
                <w:rFonts w:ascii="Arial Narrow" w:hAnsi="Arial Narrow"/>
                <w:bCs/>
                <w:snapToGrid w:val="0"/>
                <w:sz w:val="20"/>
                <w:szCs w:val="20"/>
              </w:rPr>
              <w:noBreakHyphen/>
            </w:r>
            <w:r w:rsidRPr="004D2FCB">
              <w:rPr>
                <w:rFonts w:ascii="Arial Narrow" w:hAnsi="Arial Narrow"/>
                <w:bCs/>
                <w:snapToGrid w:val="0"/>
                <w:sz w:val="20"/>
                <w:szCs w:val="20"/>
              </w:rPr>
              <w:t>subsidised systemic anti</w:t>
            </w:r>
            <w:r w:rsidR="00750703">
              <w:rPr>
                <w:rFonts w:ascii="Arial Narrow" w:hAnsi="Arial Narrow"/>
                <w:bCs/>
                <w:snapToGrid w:val="0"/>
                <w:sz w:val="20"/>
                <w:szCs w:val="20"/>
              </w:rPr>
              <w:noBreakHyphen/>
            </w:r>
            <w:r w:rsidRPr="004D2FCB">
              <w:rPr>
                <w:rFonts w:ascii="Arial Narrow" w:hAnsi="Arial Narrow"/>
                <w:bCs/>
                <w:snapToGrid w:val="0"/>
                <w:sz w:val="20"/>
                <w:szCs w:val="20"/>
              </w:rPr>
              <w:t>cancer therapy for this PBS indication.</w:t>
            </w:r>
          </w:p>
        </w:tc>
      </w:tr>
    </w:tbl>
    <w:p w14:paraId="5EF5F404" w14:textId="77777777" w:rsidR="004D2FCB" w:rsidRPr="004D2FCB" w:rsidRDefault="004D2FCB" w:rsidP="00750703">
      <w:pPr>
        <w:rPr>
          <w:rFonts w:asciiTheme="minorHAnsi" w:hAnsiTheme="minorHAnsi"/>
          <w:b/>
          <w:snapToGrid w:val="0"/>
        </w:rPr>
      </w:pPr>
    </w:p>
    <w:p w14:paraId="1C9F357E" w14:textId="2B6607DD" w:rsidR="004D2FCB" w:rsidRPr="00CE5185" w:rsidRDefault="00D36D2A" w:rsidP="00750703">
      <w:pPr>
        <w:pStyle w:val="ListParagraph"/>
        <w:numPr>
          <w:ilvl w:val="0"/>
          <w:numId w:val="31"/>
        </w:numPr>
        <w:rPr>
          <w:rFonts w:eastAsia="Calibri" w:cstheme="minorHAnsi"/>
        </w:rPr>
      </w:pPr>
      <w:r w:rsidRPr="00503249">
        <w:rPr>
          <w:rFonts w:cstheme="minorHAnsi"/>
          <w:bCs/>
        </w:rPr>
        <w:t>The below</w:t>
      </w:r>
      <w:r w:rsidR="004D2FCB" w:rsidRPr="00503249">
        <w:rPr>
          <w:rFonts w:cstheme="minorHAnsi"/>
          <w:bCs/>
        </w:rPr>
        <w:t xml:space="preserve"> </w:t>
      </w:r>
      <w:r w:rsidR="00CE5185" w:rsidRPr="00503249">
        <w:rPr>
          <w:rFonts w:cstheme="minorHAnsi"/>
          <w:bCs/>
        </w:rPr>
        <w:t xml:space="preserve">AA </w:t>
      </w:r>
      <w:r w:rsidR="004D2FCB" w:rsidRPr="00503249">
        <w:rPr>
          <w:rFonts w:cstheme="minorHAnsi"/>
          <w:bCs/>
        </w:rPr>
        <w:t>as administrative change to pralatrexate listings</w:t>
      </w:r>
      <w:r w:rsidR="00FD50A4">
        <w:rPr>
          <w:rFonts w:cstheme="minorHAnsi"/>
          <w:bCs/>
        </w:rPr>
        <w:t>.</w:t>
      </w:r>
      <w:r w:rsidRPr="00503249">
        <w:rPr>
          <w:rFonts w:cstheme="minorHAnsi"/>
          <w:bCs/>
        </w:rPr>
        <w:t xml:space="preserve"> </w:t>
      </w:r>
      <w:r w:rsidR="00FD50A4">
        <w:rPr>
          <w:rFonts w:cstheme="minorHAnsi"/>
          <w:bCs/>
        </w:rPr>
        <w:t>T</w:t>
      </w:r>
      <w:r w:rsidR="00CE5185" w:rsidRPr="00503249">
        <w:rPr>
          <w:rFonts w:cstheme="minorHAnsi"/>
          <w:bCs/>
        </w:rPr>
        <w:t>he</w:t>
      </w:r>
      <w:r w:rsidRPr="00503249">
        <w:rPr>
          <w:rFonts w:cstheme="minorHAnsi"/>
          <w:bCs/>
        </w:rPr>
        <w:t xml:space="preserve"> </w:t>
      </w:r>
      <w:r w:rsidR="00CE5185" w:rsidRPr="00503249">
        <w:rPr>
          <w:rFonts w:cstheme="minorHAnsi"/>
          <w:bCs/>
        </w:rPr>
        <w:t>current listings for pralatrexate are Authority required listing</w:t>
      </w:r>
      <w:r w:rsidRPr="00503249">
        <w:rPr>
          <w:rFonts w:cstheme="minorHAnsi"/>
          <w:bCs/>
        </w:rPr>
        <w:t>s</w:t>
      </w:r>
      <w:r w:rsidR="00CE5185" w:rsidRPr="00503249">
        <w:rPr>
          <w:rFonts w:cstheme="minorHAnsi"/>
          <w:bCs/>
        </w:rPr>
        <w:t xml:space="preserve"> </w:t>
      </w:r>
      <w:r w:rsidRPr="00503249">
        <w:rPr>
          <w:rFonts w:cstheme="minorHAnsi"/>
          <w:bCs/>
        </w:rPr>
        <w:t>but</w:t>
      </w:r>
      <w:r w:rsidR="00CE5185" w:rsidRPr="00503249">
        <w:rPr>
          <w:rFonts w:cstheme="minorHAnsi"/>
          <w:bCs/>
        </w:rPr>
        <w:t xml:space="preserve"> lack the administrative advice (AA) that </w:t>
      </w:r>
      <w:r w:rsidRPr="00503249">
        <w:rPr>
          <w:rFonts w:cstheme="minorHAnsi"/>
          <w:bCs/>
        </w:rPr>
        <w:t>clarifies</w:t>
      </w:r>
      <w:r w:rsidR="00CE5185" w:rsidRPr="00503249">
        <w:rPr>
          <w:rFonts w:cstheme="minorHAnsi"/>
          <w:bCs/>
        </w:rPr>
        <w:t xml:space="preserve"> the authority type. </w:t>
      </w:r>
    </w:p>
    <w:p w14:paraId="22D3D5CD" w14:textId="77777777" w:rsidR="004D2FCB" w:rsidRPr="004D2FCB" w:rsidRDefault="004D2FCB" w:rsidP="00750703">
      <w:pPr>
        <w:rPr>
          <w:rFonts w:asciiTheme="minorHAnsi" w:hAnsiTheme="minorHAnsi"/>
          <w:b/>
          <w:bCs/>
          <w:snapToGrid w:val="0"/>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The below AA as administrative change to pralatrexate listings. The current listings for pralatrexate are Authority required listings but lack the administrative advice (AA) that clarifies the authority type. "/>
      </w:tblPr>
      <w:tblGrid>
        <w:gridCol w:w="1271"/>
        <w:gridCol w:w="7745"/>
      </w:tblGrid>
      <w:tr w:rsidR="004D2FCB" w:rsidRPr="004D2FCB" w14:paraId="06A889A3" w14:textId="77777777" w:rsidTr="00FE0175">
        <w:trPr>
          <w:trHeight w:val="20"/>
        </w:trPr>
        <w:tc>
          <w:tcPr>
            <w:tcW w:w="1271" w:type="dxa"/>
            <w:vAlign w:val="center"/>
          </w:tcPr>
          <w:p w14:paraId="33BDE7B3" w14:textId="24ED5F56" w:rsidR="004D2FCB" w:rsidRPr="004D2FCB" w:rsidRDefault="00D36D2A" w:rsidP="00750703">
            <w:pPr>
              <w:rPr>
                <w:rFonts w:ascii="Arial Narrow" w:hAnsi="Arial Narrow"/>
                <w:bCs/>
                <w:i/>
                <w:iCs/>
                <w:snapToGrid w:val="0"/>
                <w:sz w:val="20"/>
                <w:szCs w:val="20"/>
              </w:rPr>
            </w:pPr>
            <w:r>
              <w:rPr>
                <w:rFonts w:ascii="Arial Narrow" w:hAnsi="Arial Narrow"/>
                <w:bCs/>
                <w:i/>
                <w:iCs/>
                <w:snapToGrid w:val="0"/>
                <w:sz w:val="20"/>
                <w:szCs w:val="20"/>
              </w:rPr>
              <w:t xml:space="preserve">Add </w:t>
            </w:r>
          </w:p>
        </w:tc>
        <w:tc>
          <w:tcPr>
            <w:tcW w:w="7745" w:type="dxa"/>
            <w:vAlign w:val="center"/>
          </w:tcPr>
          <w:p w14:paraId="176E89C8" w14:textId="77777777" w:rsidR="004D2FCB" w:rsidRPr="004D2FCB" w:rsidRDefault="004D2FCB" w:rsidP="00750703">
            <w:pPr>
              <w:rPr>
                <w:rFonts w:ascii="Arial Narrow" w:hAnsi="Arial Narrow"/>
                <w:b/>
                <w:i/>
                <w:iCs/>
                <w:snapToGrid w:val="0"/>
                <w:sz w:val="20"/>
                <w:szCs w:val="20"/>
              </w:rPr>
            </w:pPr>
            <w:r w:rsidRPr="004D2FCB">
              <w:rPr>
                <w:rFonts w:ascii="Arial Narrow" w:hAnsi="Arial Narrow"/>
                <w:b/>
                <w:bCs/>
                <w:i/>
                <w:iCs/>
                <w:snapToGrid w:val="0"/>
                <w:sz w:val="20"/>
                <w:szCs w:val="20"/>
              </w:rPr>
              <w:t xml:space="preserve">Administrative Advice: </w:t>
            </w:r>
            <w:r w:rsidRPr="004D2FCB">
              <w:rPr>
                <w:rFonts w:ascii="Arial Narrow" w:hAnsi="Arial Narrow"/>
                <w:bCs/>
                <w:i/>
                <w:iCs/>
                <w:snapToGrid w:val="0"/>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19DAF510" w14:textId="77777777" w:rsidR="00A64DE9" w:rsidRPr="005A2C3A" w:rsidRDefault="00A64DE9" w:rsidP="00750703">
      <w:pPr>
        <w:rPr>
          <w:rFonts w:asciiTheme="minorHAnsi" w:hAnsiTheme="minorHAnsi"/>
          <w:b/>
          <w:i/>
          <w:iCs/>
          <w:snapToGrid w:val="0"/>
          <w:lang w:val="en-GB"/>
        </w:rPr>
      </w:pPr>
    </w:p>
    <w:p w14:paraId="50280AE1" w14:textId="77777777" w:rsidR="00F43D20" w:rsidRDefault="00F43D20" w:rsidP="00750703">
      <w:pPr>
        <w:spacing w:before="120" w:after="120"/>
        <w:rPr>
          <w:rFonts w:asciiTheme="minorHAnsi" w:hAnsiTheme="minorHAnsi"/>
          <w:b/>
          <w:i/>
          <w:iCs/>
          <w:snapToGrid w:val="0"/>
          <w:lang w:val="en-GB" w:eastAsia="en-US"/>
        </w:rPr>
      </w:pPr>
      <w:r w:rsidRPr="00AF5244">
        <w:rPr>
          <w:rFonts w:asciiTheme="minorHAnsi" w:hAnsiTheme="minorHAnsi"/>
          <w:b/>
          <w:i/>
          <w:iCs/>
          <w:snapToGrid w:val="0"/>
          <w:lang w:val="en-GB" w:eastAsia="en-US"/>
        </w:rPr>
        <w:t>These restrictions may be subject to further review. Should there be any changes made to the restriction the sponsor will be informed.</w:t>
      </w:r>
    </w:p>
    <w:p w14:paraId="5A8F1D83" w14:textId="1A7AAEBB" w:rsidR="00B121D2" w:rsidRPr="00061CBE" w:rsidRDefault="00B121D2" w:rsidP="00B121D2">
      <w:pPr>
        <w:pStyle w:val="2-SectionHeading"/>
        <w:numPr>
          <w:ilvl w:val="0"/>
          <w:numId w:val="0"/>
        </w:numPr>
        <w:ind w:left="720" w:hanging="720"/>
        <w:rPr>
          <w:lang w:val="en-GB"/>
        </w:rPr>
      </w:pPr>
      <w:r>
        <w:t>9</w:t>
      </w:r>
      <w:r w:rsidRPr="00061CBE">
        <w:tab/>
        <w:t>Context for Decision</w:t>
      </w:r>
    </w:p>
    <w:p w14:paraId="3F6C0BEC" w14:textId="77777777" w:rsidR="00B121D2" w:rsidRPr="00061CBE" w:rsidRDefault="00B121D2" w:rsidP="00B121D2">
      <w:pPr>
        <w:ind w:left="720"/>
        <w:rPr>
          <w:bCs/>
          <w:lang w:val="en-GB"/>
        </w:rPr>
      </w:pPr>
      <w:r w:rsidRPr="00061CBE">
        <w:rPr>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061CBE">
        <w:rPr>
          <w:bCs/>
          <w:lang w:val="en-GB"/>
        </w:rPr>
        <w:lastRenderedPageBreak/>
        <w:t>through the PBS. The PBAC welcomes applications containing new information at any time.</w:t>
      </w:r>
    </w:p>
    <w:p w14:paraId="2F1234B4" w14:textId="5536ACF4" w:rsidR="00B121D2" w:rsidRPr="00061CBE" w:rsidRDefault="00B121D2" w:rsidP="00B121D2">
      <w:pPr>
        <w:pStyle w:val="2-SectionHeading"/>
        <w:numPr>
          <w:ilvl w:val="0"/>
          <w:numId w:val="0"/>
        </w:numPr>
        <w:ind w:left="720" w:hanging="720"/>
      </w:pPr>
      <w:r>
        <w:t>10</w:t>
      </w:r>
      <w:r w:rsidRPr="00061CBE">
        <w:tab/>
        <w:t>Sponsor’s Comment</w:t>
      </w:r>
    </w:p>
    <w:p w14:paraId="5D6CACB3" w14:textId="0F389607" w:rsidR="00B121D2" w:rsidRPr="00AF5244" w:rsidRDefault="00B121D2" w:rsidP="0026172C">
      <w:pPr>
        <w:spacing w:before="120" w:after="120"/>
        <w:ind w:firstLine="720"/>
        <w:rPr>
          <w:rFonts w:asciiTheme="minorHAnsi" w:hAnsiTheme="minorHAnsi"/>
          <w:b/>
          <w:i/>
          <w:iCs/>
          <w:snapToGrid w:val="0"/>
          <w:lang w:val="en-GB" w:eastAsia="en-US"/>
        </w:rPr>
      </w:pPr>
      <w:r w:rsidRPr="00061CBE">
        <w:rPr>
          <w:bCs/>
        </w:rPr>
        <w:t>The sponsor had no comment.</w:t>
      </w:r>
    </w:p>
    <w:p w14:paraId="114247C9" w14:textId="77777777" w:rsidR="00352109" w:rsidRPr="005A2C3A" w:rsidRDefault="00352109" w:rsidP="00750703"/>
    <w:p w14:paraId="54B86C5A" w14:textId="77777777" w:rsidR="001A4628" w:rsidRPr="001A4628" w:rsidRDefault="001A4628" w:rsidP="00750703">
      <w:pPr>
        <w:spacing w:after="200" w:line="276" w:lineRule="auto"/>
        <w:jc w:val="left"/>
        <w:rPr>
          <w:rFonts w:ascii="Arial" w:hAnsi="Arial"/>
          <w:bCs/>
          <w:sz w:val="22"/>
          <w:szCs w:val="22"/>
          <w:lang w:eastAsia="en-US"/>
        </w:rPr>
      </w:pPr>
      <w:bookmarkStart w:id="53" w:name="_Toc219197472"/>
      <w:bookmarkEnd w:id="53"/>
    </w:p>
    <w:p w14:paraId="61681D3C" w14:textId="5D42957E" w:rsidR="002169EB" w:rsidRPr="002823C6" w:rsidRDefault="002169EB" w:rsidP="00750703">
      <w:pPr>
        <w:jc w:val="left"/>
        <w:rPr>
          <w:rFonts w:asciiTheme="minorHAnsi" w:hAnsiTheme="minorHAnsi"/>
          <w:b/>
          <w:snapToGrid w:val="0"/>
          <w:sz w:val="32"/>
          <w:szCs w:val="32"/>
        </w:rPr>
      </w:pPr>
    </w:p>
    <w:sectPr w:rsidR="002169EB" w:rsidRPr="002823C6" w:rsidSect="00251006">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DEFE8" w14:textId="77777777" w:rsidR="006801A6" w:rsidRDefault="006801A6" w:rsidP="00124A51">
      <w:r>
        <w:separator/>
      </w:r>
    </w:p>
    <w:p w14:paraId="7A195A44" w14:textId="77777777" w:rsidR="006801A6" w:rsidRDefault="006801A6"/>
  </w:endnote>
  <w:endnote w:type="continuationSeparator" w:id="0">
    <w:p w14:paraId="1B8F18A4" w14:textId="77777777" w:rsidR="006801A6" w:rsidRDefault="006801A6" w:rsidP="00124A51">
      <w:r>
        <w:continuationSeparator/>
      </w:r>
    </w:p>
    <w:p w14:paraId="5BB0FB3B" w14:textId="77777777" w:rsidR="006801A6" w:rsidRDefault="00680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21D7" w14:textId="6E2709F7" w:rsidR="00D843F2" w:rsidRDefault="007915AC">
    <w:pPr>
      <w:pStyle w:val="Footer"/>
    </w:pPr>
    <w:r>
      <w:rPr>
        <w:noProof/>
      </w:rPr>
      <mc:AlternateContent>
        <mc:Choice Requires="wps">
          <w:drawing>
            <wp:anchor distT="0" distB="0" distL="0" distR="0" simplePos="0" relativeHeight="251663365" behindDoc="0" locked="0" layoutInCell="1" allowOverlap="1" wp14:anchorId="6AB630F4" wp14:editId="25974152">
              <wp:simplePos x="635" y="635"/>
              <wp:positionH relativeFrom="page">
                <wp:align>center</wp:align>
              </wp:positionH>
              <wp:positionV relativeFrom="page">
                <wp:align>bottom</wp:align>
              </wp:positionV>
              <wp:extent cx="622300" cy="376555"/>
              <wp:effectExtent l="0" t="0" r="6350" b="0"/>
              <wp:wrapNone/>
              <wp:docPr id="881958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01BC662" w14:textId="74968945" w:rsidR="007915AC" w:rsidRPr="007915AC" w:rsidRDefault="007915AC" w:rsidP="007915AC">
                          <w:pPr>
                            <w:rPr>
                              <w:rFonts w:ascii="Aptos" w:eastAsia="Aptos" w:hAnsi="Aptos" w:cs="Aptos"/>
                              <w:noProof/>
                              <w:color w:val="FF0000"/>
                            </w:rPr>
                          </w:pPr>
                          <w:r w:rsidRPr="007915A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630F4"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701BC662" w14:textId="74968945" w:rsidR="007915AC" w:rsidRPr="007915AC" w:rsidRDefault="007915AC" w:rsidP="007915AC">
                    <w:pPr>
                      <w:rPr>
                        <w:rFonts w:ascii="Aptos" w:eastAsia="Aptos" w:hAnsi="Aptos" w:cs="Aptos"/>
                        <w:noProof/>
                        <w:color w:val="FF0000"/>
                      </w:rPr>
                    </w:pPr>
                    <w:r w:rsidRPr="007915AC">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9127" w14:textId="573E4B73" w:rsidR="00BA2DA9" w:rsidRDefault="007915AC" w:rsidP="00A24826">
    <w:pPr>
      <w:pStyle w:val="PageFooter"/>
    </w:pPr>
    <w:r>
      <w:rPr>
        <w:noProof/>
      </w:rPr>
      <mc:AlternateContent>
        <mc:Choice Requires="wps">
          <w:drawing>
            <wp:anchor distT="0" distB="0" distL="0" distR="0" simplePos="0" relativeHeight="251664389" behindDoc="0" locked="0" layoutInCell="1" allowOverlap="1" wp14:anchorId="0BE16AB9" wp14:editId="5EF51638">
              <wp:simplePos x="635" y="635"/>
              <wp:positionH relativeFrom="page">
                <wp:align>center</wp:align>
              </wp:positionH>
              <wp:positionV relativeFrom="page">
                <wp:align>bottom</wp:align>
              </wp:positionV>
              <wp:extent cx="622300" cy="376555"/>
              <wp:effectExtent l="0" t="0" r="6350" b="0"/>
              <wp:wrapNone/>
              <wp:docPr id="49283653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03EA8AC" w14:textId="0ED9BE81" w:rsidR="007915AC" w:rsidRPr="007915AC" w:rsidRDefault="007915AC" w:rsidP="007915AC">
                          <w:pPr>
                            <w:rPr>
                              <w:rFonts w:ascii="Aptos" w:eastAsia="Aptos" w:hAnsi="Aptos" w:cs="Aptos"/>
                              <w:noProof/>
                              <w:color w:val="FF0000"/>
                            </w:rPr>
                          </w:pPr>
                          <w:r w:rsidRPr="007915A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E16AB9"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503EA8AC" w14:textId="0ED9BE81" w:rsidR="007915AC" w:rsidRPr="007915AC" w:rsidRDefault="007915AC" w:rsidP="007915AC">
                    <w:pPr>
                      <w:rPr>
                        <w:rFonts w:ascii="Aptos" w:eastAsia="Aptos" w:hAnsi="Aptos" w:cs="Aptos"/>
                        <w:noProof/>
                        <w:color w:val="FF0000"/>
                      </w:rPr>
                    </w:pPr>
                    <w:r w:rsidRPr="007915AC">
                      <w:rPr>
                        <w:rFonts w:ascii="Aptos" w:eastAsia="Aptos" w:hAnsi="Aptos" w:cs="Aptos"/>
                        <w:noProof/>
                        <w:color w:val="FF0000"/>
                      </w:rPr>
                      <w:t>OFFICIAL</w:t>
                    </w:r>
                  </w:p>
                </w:txbxContent>
              </v:textbox>
              <w10:wrap anchorx="page" anchory="page"/>
            </v:shape>
          </w:pict>
        </mc:Fallback>
      </mc:AlternateContent>
    </w:r>
  </w:p>
  <w:p w14:paraId="74200C99" w14:textId="2F33D814" w:rsidR="00A24826" w:rsidRPr="00BB3214" w:rsidRDefault="006801A6" w:rsidP="00A24826">
    <w:pPr>
      <w:pStyle w:val="PageFooter"/>
    </w:pPr>
    <w:sdt>
      <w:sdtPr>
        <w:id w:val="1581259971"/>
        <w:docPartObj>
          <w:docPartGallery w:val="Page Numbers (Bottom of Page)"/>
          <w:docPartUnique/>
        </w:docPartObj>
      </w:sdtPr>
      <w:sdtEndPr>
        <w:rPr>
          <w:noProof/>
        </w:rPr>
      </w:sdtEndPr>
      <w:sdtContent>
        <w:r w:rsidR="00A24826" w:rsidRPr="00BB3214">
          <w:fldChar w:fldCharType="begin"/>
        </w:r>
        <w:r w:rsidR="00A24826" w:rsidRPr="00BB3214">
          <w:instrText xml:space="preserve"> PAGE   \* MERGEFORMAT </w:instrText>
        </w:r>
        <w:r w:rsidR="00A24826" w:rsidRPr="00BB3214">
          <w:fldChar w:fldCharType="separate"/>
        </w:r>
        <w:r w:rsidR="00A24826" w:rsidRPr="00BB3214">
          <w:t>1</w:t>
        </w:r>
        <w:r w:rsidR="00A24826" w:rsidRPr="00BB3214">
          <w:rPr>
            <w:noProof/>
          </w:rPr>
          <w:fldChar w:fldCharType="end"/>
        </w:r>
      </w:sdtContent>
    </w:sdt>
  </w:p>
  <w:p w14:paraId="37484CD3" w14:textId="723A37BA" w:rsidR="00D843F2" w:rsidRPr="00A970BF" w:rsidRDefault="00D843F2" w:rsidP="00A97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A4E7" w14:textId="756BC753" w:rsidR="00D843F2" w:rsidRDefault="007915AC">
    <w:pPr>
      <w:pStyle w:val="Footer"/>
    </w:pPr>
    <w:r>
      <w:rPr>
        <w:noProof/>
      </w:rPr>
      <mc:AlternateContent>
        <mc:Choice Requires="wps">
          <w:drawing>
            <wp:anchor distT="0" distB="0" distL="0" distR="0" simplePos="0" relativeHeight="251662341" behindDoc="0" locked="0" layoutInCell="1" allowOverlap="1" wp14:anchorId="42CAB210" wp14:editId="2E951323">
              <wp:simplePos x="635" y="635"/>
              <wp:positionH relativeFrom="page">
                <wp:align>center</wp:align>
              </wp:positionH>
              <wp:positionV relativeFrom="page">
                <wp:align>bottom</wp:align>
              </wp:positionV>
              <wp:extent cx="622300" cy="376555"/>
              <wp:effectExtent l="0" t="0" r="6350" b="0"/>
              <wp:wrapNone/>
              <wp:docPr id="211963700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9206BC1" w14:textId="0BD28D47" w:rsidR="007915AC" w:rsidRPr="007915AC" w:rsidRDefault="007915AC" w:rsidP="007915AC">
                          <w:pPr>
                            <w:rPr>
                              <w:rFonts w:ascii="Aptos" w:eastAsia="Aptos" w:hAnsi="Aptos" w:cs="Aptos"/>
                              <w:noProof/>
                              <w:color w:val="FF0000"/>
                            </w:rPr>
                          </w:pPr>
                          <w:r w:rsidRPr="007915A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CAB210"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19206BC1" w14:textId="0BD28D47" w:rsidR="007915AC" w:rsidRPr="007915AC" w:rsidRDefault="007915AC" w:rsidP="007915AC">
                    <w:pPr>
                      <w:rPr>
                        <w:rFonts w:ascii="Aptos" w:eastAsia="Aptos" w:hAnsi="Aptos" w:cs="Aptos"/>
                        <w:noProof/>
                        <w:color w:val="FF0000"/>
                      </w:rPr>
                    </w:pPr>
                    <w:r w:rsidRPr="007915AC">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5B150" w14:textId="77777777" w:rsidR="006801A6" w:rsidRDefault="006801A6" w:rsidP="00124A51">
      <w:r>
        <w:separator/>
      </w:r>
    </w:p>
    <w:p w14:paraId="3BF03270" w14:textId="77777777" w:rsidR="006801A6" w:rsidRDefault="006801A6"/>
  </w:footnote>
  <w:footnote w:type="continuationSeparator" w:id="0">
    <w:p w14:paraId="0F5512FE" w14:textId="77777777" w:rsidR="006801A6" w:rsidRDefault="006801A6" w:rsidP="00124A51">
      <w:r>
        <w:continuationSeparator/>
      </w:r>
    </w:p>
    <w:p w14:paraId="4DC64B80" w14:textId="77777777" w:rsidR="006801A6" w:rsidRDefault="006801A6"/>
  </w:footnote>
  <w:footnote w:id="1">
    <w:p w14:paraId="20E857A0" w14:textId="36B0C8D3" w:rsidR="0096438C" w:rsidRDefault="0096438C">
      <w:pPr>
        <w:pStyle w:val="FootnoteText"/>
      </w:pPr>
      <w:r>
        <w:rPr>
          <w:rStyle w:val="FootnoteReference"/>
        </w:rPr>
        <w:footnoteRef/>
      </w:r>
      <w:r>
        <w:t xml:space="preserve"> </w:t>
      </w:r>
      <w:r w:rsidRPr="00B81E34">
        <w:rPr>
          <w:rFonts w:asciiTheme="minorHAnsi" w:hAnsiTheme="minorHAnsi" w:cstheme="minorHAnsi"/>
          <w:sz w:val="18"/>
          <w:szCs w:val="18"/>
        </w:rPr>
        <w:t xml:space="preserve">Bachy E, Camus V, </w:t>
      </w:r>
      <w:proofErr w:type="spellStart"/>
      <w:r w:rsidRPr="00B81E34">
        <w:rPr>
          <w:rFonts w:asciiTheme="minorHAnsi" w:hAnsiTheme="minorHAnsi" w:cstheme="minorHAnsi"/>
          <w:sz w:val="18"/>
          <w:szCs w:val="18"/>
        </w:rPr>
        <w:t>Thieblemont</w:t>
      </w:r>
      <w:proofErr w:type="spellEnd"/>
      <w:r w:rsidRPr="00B81E34">
        <w:rPr>
          <w:rFonts w:asciiTheme="minorHAnsi" w:hAnsiTheme="minorHAnsi" w:cstheme="minorHAnsi"/>
          <w:sz w:val="18"/>
          <w:szCs w:val="18"/>
        </w:rPr>
        <w:t xml:space="preserve"> C, et al. Romidepsin plus CHOP versus CHOP in patients with previously untreated Peripheral T-Cell Lymphoma: Results of the Ro-CHOP Phase III Study (Conducted by LYSA).</w:t>
      </w:r>
      <w:r w:rsidRPr="00B81E34">
        <w:rPr>
          <w:rFonts w:asciiTheme="minorHAnsi" w:hAnsiTheme="minorHAnsi" w:cstheme="minorHAnsi"/>
          <w:i/>
          <w:iCs/>
          <w:sz w:val="18"/>
          <w:szCs w:val="18"/>
        </w:rPr>
        <w:t xml:space="preserve"> J Clin Oncol</w:t>
      </w:r>
      <w:r w:rsidRPr="00B81E34">
        <w:rPr>
          <w:rFonts w:asciiTheme="minorHAnsi" w:hAnsiTheme="minorHAnsi" w:cstheme="minorHAnsi"/>
          <w:sz w:val="18"/>
          <w:szCs w:val="18"/>
        </w:rPr>
        <w:t xml:space="preserve"> 2022; 40:242-251.</w:t>
      </w:r>
    </w:p>
  </w:footnote>
  <w:footnote w:id="2">
    <w:p w14:paraId="5E4D7A36" w14:textId="052D6D68" w:rsidR="00284A3C" w:rsidRDefault="00284A3C">
      <w:pPr>
        <w:pStyle w:val="FootnoteText"/>
      </w:pPr>
      <w:r>
        <w:rPr>
          <w:rStyle w:val="FootnoteReference"/>
        </w:rPr>
        <w:footnoteRef/>
      </w:r>
      <w:r>
        <w:t xml:space="preserve"> </w:t>
      </w:r>
      <w:r w:rsidRPr="00B81E34">
        <w:rPr>
          <w:rFonts w:asciiTheme="minorHAnsi" w:hAnsiTheme="minorHAnsi" w:cstheme="minorHAnsi"/>
          <w:sz w:val="18"/>
          <w:szCs w:val="18"/>
        </w:rPr>
        <w:t>https://recalls-rappels.canada.ca/en/alert-recall/istodax-romidepsin-restricted-access-program Accessed 9 November 2025.</w:t>
      </w:r>
    </w:p>
  </w:footnote>
  <w:footnote w:id="3">
    <w:p w14:paraId="34A8AE21" w14:textId="43A90D12" w:rsidR="00284A3C" w:rsidRDefault="00284A3C">
      <w:pPr>
        <w:pStyle w:val="FootnoteText"/>
      </w:pPr>
      <w:r>
        <w:rPr>
          <w:rStyle w:val="FootnoteReference"/>
        </w:rPr>
        <w:footnoteRef/>
      </w:r>
      <w:r>
        <w:t xml:space="preserve"> </w:t>
      </w:r>
      <w:r w:rsidRPr="00E67E5C">
        <w:rPr>
          <w:rFonts w:asciiTheme="minorHAnsi" w:hAnsiTheme="minorHAnsi" w:cstheme="minorHAnsi"/>
          <w:sz w:val="18"/>
          <w:szCs w:val="18"/>
        </w:rPr>
        <w:t>https://www.ema.europa.eu/en/medicines/human/EPAR/istodax Accessed 9 November 2025.</w:t>
      </w:r>
    </w:p>
  </w:footnote>
  <w:footnote w:id="4">
    <w:p w14:paraId="06C99702" w14:textId="22E2F066" w:rsidR="00C227AD" w:rsidRPr="004947B9" w:rsidRDefault="00C227AD">
      <w:pPr>
        <w:pStyle w:val="FootnoteText"/>
        <w:rPr>
          <w:rFonts w:asciiTheme="minorHAnsi" w:hAnsiTheme="minorHAnsi" w:cstheme="minorHAnsi"/>
          <w:b/>
          <w:bCs/>
          <w:sz w:val="18"/>
          <w:szCs w:val="18"/>
        </w:rPr>
      </w:pPr>
      <w:r w:rsidRPr="004947B9">
        <w:rPr>
          <w:rStyle w:val="FootnoteReference"/>
          <w:rFonts w:asciiTheme="minorHAnsi" w:hAnsiTheme="minorHAnsi" w:cstheme="minorHAnsi"/>
          <w:sz w:val="18"/>
          <w:szCs w:val="18"/>
        </w:rPr>
        <w:footnoteRef/>
      </w:r>
      <w:r w:rsidRPr="004947B9">
        <w:rPr>
          <w:rFonts w:asciiTheme="minorHAnsi" w:hAnsiTheme="minorHAnsi" w:cstheme="minorHAnsi"/>
          <w:sz w:val="18"/>
          <w:szCs w:val="18"/>
        </w:rPr>
        <w:t xml:space="preserve"> Amengual JE, Lichtenstein R, Lue J, et al. A phase 1 study of romidepsin and pralatrexate reveals marked activity in relapsed and refractory T-cell lymphoma. </w:t>
      </w:r>
      <w:r w:rsidRPr="004947B9">
        <w:rPr>
          <w:rFonts w:asciiTheme="minorHAnsi" w:hAnsiTheme="minorHAnsi" w:cstheme="minorHAnsi"/>
          <w:i/>
          <w:iCs/>
          <w:sz w:val="18"/>
          <w:szCs w:val="18"/>
        </w:rPr>
        <w:t>Blood</w:t>
      </w:r>
      <w:r w:rsidRPr="004947B9">
        <w:rPr>
          <w:rFonts w:asciiTheme="minorHAnsi" w:hAnsiTheme="minorHAnsi" w:cstheme="minorHAnsi"/>
          <w:sz w:val="18"/>
          <w:szCs w:val="18"/>
        </w:rPr>
        <w:t xml:space="preserve"> 2018; 131:397-407. </w:t>
      </w:r>
    </w:p>
  </w:footnote>
  <w:footnote w:id="5">
    <w:p w14:paraId="5B4C7936" w14:textId="6F9030BE" w:rsidR="00FA0244" w:rsidRDefault="00FA0244">
      <w:pPr>
        <w:pStyle w:val="FootnoteText"/>
      </w:pPr>
      <w:r w:rsidRPr="004947B9">
        <w:rPr>
          <w:rStyle w:val="FootnoteReference"/>
          <w:rFonts w:asciiTheme="minorHAnsi" w:hAnsiTheme="minorHAnsi" w:cstheme="minorHAnsi"/>
          <w:sz w:val="18"/>
          <w:szCs w:val="18"/>
        </w:rPr>
        <w:footnoteRef/>
      </w:r>
      <w:r w:rsidRPr="004947B9">
        <w:rPr>
          <w:rFonts w:asciiTheme="minorHAnsi" w:hAnsiTheme="minorHAnsi" w:cstheme="minorHAnsi"/>
          <w:sz w:val="18"/>
          <w:szCs w:val="18"/>
        </w:rPr>
        <w:t xml:space="preserve"> Yun KRT, Jain S, Barta SK, et al. Phase II study of the novel antifolate agent pralatrexate in combination with the histone deacetylase inhibitor romidepsin for the treatment of patients with mature T-cell lymphoma. </w:t>
      </w:r>
      <w:r w:rsidRPr="004947B9">
        <w:rPr>
          <w:rFonts w:asciiTheme="minorHAnsi" w:hAnsiTheme="minorHAnsi" w:cstheme="minorHAnsi"/>
          <w:i/>
          <w:iCs/>
          <w:sz w:val="18"/>
          <w:szCs w:val="18"/>
        </w:rPr>
        <w:t>Leukemia &amp; Lymphoma</w:t>
      </w:r>
      <w:r w:rsidRPr="004947B9">
        <w:rPr>
          <w:rFonts w:asciiTheme="minorHAnsi" w:hAnsiTheme="minorHAnsi" w:cstheme="minorHAnsi"/>
          <w:sz w:val="18"/>
          <w:szCs w:val="18"/>
        </w:rPr>
        <w:t xml:space="preserve"> 2024; 65:736-745. </w:t>
      </w:r>
    </w:p>
  </w:footnote>
  <w:footnote w:id="6">
    <w:p w14:paraId="69275D7F" w14:textId="77777777" w:rsidR="00B07E1B" w:rsidRPr="007921E3" w:rsidRDefault="00B07E1B" w:rsidP="00B07E1B">
      <w:pPr>
        <w:pStyle w:val="FootnoteText"/>
        <w:rPr>
          <w:sz w:val="18"/>
          <w:szCs w:val="18"/>
        </w:rPr>
      </w:pPr>
      <w:r w:rsidRPr="007921E3">
        <w:rPr>
          <w:rStyle w:val="FootnoteReference"/>
          <w:sz w:val="18"/>
          <w:szCs w:val="18"/>
        </w:rPr>
        <w:footnoteRef/>
      </w:r>
      <w:r w:rsidRPr="007921E3">
        <w:rPr>
          <w:sz w:val="18"/>
          <w:szCs w:val="18"/>
        </w:rPr>
        <w:t xml:space="preserve"> Falchi L, et al. Combined oral 5-azacytidine and romidepsin are highly effective in patients with PTCL: a multicenter phase 2 study. </w:t>
      </w:r>
      <w:r w:rsidRPr="007921E3">
        <w:rPr>
          <w:i/>
          <w:iCs/>
          <w:sz w:val="18"/>
          <w:szCs w:val="18"/>
        </w:rPr>
        <w:t>Blood</w:t>
      </w:r>
      <w:r w:rsidRPr="007921E3">
        <w:rPr>
          <w:sz w:val="18"/>
          <w:szCs w:val="18"/>
        </w:rPr>
        <w:t xml:space="preserve"> 2021; 137 (16):2161-2170.</w:t>
      </w:r>
    </w:p>
  </w:footnote>
  <w:footnote w:id="7">
    <w:p w14:paraId="7F1CB71A" w14:textId="2A8090D2" w:rsidR="00356B6F" w:rsidRDefault="00356B6F" w:rsidP="00872B1E">
      <w:pPr>
        <w:pStyle w:val="FootnoteText"/>
      </w:pPr>
      <w:r w:rsidRPr="00CF50B0">
        <w:rPr>
          <w:rStyle w:val="FootnoteReference"/>
          <w:rFonts w:asciiTheme="minorHAnsi" w:hAnsiTheme="minorHAnsi" w:cstheme="minorHAnsi"/>
          <w:sz w:val="18"/>
          <w:szCs w:val="18"/>
        </w:rPr>
        <w:footnoteRef/>
      </w:r>
      <w:r w:rsidRPr="00CF50B0">
        <w:rPr>
          <w:rFonts w:asciiTheme="minorHAnsi" w:hAnsiTheme="minorHAnsi" w:cstheme="minorHAnsi"/>
          <w:sz w:val="18"/>
          <w:szCs w:val="18"/>
        </w:rPr>
        <w:t xml:space="preserve"> </w:t>
      </w:r>
      <w:r w:rsidR="00872B1E" w:rsidRPr="00CF50B0">
        <w:rPr>
          <w:rFonts w:asciiTheme="minorHAnsi" w:hAnsiTheme="minorHAnsi" w:cstheme="minorHAnsi"/>
          <w:sz w:val="18"/>
          <w:szCs w:val="18"/>
        </w:rPr>
        <w:t xml:space="preserve">Han JX, Koh MJ, Boussi L et al. Global outcomes and prognosis for relapsed/refractory mature T-cell and NK-cell lymphomas: results from the PETAL consortium. </w:t>
      </w:r>
      <w:r w:rsidR="00872B1E" w:rsidRPr="00CF50B0">
        <w:rPr>
          <w:rFonts w:asciiTheme="minorHAnsi" w:hAnsiTheme="minorHAnsi" w:cstheme="minorHAnsi"/>
          <w:i/>
          <w:iCs/>
          <w:sz w:val="18"/>
          <w:szCs w:val="18"/>
        </w:rPr>
        <w:t>Blood Advances</w:t>
      </w:r>
      <w:r w:rsidR="00872B1E" w:rsidRPr="00CF50B0">
        <w:rPr>
          <w:rFonts w:asciiTheme="minorHAnsi" w:hAnsiTheme="minorHAnsi" w:cstheme="minorHAnsi"/>
          <w:sz w:val="18"/>
          <w:szCs w:val="18"/>
        </w:rPr>
        <w:t xml:space="preserve"> 2025; 9:583-602. </w:t>
      </w:r>
    </w:p>
  </w:footnote>
  <w:footnote w:id="8">
    <w:p w14:paraId="16049A1C" w14:textId="4A57A603" w:rsidR="00BB19A5" w:rsidRPr="0055341A" w:rsidRDefault="00BB19A5">
      <w:pPr>
        <w:pStyle w:val="FootnoteText"/>
        <w:rPr>
          <w:sz w:val="18"/>
          <w:szCs w:val="18"/>
        </w:rPr>
      </w:pPr>
      <w:r w:rsidRPr="0055341A">
        <w:rPr>
          <w:rStyle w:val="FootnoteReference"/>
          <w:sz w:val="18"/>
          <w:szCs w:val="18"/>
        </w:rPr>
        <w:footnoteRef/>
      </w:r>
      <w:r w:rsidRPr="0055341A">
        <w:rPr>
          <w:sz w:val="18"/>
          <w:szCs w:val="18"/>
        </w:rPr>
        <w:t xml:space="preserve"> </w:t>
      </w:r>
      <w:r w:rsidR="00B31706" w:rsidRPr="0055341A">
        <w:rPr>
          <w:sz w:val="18"/>
          <w:szCs w:val="18"/>
        </w:rPr>
        <w:t xml:space="preserve">NCCN Clinical Practice Guidelines in Oncology, T-Cell </w:t>
      </w:r>
      <w:r w:rsidR="0055341A" w:rsidRPr="0055341A">
        <w:rPr>
          <w:sz w:val="18"/>
          <w:szCs w:val="18"/>
        </w:rPr>
        <w:t>Lymphomas</w:t>
      </w:r>
      <w:r w:rsidR="00B31706" w:rsidRPr="0055341A">
        <w:rPr>
          <w:sz w:val="18"/>
          <w:szCs w:val="18"/>
        </w:rPr>
        <w:t>, Version 2.2026 – February 13, 2026</w:t>
      </w:r>
    </w:p>
  </w:footnote>
  <w:footnote w:id="9">
    <w:p w14:paraId="5A3085B5" w14:textId="024258D3" w:rsidR="00384B26" w:rsidRDefault="00384B26" w:rsidP="00384B26">
      <w:pPr>
        <w:pStyle w:val="FootnoteText"/>
      </w:pPr>
      <w:r w:rsidRPr="00544686">
        <w:rPr>
          <w:rStyle w:val="FootnoteReference"/>
          <w:rFonts w:asciiTheme="minorHAnsi" w:hAnsiTheme="minorHAnsi" w:cstheme="minorHAnsi"/>
          <w:sz w:val="18"/>
          <w:szCs w:val="18"/>
        </w:rPr>
        <w:footnoteRef/>
      </w:r>
      <w:r w:rsidRPr="00544686">
        <w:rPr>
          <w:rFonts w:asciiTheme="minorHAnsi" w:hAnsiTheme="minorHAnsi" w:cstheme="minorHAnsi"/>
          <w:sz w:val="18"/>
          <w:szCs w:val="18"/>
        </w:rPr>
        <w:t xml:space="preserve"> Maruyama D, </w:t>
      </w:r>
      <w:proofErr w:type="spellStart"/>
      <w:r w:rsidRPr="00544686">
        <w:rPr>
          <w:rFonts w:asciiTheme="minorHAnsi" w:hAnsiTheme="minorHAnsi" w:cstheme="minorHAnsi"/>
          <w:sz w:val="18"/>
          <w:szCs w:val="18"/>
        </w:rPr>
        <w:t>Tobinai</w:t>
      </w:r>
      <w:proofErr w:type="spellEnd"/>
      <w:r w:rsidRPr="00544686">
        <w:rPr>
          <w:rFonts w:asciiTheme="minorHAnsi" w:hAnsiTheme="minorHAnsi" w:cstheme="minorHAnsi"/>
          <w:sz w:val="18"/>
          <w:szCs w:val="18"/>
        </w:rPr>
        <w:t xml:space="preserve"> K, Ogura M, et al. Romidepsin in Japanese patients with relapsed or refractory peripheral T-cell lymphoma: a phase I/II and pharmacokinetics study</w:t>
      </w:r>
      <w:r w:rsidRPr="00544686">
        <w:rPr>
          <w:rFonts w:asciiTheme="minorHAnsi" w:hAnsiTheme="minorHAnsi" w:cstheme="minorHAnsi"/>
          <w:b/>
          <w:bCs/>
          <w:sz w:val="18"/>
          <w:szCs w:val="18"/>
        </w:rPr>
        <w:t xml:space="preserve">. </w:t>
      </w:r>
      <w:r w:rsidRPr="00544686">
        <w:rPr>
          <w:rFonts w:asciiTheme="minorHAnsi" w:hAnsiTheme="minorHAnsi" w:cstheme="minorHAnsi"/>
          <w:i/>
          <w:iCs/>
          <w:sz w:val="18"/>
          <w:szCs w:val="18"/>
        </w:rPr>
        <w:t xml:space="preserve">Int J </w:t>
      </w:r>
      <w:proofErr w:type="spellStart"/>
      <w:r w:rsidRPr="00544686">
        <w:rPr>
          <w:rFonts w:asciiTheme="minorHAnsi" w:hAnsiTheme="minorHAnsi" w:cstheme="minorHAnsi"/>
          <w:i/>
          <w:iCs/>
          <w:sz w:val="18"/>
          <w:szCs w:val="18"/>
        </w:rPr>
        <w:t>Hematol</w:t>
      </w:r>
      <w:proofErr w:type="spellEnd"/>
      <w:r w:rsidRPr="00544686">
        <w:rPr>
          <w:rFonts w:asciiTheme="minorHAnsi" w:hAnsiTheme="minorHAnsi" w:cstheme="minorHAnsi"/>
          <w:sz w:val="18"/>
          <w:szCs w:val="18"/>
        </w:rPr>
        <w:t xml:space="preserve"> 2017; 106:655-665. </w:t>
      </w:r>
    </w:p>
  </w:footnote>
  <w:footnote w:id="10">
    <w:p w14:paraId="7D4FD0FD" w14:textId="2AEF18AC" w:rsidR="00995F95" w:rsidRPr="00B266E1" w:rsidRDefault="00995F95">
      <w:pPr>
        <w:pStyle w:val="FootnoteText"/>
        <w:rPr>
          <w:rFonts w:asciiTheme="minorHAnsi" w:hAnsiTheme="minorHAnsi" w:cstheme="minorHAnsi"/>
          <w:sz w:val="18"/>
          <w:szCs w:val="18"/>
        </w:rPr>
      </w:pPr>
      <w:r w:rsidRPr="00B266E1">
        <w:rPr>
          <w:rStyle w:val="FootnoteReference"/>
          <w:rFonts w:asciiTheme="minorHAnsi" w:hAnsiTheme="minorHAnsi" w:cstheme="minorHAnsi"/>
          <w:sz w:val="18"/>
          <w:szCs w:val="18"/>
        </w:rPr>
        <w:footnoteRef/>
      </w:r>
      <w:r w:rsidRPr="00B266E1">
        <w:rPr>
          <w:rFonts w:asciiTheme="minorHAnsi" w:hAnsiTheme="minorHAnsi" w:cstheme="minorHAnsi"/>
          <w:sz w:val="18"/>
          <w:szCs w:val="18"/>
        </w:rPr>
        <w:t xml:space="preserve"> </w:t>
      </w:r>
      <w:r w:rsidRPr="00B266E1">
        <w:rPr>
          <w:rFonts w:asciiTheme="minorHAnsi" w:hAnsiTheme="minorHAnsi" w:cstheme="minorHAnsi"/>
          <w:color w:val="1B1B1B"/>
          <w:sz w:val="18"/>
          <w:szCs w:val="18"/>
          <w:shd w:val="clear" w:color="auto" w:fill="FFFFFF"/>
        </w:rPr>
        <w:t xml:space="preserve">O'Connor OA, Özcan M, Jacobsen ED, et al: Lumiere Study Investigators. Randomized Phase III Study of Alisertib or Investigator's Choice (Selected Single Agent) in Patients With Relapsed or Refractory Peripheral T-Cell Lymphoma. J Clin Oncol. 2019 Mar 10;37(8):613-623. </w:t>
      </w:r>
    </w:p>
  </w:footnote>
  <w:footnote w:id="11">
    <w:p w14:paraId="3027BCC9" w14:textId="7E0D90BD" w:rsidR="006A0BF0" w:rsidRDefault="006A0BF0">
      <w:pPr>
        <w:pStyle w:val="FootnoteText"/>
      </w:pPr>
      <w:r>
        <w:rPr>
          <w:rStyle w:val="FootnoteReference"/>
        </w:rPr>
        <w:footnoteRef/>
      </w:r>
      <w:r>
        <w:t xml:space="preserve"> </w:t>
      </w:r>
      <w:r>
        <w:rPr>
          <w:color w:val="000000" w:themeColor="text1"/>
        </w:rPr>
        <w:t>30 mg/m</w:t>
      </w:r>
      <w:r w:rsidRPr="00353D6E">
        <w:rPr>
          <w:color w:val="000000" w:themeColor="text1"/>
          <w:vertAlign w:val="superscript"/>
        </w:rPr>
        <w:t>2</w:t>
      </w:r>
      <w:r w:rsidRPr="00286CAC">
        <w:rPr>
          <w:color w:val="000000" w:themeColor="text1"/>
        </w:rPr>
        <w:t xml:space="preserve"> </w:t>
      </w:r>
      <w:r>
        <w:rPr>
          <w:color w:val="000000" w:themeColor="text1"/>
        </w:rPr>
        <w:t>once a week for 6 weeks</w:t>
      </w:r>
      <w:r w:rsidRPr="000B721F">
        <w:rPr>
          <w:color w:val="000000" w:themeColor="text1"/>
        </w:rPr>
        <w:t xml:space="preserve"> of a </w:t>
      </w:r>
      <w:r>
        <w:rPr>
          <w:color w:val="000000" w:themeColor="text1"/>
        </w:rPr>
        <w:t>49</w:t>
      </w:r>
      <w:r w:rsidRPr="000B721F">
        <w:rPr>
          <w:color w:val="000000" w:themeColor="text1"/>
        </w:rPr>
        <w:t xml:space="preserve">-day cycle </w:t>
      </w:r>
    </w:p>
  </w:footnote>
  <w:footnote w:id="12">
    <w:p w14:paraId="5215D088" w14:textId="20ABCC58" w:rsidR="006A0BF0" w:rsidRDefault="006A0BF0">
      <w:pPr>
        <w:pStyle w:val="FootnoteText"/>
      </w:pPr>
      <w:r>
        <w:rPr>
          <w:rStyle w:val="FootnoteReference"/>
        </w:rPr>
        <w:footnoteRef/>
      </w:r>
      <w:r>
        <w:t xml:space="preserve"> </w:t>
      </w:r>
      <w:r>
        <w:rPr>
          <w:color w:val="000000" w:themeColor="text1"/>
        </w:rPr>
        <w:t>14mg/m</w:t>
      </w:r>
      <w:r w:rsidRPr="000B721F">
        <w:rPr>
          <w:color w:val="000000" w:themeColor="text1"/>
          <w:vertAlign w:val="superscript"/>
        </w:rPr>
        <w:t>2</w:t>
      </w:r>
      <w:r w:rsidRPr="00286CAC">
        <w:rPr>
          <w:color w:val="000000" w:themeColor="text1"/>
        </w:rPr>
        <w:t xml:space="preserve"> </w:t>
      </w:r>
      <w:r w:rsidRPr="000B721F">
        <w:rPr>
          <w:color w:val="000000" w:themeColor="text1"/>
        </w:rPr>
        <w:t>on Days 1, 8 and 15 of a 28-day cycle</w:t>
      </w:r>
    </w:p>
  </w:footnote>
  <w:footnote w:id="13">
    <w:p w14:paraId="6C4D5E61" w14:textId="105200EB" w:rsidR="0046679B" w:rsidRPr="00461455" w:rsidRDefault="0046679B" w:rsidP="0046679B">
      <w:pPr>
        <w:pStyle w:val="FootnoteText"/>
        <w:rPr>
          <w:rFonts w:asciiTheme="minorHAnsi" w:hAnsiTheme="minorHAnsi" w:cstheme="minorHAnsi"/>
          <w:b/>
          <w:bCs/>
          <w:sz w:val="18"/>
          <w:szCs w:val="18"/>
        </w:rPr>
      </w:pPr>
      <w:r w:rsidRPr="00461455">
        <w:rPr>
          <w:rStyle w:val="FootnoteReference"/>
          <w:rFonts w:asciiTheme="minorHAnsi" w:hAnsiTheme="minorHAnsi" w:cstheme="minorHAnsi"/>
          <w:sz w:val="18"/>
          <w:szCs w:val="18"/>
        </w:rPr>
        <w:footnoteRef/>
      </w:r>
      <w:r w:rsidRPr="00461455">
        <w:rPr>
          <w:rFonts w:asciiTheme="minorHAnsi" w:hAnsiTheme="minorHAnsi" w:cstheme="minorHAnsi"/>
          <w:sz w:val="18"/>
          <w:szCs w:val="18"/>
        </w:rPr>
        <w:t xml:space="preserve"> </w:t>
      </w:r>
      <w:proofErr w:type="spellStart"/>
      <w:r w:rsidRPr="00461455">
        <w:rPr>
          <w:rFonts w:asciiTheme="minorHAnsi" w:hAnsiTheme="minorHAnsi" w:cstheme="minorHAnsi"/>
          <w:sz w:val="18"/>
          <w:szCs w:val="18"/>
        </w:rPr>
        <w:t>Cheson</w:t>
      </w:r>
      <w:proofErr w:type="spellEnd"/>
      <w:r w:rsidRPr="00461455">
        <w:rPr>
          <w:rFonts w:asciiTheme="minorHAnsi" w:hAnsiTheme="minorHAnsi" w:cstheme="minorHAnsi"/>
          <w:sz w:val="18"/>
          <w:szCs w:val="18"/>
        </w:rPr>
        <w:t xml:space="preserve"> BD, Horning SJ, </w:t>
      </w:r>
      <w:proofErr w:type="spellStart"/>
      <w:r w:rsidRPr="00461455">
        <w:rPr>
          <w:rFonts w:asciiTheme="minorHAnsi" w:hAnsiTheme="minorHAnsi" w:cstheme="minorHAnsi"/>
          <w:sz w:val="18"/>
          <w:szCs w:val="18"/>
        </w:rPr>
        <w:t>Coiffier</w:t>
      </w:r>
      <w:proofErr w:type="spellEnd"/>
      <w:r w:rsidRPr="00461455">
        <w:rPr>
          <w:rFonts w:asciiTheme="minorHAnsi" w:hAnsiTheme="minorHAnsi" w:cstheme="minorHAnsi"/>
          <w:sz w:val="18"/>
          <w:szCs w:val="18"/>
        </w:rPr>
        <w:t xml:space="preserve"> B, et al. Report of an international workshop to standardize response criteria for non-Hodgkin's lymphomas. NCI Sponsored International Working Group</w:t>
      </w:r>
      <w:r w:rsidRPr="00461455">
        <w:rPr>
          <w:rFonts w:asciiTheme="minorHAnsi" w:hAnsiTheme="minorHAnsi" w:cstheme="minorHAnsi"/>
          <w:b/>
          <w:bCs/>
          <w:sz w:val="18"/>
          <w:szCs w:val="18"/>
        </w:rPr>
        <w:t xml:space="preserve">. </w:t>
      </w:r>
      <w:r w:rsidRPr="00461455">
        <w:rPr>
          <w:rFonts w:asciiTheme="minorHAnsi" w:hAnsiTheme="minorHAnsi" w:cstheme="minorHAnsi"/>
          <w:i/>
          <w:iCs/>
          <w:sz w:val="18"/>
          <w:szCs w:val="18"/>
        </w:rPr>
        <w:t>J Clin Oncol</w:t>
      </w:r>
      <w:r w:rsidRPr="00461455">
        <w:rPr>
          <w:rFonts w:asciiTheme="minorHAnsi" w:hAnsiTheme="minorHAnsi" w:cstheme="minorHAnsi"/>
          <w:b/>
          <w:bCs/>
          <w:sz w:val="18"/>
          <w:szCs w:val="18"/>
        </w:rPr>
        <w:t xml:space="preserve"> </w:t>
      </w:r>
      <w:r w:rsidRPr="00461455">
        <w:rPr>
          <w:rFonts w:asciiTheme="minorHAnsi" w:hAnsiTheme="minorHAnsi" w:cstheme="minorHAnsi"/>
          <w:sz w:val="18"/>
          <w:szCs w:val="18"/>
        </w:rPr>
        <w:t>1999; 17:1244.</w:t>
      </w:r>
      <w:r w:rsidRPr="00461455">
        <w:rPr>
          <w:rFonts w:asciiTheme="minorHAnsi" w:hAnsiTheme="minorHAnsi" w:cstheme="minorHAnsi"/>
          <w:b/>
          <w:bCs/>
          <w:sz w:val="18"/>
          <w:szCs w:val="18"/>
        </w:rPr>
        <w:t xml:space="preserve"> </w:t>
      </w:r>
    </w:p>
    <w:p w14:paraId="78CFA3D0" w14:textId="6F2AAB3E" w:rsidR="0046679B" w:rsidRDefault="0046679B">
      <w:pPr>
        <w:pStyle w:val="FootnoteText"/>
      </w:pPr>
    </w:p>
  </w:footnote>
  <w:footnote w:id="14">
    <w:p w14:paraId="4C590CAB" w14:textId="6735D6FD" w:rsidR="00D715FA" w:rsidRPr="00FF7BC7" w:rsidRDefault="00D715FA" w:rsidP="00D715FA">
      <w:pPr>
        <w:pStyle w:val="FootnoteText"/>
        <w:rPr>
          <w:rFonts w:asciiTheme="minorHAnsi" w:hAnsiTheme="minorHAnsi" w:cstheme="minorHAnsi"/>
          <w:sz w:val="18"/>
          <w:szCs w:val="18"/>
        </w:rPr>
      </w:pPr>
      <w:r w:rsidRPr="00FF7BC7">
        <w:rPr>
          <w:rStyle w:val="FootnoteReference"/>
          <w:rFonts w:asciiTheme="minorHAnsi" w:hAnsiTheme="minorHAnsi" w:cstheme="minorHAnsi"/>
          <w:sz w:val="18"/>
          <w:szCs w:val="18"/>
        </w:rPr>
        <w:footnoteRef/>
      </w:r>
      <w:r w:rsidRPr="00FF7BC7">
        <w:rPr>
          <w:rFonts w:asciiTheme="minorHAnsi" w:hAnsiTheme="minorHAnsi" w:cstheme="minorHAnsi"/>
          <w:sz w:val="18"/>
          <w:szCs w:val="18"/>
        </w:rPr>
        <w:t xml:space="preserve"> Piekarz RL, Frye R, Turner M, et al. Phase II multi-institutional trial of the histone deacetylase inhibitor romidepsin as monotherapy for patients with cutaneous T-cell lymphoma. </w:t>
      </w:r>
      <w:r w:rsidRPr="009C7BF1">
        <w:rPr>
          <w:rFonts w:asciiTheme="minorHAnsi" w:hAnsiTheme="minorHAnsi" w:cstheme="minorHAnsi"/>
          <w:i/>
          <w:iCs/>
          <w:sz w:val="18"/>
          <w:szCs w:val="18"/>
        </w:rPr>
        <w:t>J Clin Oncol</w:t>
      </w:r>
      <w:r w:rsidRPr="00FF7BC7">
        <w:rPr>
          <w:rFonts w:asciiTheme="minorHAnsi" w:hAnsiTheme="minorHAnsi" w:cstheme="minorHAnsi"/>
          <w:sz w:val="18"/>
          <w:szCs w:val="18"/>
        </w:rPr>
        <w:t xml:space="preserve"> 2009; 27(32):5410-7. </w:t>
      </w:r>
    </w:p>
    <w:p w14:paraId="75F144FC" w14:textId="0F47E480" w:rsidR="00D715FA" w:rsidRDefault="00D715FA">
      <w:pPr>
        <w:pStyle w:val="FootnoteText"/>
      </w:pPr>
    </w:p>
  </w:footnote>
  <w:footnote w:id="15">
    <w:p w14:paraId="6664BB30" w14:textId="07A36BC1" w:rsidR="00B13FCC" w:rsidRPr="00734F7A" w:rsidRDefault="00B13FCC">
      <w:pPr>
        <w:pStyle w:val="FootnoteText"/>
        <w:rPr>
          <w:rFonts w:asciiTheme="minorHAnsi" w:hAnsiTheme="minorHAnsi" w:cstheme="minorHAnsi"/>
          <w:b/>
          <w:bCs/>
          <w:sz w:val="18"/>
          <w:szCs w:val="18"/>
        </w:rPr>
      </w:pPr>
      <w:r w:rsidRPr="00734F7A">
        <w:rPr>
          <w:rStyle w:val="FootnoteReference"/>
          <w:rFonts w:asciiTheme="minorHAnsi" w:hAnsiTheme="minorHAnsi" w:cstheme="minorHAnsi"/>
          <w:sz w:val="18"/>
          <w:szCs w:val="18"/>
        </w:rPr>
        <w:footnoteRef/>
      </w:r>
      <w:r w:rsidRPr="00734F7A">
        <w:rPr>
          <w:rFonts w:asciiTheme="minorHAnsi" w:hAnsiTheme="minorHAnsi" w:cstheme="minorHAnsi"/>
          <w:sz w:val="18"/>
          <w:szCs w:val="18"/>
        </w:rPr>
        <w:t xml:space="preserve"> Dooley MJ, Singh S, Michael M. Implications of dose rounding of chemotherapy to the nearest vial size. </w:t>
      </w:r>
      <w:r w:rsidRPr="00A249F5">
        <w:rPr>
          <w:rFonts w:asciiTheme="minorHAnsi" w:hAnsiTheme="minorHAnsi" w:cstheme="minorHAnsi"/>
          <w:i/>
          <w:iCs/>
          <w:sz w:val="18"/>
          <w:szCs w:val="18"/>
        </w:rPr>
        <w:t>Supportive Care Cancer</w:t>
      </w:r>
      <w:r w:rsidRPr="000F76F9">
        <w:rPr>
          <w:rFonts w:asciiTheme="minorHAnsi" w:hAnsiTheme="minorHAnsi" w:cstheme="minorHAnsi"/>
          <w:sz w:val="18"/>
          <w:szCs w:val="18"/>
        </w:rPr>
        <w:t xml:space="preserve"> </w:t>
      </w:r>
      <w:r w:rsidRPr="00734F7A">
        <w:rPr>
          <w:rFonts w:asciiTheme="minorHAnsi" w:hAnsiTheme="minorHAnsi" w:cstheme="minorHAnsi"/>
          <w:sz w:val="18"/>
          <w:szCs w:val="18"/>
        </w:rPr>
        <w:t xml:space="preserve">2004; 12:653-656. </w:t>
      </w:r>
    </w:p>
  </w:footnote>
  <w:footnote w:id="16">
    <w:p w14:paraId="2D547FA2" w14:textId="03DFA3E2" w:rsidR="00B13FCC" w:rsidRPr="00734F7A" w:rsidRDefault="00B13FCC" w:rsidP="00B13FCC">
      <w:pPr>
        <w:pStyle w:val="FootnoteText"/>
        <w:rPr>
          <w:rFonts w:asciiTheme="minorHAnsi" w:hAnsiTheme="minorHAnsi" w:cstheme="minorHAnsi"/>
          <w:sz w:val="18"/>
          <w:szCs w:val="18"/>
        </w:rPr>
      </w:pPr>
      <w:r w:rsidRPr="00734F7A">
        <w:rPr>
          <w:rStyle w:val="FootnoteReference"/>
          <w:rFonts w:asciiTheme="minorHAnsi" w:hAnsiTheme="minorHAnsi" w:cstheme="minorHAnsi"/>
          <w:sz w:val="18"/>
          <w:szCs w:val="18"/>
        </w:rPr>
        <w:footnoteRef/>
      </w:r>
      <w:r w:rsidRPr="00734F7A">
        <w:rPr>
          <w:rFonts w:asciiTheme="minorHAnsi" w:hAnsiTheme="minorHAnsi" w:cstheme="minorHAnsi"/>
          <w:sz w:val="18"/>
          <w:szCs w:val="18"/>
        </w:rPr>
        <w:t xml:space="preserve"> Sacco JJ, Botten J, Macbeth F, </w:t>
      </w:r>
      <w:proofErr w:type="spellStart"/>
      <w:r w:rsidRPr="00734F7A">
        <w:rPr>
          <w:rFonts w:asciiTheme="minorHAnsi" w:hAnsiTheme="minorHAnsi" w:cstheme="minorHAnsi"/>
          <w:sz w:val="18"/>
          <w:szCs w:val="18"/>
        </w:rPr>
        <w:t>Bagust</w:t>
      </w:r>
      <w:proofErr w:type="spellEnd"/>
      <w:r w:rsidRPr="00734F7A">
        <w:rPr>
          <w:rFonts w:asciiTheme="minorHAnsi" w:hAnsiTheme="minorHAnsi" w:cstheme="minorHAnsi"/>
          <w:sz w:val="18"/>
          <w:szCs w:val="18"/>
        </w:rPr>
        <w:t xml:space="preserve"> A, Clark P. The </w:t>
      </w:r>
      <w:r w:rsidR="00FD54EE" w:rsidRPr="00734F7A">
        <w:rPr>
          <w:rFonts w:asciiTheme="minorHAnsi" w:hAnsiTheme="minorHAnsi" w:cstheme="minorHAnsi"/>
          <w:sz w:val="18"/>
          <w:szCs w:val="18"/>
        </w:rPr>
        <w:t>a</w:t>
      </w:r>
      <w:r w:rsidRPr="00734F7A">
        <w:rPr>
          <w:rFonts w:asciiTheme="minorHAnsi" w:hAnsiTheme="minorHAnsi" w:cstheme="minorHAnsi"/>
          <w:sz w:val="18"/>
          <w:szCs w:val="18"/>
        </w:rPr>
        <w:t xml:space="preserve">verage </w:t>
      </w:r>
      <w:r w:rsidR="00FD54EE" w:rsidRPr="00734F7A">
        <w:rPr>
          <w:rFonts w:asciiTheme="minorHAnsi" w:hAnsiTheme="minorHAnsi" w:cstheme="minorHAnsi"/>
          <w:sz w:val="18"/>
          <w:szCs w:val="18"/>
        </w:rPr>
        <w:t>bo</w:t>
      </w:r>
      <w:r w:rsidRPr="00734F7A">
        <w:rPr>
          <w:rFonts w:asciiTheme="minorHAnsi" w:hAnsiTheme="minorHAnsi" w:cstheme="minorHAnsi"/>
          <w:sz w:val="18"/>
          <w:szCs w:val="18"/>
        </w:rPr>
        <w:t xml:space="preserve">dy </w:t>
      </w:r>
      <w:r w:rsidR="00FD54EE" w:rsidRPr="00734F7A">
        <w:rPr>
          <w:rFonts w:asciiTheme="minorHAnsi" w:hAnsiTheme="minorHAnsi" w:cstheme="minorHAnsi"/>
          <w:sz w:val="18"/>
          <w:szCs w:val="18"/>
        </w:rPr>
        <w:t>s</w:t>
      </w:r>
      <w:r w:rsidRPr="00734F7A">
        <w:rPr>
          <w:rFonts w:asciiTheme="minorHAnsi" w:hAnsiTheme="minorHAnsi" w:cstheme="minorHAnsi"/>
          <w:sz w:val="18"/>
          <w:szCs w:val="18"/>
        </w:rPr>
        <w:t xml:space="preserve">urface </w:t>
      </w:r>
      <w:r w:rsidR="00FD54EE" w:rsidRPr="00734F7A">
        <w:rPr>
          <w:rFonts w:asciiTheme="minorHAnsi" w:hAnsiTheme="minorHAnsi" w:cstheme="minorHAnsi"/>
          <w:sz w:val="18"/>
          <w:szCs w:val="18"/>
        </w:rPr>
        <w:t>a</w:t>
      </w:r>
      <w:r w:rsidRPr="00734F7A">
        <w:rPr>
          <w:rFonts w:asciiTheme="minorHAnsi" w:hAnsiTheme="minorHAnsi" w:cstheme="minorHAnsi"/>
          <w:sz w:val="18"/>
          <w:szCs w:val="18"/>
        </w:rPr>
        <w:t xml:space="preserve">rea of </w:t>
      </w:r>
      <w:r w:rsidR="00FD54EE" w:rsidRPr="00734F7A">
        <w:rPr>
          <w:rFonts w:asciiTheme="minorHAnsi" w:hAnsiTheme="minorHAnsi" w:cstheme="minorHAnsi"/>
          <w:sz w:val="18"/>
          <w:szCs w:val="18"/>
        </w:rPr>
        <w:t>a</w:t>
      </w:r>
      <w:r w:rsidRPr="00734F7A">
        <w:rPr>
          <w:rFonts w:asciiTheme="minorHAnsi" w:hAnsiTheme="minorHAnsi" w:cstheme="minorHAnsi"/>
          <w:sz w:val="18"/>
          <w:szCs w:val="18"/>
        </w:rPr>
        <w:t xml:space="preserve">dult </w:t>
      </w:r>
      <w:r w:rsidR="00FD54EE" w:rsidRPr="00734F7A">
        <w:rPr>
          <w:rFonts w:asciiTheme="minorHAnsi" w:hAnsiTheme="minorHAnsi" w:cstheme="minorHAnsi"/>
          <w:sz w:val="18"/>
          <w:szCs w:val="18"/>
        </w:rPr>
        <w:t>c</w:t>
      </w:r>
      <w:r w:rsidRPr="00734F7A">
        <w:rPr>
          <w:rFonts w:asciiTheme="minorHAnsi" w:hAnsiTheme="minorHAnsi" w:cstheme="minorHAnsi"/>
          <w:sz w:val="18"/>
          <w:szCs w:val="18"/>
        </w:rPr>
        <w:t xml:space="preserve">ancer </w:t>
      </w:r>
      <w:r w:rsidR="00FD54EE" w:rsidRPr="00734F7A">
        <w:rPr>
          <w:rFonts w:asciiTheme="minorHAnsi" w:hAnsiTheme="minorHAnsi" w:cstheme="minorHAnsi"/>
          <w:sz w:val="18"/>
          <w:szCs w:val="18"/>
        </w:rPr>
        <w:t>p</w:t>
      </w:r>
      <w:r w:rsidRPr="00734F7A">
        <w:rPr>
          <w:rFonts w:asciiTheme="minorHAnsi" w:hAnsiTheme="minorHAnsi" w:cstheme="minorHAnsi"/>
          <w:sz w:val="18"/>
          <w:szCs w:val="18"/>
        </w:rPr>
        <w:t xml:space="preserve">atients in the UK: A </w:t>
      </w:r>
      <w:r w:rsidR="00FD54EE" w:rsidRPr="00734F7A">
        <w:rPr>
          <w:rFonts w:asciiTheme="minorHAnsi" w:hAnsiTheme="minorHAnsi" w:cstheme="minorHAnsi"/>
          <w:sz w:val="18"/>
          <w:szCs w:val="18"/>
        </w:rPr>
        <w:t>m</w:t>
      </w:r>
      <w:r w:rsidRPr="00734F7A">
        <w:rPr>
          <w:rFonts w:asciiTheme="minorHAnsi" w:hAnsiTheme="minorHAnsi" w:cstheme="minorHAnsi"/>
          <w:sz w:val="18"/>
          <w:szCs w:val="18"/>
        </w:rPr>
        <w:t xml:space="preserve">ulticentre </w:t>
      </w:r>
      <w:r w:rsidR="00FD54EE" w:rsidRPr="00734F7A">
        <w:rPr>
          <w:rFonts w:asciiTheme="minorHAnsi" w:hAnsiTheme="minorHAnsi" w:cstheme="minorHAnsi"/>
          <w:sz w:val="18"/>
          <w:szCs w:val="18"/>
        </w:rPr>
        <w:t>r</w:t>
      </w:r>
      <w:r w:rsidRPr="00734F7A">
        <w:rPr>
          <w:rFonts w:asciiTheme="minorHAnsi" w:hAnsiTheme="minorHAnsi" w:cstheme="minorHAnsi"/>
          <w:sz w:val="18"/>
          <w:szCs w:val="18"/>
        </w:rPr>
        <w:t xml:space="preserve">etrospective </w:t>
      </w:r>
      <w:r w:rsidR="00FD54EE" w:rsidRPr="00734F7A">
        <w:rPr>
          <w:rFonts w:asciiTheme="minorHAnsi" w:hAnsiTheme="minorHAnsi" w:cstheme="minorHAnsi"/>
          <w:sz w:val="18"/>
          <w:szCs w:val="18"/>
        </w:rPr>
        <w:t>s</w:t>
      </w:r>
      <w:r w:rsidRPr="00734F7A">
        <w:rPr>
          <w:rFonts w:asciiTheme="minorHAnsi" w:hAnsiTheme="minorHAnsi" w:cstheme="minorHAnsi"/>
          <w:sz w:val="18"/>
          <w:szCs w:val="18"/>
        </w:rPr>
        <w:t>tudy</w:t>
      </w:r>
      <w:r w:rsidRPr="004F77E5">
        <w:rPr>
          <w:rFonts w:asciiTheme="minorHAnsi" w:hAnsiTheme="minorHAnsi" w:cstheme="minorHAnsi"/>
          <w:sz w:val="18"/>
          <w:szCs w:val="18"/>
        </w:rPr>
        <w:t xml:space="preserve">. </w:t>
      </w:r>
      <w:r w:rsidRPr="00A249F5">
        <w:rPr>
          <w:rFonts w:asciiTheme="minorHAnsi" w:hAnsiTheme="minorHAnsi" w:cstheme="minorHAnsi"/>
          <w:i/>
          <w:iCs/>
          <w:sz w:val="18"/>
          <w:szCs w:val="18"/>
        </w:rPr>
        <w:t>PLoS One</w:t>
      </w:r>
      <w:r w:rsidRPr="00734F7A">
        <w:rPr>
          <w:rFonts w:asciiTheme="minorHAnsi" w:hAnsiTheme="minorHAnsi" w:cstheme="minorHAnsi"/>
          <w:sz w:val="18"/>
          <w:szCs w:val="18"/>
        </w:rPr>
        <w:t xml:space="preserve"> 2010; 5:e8933. </w:t>
      </w:r>
    </w:p>
    <w:p w14:paraId="68B09F19" w14:textId="1DB126C5" w:rsidR="00B13FCC" w:rsidRDefault="00B13FC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F1A5" w14:textId="78021071" w:rsidR="00D843F2" w:rsidRDefault="007915AC">
    <w:pPr>
      <w:pStyle w:val="Header"/>
    </w:pPr>
    <w:r>
      <w:rPr>
        <w:noProof/>
      </w:rPr>
      <mc:AlternateContent>
        <mc:Choice Requires="wps">
          <w:drawing>
            <wp:anchor distT="0" distB="0" distL="0" distR="0" simplePos="0" relativeHeight="251660293" behindDoc="0" locked="0" layoutInCell="1" allowOverlap="1" wp14:anchorId="023DC746" wp14:editId="58D9014C">
              <wp:simplePos x="635" y="635"/>
              <wp:positionH relativeFrom="page">
                <wp:align>center</wp:align>
              </wp:positionH>
              <wp:positionV relativeFrom="page">
                <wp:align>top</wp:align>
              </wp:positionV>
              <wp:extent cx="622300" cy="376555"/>
              <wp:effectExtent l="0" t="0" r="6350" b="4445"/>
              <wp:wrapNone/>
              <wp:docPr id="11414563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C75B5F4" w14:textId="0AD2305B" w:rsidR="007915AC" w:rsidRPr="007915AC" w:rsidRDefault="007915AC" w:rsidP="007915AC">
                          <w:pPr>
                            <w:rPr>
                              <w:rFonts w:ascii="Aptos" w:eastAsia="Aptos" w:hAnsi="Aptos" w:cs="Aptos"/>
                              <w:noProof/>
                              <w:color w:val="FF0000"/>
                            </w:rPr>
                          </w:pPr>
                          <w:r w:rsidRPr="007915A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3DC746"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3C75B5F4" w14:textId="0AD2305B" w:rsidR="007915AC" w:rsidRPr="007915AC" w:rsidRDefault="007915AC" w:rsidP="007915AC">
                    <w:pPr>
                      <w:rPr>
                        <w:rFonts w:ascii="Aptos" w:eastAsia="Aptos" w:hAnsi="Aptos" w:cs="Aptos"/>
                        <w:noProof/>
                        <w:color w:val="FF0000"/>
                      </w:rPr>
                    </w:pPr>
                    <w:r w:rsidRPr="007915AC">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828C" w14:textId="338E7244" w:rsidR="009244DB" w:rsidRPr="001A6DFE" w:rsidRDefault="007915AC" w:rsidP="001A6DFE">
    <w:pPr>
      <w:pStyle w:val="Header"/>
      <w:rPr>
        <w:rFonts w:asciiTheme="minorHAnsi" w:hAnsiTheme="minorHAnsi"/>
        <w:color w:val="808080"/>
      </w:rPr>
    </w:pPr>
    <w:r>
      <w:rPr>
        <w:rFonts w:asciiTheme="minorHAnsi" w:hAnsiTheme="minorHAnsi"/>
        <w:noProof/>
        <w:color w:val="808080"/>
      </w:rPr>
      <mc:AlternateContent>
        <mc:Choice Requires="wps">
          <w:drawing>
            <wp:anchor distT="0" distB="0" distL="0" distR="0" simplePos="0" relativeHeight="251661317" behindDoc="0" locked="0" layoutInCell="1" allowOverlap="1" wp14:anchorId="38E682A3" wp14:editId="7A483191">
              <wp:simplePos x="635" y="635"/>
              <wp:positionH relativeFrom="page">
                <wp:align>center</wp:align>
              </wp:positionH>
              <wp:positionV relativeFrom="page">
                <wp:align>top</wp:align>
              </wp:positionV>
              <wp:extent cx="622300" cy="376555"/>
              <wp:effectExtent l="0" t="0" r="6350" b="4445"/>
              <wp:wrapNone/>
              <wp:docPr id="6728280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82572C0" w14:textId="2FB00E3C" w:rsidR="007915AC" w:rsidRPr="007915AC" w:rsidRDefault="007915AC" w:rsidP="007915AC">
                          <w:pPr>
                            <w:rPr>
                              <w:rFonts w:ascii="Aptos" w:eastAsia="Aptos" w:hAnsi="Aptos" w:cs="Aptos"/>
                              <w:noProof/>
                              <w:color w:val="FF0000"/>
                            </w:rPr>
                          </w:pPr>
                          <w:r w:rsidRPr="007915A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E682A3"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582572C0" w14:textId="2FB00E3C" w:rsidR="007915AC" w:rsidRPr="007915AC" w:rsidRDefault="007915AC" w:rsidP="007915AC">
                    <w:pPr>
                      <w:rPr>
                        <w:rFonts w:ascii="Aptos" w:eastAsia="Aptos" w:hAnsi="Aptos" w:cs="Aptos"/>
                        <w:noProof/>
                        <w:color w:val="FF0000"/>
                      </w:rPr>
                    </w:pPr>
                    <w:r w:rsidRPr="007915AC">
                      <w:rPr>
                        <w:rFonts w:ascii="Aptos" w:eastAsia="Aptos" w:hAnsi="Aptos" w:cs="Aptos"/>
                        <w:noProof/>
                        <w:color w:val="FF0000"/>
                      </w:rPr>
                      <w:t>OFFICIAL</w:t>
                    </w:r>
                  </w:p>
                </w:txbxContent>
              </v:textbox>
              <w10:wrap anchorx="page" anchory="page"/>
            </v:shape>
          </w:pict>
        </mc:Fallback>
      </mc:AlternateContent>
    </w:r>
    <w:r w:rsidR="00AD5248">
      <w:rPr>
        <w:rFonts w:asciiTheme="minorHAnsi" w:hAnsiTheme="minorHAnsi"/>
        <w:color w:val="808080"/>
      </w:rPr>
      <w:t>Public Summary Document</w:t>
    </w:r>
    <w:r w:rsidR="001A6DFE">
      <w:rPr>
        <w:rFonts w:asciiTheme="minorHAnsi" w:hAnsiTheme="minorHAnsi"/>
        <w:color w:val="808080"/>
      </w:rPr>
      <w:t xml:space="preserve"> – </w:t>
    </w:r>
    <w:r w:rsidR="009244DB">
      <w:rPr>
        <w:rFonts w:asciiTheme="minorHAnsi" w:hAnsiTheme="minorHAnsi"/>
        <w:color w:val="808080"/>
      </w:rPr>
      <w:t xml:space="preserve">March 2026 </w:t>
    </w:r>
    <w:r w:rsidR="009244DB" w:rsidRPr="00195452">
      <w:rPr>
        <w:rFonts w:asciiTheme="minorHAnsi" w:hAnsiTheme="minorHAnsi"/>
        <w:color w:val="808080"/>
      </w:rPr>
      <w:t>PBAC Meeting</w:t>
    </w:r>
  </w:p>
  <w:p w14:paraId="03AF943B" w14:textId="568B036B" w:rsidR="00D843F2" w:rsidRPr="00A970BF" w:rsidRDefault="00D843F2" w:rsidP="00A970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BE60" w14:textId="709122D6" w:rsidR="00D843F2" w:rsidRDefault="007915AC">
    <w:pPr>
      <w:pStyle w:val="Header"/>
    </w:pPr>
    <w:r>
      <w:rPr>
        <w:noProof/>
      </w:rPr>
      <mc:AlternateContent>
        <mc:Choice Requires="wps">
          <w:drawing>
            <wp:anchor distT="0" distB="0" distL="0" distR="0" simplePos="0" relativeHeight="251659269" behindDoc="0" locked="0" layoutInCell="1" allowOverlap="1" wp14:anchorId="0AF24C54" wp14:editId="6D848F03">
              <wp:simplePos x="635" y="635"/>
              <wp:positionH relativeFrom="page">
                <wp:align>center</wp:align>
              </wp:positionH>
              <wp:positionV relativeFrom="page">
                <wp:align>top</wp:align>
              </wp:positionV>
              <wp:extent cx="622300" cy="376555"/>
              <wp:effectExtent l="0" t="0" r="6350" b="4445"/>
              <wp:wrapNone/>
              <wp:docPr id="3804977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35B49E4" w14:textId="402E9BA6" w:rsidR="007915AC" w:rsidRPr="007915AC" w:rsidRDefault="007915AC" w:rsidP="007915AC">
                          <w:pPr>
                            <w:rPr>
                              <w:rFonts w:ascii="Aptos" w:eastAsia="Aptos" w:hAnsi="Aptos" w:cs="Aptos"/>
                              <w:noProof/>
                              <w:color w:val="FF0000"/>
                            </w:rPr>
                          </w:pPr>
                          <w:r w:rsidRPr="007915A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F24C54"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635B49E4" w14:textId="402E9BA6" w:rsidR="007915AC" w:rsidRPr="007915AC" w:rsidRDefault="007915AC" w:rsidP="007915AC">
                    <w:pPr>
                      <w:rPr>
                        <w:rFonts w:ascii="Aptos" w:eastAsia="Aptos" w:hAnsi="Aptos" w:cs="Aptos"/>
                        <w:noProof/>
                        <w:color w:val="FF0000"/>
                      </w:rPr>
                    </w:pPr>
                    <w:r w:rsidRPr="007915AC">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68587A"/>
    <w:multiLevelType w:val="hybridMultilevel"/>
    <w:tmpl w:val="745C54EC"/>
    <w:lvl w:ilvl="0" w:tplc="42F077D4">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311858"/>
    <w:multiLevelType w:val="hybridMultilevel"/>
    <w:tmpl w:val="02780F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03247A"/>
    <w:multiLevelType w:val="hybridMultilevel"/>
    <w:tmpl w:val="28522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16BCF"/>
    <w:multiLevelType w:val="hybridMultilevel"/>
    <w:tmpl w:val="19C2907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DE17D79"/>
    <w:multiLevelType w:val="hybridMultilevel"/>
    <w:tmpl w:val="34E6AFC8"/>
    <w:lvl w:ilvl="0" w:tplc="0C09000F">
      <w:start w:val="1"/>
      <w:numFmt w:val="decimal"/>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B219F8"/>
    <w:multiLevelType w:val="hybridMultilevel"/>
    <w:tmpl w:val="37BCB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CD048A"/>
    <w:multiLevelType w:val="hybridMultilevel"/>
    <w:tmpl w:val="90B616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F6C43A2"/>
    <w:multiLevelType w:val="hybridMultilevel"/>
    <w:tmpl w:val="46349F28"/>
    <w:lvl w:ilvl="0" w:tplc="6BB0A7A8">
      <w:start w:val="5"/>
      <w:numFmt w:val="bullet"/>
      <w:lvlText w:val=""/>
      <w:lvlJc w:val="left"/>
      <w:pPr>
        <w:ind w:left="360" w:hanging="360"/>
      </w:pPr>
      <w:rPr>
        <w:rFonts w:ascii="Symbol" w:eastAsia="Calibri" w:hAnsi="Symbol"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6C7A49"/>
    <w:multiLevelType w:val="hybridMultilevel"/>
    <w:tmpl w:val="9286C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CC2BB0"/>
    <w:multiLevelType w:val="hybridMultilevel"/>
    <w:tmpl w:val="FF228156"/>
    <w:lvl w:ilvl="0" w:tplc="37B6BD84">
      <w:start w:val="5"/>
      <w:numFmt w:val="bullet"/>
      <w:lvlText w:val=""/>
      <w:lvlJc w:val="left"/>
      <w:pPr>
        <w:ind w:left="360" w:hanging="360"/>
      </w:pPr>
      <w:rPr>
        <w:rFonts w:ascii="Symbol" w:eastAsia="Calibri" w:hAnsi="Symbol"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AB2662"/>
    <w:multiLevelType w:val="hybridMultilevel"/>
    <w:tmpl w:val="58647F2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0573A0"/>
    <w:multiLevelType w:val="hybridMultilevel"/>
    <w:tmpl w:val="1596638E"/>
    <w:lvl w:ilvl="0" w:tplc="EDEC250E">
      <w:start w:val="200"/>
      <w:numFmt w:val="bullet"/>
      <w:lvlText w:val="-"/>
      <w:lvlJc w:val="left"/>
      <w:pPr>
        <w:ind w:left="3076" w:hanging="360"/>
      </w:pPr>
      <w:rPr>
        <w:rFonts w:ascii="Aptos" w:eastAsia="Aptos" w:hAnsi="Aptos" w:cs="Times New Roman" w:hint="default"/>
      </w:rPr>
    </w:lvl>
    <w:lvl w:ilvl="1" w:tplc="08090003" w:tentative="1">
      <w:start w:val="1"/>
      <w:numFmt w:val="bullet"/>
      <w:lvlText w:val="o"/>
      <w:lvlJc w:val="left"/>
      <w:pPr>
        <w:ind w:left="3796" w:hanging="360"/>
      </w:pPr>
      <w:rPr>
        <w:rFonts w:ascii="Courier New" w:hAnsi="Courier New" w:cs="Courier New" w:hint="default"/>
      </w:rPr>
    </w:lvl>
    <w:lvl w:ilvl="2" w:tplc="08090005" w:tentative="1">
      <w:start w:val="1"/>
      <w:numFmt w:val="bullet"/>
      <w:lvlText w:val=""/>
      <w:lvlJc w:val="left"/>
      <w:pPr>
        <w:ind w:left="4516" w:hanging="360"/>
      </w:pPr>
      <w:rPr>
        <w:rFonts w:ascii="Wingdings" w:hAnsi="Wingdings" w:hint="default"/>
      </w:rPr>
    </w:lvl>
    <w:lvl w:ilvl="3" w:tplc="08090001" w:tentative="1">
      <w:start w:val="1"/>
      <w:numFmt w:val="bullet"/>
      <w:lvlText w:val=""/>
      <w:lvlJc w:val="left"/>
      <w:pPr>
        <w:ind w:left="5236" w:hanging="360"/>
      </w:pPr>
      <w:rPr>
        <w:rFonts w:ascii="Symbol" w:hAnsi="Symbol" w:hint="default"/>
      </w:rPr>
    </w:lvl>
    <w:lvl w:ilvl="4" w:tplc="08090003" w:tentative="1">
      <w:start w:val="1"/>
      <w:numFmt w:val="bullet"/>
      <w:lvlText w:val="o"/>
      <w:lvlJc w:val="left"/>
      <w:pPr>
        <w:ind w:left="5956" w:hanging="360"/>
      </w:pPr>
      <w:rPr>
        <w:rFonts w:ascii="Courier New" w:hAnsi="Courier New" w:cs="Courier New" w:hint="default"/>
      </w:rPr>
    </w:lvl>
    <w:lvl w:ilvl="5" w:tplc="08090005" w:tentative="1">
      <w:start w:val="1"/>
      <w:numFmt w:val="bullet"/>
      <w:lvlText w:val=""/>
      <w:lvlJc w:val="left"/>
      <w:pPr>
        <w:ind w:left="6676" w:hanging="360"/>
      </w:pPr>
      <w:rPr>
        <w:rFonts w:ascii="Wingdings" w:hAnsi="Wingdings" w:hint="default"/>
      </w:rPr>
    </w:lvl>
    <w:lvl w:ilvl="6" w:tplc="08090001" w:tentative="1">
      <w:start w:val="1"/>
      <w:numFmt w:val="bullet"/>
      <w:lvlText w:val=""/>
      <w:lvlJc w:val="left"/>
      <w:pPr>
        <w:ind w:left="7396" w:hanging="360"/>
      </w:pPr>
      <w:rPr>
        <w:rFonts w:ascii="Symbol" w:hAnsi="Symbol" w:hint="default"/>
      </w:rPr>
    </w:lvl>
    <w:lvl w:ilvl="7" w:tplc="08090003" w:tentative="1">
      <w:start w:val="1"/>
      <w:numFmt w:val="bullet"/>
      <w:lvlText w:val="o"/>
      <w:lvlJc w:val="left"/>
      <w:pPr>
        <w:ind w:left="8116" w:hanging="360"/>
      </w:pPr>
      <w:rPr>
        <w:rFonts w:ascii="Courier New" w:hAnsi="Courier New" w:cs="Courier New" w:hint="default"/>
      </w:rPr>
    </w:lvl>
    <w:lvl w:ilvl="8" w:tplc="08090005" w:tentative="1">
      <w:start w:val="1"/>
      <w:numFmt w:val="bullet"/>
      <w:lvlText w:val=""/>
      <w:lvlJc w:val="left"/>
      <w:pPr>
        <w:ind w:left="8836" w:hanging="360"/>
      </w:pPr>
      <w:rPr>
        <w:rFonts w:ascii="Wingdings" w:hAnsi="Wingdings" w:hint="default"/>
      </w:rPr>
    </w:lvl>
  </w:abstractNum>
  <w:abstractNum w:abstractNumId="26" w15:restartNumberingAfterBreak="0">
    <w:nsid w:val="70610695"/>
    <w:multiLevelType w:val="hybridMultilevel"/>
    <w:tmpl w:val="58E83076"/>
    <w:lvl w:ilvl="0" w:tplc="0C090013">
      <w:start w:val="1"/>
      <w:numFmt w:val="upperRoman"/>
      <w:lvlText w:val="%1."/>
      <w:lvlJc w:val="right"/>
      <w:pPr>
        <w:ind w:left="1440" w:hanging="360"/>
      </w:pPr>
      <w:rPr>
        <w: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297538C"/>
    <w:multiLevelType w:val="hybridMultilevel"/>
    <w:tmpl w:val="B2D63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1215CF"/>
    <w:multiLevelType w:val="hybridMultilevel"/>
    <w:tmpl w:val="D76E1B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862"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29"/>
  </w:num>
  <w:num w:numId="2" w16cid:durableId="917793048">
    <w:abstractNumId w:val="15"/>
  </w:num>
  <w:num w:numId="3" w16cid:durableId="263461728">
    <w:abstractNumId w:val="0"/>
  </w:num>
  <w:num w:numId="4" w16cid:durableId="1863592879">
    <w:abstractNumId w:val="8"/>
  </w:num>
  <w:num w:numId="5" w16cid:durableId="220360847">
    <w:abstractNumId w:val="21"/>
  </w:num>
  <w:num w:numId="6" w16cid:durableId="268196418">
    <w:abstractNumId w:val="13"/>
  </w:num>
  <w:num w:numId="7" w16cid:durableId="1048839230">
    <w:abstractNumId w:val="29"/>
  </w:num>
  <w:num w:numId="8" w16cid:durableId="1518421806">
    <w:abstractNumId w:val="25"/>
  </w:num>
  <w:num w:numId="9" w16cid:durableId="677655883">
    <w:abstractNumId w:val="16"/>
  </w:num>
  <w:num w:numId="10" w16cid:durableId="1777557480">
    <w:abstractNumId w:val="4"/>
  </w:num>
  <w:num w:numId="11" w16cid:durableId="560167184">
    <w:abstractNumId w:val="7"/>
  </w:num>
  <w:num w:numId="12" w16cid:durableId="1021004729">
    <w:abstractNumId w:val="26"/>
  </w:num>
  <w:num w:numId="13" w16cid:durableId="126240624">
    <w:abstractNumId w:val="22"/>
  </w:num>
  <w:num w:numId="14" w16cid:durableId="1590233662">
    <w:abstractNumId w:val="5"/>
  </w:num>
  <w:num w:numId="15" w16cid:durableId="1991208984">
    <w:abstractNumId w:val="6"/>
  </w:num>
  <w:num w:numId="16" w16cid:durableId="2004620722">
    <w:abstractNumId w:val="27"/>
  </w:num>
  <w:num w:numId="17" w16cid:durableId="809177281">
    <w:abstractNumId w:val="23"/>
  </w:num>
  <w:num w:numId="18" w16cid:durableId="1573005167">
    <w:abstractNumId w:val="17"/>
  </w:num>
  <w:num w:numId="19" w16cid:durableId="408699874">
    <w:abstractNumId w:val="18"/>
  </w:num>
  <w:num w:numId="20" w16cid:durableId="1569418770">
    <w:abstractNumId w:val="3"/>
  </w:num>
  <w:num w:numId="21" w16cid:durableId="705176722">
    <w:abstractNumId w:val="1"/>
  </w:num>
  <w:num w:numId="22" w16cid:durableId="1926569401">
    <w:abstractNumId w:val="10"/>
  </w:num>
  <w:num w:numId="23" w16cid:durableId="1979457665">
    <w:abstractNumId w:val="12"/>
  </w:num>
  <w:num w:numId="24" w16cid:durableId="2038313566">
    <w:abstractNumId w:val="9"/>
  </w:num>
  <w:num w:numId="25" w16cid:durableId="129744317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997201">
    <w:abstractNumId w:val="24"/>
  </w:num>
  <w:num w:numId="27" w16cid:durableId="1632174380">
    <w:abstractNumId w:val="11"/>
  </w:num>
  <w:num w:numId="28" w16cid:durableId="430517703">
    <w:abstractNumId w:val="28"/>
  </w:num>
  <w:num w:numId="29" w16cid:durableId="767624826">
    <w:abstractNumId w:val="14"/>
  </w:num>
  <w:num w:numId="30" w16cid:durableId="459958659">
    <w:abstractNumId w:val="19"/>
  </w:num>
  <w:num w:numId="31" w16cid:durableId="10073484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533"/>
    <w:rsid w:val="00000790"/>
    <w:rsid w:val="00000A64"/>
    <w:rsid w:val="00001049"/>
    <w:rsid w:val="00001082"/>
    <w:rsid w:val="0000110B"/>
    <w:rsid w:val="000015D4"/>
    <w:rsid w:val="00001DA2"/>
    <w:rsid w:val="0000266F"/>
    <w:rsid w:val="0000286C"/>
    <w:rsid w:val="00002BD9"/>
    <w:rsid w:val="00003499"/>
    <w:rsid w:val="00003586"/>
    <w:rsid w:val="000039B7"/>
    <w:rsid w:val="00003CD3"/>
    <w:rsid w:val="00003EA6"/>
    <w:rsid w:val="0000414C"/>
    <w:rsid w:val="00004C56"/>
    <w:rsid w:val="00004E00"/>
    <w:rsid w:val="00004EA7"/>
    <w:rsid w:val="000056B9"/>
    <w:rsid w:val="00005E4F"/>
    <w:rsid w:val="0000639A"/>
    <w:rsid w:val="000068DB"/>
    <w:rsid w:val="0000692B"/>
    <w:rsid w:val="00007B5C"/>
    <w:rsid w:val="000101EC"/>
    <w:rsid w:val="00010EC7"/>
    <w:rsid w:val="00011FE3"/>
    <w:rsid w:val="000122EE"/>
    <w:rsid w:val="00012DEE"/>
    <w:rsid w:val="00013247"/>
    <w:rsid w:val="00013DAF"/>
    <w:rsid w:val="000147DB"/>
    <w:rsid w:val="00015886"/>
    <w:rsid w:val="000162EF"/>
    <w:rsid w:val="000178AC"/>
    <w:rsid w:val="000207C9"/>
    <w:rsid w:val="00021146"/>
    <w:rsid w:val="0002152F"/>
    <w:rsid w:val="00021F25"/>
    <w:rsid w:val="0002225F"/>
    <w:rsid w:val="000226C1"/>
    <w:rsid w:val="00023105"/>
    <w:rsid w:val="00023176"/>
    <w:rsid w:val="00023763"/>
    <w:rsid w:val="000237D8"/>
    <w:rsid w:val="000247F2"/>
    <w:rsid w:val="00024848"/>
    <w:rsid w:val="00024DD2"/>
    <w:rsid w:val="00024EB5"/>
    <w:rsid w:val="0002623F"/>
    <w:rsid w:val="000274B8"/>
    <w:rsid w:val="0002798E"/>
    <w:rsid w:val="00030483"/>
    <w:rsid w:val="0003050A"/>
    <w:rsid w:val="000305BC"/>
    <w:rsid w:val="00030D14"/>
    <w:rsid w:val="00031D67"/>
    <w:rsid w:val="00033863"/>
    <w:rsid w:val="000339F6"/>
    <w:rsid w:val="00033D81"/>
    <w:rsid w:val="00034A5C"/>
    <w:rsid w:val="00034F15"/>
    <w:rsid w:val="00034F6D"/>
    <w:rsid w:val="000359FC"/>
    <w:rsid w:val="00035D6C"/>
    <w:rsid w:val="00035DC0"/>
    <w:rsid w:val="000361D1"/>
    <w:rsid w:val="00036782"/>
    <w:rsid w:val="00036829"/>
    <w:rsid w:val="0003693F"/>
    <w:rsid w:val="00037AD5"/>
    <w:rsid w:val="00037C20"/>
    <w:rsid w:val="00040895"/>
    <w:rsid w:val="00040B65"/>
    <w:rsid w:val="00040EF1"/>
    <w:rsid w:val="00041036"/>
    <w:rsid w:val="000410A0"/>
    <w:rsid w:val="00041D20"/>
    <w:rsid w:val="00041D2E"/>
    <w:rsid w:val="000424AF"/>
    <w:rsid w:val="000433E9"/>
    <w:rsid w:val="000435EE"/>
    <w:rsid w:val="00043A03"/>
    <w:rsid w:val="00043A38"/>
    <w:rsid w:val="00043C1D"/>
    <w:rsid w:val="00043C37"/>
    <w:rsid w:val="000442E4"/>
    <w:rsid w:val="000445D3"/>
    <w:rsid w:val="00045017"/>
    <w:rsid w:val="00045A2B"/>
    <w:rsid w:val="00045F1D"/>
    <w:rsid w:val="0004698F"/>
    <w:rsid w:val="00046AC5"/>
    <w:rsid w:val="00046D64"/>
    <w:rsid w:val="00047550"/>
    <w:rsid w:val="00050266"/>
    <w:rsid w:val="000508C2"/>
    <w:rsid w:val="00050A7A"/>
    <w:rsid w:val="00050C5C"/>
    <w:rsid w:val="0005143B"/>
    <w:rsid w:val="000517A6"/>
    <w:rsid w:val="00051856"/>
    <w:rsid w:val="000518E3"/>
    <w:rsid w:val="0005280A"/>
    <w:rsid w:val="00052D2E"/>
    <w:rsid w:val="000539D0"/>
    <w:rsid w:val="00053E5A"/>
    <w:rsid w:val="00054621"/>
    <w:rsid w:val="000546D7"/>
    <w:rsid w:val="00054A8D"/>
    <w:rsid w:val="00054D51"/>
    <w:rsid w:val="0005551F"/>
    <w:rsid w:val="00055A10"/>
    <w:rsid w:val="0005647A"/>
    <w:rsid w:val="00056ECF"/>
    <w:rsid w:val="00057232"/>
    <w:rsid w:val="00057D80"/>
    <w:rsid w:val="00057DD0"/>
    <w:rsid w:val="00057E9A"/>
    <w:rsid w:val="000604DF"/>
    <w:rsid w:val="00061079"/>
    <w:rsid w:val="00061967"/>
    <w:rsid w:val="00062324"/>
    <w:rsid w:val="00062BFF"/>
    <w:rsid w:val="00062E46"/>
    <w:rsid w:val="000638B7"/>
    <w:rsid w:val="000646EC"/>
    <w:rsid w:val="00064731"/>
    <w:rsid w:val="00064CE6"/>
    <w:rsid w:val="00064D8F"/>
    <w:rsid w:val="000653B5"/>
    <w:rsid w:val="00066360"/>
    <w:rsid w:val="00066709"/>
    <w:rsid w:val="00066848"/>
    <w:rsid w:val="00066AF8"/>
    <w:rsid w:val="00067C04"/>
    <w:rsid w:val="000700CB"/>
    <w:rsid w:val="000704E4"/>
    <w:rsid w:val="00070E7B"/>
    <w:rsid w:val="00071248"/>
    <w:rsid w:val="000715E1"/>
    <w:rsid w:val="00071CE8"/>
    <w:rsid w:val="000720B9"/>
    <w:rsid w:val="0007237D"/>
    <w:rsid w:val="0007244F"/>
    <w:rsid w:val="0007328B"/>
    <w:rsid w:val="000737F7"/>
    <w:rsid w:val="00073E03"/>
    <w:rsid w:val="000750A5"/>
    <w:rsid w:val="00075F34"/>
    <w:rsid w:val="00076068"/>
    <w:rsid w:val="000760EE"/>
    <w:rsid w:val="0007672F"/>
    <w:rsid w:val="0007677F"/>
    <w:rsid w:val="00076B54"/>
    <w:rsid w:val="00076C33"/>
    <w:rsid w:val="000774F0"/>
    <w:rsid w:val="000778F1"/>
    <w:rsid w:val="00077FC6"/>
    <w:rsid w:val="00080909"/>
    <w:rsid w:val="000812CA"/>
    <w:rsid w:val="00081631"/>
    <w:rsid w:val="00081765"/>
    <w:rsid w:val="00081D7F"/>
    <w:rsid w:val="00081E63"/>
    <w:rsid w:val="00082328"/>
    <w:rsid w:val="000823AD"/>
    <w:rsid w:val="0008258D"/>
    <w:rsid w:val="00082628"/>
    <w:rsid w:val="000827DB"/>
    <w:rsid w:val="000837AD"/>
    <w:rsid w:val="00083CED"/>
    <w:rsid w:val="00083E99"/>
    <w:rsid w:val="000840B2"/>
    <w:rsid w:val="00084191"/>
    <w:rsid w:val="000848A1"/>
    <w:rsid w:val="00084C85"/>
    <w:rsid w:val="00084F35"/>
    <w:rsid w:val="00084FA8"/>
    <w:rsid w:val="000856C5"/>
    <w:rsid w:val="00085956"/>
    <w:rsid w:val="00085C31"/>
    <w:rsid w:val="00085E4E"/>
    <w:rsid w:val="00085E9D"/>
    <w:rsid w:val="0008656B"/>
    <w:rsid w:val="00086CF9"/>
    <w:rsid w:val="00087E7D"/>
    <w:rsid w:val="00087EE5"/>
    <w:rsid w:val="000902D9"/>
    <w:rsid w:val="000905B6"/>
    <w:rsid w:val="00090C7E"/>
    <w:rsid w:val="000911AC"/>
    <w:rsid w:val="00091FAD"/>
    <w:rsid w:val="000922F6"/>
    <w:rsid w:val="0009232D"/>
    <w:rsid w:val="00092600"/>
    <w:rsid w:val="0009262B"/>
    <w:rsid w:val="000929A1"/>
    <w:rsid w:val="00093310"/>
    <w:rsid w:val="0009383B"/>
    <w:rsid w:val="000942F1"/>
    <w:rsid w:val="0009445C"/>
    <w:rsid w:val="00094711"/>
    <w:rsid w:val="00095200"/>
    <w:rsid w:val="000958C4"/>
    <w:rsid w:val="00095CF3"/>
    <w:rsid w:val="00095FE5"/>
    <w:rsid w:val="00096284"/>
    <w:rsid w:val="000976D5"/>
    <w:rsid w:val="000A04B8"/>
    <w:rsid w:val="000A0BA7"/>
    <w:rsid w:val="000A1B11"/>
    <w:rsid w:val="000A1BC0"/>
    <w:rsid w:val="000A1E92"/>
    <w:rsid w:val="000A22FB"/>
    <w:rsid w:val="000A247E"/>
    <w:rsid w:val="000A2BB3"/>
    <w:rsid w:val="000A2F9E"/>
    <w:rsid w:val="000A2FC5"/>
    <w:rsid w:val="000A3777"/>
    <w:rsid w:val="000A3E47"/>
    <w:rsid w:val="000A4422"/>
    <w:rsid w:val="000A46CC"/>
    <w:rsid w:val="000A4BDE"/>
    <w:rsid w:val="000A522B"/>
    <w:rsid w:val="000A56C3"/>
    <w:rsid w:val="000A5E17"/>
    <w:rsid w:val="000A6039"/>
    <w:rsid w:val="000A61CE"/>
    <w:rsid w:val="000A633F"/>
    <w:rsid w:val="000A7387"/>
    <w:rsid w:val="000A7453"/>
    <w:rsid w:val="000A7B10"/>
    <w:rsid w:val="000A7D08"/>
    <w:rsid w:val="000B0121"/>
    <w:rsid w:val="000B0191"/>
    <w:rsid w:val="000B0670"/>
    <w:rsid w:val="000B0D7F"/>
    <w:rsid w:val="000B0E75"/>
    <w:rsid w:val="000B1045"/>
    <w:rsid w:val="000B22F7"/>
    <w:rsid w:val="000B2745"/>
    <w:rsid w:val="000B2DCB"/>
    <w:rsid w:val="000B371F"/>
    <w:rsid w:val="000B44D5"/>
    <w:rsid w:val="000B5A79"/>
    <w:rsid w:val="000B5CE0"/>
    <w:rsid w:val="000B615A"/>
    <w:rsid w:val="000B64E9"/>
    <w:rsid w:val="000B6692"/>
    <w:rsid w:val="000B6CAC"/>
    <w:rsid w:val="000B721F"/>
    <w:rsid w:val="000B7612"/>
    <w:rsid w:val="000B78AE"/>
    <w:rsid w:val="000B7D8A"/>
    <w:rsid w:val="000C002D"/>
    <w:rsid w:val="000C0DED"/>
    <w:rsid w:val="000C0E21"/>
    <w:rsid w:val="000C1275"/>
    <w:rsid w:val="000C1468"/>
    <w:rsid w:val="000C2663"/>
    <w:rsid w:val="000C3427"/>
    <w:rsid w:val="000C3631"/>
    <w:rsid w:val="000C3947"/>
    <w:rsid w:val="000C3C17"/>
    <w:rsid w:val="000C3DF9"/>
    <w:rsid w:val="000C405F"/>
    <w:rsid w:val="000C4210"/>
    <w:rsid w:val="000C46E6"/>
    <w:rsid w:val="000C4A7E"/>
    <w:rsid w:val="000C4CF2"/>
    <w:rsid w:val="000C52C1"/>
    <w:rsid w:val="000C5385"/>
    <w:rsid w:val="000C55DA"/>
    <w:rsid w:val="000C5D91"/>
    <w:rsid w:val="000C6456"/>
    <w:rsid w:val="000C6713"/>
    <w:rsid w:val="000C712B"/>
    <w:rsid w:val="000C7EB6"/>
    <w:rsid w:val="000D061C"/>
    <w:rsid w:val="000D0E05"/>
    <w:rsid w:val="000D0E3E"/>
    <w:rsid w:val="000D0E7E"/>
    <w:rsid w:val="000D0F78"/>
    <w:rsid w:val="000D10C9"/>
    <w:rsid w:val="000D1BFC"/>
    <w:rsid w:val="000D1D5D"/>
    <w:rsid w:val="000D1E63"/>
    <w:rsid w:val="000D20AF"/>
    <w:rsid w:val="000D281A"/>
    <w:rsid w:val="000D2848"/>
    <w:rsid w:val="000D2A39"/>
    <w:rsid w:val="000D3243"/>
    <w:rsid w:val="000D326A"/>
    <w:rsid w:val="000D35A2"/>
    <w:rsid w:val="000D384D"/>
    <w:rsid w:val="000D3E1D"/>
    <w:rsid w:val="000D471F"/>
    <w:rsid w:val="000D51FB"/>
    <w:rsid w:val="000D5AD1"/>
    <w:rsid w:val="000D6B62"/>
    <w:rsid w:val="000E03C2"/>
    <w:rsid w:val="000E061B"/>
    <w:rsid w:val="000E0640"/>
    <w:rsid w:val="000E06FF"/>
    <w:rsid w:val="000E129F"/>
    <w:rsid w:val="000E133A"/>
    <w:rsid w:val="000E135D"/>
    <w:rsid w:val="000E1E41"/>
    <w:rsid w:val="000E2C78"/>
    <w:rsid w:val="000E3784"/>
    <w:rsid w:val="000E3985"/>
    <w:rsid w:val="000E3DA3"/>
    <w:rsid w:val="000E4021"/>
    <w:rsid w:val="000E47C9"/>
    <w:rsid w:val="000E4B13"/>
    <w:rsid w:val="000E4E7C"/>
    <w:rsid w:val="000E55BA"/>
    <w:rsid w:val="000E5CE7"/>
    <w:rsid w:val="000E5D51"/>
    <w:rsid w:val="000E6398"/>
    <w:rsid w:val="000E68D7"/>
    <w:rsid w:val="000E6EE4"/>
    <w:rsid w:val="000F00BA"/>
    <w:rsid w:val="000F0723"/>
    <w:rsid w:val="000F0B67"/>
    <w:rsid w:val="000F0E61"/>
    <w:rsid w:val="000F0F2B"/>
    <w:rsid w:val="000F2305"/>
    <w:rsid w:val="000F238A"/>
    <w:rsid w:val="000F29C1"/>
    <w:rsid w:val="000F2A61"/>
    <w:rsid w:val="000F316A"/>
    <w:rsid w:val="000F31B7"/>
    <w:rsid w:val="000F3AF9"/>
    <w:rsid w:val="000F3B87"/>
    <w:rsid w:val="000F3C74"/>
    <w:rsid w:val="000F46B4"/>
    <w:rsid w:val="000F48F5"/>
    <w:rsid w:val="000F4BB8"/>
    <w:rsid w:val="000F4E8A"/>
    <w:rsid w:val="000F4FA9"/>
    <w:rsid w:val="000F53FB"/>
    <w:rsid w:val="000F54A5"/>
    <w:rsid w:val="000F5CA4"/>
    <w:rsid w:val="000F6349"/>
    <w:rsid w:val="000F7127"/>
    <w:rsid w:val="000F749D"/>
    <w:rsid w:val="000F76F9"/>
    <w:rsid w:val="000F7AF6"/>
    <w:rsid w:val="000F7B54"/>
    <w:rsid w:val="000F7FBC"/>
    <w:rsid w:val="001000B3"/>
    <w:rsid w:val="00100F8A"/>
    <w:rsid w:val="001012E9"/>
    <w:rsid w:val="00101A19"/>
    <w:rsid w:val="00102077"/>
    <w:rsid w:val="00103B16"/>
    <w:rsid w:val="0010452E"/>
    <w:rsid w:val="00104E55"/>
    <w:rsid w:val="00105548"/>
    <w:rsid w:val="00105573"/>
    <w:rsid w:val="00105AE2"/>
    <w:rsid w:val="001060C6"/>
    <w:rsid w:val="0010696F"/>
    <w:rsid w:val="00106B80"/>
    <w:rsid w:val="0011032E"/>
    <w:rsid w:val="001106BF"/>
    <w:rsid w:val="00110CFD"/>
    <w:rsid w:val="00110EC3"/>
    <w:rsid w:val="00111877"/>
    <w:rsid w:val="00111CA8"/>
    <w:rsid w:val="00111E2D"/>
    <w:rsid w:val="00111EAA"/>
    <w:rsid w:val="00111FB6"/>
    <w:rsid w:val="00112343"/>
    <w:rsid w:val="001128FD"/>
    <w:rsid w:val="00112B72"/>
    <w:rsid w:val="00112F79"/>
    <w:rsid w:val="0011348B"/>
    <w:rsid w:val="00113F78"/>
    <w:rsid w:val="0011419B"/>
    <w:rsid w:val="00114523"/>
    <w:rsid w:val="00115945"/>
    <w:rsid w:val="00115982"/>
    <w:rsid w:val="001160CE"/>
    <w:rsid w:val="00116328"/>
    <w:rsid w:val="00116495"/>
    <w:rsid w:val="00116C53"/>
    <w:rsid w:val="00120A12"/>
    <w:rsid w:val="00120E19"/>
    <w:rsid w:val="00121799"/>
    <w:rsid w:val="00121DC2"/>
    <w:rsid w:val="001222FC"/>
    <w:rsid w:val="00123902"/>
    <w:rsid w:val="00123A6F"/>
    <w:rsid w:val="00124A51"/>
    <w:rsid w:val="001250AB"/>
    <w:rsid w:val="001254DC"/>
    <w:rsid w:val="00126044"/>
    <w:rsid w:val="00126621"/>
    <w:rsid w:val="00126B1D"/>
    <w:rsid w:val="00126C13"/>
    <w:rsid w:val="001272DE"/>
    <w:rsid w:val="0012738E"/>
    <w:rsid w:val="001275E4"/>
    <w:rsid w:val="0012776E"/>
    <w:rsid w:val="001278A8"/>
    <w:rsid w:val="001301E9"/>
    <w:rsid w:val="00131042"/>
    <w:rsid w:val="00131D82"/>
    <w:rsid w:val="00131FC7"/>
    <w:rsid w:val="00132592"/>
    <w:rsid w:val="00132A24"/>
    <w:rsid w:val="00132AD2"/>
    <w:rsid w:val="00132B22"/>
    <w:rsid w:val="00132D3B"/>
    <w:rsid w:val="0013362C"/>
    <w:rsid w:val="00133D36"/>
    <w:rsid w:val="00133E9F"/>
    <w:rsid w:val="00134492"/>
    <w:rsid w:val="0013499C"/>
    <w:rsid w:val="001349CE"/>
    <w:rsid w:val="00134DED"/>
    <w:rsid w:val="00134E4C"/>
    <w:rsid w:val="0013573F"/>
    <w:rsid w:val="00136D87"/>
    <w:rsid w:val="00137080"/>
    <w:rsid w:val="00137500"/>
    <w:rsid w:val="00137645"/>
    <w:rsid w:val="00137BC5"/>
    <w:rsid w:val="0014015A"/>
    <w:rsid w:val="00140E99"/>
    <w:rsid w:val="001424A7"/>
    <w:rsid w:val="00142A6E"/>
    <w:rsid w:val="00143149"/>
    <w:rsid w:val="00143DEF"/>
    <w:rsid w:val="00143F67"/>
    <w:rsid w:val="00145234"/>
    <w:rsid w:val="00145540"/>
    <w:rsid w:val="001456B0"/>
    <w:rsid w:val="0014593E"/>
    <w:rsid w:val="00145B22"/>
    <w:rsid w:val="001463C2"/>
    <w:rsid w:val="00146426"/>
    <w:rsid w:val="00146966"/>
    <w:rsid w:val="00146D53"/>
    <w:rsid w:val="001472EC"/>
    <w:rsid w:val="001501A6"/>
    <w:rsid w:val="00150E5A"/>
    <w:rsid w:val="00150EC4"/>
    <w:rsid w:val="001510BA"/>
    <w:rsid w:val="00151DB7"/>
    <w:rsid w:val="00151EF2"/>
    <w:rsid w:val="0015210E"/>
    <w:rsid w:val="00152B54"/>
    <w:rsid w:val="00152C31"/>
    <w:rsid w:val="00153D52"/>
    <w:rsid w:val="00154130"/>
    <w:rsid w:val="001547AB"/>
    <w:rsid w:val="0015491B"/>
    <w:rsid w:val="00155304"/>
    <w:rsid w:val="001557B3"/>
    <w:rsid w:val="00156DA1"/>
    <w:rsid w:val="00156E6C"/>
    <w:rsid w:val="00156F8F"/>
    <w:rsid w:val="00157130"/>
    <w:rsid w:val="001576B1"/>
    <w:rsid w:val="00157F49"/>
    <w:rsid w:val="00157F92"/>
    <w:rsid w:val="0016047B"/>
    <w:rsid w:val="00160614"/>
    <w:rsid w:val="00160A4C"/>
    <w:rsid w:val="00161034"/>
    <w:rsid w:val="001616E3"/>
    <w:rsid w:val="00161787"/>
    <w:rsid w:val="00162119"/>
    <w:rsid w:val="0016287B"/>
    <w:rsid w:val="00162913"/>
    <w:rsid w:val="00163EFF"/>
    <w:rsid w:val="00163F66"/>
    <w:rsid w:val="0016425C"/>
    <w:rsid w:val="0016478E"/>
    <w:rsid w:val="001658C6"/>
    <w:rsid w:val="00165EC4"/>
    <w:rsid w:val="001661FB"/>
    <w:rsid w:val="001667E2"/>
    <w:rsid w:val="00166ADB"/>
    <w:rsid w:val="00166F37"/>
    <w:rsid w:val="001671A0"/>
    <w:rsid w:val="001675B2"/>
    <w:rsid w:val="0016767F"/>
    <w:rsid w:val="001676EF"/>
    <w:rsid w:val="00167F5A"/>
    <w:rsid w:val="00170C51"/>
    <w:rsid w:val="00170CA6"/>
    <w:rsid w:val="00171554"/>
    <w:rsid w:val="001724C0"/>
    <w:rsid w:val="00172D3B"/>
    <w:rsid w:val="00172FC6"/>
    <w:rsid w:val="00173565"/>
    <w:rsid w:val="00173B07"/>
    <w:rsid w:val="00173D94"/>
    <w:rsid w:val="001751FA"/>
    <w:rsid w:val="0017557F"/>
    <w:rsid w:val="001755CD"/>
    <w:rsid w:val="00175D67"/>
    <w:rsid w:val="00176358"/>
    <w:rsid w:val="00176970"/>
    <w:rsid w:val="001769AA"/>
    <w:rsid w:val="00177084"/>
    <w:rsid w:val="00177933"/>
    <w:rsid w:val="00180945"/>
    <w:rsid w:val="00181C10"/>
    <w:rsid w:val="00181D9C"/>
    <w:rsid w:val="00181EFC"/>
    <w:rsid w:val="001820E0"/>
    <w:rsid w:val="001822C2"/>
    <w:rsid w:val="0018350D"/>
    <w:rsid w:val="001837FF"/>
    <w:rsid w:val="00184039"/>
    <w:rsid w:val="0018409E"/>
    <w:rsid w:val="00184819"/>
    <w:rsid w:val="00184B0E"/>
    <w:rsid w:val="00184CD2"/>
    <w:rsid w:val="001855EF"/>
    <w:rsid w:val="00185E25"/>
    <w:rsid w:val="001868A3"/>
    <w:rsid w:val="00186F42"/>
    <w:rsid w:val="0018752F"/>
    <w:rsid w:val="00187E06"/>
    <w:rsid w:val="00190725"/>
    <w:rsid w:val="001908AE"/>
    <w:rsid w:val="00190F94"/>
    <w:rsid w:val="001918DE"/>
    <w:rsid w:val="001919CA"/>
    <w:rsid w:val="00192403"/>
    <w:rsid w:val="00193021"/>
    <w:rsid w:val="001937BC"/>
    <w:rsid w:val="00193838"/>
    <w:rsid w:val="001940E2"/>
    <w:rsid w:val="001943A8"/>
    <w:rsid w:val="001943BA"/>
    <w:rsid w:val="00194AD8"/>
    <w:rsid w:val="00194C2D"/>
    <w:rsid w:val="00194D34"/>
    <w:rsid w:val="00194F5F"/>
    <w:rsid w:val="0019514A"/>
    <w:rsid w:val="00195222"/>
    <w:rsid w:val="00195289"/>
    <w:rsid w:val="00195452"/>
    <w:rsid w:val="00195E86"/>
    <w:rsid w:val="0019617C"/>
    <w:rsid w:val="00196DCD"/>
    <w:rsid w:val="00196F06"/>
    <w:rsid w:val="001974D1"/>
    <w:rsid w:val="001975D8"/>
    <w:rsid w:val="00197A2E"/>
    <w:rsid w:val="00197B29"/>
    <w:rsid w:val="00197D45"/>
    <w:rsid w:val="001A0540"/>
    <w:rsid w:val="001A0639"/>
    <w:rsid w:val="001A0699"/>
    <w:rsid w:val="001A178E"/>
    <w:rsid w:val="001A1AB6"/>
    <w:rsid w:val="001A23D4"/>
    <w:rsid w:val="001A3117"/>
    <w:rsid w:val="001A3F1F"/>
    <w:rsid w:val="001A4186"/>
    <w:rsid w:val="001A43FA"/>
    <w:rsid w:val="001A4628"/>
    <w:rsid w:val="001A47C5"/>
    <w:rsid w:val="001A4ACD"/>
    <w:rsid w:val="001A4DB3"/>
    <w:rsid w:val="001A59FB"/>
    <w:rsid w:val="001A5A7C"/>
    <w:rsid w:val="001A5E9E"/>
    <w:rsid w:val="001A6062"/>
    <w:rsid w:val="001A6354"/>
    <w:rsid w:val="001A6366"/>
    <w:rsid w:val="001A6531"/>
    <w:rsid w:val="001A65F2"/>
    <w:rsid w:val="001A6C34"/>
    <w:rsid w:val="001A6DFE"/>
    <w:rsid w:val="001A7AE8"/>
    <w:rsid w:val="001B02EB"/>
    <w:rsid w:val="001B0D63"/>
    <w:rsid w:val="001B204E"/>
    <w:rsid w:val="001B2372"/>
    <w:rsid w:val="001B2BC1"/>
    <w:rsid w:val="001B2DE6"/>
    <w:rsid w:val="001B3443"/>
    <w:rsid w:val="001B3E5D"/>
    <w:rsid w:val="001B4510"/>
    <w:rsid w:val="001B4D20"/>
    <w:rsid w:val="001B50A5"/>
    <w:rsid w:val="001B5598"/>
    <w:rsid w:val="001B57A9"/>
    <w:rsid w:val="001B5B8F"/>
    <w:rsid w:val="001B70CA"/>
    <w:rsid w:val="001B7F84"/>
    <w:rsid w:val="001C0359"/>
    <w:rsid w:val="001C0999"/>
    <w:rsid w:val="001C10D6"/>
    <w:rsid w:val="001C2249"/>
    <w:rsid w:val="001C2A9B"/>
    <w:rsid w:val="001C2CFC"/>
    <w:rsid w:val="001C3436"/>
    <w:rsid w:val="001C38BC"/>
    <w:rsid w:val="001C3D01"/>
    <w:rsid w:val="001C3DD6"/>
    <w:rsid w:val="001C4299"/>
    <w:rsid w:val="001C476C"/>
    <w:rsid w:val="001C4874"/>
    <w:rsid w:val="001C4BAB"/>
    <w:rsid w:val="001C5001"/>
    <w:rsid w:val="001C5171"/>
    <w:rsid w:val="001C5253"/>
    <w:rsid w:val="001C5271"/>
    <w:rsid w:val="001C5F94"/>
    <w:rsid w:val="001C6392"/>
    <w:rsid w:val="001C6890"/>
    <w:rsid w:val="001C69C9"/>
    <w:rsid w:val="001C6A80"/>
    <w:rsid w:val="001C6E66"/>
    <w:rsid w:val="001C6FE7"/>
    <w:rsid w:val="001C7649"/>
    <w:rsid w:val="001C7943"/>
    <w:rsid w:val="001D031D"/>
    <w:rsid w:val="001D0845"/>
    <w:rsid w:val="001D0892"/>
    <w:rsid w:val="001D0CE8"/>
    <w:rsid w:val="001D0EA3"/>
    <w:rsid w:val="001D0F0A"/>
    <w:rsid w:val="001D1100"/>
    <w:rsid w:val="001D134F"/>
    <w:rsid w:val="001D1391"/>
    <w:rsid w:val="001D1696"/>
    <w:rsid w:val="001D16D7"/>
    <w:rsid w:val="001D16EC"/>
    <w:rsid w:val="001D1E16"/>
    <w:rsid w:val="001D2066"/>
    <w:rsid w:val="001D25D7"/>
    <w:rsid w:val="001D25EB"/>
    <w:rsid w:val="001D262B"/>
    <w:rsid w:val="001D2BCE"/>
    <w:rsid w:val="001D33C6"/>
    <w:rsid w:val="001D36EE"/>
    <w:rsid w:val="001D3F21"/>
    <w:rsid w:val="001D45A0"/>
    <w:rsid w:val="001D4ADC"/>
    <w:rsid w:val="001D50B2"/>
    <w:rsid w:val="001D5B59"/>
    <w:rsid w:val="001D6593"/>
    <w:rsid w:val="001D71F4"/>
    <w:rsid w:val="001D7645"/>
    <w:rsid w:val="001D7881"/>
    <w:rsid w:val="001E00FE"/>
    <w:rsid w:val="001E08F9"/>
    <w:rsid w:val="001E12A2"/>
    <w:rsid w:val="001E1E86"/>
    <w:rsid w:val="001E2377"/>
    <w:rsid w:val="001E238E"/>
    <w:rsid w:val="001E242D"/>
    <w:rsid w:val="001E2483"/>
    <w:rsid w:val="001E2B1E"/>
    <w:rsid w:val="001E2CFF"/>
    <w:rsid w:val="001E2F24"/>
    <w:rsid w:val="001E30D4"/>
    <w:rsid w:val="001E34DF"/>
    <w:rsid w:val="001E3B2B"/>
    <w:rsid w:val="001E3C64"/>
    <w:rsid w:val="001E4D1D"/>
    <w:rsid w:val="001E52EB"/>
    <w:rsid w:val="001E5DFC"/>
    <w:rsid w:val="001E608E"/>
    <w:rsid w:val="001E61D2"/>
    <w:rsid w:val="001E6EC0"/>
    <w:rsid w:val="001E706F"/>
    <w:rsid w:val="001E740C"/>
    <w:rsid w:val="001E7C96"/>
    <w:rsid w:val="001F1235"/>
    <w:rsid w:val="001F1CB3"/>
    <w:rsid w:val="001F20A5"/>
    <w:rsid w:val="001F214C"/>
    <w:rsid w:val="001F2CB5"/>
    <w:rsid w:val="001F38B5"/>
    <w:rsid w:val="001F4081"/>
    <w:rsid w:val="001F41B3"/>
    <w:rsid w:val="001F420C"/>
    <w:rsid w:val="001F6AF8"/>
    <w:rsid w:val="001F6CD6"/>
    <w:rsid w:val="001F6D77"/>
    <w:rsid w:val="001F7361"/>
    <w:rsid w:val="00200CA0"/>
    <w:rsid w:val="002011B0"/>
    <w:rsid w:val="00201FD4"/>
    <w:rsid w:val="002022C8"/>
    <w:rsid w:val="002023FF"/>
    <w:rsid w:val="00202429"/>
    <w:rsid w:val="00202765"/>
    <w:rsid w:val="00203181"/>
    <w:rsid w:val="00203418"/>
    <w:rsid w:val="00203783"/>
    <w:rsid w:val="0020385F"/>
    <w:rsid w:val="002055E2"/>
    <w:rsid w:val="00205C34"/>
    <w:rsid w:val="00205D00"/>
    <w:rsid w:val="002068A0"/>
    <w:rsid w:val="0020697A"/>
    <w:rsid w:val="00207021"/>
    <w:rsid w:val="0020732F"/>
    <w:rsid w:val="00207B91"/>
    <w:rsid w:val="00207D00"/>
    <w:rsid w:val="00207D03"/>
    <w:rsid w:val="002104FD"/>
    <w:rsid w:val="002105C1"/>
    <w:rsid w:val="00210744"/>
    <w:rsid w:val="00210AC1"/>
    <w:rsid w:val="00210C3B"/>
    <w:rsid w:val="00210F6B"/>
    <w:rsid w:val="00210FA0"/>
    <w:rsid w:val="002116FD"/>
    <w:rsid w:val="00211A2D"/>
    <w:rsid w:val="00213912"/>
    <w:rsid w:val="00213EF5"/>
    <w:rsid w:val="00214678"/>
    <w:rsid w:val="00214791"/>
    <w:rsid w:val="00214A81"/>
    <w:rsid w:val="00214EEB"/>
    <w:rsid w:val="002152AA"/>
    <w:rsid w:val="002153CA"/>
    <w:rsid w:val="0021567A"/>
    <w:rsid w:val="00215C36"/>
    <w:rsid w:val="00215E08"/>
    <w:rsid w:val="002169EB"/>
    <w:rsid w:val="00216BF5"/>
    <w:rsid w:val="00217A77"/>
    <w:rsid w:val="00217D6E"/>
    <w:rsid w:val="00220598"/>
    <w:rsid w:val="00220775"/>
    <w:rsid w:val="00221433"/>
    <w:rsid w:val="002214EB"/>
    <w:rsid w:val="00221F76"/>
    <w:rsid w:val="00222AA1"/>
    <w:rsid w:val="002230DE"/>
    <w:rsid w:val="00223181"/>
    <w:rsid w:val="00223467"/>
    <w:rsid w:val="00223B49"/>
    <w:rsid w:val="00223D5A"/>
    <w:rsid w:val="00224DD4"/>
    <w:rsid w:val="00225301"/>
    <w:rsid w:val="00225CBB"/>
    <w:rsid w:val="002267AD"/>
    <w:rsid w:val="002278A0"/>
    <w:rsid w:val="00227AE1"/>
    <w:rsid w:val="00230706"/>
    <w:rsid w:val="002309CC"/>
    <w:rsid w:val="00231666"/>
    <w:rsid w:val="0023188E"/>
    <w:rsid w:val="00231B86"/>
    <w:rsid w:val="00231BA9"/>
    <w:rsid w:val="0023209F"/>
    <w:rsid w:val="00232472"/>
    <w:rsid w:val="002325D8"/>
    <w:rsid w:val="00232981"/>
    <w:rsid w:val="00232D0F"/>
    <w:rsid w:val="00233C01"/>
    <w:rsid w:val="0023413C"/>
    <w:rsid w:val="002346F0"/>
    <w:rsid w:val="00235106"/>
    <w:rsid w:val="00235447"/>
    <w:rsid w:val="00235CB6"/>
    <w:rsid w:val="0023629D"/>
    <w:rsid w:val="00237255"/>
    <w:rsid w:val="00237DC6"/>
    <w:rsid w:val="0024008D"/>
    <w:rsid w:val="0024055D"/>
    <w:rsid w:val="002414CD"/>
    <w:rsid w:val="00241602"/>
    <w:rsid w:val="00241CBF"/>
    <w:rsid w:val="00242025"/>
    <w:rsid w:val="0024214A"/>
    <w:rsid w:val="002424AF"/>
    <w:rsid w:val="0024289F"/>
    <w:rsid w:val="00243463"/>
    <w:rsid w:val="002437B8"/>
    <w:rsid w:val="002439DC"/>
    <w:rsid w:val="00243A1D"/>
    <w:rsid w:val="00243A62"/>
    <w:rsid w:val="002441D2"/>
    <w:rsid w:val="00244DC8"/>
    <w:rsid w:val="002458BA"/>
    <w:rsid w:val="00245B25"/>
    <w:rsid w:val="00245CE9"/>
    <w:rsid w:val="0024636C"/>
    <w:rsid w:val="00247647"/>
    <w:rsid w:val="00247925"/>
    <w:rsid w:val="002502BE"/>
    <w:rsid w:val="0025030D"/>
    <w:rsid w:val="00250401"/>
    <w:rsid w:val="0025096E"/>
    <w:rsid w:val="00250D68"/>
    <w:rsid w:val="00251006"/>
    <w:rsid w:val="00251D36"/>
    <w:rsid w:val="002524D5"/>
    <w:rsid w:val="00253B1D"/>
    <w:rsid w:val="002541AE"/>
    <w:rsid w:val="00254DCF"/>
    <w:rsid w:val="00254EAE"/>
    <w:rsid w:val="00255074"/>
    <w:rsid w:val="0025525D"/>
    <w:rsid w:val="0025534B"/>
    <w:rsid w:val="0025572A"/>
    <w:rsid w:val="0025598C"/>
    <w:rsid w:val="00255BB7"/>
    <w:rsid w:val="00255EC4"/>
    <w:rsid w:val="002569FB"/>
    <w:rsid w:val="00256D26"/>
    <w:rsid w:val="00257541"/>
    <w:rsid w:val="00257953"/>
    <w:rsid w:val="00257A39"/>
    <w:rsid w:val="00257AC4"/>
    <w:rsid w:val="00257BBE"/>
    <w:rsid w:val="00260257"/>
    <w:rsid w:val="00261002"/>
    <w:rsid w:val="00261556"/>
    <w:rsid w:val="0026172C"/>
    <w:rsid w:val="00261ACA"/>
    <w:rsid w:val="00261CBA"/>
    <w:rsid w:val="00261EEF"/>
    <w:rsid w:val="002620E2"/>
    <w:rsid w:val="002620EA"/>
    <w:rsid w:val="00262222"/>
    <w:rsid w:val="00262A1A"/>
    <w:rsid w:val="00262A87"/>
    <w:rsid w:val="00263BD2"/>
    <w:rsid w:val="00264718"/>
    <w:rsid w:val="00264BA8"/>
    <w:rsid w:val="00264D26"/>
    <w:rsid w:val="002650F9"/>
    <w:rsid w:val="00265B3F"/>
    <w:rsid w:val="00266A85"/>
    <w:rsid w:val="00267642"/>
    <w:rsid w:val="00267AEA"/>
    <w:rsid w:val="002700E6"/>
    <w:rsid w:val="002701AE"/>
    <w:rsid w:val="00270C54"/>
    <w:rsid w:val="002713B2"/>
    <w:rsid w:val="00272518"/>
    <w:rsid w:val="0027294B"/>
    <w:rsid w:val="00273EB4"/>
    <w:rsid w:val="00273F79"/>
    <w:rsid w:val="0027441F"/>
    <w:rsid w:val="00274682"/>
    <w:rsid w:val="00275158"/>
    <w:rsid w:val="00275623"/>
    <w:rsid w:val="00275A97"/>
    <w:rsid w:val="00275C5A"/>
    <w:rsid w:val="00275F96"/>
    <w:rsid w:val="0027611B"/>
    <w:rsid w:val="002765E6"/>
    <w:rsid w:val="00276B2F"/>
    <w:rsid w:val="00276F5B"/>
    <w:rsid w:val="00277083"/>
    <w:rsid w:val="0027740F"/>
    <w:rsid w:val="00277611"/>
    <w:rsid w:val="00277AD8"/>
    <w:rsid w:val="00277CD0"/>
    <w:rsid w:val="00277E86"/>
    <w:rsid w:val="0028084B"/>
    <w:rsid w:val="002808CD"/>
    <w:rsid w:val="00280CF1"/>
    <w:rsid w:val="00280D7D"/>
    <w:rsid w:val="00281014"/>
    <w:rsid w:val="00281490"/>
    <w:rsid w:val="002823C6"/>
    <w:rsid w:val="002825F5"/>
    <w:rsid w:val="00282865"/>
    <w:rsid w:val="002831BE"/>
    <w:rsid w:val="0028339A"/>
    <w:rsid w:val="00283B10"/>
    <w:rsid w:val="0028406B"/>
    <w:rsid w:val="00284941"/>
    <w:rsid w:val="00284A3C"/>
    <w:rsid w:val="00285454"/>
    <w:rsid w:val="00285BCE"/>
    <w:rsid w:val="00285C18"/>
    <w:rsid w:val="00285D87"/>
    <w:rsid w:val="0028665D"/>
    <w:rsid w:val="002868FB"/>
    <w:rsid w:val="00286CAC"/>
    <w:rsid w:val="002871FB"/>
    <w:rsid w:val="00287B27"/>
    <w:rsid w:val="00287C6A"/>
    <w:rsid w:val="00290B05"/>
    <w:rsid w:val="00290BAE"/>
    <w:rsid w:val="00291448"/>
    <w:rsid w:val="002914B0"/>
    <w:rsid w:val="00291B3D"/>
    <w:rsid w:val="00291D7F"/>
    <w:rsid w:val="00291FE0"/>
    <w:rsid w:val="00292C53"/>
    <w:rsid w:val="00293698"/>
    <w:rsid w:val="00293BDA"/>
    <w:rsid w:val="00293BFC"/>
    <w:rsid w:val="00293FE4"/>
    <w:rsid w:val="002945E8"/>
    <w:rsid w:val="0029476E"/>
    <w:rsid w:val="0029558E"/>
    <w:rsid w:val="00295955"/>
    <w:rsid w:val="002965EA"/>
    <w:rsid w:val="00296770"/>
    <w:rsid w:val="002969FD"/>
    <w:rsid w:val="00296F34"/>
    <w:rsid w:val="0029740C"/>
    <w:rsid w:val="002975F5"/>
    <w:rsid w:val="00297E1D"/>
    <w:rsid w:val="002A052A"/>
    <w:rsid w:val="002A14AB"/>
    <w:rsid w:val="002A1E60"/>
    <w:rsid w:val="002A2ADE"/>
    <w:rsid w:val="002A2F50"/>
    <w:rsid w:val="002A30D7"/>
    <w:rsid w:val="002A34DA"/>
    <w:rsid w:val="002A3682"/>
    <w:rsid w:val="002A3F6E"/>
    <w:rsid w:val="002A40A1"/>
    <w:rsid w:val="002A40A6"/>
    <w:rsid w:val="002A4743"/>
    <w:rsid w:val="002A519E"/>
    <w:rsid w:val="002A6779"/>
    <w:rsid w:val="002A7943"/>
    <w:rsid w:val="002B05A1"/>
    <w:rsid w:val="002B07AA"/>
    <w:rsid w:val="002B09A4"/>
    <w:rsid w:val="002B15EF"/>
    <w:rsid w:val="002B1C1F"/>
    <w:rsid w:val="002B24F1"/>
    <w:rsid w:val="002B2552"/>
    <w:rsid w:val="002B344C"/>
    <w:rsid w:val="002B432F"/>
    <w:rsid w:val="002B478A"/>
    <w:rsid w:val="002B4B7F"/>
    <w:rsid w:val="002B4F6B"/>
    <w:rsid w:val="002B57F9"/>
    <w:rsid w:val="002B62B3"/>
    <w:rsid w:val="002B6754"/>
    <w:rsid w:val="002B6B64"/>
    <w:rsid w:val="002B6CCE"/>
    <w:rsid w:val="002C0925"/>
    <w:rsid w:val="002C1286"/>
    <w:rsid w:val="002C17B1"/>
    <w:rsid w:val="002C2510"/>
    <w:rsid w:val="002C25C9"/>
    <w:rsid w:val="002C26A2"/>
    <w:rsid w:val="002C2775"/>
    <w:rsid w:val="002C27C1"/>
    <w:rsid w:val="002C33DA"/>
    <w:rsid w:val="002C36E3"/>
    <w:rsid w:val="002C4122"/>
    <w:rsid w:val="002C4A93"/>
    <w:rsid w:val="002C4D6F"/>
    <w:rsid w:val="002C5099"/>
    <w:rsid w:val="002C574B"/>
    <w:rsid w:val="002C5818"/>
    <w:rsid w:val="002C5889"/>
    <w:rsid w:val="002C5899"/>
    <w:rsid w:val="002C5AF1"/>
    <w:rsid w:val="002C641E"/>
    <w:rsid w:val="002C641F"/>
    <w:rsid w:val="002C706A"/>
    <w:rsid w:val="002C71CA"/>
    <w:rsid w:val="002C71CE"/>
    <w:rsid w:val="002C7485"/>
    <w:rsid w:val="002C7A20"/>
    <w:rsid w:val="002C7CB3"/>
    <w:rsid w:val="002D08F8"/>
    <w:rsid w:val="002D23A4"/>
    <w:rsid w:val="002D36F7"/>
    <w:rsid w:val="002D4892"/>
    <w:rsid w:val="002D4ACE"/>
    <w:rsid w:val="002D4B4A"/>
    <w:rsid w:val="002D577C"/>
    <w:rsid w:val="002D58B3"/>
    <w:rsid w:val="002D5B9F"/>
    <w:rsid w:val="002D6B60"/>
    <w:rsid w:val="002D7832"/>
    <w:rsid w:val="002D7F00"/>
    <w:rsid w:val="002E0E86"/>
    <w:rsid w:val="002E0E94"/>
    <w:rsid w:val="002E1071"/>
    <w:rsid w:val="002E15B9"/>
    <w:rsid w:val="002E177D"/>
    <w:rsid w:val="002E1A31"/>
    <w:rsid w:val="002E1C69"/>
    <w:rsid w:val="002E2126"/>
    <w:rsid w:val="002E2158"/>
    <w:rsid w:val="002E2361"/>
    <w:rsid w:val="002E2810"/>
    <w:rsid w:val="002E28FA"/>
    <w:rsid w:val="002E312D"/>
    <w:rsid w:val="002E3DEC"/>
    <w:rsid w:val="002E4817"/>
    <w:rsid w:val="002E4F02"/>
    <w:rsid w:val="002E51FE"/>
    <w:rsid w:val="002E5807"/>
    <w:rsid w:val="002E5FCA"/>
    <w:rsid w:val="002E62B3"/>
    <w:rsid w:val="002E7722"/>
    <w:rsid w:val="002E7C63"/>
    <w:rsid w:val="002E7EEA"/>
    <w:rsid w:val="002F0279"/>
    <w:rsid w:val="002F0372"/>
    <w:rsid w:val="002F07BA"/>
    <w:rsid w:val="002F0869"/>
    <w:rsid w:val="002F0BA6"/>
    <w:rsid w:val="002F0DA9"/>
    <w:rsid w:val="002F1014"/>
    <w:rsid w:val="002F1E3B"/>
    <w:rsid w:val="002F295C"/>
    <w:rsid w:val="002F2FEA"/>
    <w:rsid w:val="002F342F"/>
    <w:rsid w:val="002F49E9"/>
    <w:rsid w:val="002F6299"/>
    <w:rsid w:val="002F643C"/>
    <w:rsid w:val="002F6477"/>
    <w:rsid w:val="002F71C0"/>
    <w:rsid w:val="002F74F1"/>
    <w:rsid w:val="002F76B0"/>
    <w:rsid w:val="002F7A9F"/>
    <w:rsid w:val="00300156"/>
    <w:rsid w:val="00300482"/>
    <w:rsid w:val="00300764"/>
    <w:rsid w:val="00301017"/>
    <w:rsid w:val="0030155F"/>
    <w:rsid w:val="0030224E"/>
    <w:rsid w:val="00302326"/>
    <w:rsid w:val="003028E9"/>
    <w:rsid w:val="00303226"/>
    <w:rsid w:val="003032DB"/>
    <w:rsid w:val="0030362E"/>
    <w:rsid w:val="00303632"/>
    <w:rsid w:val="00303D5F"/>
    <w:rsid w:val="00303F89"/>
    <w:rsid w:val="0030587B"/>
    <w:rsid w:val="0030599F"/>
    <w:rsid w:val="00305AAC"/>
    <w:rsid w:val="00305D93"/>
    <w:rsid w:val="00306D98"/>
    <w:rsid w:val="0030786C"/>
    <w:rsid w:val="00307EA4"/>
    <w:rsid w:val="00307F72"/>
    <w:rsid w:val="003101E1"/>
    <w:rsid w:val="003101E8"/>
    <w:rsid w:val="0031031A"/>
    <w:rsid w:val="00310397"/>
    <w:rsid w:val="003103FD"/>
    <w:rsid w:val="003106C0"/>
    <w:rsid w:val="00310981"/>
    <w:rsid w:val="00310B71"/>
    <w:rsid w:val="003112A7"/>
    <w:rsid w:val="00311D9B"/>
    <w:rsid w:val="003124D9"/>
    <w:rsid w:val="00312594"/>
    <w:rsid w:val="00312C6F"/>
    <w:rsid w:val="003133C6"/>
    <w:rsid w:val="00314047"/>
    <w:rsid w:val="00314EBE"/>
    <w:rsid w:val="00315498"/>
    <w:rsid w:val="00315CF7"/>
    <w:rsid w:val="00315EAB"/>
    <w:rsid w:val="0031633E"/>
    <w:rsid w:val="00316392"/>
    <w:rsid w:val="00316474"/>
    <w:rsid w:val="00316E34"/>
    <w:rsid w:val="0031736B"/>
    <w:rsid w:val="00317B6B"/>
    <w:rsid w:val="00317CD8"/>
    <w:rsid w:val="003203FD"/>
    <w:rsid w:val="00320953"/>
    <w:rsid w:val="0032113E"/>
    <w:rsid w:val="00322107"/>
    <w:rsid w:val="00322355"/>
    <w:rsid w:val="00322846"/>
    <w:rsid w:val="00322B30"/>
    <w:rsid w:val="00322CBF"/>
    <w:rsid w:val="0032442E"/>
    <w:rsid w:val="0032491E"/>
    <w:rsid w:val="00326185"/>
    <w:rsid w:val="00326707"/>
    <w:rsid w:val="00326DA7"/>
    <w:rsid w:val="003270E4"/>
    <w:rsid w:val="003272C6"/>
    <w:rsid w:val="00327B4E"/>
    <w:rsid w:val="00330DAA"/>
    <w:rsid w:val="00330F5C"/>
    <w:rsid w:val="00330FBD"/>
    <w:rsid w:val="0033128C"/>
    <w:rsid w:val="00331C52"/>
    <w:rsid w:val="00332058"/>
    <w:rsid w:val="003324E0"/>
    <w:rsid w:val="00332FC8"/>
    <w:rsid w:val="0033393E"/>
    <w:rsid w:val="00333A5D"/>
    <w:rsid w:val="00333B87"/>
    <w:rsid w:val="00334320"/>
    <w:rsid w:val="00334CE5"/>
    <w:rsid w:val="003353B4"/>
    <w:rsid w:val="003357C6"/>
    <w:rsid w:val="00336317"/>
    <w:rsid w:val="003366C9"/>
    <w:rsid w:val="0033681D"/>
    <w:rsid w:val="00336E00"/>
    <w:rsid w:val="00336FAE"/>
    <w:rsid w:val="003371B0"/>
    <w:rsid w:val="0033755D"/>
    <w:rsid w:val="00337845"/>
    <w:rsid w:val="003379AA"/>
    <w:rsid w:val="00340653"/>
    <w:rsid w:val="003409C7"/>
    <w:rsid w:val="00340BC7"/>
    <w:rsid w:val="00340C55"/>
    <w:rsid w:val="00340DF1"/>
    <w:rsid w:val="00341855"/>
    <w:rsid w:val="00341896"/>
    <w:rsid w:val="00341A04"/>
    <w:rsid w:val="00341ED4"/>
    <w:rsid w:val="00342508"/>
    <w:rsid w:val="00342B16"/>
    <w:rsid w:val="00347282"/>
    <w:rsid w:val="00347557"/>
    <w:rsid w:val="00347BAC"/>
    <w:rsid w:val="00347E82"/>
    <w:rsid w:val="003513EF"/>
    <w:rsid w:val="003517F9"/>
    <w:rsid w:val="00351BA9"/>
    <w:rsid w:val="00352109"/>
    <w:rsid w:val="00352A11"/>
    <w:rsid w:val="00353C11"/>
    <w:rsid w:val="00353C13"/>
    <w:rsid w:val="00353D6E"/>
    <w:rsid w:val="00353ED7"/>
    <w:rsid w:val="003541AE"/>
    <w:rsid w:val="00354F64"/>
    <w:rsid w:val="0035620E"/>
    <w:rsid w:val="0035644B"/>
    <w:rsid w:val="00356512"/>
    <w:rsid w:val="00356B6F"/>
    <w:rsid w:val="0035709C"/>
    <w:rsid w:val="003572B4"/>
    <w:rsid w:val="00357481"/>
    <w:rsid w:val="003575BE"/>
    <w:rsid w:val="003578AC"/>
    <w:rsid w:val="00357994"/>
    <w:rsid w:val="00357CEA"/>
    <w:rsid w:val="00357E3A"/>
    <w:rsid w:val="00360345"/>
    <w:rsid w:val="00361A05"/>
    <w:rsid w:val="00361FE5"/>
    <w:rsid w:val="003624C4"/>
    <w:rsid w:val="00362757"/>
    <w:rsid w:val="0036293D"/>
    <w:rsid w:val="00362F22"/>
    <w:rsid w:val="00363593"/>
    <w:rsid w:val="00363B00"/>
    <w:rsid w:val="00363E50"/>
    <w:rsid w:val="003641F8"/>
    <w:rsid w:val="003649FB"/>
    <w:rsid w:val="003654AC"/>
    <w:rsid w:val="00365745"/>
    <w:rsid w:val="00366555"/>
    <w:rsid w:val="00366953"/>
    <w:rsid w:val="00366AB1"/>
    <w:rsid w:val="0036751C"/>
    <w:rsid w:val="003676F8"/>
    <w:rsid w:val="003705E3"/>
    <w:rsid w:val="0037103F"/>
    <w:rsid w:val="003710CF"/>
    <w:rsid w:val="003710D2"/>
    <w:rsid w:val="00372218"/>
    <w:rsid w:val="00372701"/>
    <w:rsid w:val="003729D5"/>
    <w:rsid w:val="0037358A"/>
    <w:rsid w:val="00374340"/>
    <w:rsid w:val="003745D0"/>
    <w:rsid w:val="0037467F"/>
    <w:rsid w:val="00374696"/>
    <w:rsid w:val="003746B6"/>
    <w:rsid w:val="00374F1F"/>
    <w:rsid w:val="003750F6"/>
    <w:rsid w:val="00375ADD"/>
    <w:rsid w:val="00375E2E"/>
    <w:rsid w:val="0037604E"/>
    <w:rsid w:val="003760FC"/>
    <w:rsid w:val="00376866"/>
    <w:rsid w:val="00376EEB"/>
    <w:rsid w:val="00377110"/>
    <w:rsid w:val="0037726E"/>
    <w:rsid w:val="00377491"/>
    <w:rsid w:val="00377876"/>
    <w:rsid w:val="003779C1"/>
    <w:rsid w:val="00380393"/>
    <w:rsid w:val="0038365C"/>
    <w:rsid w:val="0038369B"/>
    <w:rsid w:val="00383B78"/>
    <w:rsid w:val="00384B26"/>
    <w:rsid w:val="00384B99"/>
    <w:rsid w:val="00385A9D"/>
    <w:rsid w:val="00385C84"/>
    <w:rsid w:val="00386500"/>
    <w:rsid w:val="003865FF"/>
    <w:rsid w:val="00387006"/>
    <w:rsid w:val="00387121"/>
    <w:rsid w:val="003902B1"/>
    <w:rsid w:val="003905FA"/>
    <w:rsid w:val="003908F3"/>
    <w:rsid w:val="003913A2"/>
    <w:rsid w:val="0039179C"/>
    <w:rsid w:val="00391FBB"/>
    <w:rsid w:val="00392220"/>
    <w:rsid w:val="00392242"/>
    <w:rsid w:val="00392320"/>
    <w:rsid w:val="0039235D"/>
    <w:rsid w:val="00392B42"/>
    <w:rsid w:val="00392D3D"/>
    <w:rsid w:val="00393492"/>
    <w:rsid w:val="00394DA7"/>
    <w:rsid w:val="00395DF2"/>
    <w:rsid w:val="00396896"/>
    <w:rsid w:val="00396FD0"/>
    <w:rsid w:val="00397317"/>
    <w:rsid w:val="00397733"/>
    <w:rsid w:val="00397946"/>
    <w:rsid w:val="003A01EA"/>
    <w:rsid w:val="003A0571"/>
    <w:rsid w:val="003A0E2A"/>
    <w:rsid w:val="003A1710"/>
    <w:rsid w:val="003A1A7A"/>
    <w:rsid w:val="003A2392"/>
    <w:rsid w:val="003A2831"/>
    <w:rsid w:val="003A2E17"/>
    <w:rsid w:val="003A3A76"/>
    <w:rsid w:val="003A3CB6"/>
    <w:rsid w:val="003A3CBE"/>
    <w:rsid w:val="003A3ED1"/>
    <w:rsid w:val="003A44DB"/>
    <w:rsid w:val="003A4C14"/>
    <w:rsid w:val="003A52B7"/>
    <w:rsid w:val="003A5480"/>
    <w:rsid w:val="003A5BA9"/>
    <w:rsid w:val="003A6521"/>
    <w:rsid w:val="003A6A99"/>
    <w:rsid w:val="003A7104"/>
    <w:rsid w:val="003A76B1"/>
    <w:rsid w:val="003A7A08"/>
    <w:rsid w:val="003B1BD6"/>
    <w:rsid w:val="003B2090"/>
    <w:rsid w:val="003B36F9"/>
    <w:rsid w:val="003B3971"/>
    <w:rsid w:val="003B3C5D"/>
    <w:rsid w:val="003B5004"/>
    <w:rsid w:val="003B55D1"/>
    <w:rsid w:val="003B5933"/>
    <w:rsid w:val="003B5A7B"/>
    <w:rsid w:val="003B5B61"/>
    <w:rsid w:val="003B72B3"/>
    <w:rsid w:val="003C086B"/>
    <w:rsid w:val="003C1654"/>
    <w:rsid w:val="003C1C87"/>
    <w:rsid w:val="003C2570"/>
    <w:rsid w:val="003C2583"/>
    <w:rsid w:val="003C2DF9"/>
    <w:rsid w:val="003C32C6"/>
    <w:rsid w:val="003C3852"/>
    <w:rsid w:val="003C385A"/>
    <w:rsid w:val="003C3ED7"/>
    <w:rsid w:val="003C45B0"/>
    <w:rsid w:val="003C4CC8"/>
    <w:rsid w:val="003C52B4"/>
    <w:rsid w:val="003C5542"/>
    <w:rsid w:val="003C6A04"/>
    <w:rsid w:val="003C6E50"/>
    <w:rsid w:val="003C78AB"/>
    <w:rsid w:val="003C7978"/>
    <w:rsid w:val="003C7C15"/>
    <w:rsid w:val="003C7D19"/>
    <w:rsid w:val="003C7D2F"/>
    <w:rsid w:val="003D0372"/>
    <w:rsid w:val="003D0874"/>
    <w:rsid w:val="003D0C5A"/>
    <w:rsid w:val="003D1828"/>
    <w:rsid w:val="003D1DE4"/>
    <w:rsid w:val="003D1E9A"/>
    <w:rsid w:val="003D1FC3"/>
    <w:rsid w:val="003D2422"/>
    <w:rsid w:val="003D2DA7"/>
    <w:rsid w:val="003D2DDB"/>
    <w:rsid w:val="003D386E"/>
    <w:rsid w:val="003D38D5"/>
    <w:rsid w:val="003D3916"/>
    <w:rsid w:val="003D39A1"/>
    <w:rsid w:val="003D3FB0"/>
    <w:rsid w:val="003D3FBF"/>
    <w:rsid w:val="003D4A30"/>
    <w:rsid w:val="003D57CB"/>
    <w:rsid w:val="003D61D3"/>
    <w:rsid w:val="003D642F"/>
    <w:rsid w:val="003D699E"/>
    <w:rsid w:val="003D70F6"/>
    <w:rsid w:val="003D7452"/>
    <w:rsid w:val="003D7549"/>
    <w:rsid w:val="003D79BB"/>
    <w:rsid w:val="003D7A7C"/>
    <w:rsid w:val="003D7C98"/>
    <w:rsid w:val="003D7D9D"/>
    <w:rsid w:val="003E0543"/>
    <w:rsid w:val="003E1CF4"/>
    <w:rsid w:val="003E285E"/>
    <w:rsid w:val="003E391D"/>
    <w:rsid w:val="003E39F1"/>
    <w:rsid w:val="003E3A0E"/>
    <w:rsid w:val="003E3F42"/>
    <w:rsid w:val="003E437E"/>
    <w:rsid w:val="003E4816"/>
    <w:rsid w:val="003E5362"/>
    <w:rsid w:val="003E5603"/>
    <w:rsid w:val="003E58CC"/>
    <w:rsid w:val="003E6883"/>
    <w:rsid w:val="003E6E36"/>
    <w:rsid w:val="003E7167"/>
    <w:rsid w:val="003E71D8"/>
    <w:rsid w:val="003E733F"/>
    <w:rsid w:val="003E749E"/>
    <w:rsid w:val="003E7CF3"/>
    <w:rsid w:val="003E7FB4"/>
    <w:rsid w:val="003F010E"/>
    <w:rsid w:val="003F0719"/>
    <w:rsid w:val="003F1643"/>
    <w:rsid w:val="003F1664"/>
    <w:rsid w:val="003F16E5"/>
    <w:rsid w:val="003F1F02"/>
    <w:rsid w:val="003F2288"/>
    <w:rsid w:val="003F3859"/>
    <w:rsid w:val="003F3AA1"/>
    <w:rsid w:val="003F3FE4"/>
    <w:rsid w:val="003F4156"/>
    <w:rsid w:val="003F4239"/>
    <w:rsid w:val="003F4442"/>
    <w:rsid w:val="003F4BEF"/>
    <w:rsid w:val="003F5ADF"/>
    <w:rsid w:val="003F6B3A"/>
    <w:rsid w:val="003F6BDA"/>
    <w:rsid w:val="003F6E25"/>
    <w:rsid w:val="003F7019"/>
    <w:rsid w:val="00400B29"/>
    <w:rsid w:val="0040109E"/>
    <w:rsid w:val="00401847"/>
    <w:rsid w:val="00401A41"/>
    <w:rsid w:val="00402812"/>
    <w:rsid w:val="00402DD2"/>
    <w:rsid w:val="0040302F"/>
    <w:rsid w:val="004036B0"/>
    <w:rsid w:val="004045E1"/>
    <w:rsid w:val="0040504B"/>
    <w:rsid w:val="00405311"/>
    <w:rsid w:val="0040533F"/>
    <w:rsid w:val="004059F4"/>
    <w:rsid w:val="00405C51"/>
    <w:rsid w:val="0040633F"/>
    <w:rsid w:val="00406711"/>
    <w:rsid w:val="00406743"/>
    <w:rsid w:val="00406EEE"/>
    <w:rsid w:val="00407D27"/>
    <w:rsid w:val="00407FE5"/>
    <w:rsid w:val="004101B0"/>
    <w:rsid w:val="00410326"/>
    <w:rsid w:val="00410708"/>
    <w:rsid w:val="00410EC7"/>
    <w:rsid w:val="00411AB2"/>
    <w:rsid w:val="00411B39"/>
    <w:rsid w:val="004127A7"/>
    <w:rsid w:val="0041317C"/>
    <w:rsid w:val="00413910"/>
    <w:rsid w:val="00413A1E"/>
    <w:rsid w:val="00414043"/>
    <w:rsid w:val="004140BB"/>
    <w:rsid w:val="00414476"/>
    <w:rsid w:val="00414719"/>
    <w:rsid w:val="00414C2E"/>
    <w:rsid w:val="004151CF"/>
    <w:rsid w:val="00415390"/>
    <w:rsid w:val="00415488"/>
    <w:rsid w:val="00415531"/>
    <w:rsid w:val="004157CF"/>
    <w:rsid w:val="00415FF8"/>
    <w:rsid w:val="00416254"/>
    <w:rsid w:val="00416364"/>
    <w:rsid w:val="00416821"/>
    <w:rsid w:val="00416C47"/>
    <w:rsid w:val="004173A7"/>
    <w:rsid w:val="00417E9B"/>
    <w:rsid w:val="0042047F"/>
    <w:rsid w:val="004204A1"/>
    <w:rsid w:val="00420AA6"/>
    <w:rsid w:val="00420B9F"/>
    <w:rsid w:val="00420D88"/>
    <w:rsid w:val="0042192C"/>
    <w:rsid w:val="00421ED1"/>
    <w:rsid w:val="00421F84"/>
    <w:rsid w:val="00422260"/>
    <w:rsid w:val="004224CB"/>
    <w:rsid w:val="00422D6E"/>
    <w:rsid w:val="00422EFC"/>
    <w:rsid w:val="004237BA"/>
    <w:rsid w:val="0042413F"/>
    <w:rsid w:val="00424A7C"/>
    <w:rsid w:val="004250C3"/>
    <w:rsid w:val="004253FA"/>
    <w:rsid w:val="00425973"/>
    <w:rsid w:val="00425B9A"/>
    <w:rsid w:val="004264BF"/>
    <w:rsid w:val="00426B28"/>
    <w:rsid w:val="00426D7C"/>
    <w:rsid w:val="00427D9F"/>
    <w:rsid w:val="00427E2C"/>
    <w:rsid w:val="004319F8"/>
    <w:rsid w:val="00431E55"/>
    <w:rsid w:val="004321F6"/>
    <w:rsid w:val="004326A6"/>
    <w:rsid w:val="0043270E"/>
    <w:rsid w:val="00432903"/>
    <w:rsid w:val="00432F02"/>
    <w:rsid w:val="00433044"/>
    <w:rsid w:val="00433764"/>
    <w:rsid w:val="00433D0D"/>
    <w:rsid w:val="00434088"/>
    <w:rsid w:val="004343FD"/>
    <w:rsid w:val="00434E5D"/>
    <w:rsid w:val="00435FBD"/>
    <w:rsid w:val="00436AA0"/>
    <w:rsid w:val="00436AFB"/>
    <w:rsid w:val="0043718B"/>
    <w:rsid w:val="004375B9"/>
    <w:rsid w:val="004378DF"/>
    <w:rsid w:val="004403CE"/>
    <w:rsid w:val="00440658"/>
    <w:rsid w:val="00440AC1"/>
    <w:rsid w:val="00440E66"/>
    <w:rsid w:val="0044108A"/>
    <w:rsid w:val="00441104"/>
    <w:rsid w:val="004421BC"/>
    <w:rsid w:val="004428D0"/>
    <w:rsid w:val="00442A32"/>
    <w:rsid w:val="00444185"/>
    <w:rsid w:val="004443A7"/>
    <w:rsid w:val="0044442C"/>
    <w:rsid w:val="004444F8"/>
    <w:rsid w:val="00445044"/>
    <w:rsid w:val="00445692"/>
    <w:rsid w:val="00445941"/>
    <w:rsid w:val="00446024"/>
    <w:rsid w:val="00446161"/>
    <w:rsid w:val="004464EB"/>
    <w:rsid w:val="00446BA2"/>
    <w:rsid w:val="00447C96"/>
    <w:rsid w:val="00447D26"/>
    <w:rsid w:val="00447DFC"/>
    <w:rsid w:val="0045052F"/>
    <w:rsid w:val="00450790"/>
    <w:rsid w:val="00450B89"/>
    <w:rsid w:val="004515F1"/>
    <w:rsid w:val="0045172B"/>
    <w:rsid w:val="00451BD6"/>
    <w:rsid w:val="004529FD"/>
    <w:rsid w:val="00452AEE"/>
    <w:rsid w:val="00452B34"/>
    <w:rsid w:val="0045344E"/>
    <w:rsid w:val="00453D7E"/>
    <w:rsid w:val="00453DE1"/>
    <w:rsid w:val="0045492B"/>
    <w:rsid w:val="00454B0C"/>
    <w:rsid w:val="0045550D"/>
    <w:rsid w:val="00455B4C"/>
    <w:rsid w:val="00455D45"/>
    <w:rsid w:val="0045647D"/>
    <w:rsid w:val="00456BAC"/>
    <w:rsid w:val="0045762D"/>
    <w:rsid w:val="00460212"/>
    <w:rsid w:val="00460522"/>
    <w:rsid w:val="004607DC"/>
    <w:rsid w:val="00460EC3"/>
    <w:rsid w:val="00460FA3"/>
    <w:rsid w:val="00461455"/>
    <w:rsid w:val="004618DE"/>
    <w:rsid w:val="00463C9C"/>
    <w:rsid w:val="0046418C"/>
    <w:rsid w:val="004641FC"/>
    <w:rsid w:val="00464595"/>
    <w:rsid w:val="004653B1"/>
    <w:rsid w:val="0046565D"/>
    <w:rsid w:val="004658B5"/>
    <w:rsid w:val="0046603F"/>
    <w:rsid w:val="00466193"/>
    <w:rsid w:val="004661E3"/>
    <w:rsid w:val="0046679B"/>
    <w:rsid w:val="00467B91"/>
    <w:rsid w:val="00470039"/>
    <w:rsid w:val="00470FD3"/>
    <w:rsid w:val="00471530"/>
    <w:rsid w:val="004716F8"/>
    <w:rsid w:val="00471EA5"/>
    <w:rsid w:val="00472A79"/>
    <w:rsid w:val="00472CC6"/>
    <w:rsid w:val="00472D82"/>
    <w:rsid w:val="00472F02"/>
    <w:rsid w:val="0047394C"/>
    <w:rsid w:val="004739D4"/>
    <w:rsid w:val="00473D33"/>
    <w:rsid w:val="00473F19"/>
    <w:rsid w:val="00474BBF"/>
    <w:rsid w:val="00474D99"/>
    <w:rsid w:val="004751F5"/>
    <w:rsid w:val="00475E22"/>
    <w:rsid w:val="0047650D"/>
    <w:rsid w:val="00476AD3"/>
    <w:rsid w:val="00477082"/>
    <w:rsid w:val="0047732F"/>
    <w:rsid w:val="00480286"/>
    <w:rsid w:val="004802EA"/>
    <w:rsid w:val="0048087E"/>
    <w:rsid w:val="0048088E"/>
    <w:rsid w:val="004809C8"/>
    <w:rsid w:val="00480F2B"/>
    <w:rsid w:val="00481849"/>
    <w:rsid w:val="004823CA"/>
    <w:rsid w:val="00482720"/>
    <w:rsid w:val="00482AB3"/>
    <w:rsid w:val="00482BB1"/>
    <w:rsid w:val="00482E12"/>
    <w:rsid w:val="00483190"/>
    <w:rsid w:val="00483284"/>
    <w:rsid w:val="004835E7"/>
    <w:rsid w:val="00483C4A"/>
    <w:rsid w:val="004841CB"/>
    <w:rsid w:val="00484A41"/>
    <w:rsid w:val="00484E3F"/>
    <w:rsid w:val="00484F72"/>
    <w:rsid w:val="004853E2"/>
    <w:rsid w:val="00485683"/>
    <w:rsid w:val="00485774"/>
    <w:rsid w:val="004859E1"/>
    <w:rsid w:val="00485E70"/>
    <w:rsid w:val="00486097"/>
    <w:rsid w:val="004867E2"/>
    <w:rsid w:val="004868DC"/>
    <w:rsid w:val="00486DFC"/>
    <w:rsid w:val="00487143"/>
    <w:rsid w:val="00487601"/>
    <w:rsid w:val="00487D90"/>
    <w:rsid w:val="004902AA"/>
    <w:rsid w:val="004903DB"/>
    <w:rsid w:val="0049066F"/>
    <w:rsid w:val="00490723"/>
    <w:rsid w:val="0049091E"/>
    <w:rsid w:val="00490A49"/>
    <w:rsid w:val="00490B17"/>
    <w:rsid w:val="00490CA1"/>
    <w:rsid w:val="00490FEA"/>
    <w:rsid w:val="004912ED"/>
    <w:rsid w:val="004914CE"/>
    <w:rsid w:val="00491B3A"/>
    <w:rsid w:val="00491FE8"/>
    <w:rsid w:val="0049279B"/>
    <w:rsid w:val="00492CFD"/>
    <w:rsid w:val="00492D5A"/>
    <w:rsid w:val="00492F80"/>
    <w:rsid w:val="0049306F"/>
    <w:rsid w:val="00493D59"/>
    <w:rsid w:val="00493E8F"/>
    <w:rsid w:val="00494207"/>
    <w:rsid w:val="004947B9"/>
    <w:rsid w:val="00494B2F"/>
    <w:rsid w:val="00494CA2"/>
    <w:rsid w:val="00494DD5"/>
    <w:rsid w:val="004957F7"/>
    <w:rsid w:val="00495F1D"/>
    <w:rsid w:val="004962D2"/>
    <w:rsid w:val="0049636A"/>
    <w:rsid w:val="00497437"/>
    <w:rsid w:val="0049750A"/>
    <w:rsid w:val="004A0211"/>
    <w:rsid w:val="004A0DA1"/>
    <w:rsid w:val="004A13D6"/>
    <w:rsid w:val="004A152C"/>
    <w:rsid w:val="004A15D1"/>
    <w:rsid w:val="004A38F9"/>
    <w:rsid w:val="004A3A49"/>
    <w:rsid w:val="004A3DB2"/>
    <w:rsid w:val="004A476D"/>
    <w:rsid w:val="004A47F1"/>
    <w:rsid w:val="004A4F2F"/>
    <w:rsid w:val="004A52E9"/>
    <w:rsid w:val="004A55A6"/>
    <w:rsid w:val="004A6040"/>
    <w:rsid w:val="004A6597"/>
    <w:rsid w:val="004A6BF4"/>
    <w:rsid w:val="004A70A6"/>
    <w:rsid w:val="004A7848"/>
    <w:rsid w:val="004A793B"/>
    <w:rsid w:val="004A79A8"/>
    <w:rsid w:val="004A7D08"/>
    <w:rsid w:val="004B0FD6"/>
    <w:rsid w:val="004B1CB4"/>
    <w:rsid w:val="004B2339"/>
    <w:rsid w:val="004B2F18"/>
    <w:rsid w:val="004B313E"/>
    <w:rsid w:val="004B3DDB"/>
    <w:rsid w:val="004B44FD"/>
    <w:rsid w:val="004B4A1E"/>
    <w:rsid w:val="004B5A72"/>
    <w:rsid w:val="004B5CFC"/>
    <w:rsid w:val="004B5E10"/>
    <w:rsid w:val="004B60B8"/>
    <w:rsid w:val="004B6DFC"/>
    <w:rsid w:val="004B6F79"/>
    <w:rsid w:val="004B774D"/>
    <w:rsid w:val="004B777A"/>
    <w:rsid w:val="004B7A6F"/>
    <w:rsid w:val="004B7FA8"/>
    <w:rsid w:val="004C0EF9"/>
    <w:rsid w:val="004C13BC"/>
    <w:rsid w:val="004C2AC2"/>
    <w:rsid w:val="004C2D6C"/>
    <w:rsid w:val="004C2FAB"/>
    <w:rsid w:val="004C37F1"/>
    <w:rsid w:val="004C3B02"/>
    <w:rsid w:val="004C4AED"/>
    <w:rsid w:val="004C5116"/>
    <w:rsid w:val="004C5215"/>
    <w:rsid w:val="004C5622"/>
    <w:rsid w:val="004C58E8"/>
    <w:rsid w:val="004C5FE9"/>
    <w:rsid w:val="004C60D6"/>
    <w:rsid w:val="004C67BA"/>
    <w:rsid w:val="004C75B2"/>
    <w:rsid w:val="004C7BFD"/>
    <w:rsid w:val="004D0525"/>
    <w:rsid w:val="004D0BFC"/>
    <w:rsid w:val="004D0D24"/>
    <w:rsid w:val="004D0F0B"/>
    <w:rsid w:val="004D11BA"/>
    <w:rsid w:val="004D1527"/>
    <w:rsid w:val="004D1642"/>
    <w:rsid w:val="004D2238"/>
    <w:rsid w:val="004D28F6"/>
    <w:rsid w:val="004D2C2D"/>
    <w:rsid w:val="004D2FCB"/>
    <w:rsid w:val="004D3173"/>
    <w:rsid w:val="004D38CC"/>
    <w:rsid w:val="004D3D54"/>
    <w:rsid w:val="004D4D74"/>
    <w:rsid w:val="004D4D8E"/>
    <w:rsid w:val="004D4DD0"/>
    <w:rsid w:val="004D55F4"/>
    <w:rsid w:val="004D5C24"/>
    <w:rsid w:val="004D6249"/>
    <w:rsid w:val="004D69B5"/>
    <w:rsid w:val="004D69F4"/>
    <w:rsid w:val="004D6F0A"/>
    <w:rsid w:val="004D7227"/>
    <w:rsid w:val="004D732F"/>
    <w:rsid w:val="004D76D7"/>
    <w:rsid w:val="004D77E6"/>
    <w:rsid w:val="004D7B5E"/>
    <w:rsid w:val="004E06A4"/>
    <w:rsid w:val="004E0981"/>
    <w:rsid w:val="004E0E7F"/>
    <w:rsid w:val="004E0EB8"/>
    <w:rsid w:val="004E175C"/>
    <w:rsid w:val="004E18E9"/>
    <w:rsid w:val="004E2785"/>
    <w:rsid w:val="004E2937"/>
    <w:rsid w:val="004E2ADC"/>
    <w:rsid w:val="004E30CD"/>
    <w:rsid w:val="004E3692"/>
    <w:rsid w:val="004E3B82"/>
    <w:rsid w:val="004E43B2"/>
    <w:rsid w:val="004E5334"/>
    <w:rsid w:val="004E6D53"/>
    <w:rsid w:val="004E78B5"/>
    <w:rsid w:val="004F00DC"/>
    <w:rsid w:val="004F053A"/>
    <w:rsid w:val="004F0952"/>
    <w:rsid w:val="004F1D02"/>
    <w:rsid w:val="004F240B"/>
    <w:rsid w:val="004F2679"/>
    <w:rsid w:val="004F26BE"/>
    <w:rsid w:val="004F2F21"/>
    <w:rsid w:val="004F33CD"/>
    <w:rsid w:val="004F3DE5"/>
    <w:rsid w:val="004F4415"/>
    <w:rsid w:val="004F48ED"/>
    <w:rsid w:val="004F5660"/>
    <w:rsid w:val="004F5838"/>
    <w:rsid w:val="004F5CEF"/>
    <w:rsid w:val="004F6913"/>
    <w:rsid w:val="004F6FA9"/>
    <w:rsid w:val="004F6FC2"/>
    <w:rsid w:val="004F6FD3"/>
    <w:rsid w:val="004F77CF"/>
    <w:rsid w:val="004F77E5"/>
    <w:rsid w:val="004F7865"/>
    <w:rsid w:val="005000AB"/>
    <w:rsid w:val="0050081B"/>
    <w:rsid w:val="00500E4E"/>
    <w:rsid w:val="0050174E"/>
    <w:rsid w:val="00501854"/>
    <w:rsid w:val="00501A45"/>
    <w:rsid w:val="0050219B"/>
    <w:rsid w:val="00502A97"/>
    <w:rsid w:val="00502C64"/>
    <w:rsid w:val="00502E10"/>
    <w:rsid w:val="00503249"/>
    <w:rsid w:val="00503C6A"/>
    <w:rsid w:val="00503F17"/>
    <w:rsid w:val="00503F3A"/>
    <w:rsid w:val="005040DF"/>
    <w:rsid w:val="00504520"/>
    <w:rsid w:val="00505BA5"/>
    <w:rsid w:val="00505E8C"/>
    <w:rsid w:val="0050631A"/>
    <w:rsid w:val="00506928"/>
    <w:rsid w:val="005069C9"/>
    <w:rsid w:val="005073BD"/>
    <w:rsid w:val="005075F7"/>
    <w:rsid w:val="005077EF"/>
    <w:rsid w:val="00510304"/>
    <w:rsid w:val="00510684"/>
    <w:rsid w:val="005106A9"/>
    <w:rsid w:val="00511AD5"/>
    <w:rsid w:val="00511C44"/>
    <w:rsid w:val="00511DC7"/>
    <w:rsid w:val="00512375"/>
    <w:rsid w:val="0051268E"/>
    <w:rsid w:val="005131F6"/>
    <w:rsid w:val="005142C5"/>
    <w:rsid w:val="0051501B"/>
    <w:rsid w:val="005152B5"/>
    <w:rsid w:val="00515886"/>
    <w:rsid w:val="00516ED1"/>
    <w:rsid w:val="00517038"/>
    <w:rsid w:val="0051711C"/>
    <w:rsid w:val="0051711D"/>
    <w:rsid w:val="005172A9"/>
    <w:rsid w:val="00517342"/>
    <w:rsid w:val="00517628"/>
    <w:rsid w:val="0051794C"/>
    <w:rsid w:val="00517F51"/>
    <w:rsid w:val="00517FF1"/>
    <w:rsid w:val="0052061C"/>
    <w:rsid w:val="0052084B"/>
    <w:rsid w:val="00520A4E"/>
    <w:rsid w:val="0052123C"/>
    <w:rsid w:val="00521319"/>
    <w:rsid w:val="00521391"/>
    <w:rsid w:val="005214CB"/>
    <w:rsid w:val="005221E9"/>
    <w:rsid w:val="005224E9"/>
    <w:rsid w:val="005228AA"/>
    <w:rsid w:val="00522A50"/>
    <w:rsid w:val="00522BC8"/>
    <w:rsid w:val="00523C28"/>
    <w:rsid w:val="005250CB"/>
    <w:rsid w:val="005262ED"/>
    <w:rsid w:val="00526466"/>
    <w:rsid w:val="005273F2"/>
    <w:rsid w:val="005306CB"/>
    <w:rsid w:val="00530736"/>
    <w:rsid w:val="00531328"/>
    <w:rsid w:val="0053176B"/>
    <w:rsid w:val="00531CE8"/>
    <w:rsid w:val="00531D75"/>
    <w:rsid w:val="005320E1"/>
    <w:rsid w:val="005324DF"/>
    <w:rsid w:val="00532BCD"/>
    <w:rsid w:val="005341B3"/>
    <w:rsid w:val="00534328"/>
    <w:rsid w:val="005343D1"/>
    <w:rsid w:val="005346FA"/>
    <w:rsid w:val="00535466"/>
    <w:rsid w:val="0053668F"/>
    <w:rsid w:val="00536E61"/>
    <w:rsid w:val="00536F42"/>
    <w:rsid w:val="00537182"/>
    <w:rsid w:val="00537AD7"/>
    <w:rsid w:val="00537B36"/>
    <w:rsid w:val="00537F4C"/>
    <w:rsid w:val="005409CD"/>
    <w:rsid w:val="00540CA8"/>
    <w:rsid w:val="005415AE"/>
    <w:rsid w:val="00541EDD"/>
    <w:rsid w:val="005424B0"/>
    <w:rsid w:val="00542743"/>
    <w:rsid w:val="00542826"/>
    <w:rsid w:val="00542A2B"/>
    <w:rsid w:val="00542C2D"/>
    <w:rsid w:val="00542FCA"/>
    <w:rsid w:val="00543484"/>
    <w:rsid w:val="00543A04"/>
    <w:rsid w:val="00543DDA"/>
    <w:rsid w:val="00544686"/>
    <w:rsid w:val="00544F03"/>
    <w:rsid w:val="005470EB"/>
    <w:rsid w:val="005478BD"/>
    <w:rsid w:val="005479E3"/>
    <w:rsid w:val="00551985"/>
    <w:rsid w:val="00551DF2"/>
    <w:rsid w:val="00552BD3"/>
    <w:rsid w:val="005532A0"/>
    <w:rsid w:val="0055341A"/>
    <w:rsid w:val="0055345F"/>
    <w:rsid w:val="00553758"/>
    <w:rsid w:val="00553813"/>
    <w:rsid w:val="00553DD6"/>
    <w:rsid w:val="00553F4C"/>
    <w:rsid w:val="005544A5"/>
    <w:rsid w:val="00554F28"/>
    <w:rsid w:val="0055506F"/>
    <w:rsid w:val="00555109"/>
    <w:rsid w:val="00555A8F"/>
    <w:rsid w:val="00555E18"/>
    <w:rsid w:val="0055612C"/>
    <w:rsid w:val="0055685C"/>
    <w:rsid w:val="00556B35"/>
    <w:rsid w:val="00556C2F"/>
    <w:rsid w:val="00556F75"/>
    <w:rsid w:val="00557043"/>
    <w:rsid w:val="0055741A"/>
    <w:rsid w:val="0055744E"/>
    <w:rsid w:val="0055772E"/>
    <w:rsid w:val="005579CA"/>
    <w:rsid w:val="00557A38"/>
    <w:rsid w:val="005608A2"/>
    <w:rsid w:val="005611B7"/>
    <w:rsid w:val="005618D4"/>
    <w:rsid w:val="0056209E"/>
    <w:rsid w:val="005626E0"/>
    <w:rsid w:val="00562B0B"/>
    <w:rsid w:val="00562C7D"/>
    <w:rsid w:val="00563377"/>
    <w:rsid w:val="00563415"/>
    <w:rsid w:val="00563E61"/>
    <w:rsid w:val="00563F9B"/>
    <w:rsid w:val="00564771"/>
    <w:rsid w:val="00564783"/>
    <w:rsid w:val="00564867"/>
    <w:rsid w:val="00564D70"/>
    <w:rsid w:val="00565348"/>
    <w:rsid w:val="00565A9A"/>
    <w:rsid w:val="00565C79"/>
    <w:rsid w:val="00565CE1"/>
    <w:rsid w:val="00565DF0"/>
    <w:rsid w:val="0056605A"/>
    <w:rsid w:val="005666CF"/>
    <w:rsid w:val="0056696F"/>
    <w:rsid w:val="00566B5A"/>
    <w:rsid w:val="00566DA8"/>
    <w:rsid w:val="00566F49"/>
    <w:rsid w:val="00567C6B"/>
    <w:rsid w:val="00567EF1"/>
    <w:rsid w:val="00567F90"/>
    <w:rsid w:val="0057119C"/>
    <w:rsid w:val="005712DE"/>
    <w:rsid w:val="00572269"/>
    <w:rsid w:val="0057244A"/>
    <w:rsid w:val="00572F22"/>
    <w:rsid w:val="00572F26"/>
    <w:rsid w:val="00573001"/>
    <w:rsid w:val="005733D5"/>
    <w:rsid w:val="00573FCE"/>
    <w:rsid w:val="005745CA"/>
    <w:rsid w:val="005748F9"/>
    <w:rsid w:val="00574CC6"/>
    <w:rsid w:val="005750C5"/>
    <w:rsid w:val="005752DE"/>
    <w:rsid w:val="005758DB"/>
    <w:rsid w:val="00575CF5"/>
    <w:rsid w:val="00575D60"/>
    <w:rsid w:val="00575D8D"/>
    <w:rsid w:val="00576972"/>
    <w:rsid w:val="00576A45"/>
    <w:rsid w:val="00576B50"/>
    <w:rsid w:val="00577248"/>
    <w:rsid w:val="005773CF"/>
    <w:rsid w:val="005802B3"/>
    <w:rsid w:val="00580462"/>
    <w:rsid w:val="00580C71"/>
    <w:rsid w:val="0058176E"/>
    <w:rsid w:val="00581ADA"/>
    <w:rsid w:val="00582758"/>
    <w:rsid w:val="00582822"/>
    <w:rsid w:val="00583699"/>
    <w:rsid w:val="0058411D"/>
    <w:rsid w:val="00584159"/>
    <w:rsid w:val="00584B93"/>
    <w:rsid w:val="00584C66"/>
    <w:rsid w:val="00585CDD"/>
    <w:rsid w:val="00585DF4"/>
    <w:rsid w:val="005868C6"/>
    <w:rsid w:val="005869C9"/>
    <w:rsid w:val="00586B02"/>
    <w:rsid w:val="00587058"/>
    <w:rsid w:val="005872E5"/>
    <w:rsid w:val="00587318"/>
    <w:rsid w:val="00587809"/>
    <w:rsid w:val="0058794F"/>
    <w:rsid w:val="00590407"/>
    <w:rsid w:val="005906D4"/>
    <w:rsid w:val="00590A1C"/>
    <w:rsid w:val="00591957"/>
    <w:rsid w:val="005921FF"/>
    <w:rsid w:val="00592CE8"/>
    <w:rsid w:val="00593027"/>
    <w:rsid w:val="0059315E"/>
    <w:rsid w:val="00593643"/>
    <w:rsid w:val="00593847"/>
    <w:rsid w:val="00593924"/>
    <w:rsid w:val="00593E8A"/>
    <w:rsid w:val="00593F51"/>
    <w:rsid w:val="00594735"/>
    <w:rsid w:val="005958D4"/>
    <w:rsid w:val="00597BF9"/>
    <w:rsid w:val="00597EB7"/>
    <w:rsid w:val="005A02E3"/>
    <w:rsid w:val="005A0C11"/>
    <w:rsid w:val="005A0F43"/>
    <w:rsid w:val="005A1191"/>
    <w:rsid w:val="005A16A3"/>
    <w:rsid w:val="005A17EF"/>
    <w:rsid w:val="005A1A03"/>
    <w:rsid w:val="005A2AAB"/>
    <w:rsid w:val="005A309A"/>
    <w:rsid w:val="005A373D"/>
    <w:rsid w:val="005A3FED"/>
    <w:rsid w:val="005A4456"/>
    <w:rsid w:val="005A4725"/>
    <w:rsid w:val="005A4B3F"/>
    <w:rsid w:val="005A4C9A"/>
    <w:rsid w:val="005A4FBF"/>
    <w:rsid w:val="005A6201"/>
    <w:rsid w:val="005A6624"/>
    <w:rsid w:val="005A7462"/>
    <w:rsid w:val="005B0B58"/>
    <w:rsid w:val="005B2536"/>
    <w:rsid w:val="005B31CB"/>
    <w:rsid w:val="005B3403"/>
    <w:rsid w:val="005B3F29"/>
    <w:rsid w:val="005B44DA"/>
    <w:rsid w:val="005B466C"/>
    <w:rsid w:val="005B4E53"/>
    <w:rsid w:val="005B5453"/>
    <w:rsid w:val="005B5857"/>
    <w:rsid w:val="005B5B7E"/>
    <w:rsid w:val="005B7760"/>
    <w:rsid w:val="005B7909"/>
    <w:rsid w:val="005C19C4"/>
    <w:rsid w:val="005C1B83"/>
    <w:rsid w:val="005C24F9"/>
    <w:rsid w:val="005C25FF"/>
    <w:rsid w:val="005C2D55"/>
    <w:rsid w:val="005C2FA5"/>
    <w:rsid w:val="005C3416"/>
    <w:rsid w:val="005C346B"/>
    <w:rsid w:val="005C3B36"/>
    <w:rsid w:val="005C3C61"/>
    <w:rsid w:val="005C3D7C"/>
    <w:rsid w:val="005C400E"/>
    <w:rsid w:val="005C458B"/>
    <w:rsid w:val="005C4C1E"/>
    <w:rsid w:val="005C50FF"/>
    <w:rsid w:val="005C518F"/>
    <w:rsid w:val="005C59E2"/>
    <w:rsid w:val="005C5ABC"/>
    <w:rsid w:val="005C5C45"/>
    <w:rsid w:val="005C5E9A"/>
    <w:rsid w:val="005C652F"/>
    <w:rsid w:val="005C6AC7"/>
    <w:rsid w:val="005C6C3E"/>
    <w:rsid w:val="005C7ABD"/>
    <w:rsid w:val="005D044D"/>
    <w:rsid w:val="005D0762"/>
    <w:rsid w:val="005D0ABD"/>
    <w:rsid w:val="005D0B46"/>
    <w:rsid w:val="005D0B4A"/>
    <w:rsid w:val="005D1672"/>
    <w:rsid w:val="005D18AD"/>
    <w:rsid w:val="005D1EAD"/>
    <w:rsid w:val="005D2575"/>
    <w:rsid w:val="005D26B4"/>
    <w:rsid w:val="005D332F"/>
    <w:rsid w:val="005D4179"/>
    <w:rsid w:val="005D4992"/>
    <w:rsid w:val="005D49F1"/>
    <w:rsid w:val="005D54B1"/>
    <w:rsid w:val="005D55C7"/>
    <w:rsid w:val="005D5FC9"/>
    <w:rsid w:val="005D62AD"/>
    <w:rsid w:val="005D6C80"/>
    <w:rsid w:val="005D75AF"/>
    <w:rsid w:val="005D7815"/>
    <w:rsid w:val="005E001D"/>
    <w:rsid w:val="005E0495"/>
    <w:rsid w:val="005E082F"/>
    <w:rsid w:val="005E0E4B"/>
    <w:rsid w:val="005E1439"/>
    <w:rsid w:val="005E1467"/>
    <w:rsid w:val="005E1995"/>
    <w:rsid w:val="005E1CB4"/>
    <w:rsid w:val="005E3C61"/>
    <w:rsid w:val="005E3F8B"/>
    <w:rsid w:val="005E4091"/>
    <w:rsid w:val="005E59EF"/>
    <w:rsid w:val="005E62B3"/>
    <w:rsid w:val="005E6CBC"/>
    <w:rsid w:val="005E6E55"/>
    <w:rsid w:val="005E72FF"/>
    <w:rsid w:val="005E73C0"/>
    <w:rsid w:val="005E7F71"/>
    <w:rsid w:val="005F043F"/>
    <w:rsid w:val="005F06C9"/>
    <w:rsid w:val="005F07ED"/>
    <w:rsid w:val="005F07FE"/>
    <w:rsid w:val="005F19B0"/>
    <w:rsid w:val="005F1EB6"/>
    <w:rsid w:val="005F2352"/>
    <w:rsid w:val="005F2706"/>
    <w:rsid w:val="005F2A32"/>
    <w:rsid w:val="005F48B1"/>
    <w:rsid w:val="005F4A37"/>
    <w:rsid w:val="005F4F3D"/>
    <w:rsid w:val="005F5787"/>
    <w:rsid w:val="005F61B1"/>
    <w:rsid w:val="005F6A8F"/>
    <w:rsid w:val="005F6BB7"/>
    <w:rsid w:val="005F6BE0"/>
    <w:rsid w:val="005F71DD"/>
    <w:rsid w:val="005F7439"/>
    <w:rsid w:val="005F7588"/>
    <w:rsid w:val="00600A05"/>
    <w:rsid w:val="00600E27"/>
    <w:rsid w:val="0060119B"/>
    <w:rsid w:val="0060224D"/>
    <w:rsid w:val="006025AF"/>
    <w:rsid w:val="006028D3"/>
    <w:rsid w:val="0060327B"/>
    <w:rsid w:val="00603DB9"/>
    <w:rsid w:val="00604290"/>
    <w:rsid w:val="0060539A"/>
    <w:rsid w:val="00606ECB"/>
    <w:rsid w:val="00606FBA"/>
    <w:rsid w:val="00607289"/>
    <w:rsid w:val="00607669"/>
    <w:rsid w:val="006076F4"/>
    <w:rsid w:val="00607AFD"/>
    <w:rsid w:val="00607D99"/>
    <w:rsid w:val="0061097B"/>
    <w:rsid w:val="00610BF5"/>
    <w:rsid w:val="00610EFE"/>
    <w:rsid w:val="006116C5"/>
    <w:rsid w:val="00611B12"/>
    <w:rsid w:val="00611E07"/>
    <w:rsid w:val="00611EA2"/>
    <w:rsid w:val="006124AF"/>
    <w:rsid w:val="00612753"/>
    <w:rsid w:val="00612F64"/>
    <w:rsid w:val="00612F97"/>
    <w:rsid w:val="0061345D"/>
    <w:rsid w:val="00613588"/>
    <w:rsid w:val="00613F5F"/>
    <w:rsid w:val="006141F0"/>
    <w:rsid w:val="00614485"/>
    <w:rsid w:val="00614519"/>
    <w:rsid w:val="0061549B"/>
    <w:rsid w:val="006156AD"/>
    <w:rsid w:val="00615E90"/>
    <w:rsid w:val="00616032"/>
    <w:rsid w:val="00616132"/>
    <w:rsid w:val="00616213"/>
    <w:rsid w:val="0061628F"/>
    <w:rsid w:val="00616731"/>
    <w:rsid w:val="00616802"/>
    <w:rsid w:val="00616ACA"/>
    <w:rsid w:val="00616F83"/>
    <w:rsid w:val="006173D7"/>
    <w:rsid w:val="00617E12"/>
    <w:rsid w:val="00620AA6"/>
    <w:rsid w:val="00620C25"/>
    <w:rsid w:val="006213F7"/>
    <w:rsid w:val="00621477"/>
    <w:rsid w:val="006219AC"/>
    <w:rsid w:val="006219B9"/>
    <w:rsid w:val="00621ADA"/>
    <w:rsid w:val="00622F53"/>
    <w:rsid w:val="00623F7B"/>
    <w:rsid w:val="0062419C"/>
    <w:rsid w:val="00624BD4"/>
    <w:rsid w:val="00625210"/>
    <w:rsid w:val="00625EEA"/>
    <w:rsid w:val="006261DC"/>
    <w:rsid w:val="006269A9"/>
    <w:rsid w:val="00627BF5"/>
    <w:rsid w:val="00630900"/>
    <w:rsid w:val="00630963"/>
    <w:rsid w:val="0063124E"/>
    <w:rsid w:val="0063158F"/>
    <w:rsid w:val="0063164A"/>
    <w:rsid w:val="00631D6B"/>
    <w:rsid w:val="00632183"/>
    <w:rsid w:val="00632C38"/>
    <w:rsid w:val="00632C74"/>
    <w:rsid w:val="00632E6F"/>
    <w:rsid w:val="006330A1"/>
    <w:rsid w:val="00633D7C"/>
    <w:rsid w:val="00633ED7"/>
    <w:rsid w:val="006340AD"/>
    <w:rsid w:val="0063479F"/>
    <w:rsid w:val="00634B84"/>
    <w:rsid w:val="00634B91"/>
    <w:rsid w:val="006353F0"/>
    <w:rsid w:val="006357B5"/>
    <w:rsid w:val="006358F0"/>
    <w:rsid w:val="006361AE"/>
    <w:rsid w:val="006364A1"/>
    <w:rsid w:val="0063678E"/>
    <w:rsid w:val="00637B0F"/>
    <w:rsid w:val="00637BFD"/>
    <w:rsid w:val="00637C5C"/>
    <w:rsid w:val="0064036B"/>
    <w:rsid w:val="006405BB"/>
    <w:rsid w:val="006409A8"/>
    <w:rsid w:val="00640BE1"/>
    <w:rsid w:val="00641C4E"/>
    <w:rsid w:val="00641E8F"/>
    <w:rsid w:val="00641FB3"/>
    <w:rsid w:val="00642C45"/>
    <w:rsid w:val="0064353C"/>
    <w:rsid w:val="0064434C"/>
    <w:rsid w:val="00645933"/>
    <w:rsid w:val="006467E4"/>
    <w:rsid w:val="00646B09"/>
    <w:rsid w:val="00646BCE"/>
    <w:rsid w:val="00646E1F"/>
    <w:rsid w:val="0064718A"/>
    <w:rsid w:val="006471CC"/>
    <w:rsid w:val="006472FE"/>
    <w:rsid w:val="00647A29"/>
    <w:rsid w:val="00647AA7"/>
    <w:rsid w:val="00647B15"/>
    <w:rsid w:val="00647E35"/>
    <w:rsid w:val="00650431"/>
    <w:rsid w:val="0065079F"/>
    <w:rsid w:val="00651AA6"/>
    <w:rsid w:val="00651B88"/>
    <w:rsid w:val="00651DB5"/>
    <w:rsid w:val="00651DDF"/>
    <w:rsid w:val="00652A28"/>
    <w:rsid w:val="00652D5E"/>
    <w:rsid w:val="00652F6F"/>
    <w:rsid w:val="006531E6"/>
    <w:rsid w:val="006536F2"/>
    <w:rsid w:val="0065379F"/>
    <w:rsid w:val="0065425F"/>
    <w:rsid w:val="00654711"/>
    <w:rsid w:val="0065540A"/>
    <w:rsid w:val="006554CE"/>
    <w:rsid w:val="00655862"/>
    <w:rsid w:val="006558BB"/>
    <w:rsid w:val="006559E2"/>
    <w:rsid w:val="00656188"/>
    <w:rsid w:val="0065672F"/>
    <w:rsid w:val="00656853"/>
    <w:rsid w:val="00656C1F"/>
    <w:rsid w:val="00656D12"/>
    <w:rsid w:val="0065715A"/>
    <w:rsid w:val="0065715E"/>
    <w:rsid w:val="00657563"/>
    <w:rsid w:val="00660193"/>
    <w:rsid w:val="0066062D"/>
    <w:rsid w:val="006608D6"/>
    <w:rsid w:val="006610F1"/>
    <w:rsid w:val="00661995"/>
    <w:rsid w:val="00661C6B"/>
    <w:rsid w:val="00661D3B"/>
    <w:rsid w:val="00661E25"/>
    <w:rsid w:val="00662AFC"/>
    <w:rsid w:val="00662D3E"/>
    <w:rsid w:val="00663888"/>
    <w:rsid w:val="00665642"/>
    <w:rsid w:val="00665E52"/>
    <w:rsid w:val="0066659B"/>
    <w:rsid w:val="006675E7"/>
    <w:rsid w:val="00667855"/>
    <w:rsid w:val="00667BE3"/>
    <w:rsid w:val="00671004"/>
    <w:rsid w:val="0067182D"/>
    <w:rsid w:val="00672317"/>
    <w:rsid w:val="00672646"/>
    <w:rsid w:val="00673995"/>
    <w:rsid w:val="00674E42"/>
    <w:rsid w:val="00675340"/>
    <w:rsid w:val="00675D4D"/>
    <w:rsid w:val="00676303"/>
    <w:rsid w:val="00676563"/>
    <w:rsid w:val="00676B5A"/>
    <w:rsid w:val="00677E23"/>
    <w:rsid w:val="006800FF"/>
    <w:rsid w:val="006801A6"/>
    <w:rsid w:val="00681153"/>
    <w:rsid w:val="006811DE"/>
    <w:rsid w:val="006813F8"/>
    <w:rsid w:val="006814DA"/>
    <w:rsid w:val="006817AD"/>
    <w:rsid w:val="00681ED2"/>
    <w:rsid w:val="00682112"/>
    <w:rsid w:val="00682277"/>
    <w:rsid w:val="00682BA6"/>
    <w:rsid w:val="00684637"/>
    <w:rsid w:val="00684ADB"/>
    <w:rsid w:val="00684B3F"/>
    <w:rsid w:val="00685895"/>
    <w:rsid w:val="0068598A"/>
    <w:rsid w:val="00685FB3"/>
    <w:rsid w:val="0068610C"/>
    <w:rsid w:val="00686714"/>
    <w:rsid w:val="00686735"/>
    <w:rsid w:val="00686957"/>
    <w:rsid w:val="006872BA"/>
    <w:rsid w:val="00687485"/>
    <w:rsid w:val="00690319"/>
    <w:rsid w:val="006906F8"/>
    <w:rsid w:val="00690795"/>
    <w:rsid w:val="0069100C"/>
    <w:rsid w:val="00691648"/>
    <w:rsid w:val="006917D7"/>
    <w:rsid w:val="00691ADD"/>
    <w:rsid w:val="006927A1"/>
    <w:rsid w:val="00692B5E"/>
    <w:rsid w:val="0069434C"/>
    <w:rsid w:val="00694F44"/>
    <w:rsid w:val="0069545A"/>
    <w:rsid w:val="006957C3"/>
    <w:rsid w:val="00696433"/>
    <w:rsid w:val="006969E2"/>
    <w:rsid w:val="00696B02"/>
    <w:rsid w:val="00696B1C"/>
    <w:rsid w:val="00696EF9"/>
    <w:rsid w:val="00696F51"/>
    <w:rsid w:val="006979A5"/>
    <w:rsid w:val="00697D33"/>
    <w:rsid w:val="006A001A"/>
    <w:rsid w:val="006A016F"/>
    <w:rsid w:val="006A052D"/>
    <w:rsid w:val="006A05BE"/>
    <w:rsid w:val="006A0B55"/>
    <w:rsid w:val="006A0BF0"/>
    <w:rsid w:val="006A0DF7"/>
    <w:rsid w:val="006A0F0C"/>
    <w:rsid w:val="006A0F6E"/>
    <w:rsid w:val="006A0FA5"/>
    <w:rsid w:val="006A2443"/>
    <w:rsid w:val="006A2A3E"/>
    <w:rsid w:val="006A2D50"/>
    <w:rsid w:val="006A31FE"/>
    <w:rsid w:val="006A355B"/>
    <w:rsid w:val="006A41ED"/>
    <w:rsid w:val="006A4321"/>
    <w:rsid w:val="006A43D9"/>
    <w:rsid w:val="006A4A3F"/>
    <w:rsid w:val="006A5347"/>
    <w:rsid w:val="006A54BC"/>
    <w:rsid w:val="006A57BC"/>
    <w:rsid w:val="006A58D4"/>
    <w:rsid w:val="006A5952"/>
    <w:rsid w:val="006A62CF"/>
    <w:rsid w:val="006A6B99"/>
    <w:rsid w:val="006A70DE"/>
    <w:rsid w:val="006A7DD4"/>
    <w:rsid w:val="006A7E5F"/>
    <w:rsid w:val="006B052F"/>
    <w:rsid w:val="006B0C51"/>
    <w:rsid w:val="006B153A"/>
    <w:rsid w:val="006B261B"/>
    <w:rsid w:val="006B2C90"/>
    <w:rsid w:val="006B2E87"/>
    <w:rsid w:val="006B3282"/>
    <w:rsid w:val="006B352F"/>
    <w:rsid w:val="006B35E6"/>
    <w:rsid w:val="006B41AC"/>
    <w:rsid w:val="006B44AC"/>
    <w:rsid w:val="006B465A"/>
    <w:rsid w:val="006B47EB"/>
    <w:rsid w:val="006B6098"/>
    <w:rsid w:val="006B67BA"/>
    <w:rsid w:val="006B6D03"/>
    <w:rsid w:val="006B6DD0"/>
    <w:rsid w:val="006B723F"/>
    <w:rsid w:val="006B7AF1"/>
    <w:rsid w:val="006C0161"/>
    <w:rsid w:val="006C0399"/>
    <w:rsid w:val="006C1836"/>
    <w:rsid w:val="006C19A7"/>
    <w:rsid w:val="006C1A03"/>
    <w:rsid w:val="006C2A8E"/>
    <w:rsid w:val="006C2D2F"/>
    <w:rsid w:val="006C3255"/>
    <w:rsid w:val="006C3345"/>
    <w:rsid w:val="006C36CB"/>
    <w:rsid w:val="006C374E"/>
    <w:rsid w:val="006C3F26"/>
    <w:rsid w:val="006C4E01"/>
    <w:rsid w:val="006C53E4"/>
    <w:rsid w:val="006C6539"/>
    <w:rsid w:val="006C7402"/>
    <w:rsid w:val="006C7537"/>
    <w:rsid w:val="006C797E"/>
    <w:rsid w:val="006C7CFD"/>
    <w:rsid w:val="006C7DAE"/>
    <w:rsid w:val="006D002C"/>
    <w:rsid w:val="006D006D"/>
    <w:rsid w:val="006D0200"/>
    <w:rsid w:val="006D0D17"/>
    <w:rsid w:val="006D0EF5"/>
    <w:rsid w:val="006D0F66"/>
    <w:rsid w:val="006D10C0"/>
    <w:rsid w:val="006D17A7"/>
    <w:rsid w:val="006D1D31"/>
    <w:rsid w:val="006D1F5A"/>
    <w:rsid w:val="006D207C"/>
    <w:rsid w:val="006D2196"/>
    <w:rsid w:val="006D23F2"/>
    <w:rsid w:val="006D291E"/>
    <w:rsid w:val="006D2959"/>
    <w:rsid w:val="006D2E9F"/>
    <w:rsid w:val="006D3C7D"/>
    <w:rsid w:val="006D3D0D"/>
    <w:rsid w:val="006D4613"/>
    <w:rsid w:val="006D4659"/>
    <w:rsid w:val="006D477A"/>
    <w:rsid w:val="006D47BE"/>
    <w:rsid w:val="006D515D"/>
    <w:rsid w:val="006D5D5F"/>
    <w:rsid w:val="006D6561"/>
    <w:rsid w:val="006D66C3"/>
    <w:rsid w:val="006D68FB"/>
    <w:rsid w:val="006D6A8D"/>
    <w:rsid w:val="006D72A8"/>
    <w:rsid w:val="006D78D5"/>
    <w:rsid w:val="006D791A"/>
    <w:rsid w:val="006E0236"/>
    <w:rsid w:val="006E1005"/>
    <w:rsid w:val="006E15A0"/>
    <w:rsid w:val="006E2638"/>
    <w:rsid w:val="006E2868"/>
    <w:rsid w:val="006E2CC5"/>
    <w:rsid w:val="006E49E2"/>
    <w:rsid w:val="006E4B3E"/>
    <w:rsid w:val="006E5C1B"/>
    <w:rsid w:val="006E5E3F"/>
    <w:rsid w:val="006E655A"/>
    <w:rsid w:val="006E6830"/>
    <w:rsid w:val="006E6ED9"/>
    <w:rsid w:val="006E75DA"/>
    <w:rsid w:val="006E77E8"/>
    <w:rsid w:val="006E7CB5"/>
    <w:rsid w:val="006F1208"/>
    <w:rsid w:val="006F1BFC"/>
    <w:rsid w:val="006F1EA2"/>
    <w:rsid w:val="006F2181"/>
    <w:rsid w:val="006F2D64"/>
    <w:rsid w:val="006F306C"/>
    <w:rsid w:val="006F3A8B"/>
    <w:rsid w:val="006F3B51"/>
    <w:rsid w:val="006F3D15"/>
    <w:rsid w:val="006F63A5"/>
    <w:rsid w:val="006F68B5"/>
    <w:rsid w:val="006F75A5"/>
    <w:rsid w:val="006F78AF"/>
    <w:rsid w:val="00700EF5"/>
    <w:rsid w:val="0070142B"/>
    <w:rsid w:val="0070198B"/>
    <w:rsid w:val="007020F8"/>
    <w:rsid w:val="007025D1"/>
    <w:rsid w:val="0070276E"/>
    <w:rsid w:val="00702963"/>
    <w:rsid w:val="00702ABA"/>
    <w:rsid w:val="00702B10"/>
    <w:rsid w:val="00702F8F"/>
    <w:rsid w:val="00703445"/>
    <w:rsid w:val="00703EEB"/>
    <w:rsid w:val="00704796"/>
    <w:rsid w:val="00704A8C"/>
    <w:rsid w:val="00705891"/>
    <w:rsid w:val="007059FE"/>
    <w:rsid w:val="00705D41"/>
    <w:rsid w:val="0070635B"/>
    <w:rsid w:val="00706FE2"/>
    <w:rsid w:val="00707131"/>
    <w:rsid w:val="00707543"/>
    <w:rsid w:val="007079FC"/>
    <w:rsid w:val="007101F6"/>
    <w:rsid w:val="00710360"/>
    <w:rsid w:val="00710F9A"/>
    <w:rsid w:val="007116C4"/>
    <w:rsid w:val="00711A36"/>
    <w:rsid w:val="00711B3C"/>
    <w:rsid w:val="00711C9D"/>
    <w:rsid w:val="0071233B"/>
    <w:rsid w:val="007125D3"/>
    <w:rsid w:val="00712B8C"/>
    <w:rsid w:val="0071307E"/>
    <w:rsid w:val="007131CC"/>
    <w:rsid w:val="00714025"/>
    <w:rsid w:val="00714596"/>
    <w:rsid w:val="0071463A"/>
    <w:rsid w:val="007147B9"/>
    <w:rsid w:val="007147D8"/>
    <w:rsid w:val="007148BB"/>
    <w:rsid w:val="00714A53"/>
    <w:rsid w:val="00714C26"/>
    <w:rsid w:val="007151CF"/>
    <w:rsid w:val="0071529C"/>
    <w:rsid w:val="00716015"/>
    <w:rsid w:val="0071645C"/>
    <w:rsid w:val="0071652D"/>
    <w:rsid w:val="0071672B"/>
    <w:rsid w:val="00716FEE"/>
    <w:rsid w:val="007170DA"/>
    <w:rsid w:val="007172AD"/>
    <w:rsid w:val="00717546"/>
    <w:rsid w:val="00717C9E"/>
    <w:rsid w:val="00717FFC"/>
    <w:rsid w:val="00720002"/>
    <w:rsid w:val="00720527"/>
    <w:rsid w:val="007205ED"/>
    <w:rsid w:val="00720801"/>
    <w:rsid w:val="007208B5"/>
    <w:rsid w:val="00721D2C"/>
    <w:rsid w:val="00722B1B"/>
    <w:rsid w:val="00722F10"/>
    <w:rsid w:val="0072416F"/>
    <w:rsid w:val="007261C5"/>
    <w:rsid w:val="00726247"/>
    <w:rsid w:val="007266F9"/>
    <w:rsid w:val="00726D00"/>
    <w:rsid w:val="00727142"/>
    <w:rsid w:val="00727C94"/>
    <w:rsid w:val="007307F0"/>
    <w:rsid w:val="00730B9C"/>
    <w:rsid w:val="0073136B"/>
    <w:rsid w:val="00731B0A"/>
    <w:rsid w:val="00731EAE"/>
    <w:rsid w:val="00731EB3"/>
    <w:rsid w:val="0073223D"/>
    <w:rsid w:val="00732583"/>
    <w:rsid w:val="00732961"/>
    <w:rsid w:val="00732A15"/>
    <w:rsid w:val="00732F3D"/>
    <w:rsid w:val="00733073"/>
    <w:rsid w:val="007332DC"/>
    <w:rsid w:val="0073366D"/>
    <w:rsid w:val="0073366F"/>
    <w:rsid w:val="00733FB0"/>
    <w:rsid w:val="00734CC0"/>
    <w:rsid w:val="00734DCD"/>
    <w:rsid w:val="00734F7A"/>
    <w:rsid w:val="00735033"/>
    <w:rsid w:val="00735328"/>
    <w:rsid w:val="0073574E"/>
    <w:rsid w:val="00735E44"/>
    <w:rsid w:val="00736292"/>
    <w:rsid w:val="00736799"/>
    <w:rsid w:val="0073685B"/>
    <w:rsid w:val="00736921"/>
    <w:rsid w:val="007369A9"/>
    <w:rsid w:val="00740A97"/>
    <w:rsid w:val="00740FD1"/>
    <w:rsid w:val="00741279"/>
    <w:rsid w:val="0074130A"/>
    <w:rsid w:val="00741382"/>
    <w:rsid w:val="0074175F"/>
    <w:rsid w:val="007421BE"/>
    <w:rsid w:val="0074221D"/>
    <w:rsid w:val="00742374"/>
    <w:rsid w:val="00743995"/>
    <w:rsid w:val="007449BF"/>
    <w:rsid w:val="007463FE"/>
    <w:rsid w:val="00746A0E"/>
    <w:rsid w:val="00746BC0"/>
    <w:rsid w:val="00747702"/>
    <w:rsid w:val="00747A62"/>
    <w:rsid w:val="00750703"/>
    <w:rsid w:val="00750B9A"/>
    <w:rsid w:val="00750F79"/>
    <w:rsid w:val="007510B4"/>
    <w:rsid w:val="0075157C"/>
    <w:rsid w:val="00751DFC"/>
    <w:rsid w:val="00751FC0"/>
    <w:rsid w:val="00752142"/>
    <w:rsid w:val="007523F9"/>
    <w:rsid w:val="007526BF"/>
    <w:rsid w:val="00752A9E"/>
    <w:rsid w:val="00752ACB"/>
    <w:rsid w:val="00752C21"/>
    <w:rsid w:val="00752F06"/>
    <w:rsid w:val="007534E3"/>
    <w:rsid w:val="0075357E"/>
    <w:rsid w:val="0075396F"/>
    <w:rsid w:val="00753B29"/>
    <w:rsid w:val="007547BA"/>
    <w:rsid w:val="007547C3"/>
    <w:rsid w:val="00754BD1"/>
    <w:rsid w:val="00755CFA"/>
    <w:rsid w:val="00755EDC"/>
    <w:rsid w:val="007560ED"/>
    <w:rsid w:val="007561A9"/>
    <w:rsid w:val="007564CE"/>
    <w:rsid w:val="00756CC2"/>
    <w:rsid w:val="007573E8"/>
    <w:rsid w:val="00757628"/>
    <w:rsid w:val="00757C9C"/>
    <w:rsid w:val="007606CB"/>
    <w:rsid w:val="00760B78"/>
    <w:rsid w:val="00760C4E"/>
    <w:rsid w:val="00760F9E"/>
    <w:rsid w:val="007614A3"/>
    <w:rsid w:val="007616E6"/>
    <w:rsid w:val="00761AF6"/>
    <w:rsid w:val="00761BC5"/>
    <w:rsid w:val="00761FCA"/>
    <w:rsid w:val="007621EB"/>
    <w:rsid w:val="007627BE"/>
    <w:rsid w:val="00762915"/>
    <w:rsid w:val="007629C9"/>
    <w:rsid w:val="00762A96"/>
    <w:rsid w:val="007645C5"/>
    <w:rsid w:val="0076465B"/>
    <w:rsid w:val="00764E46"/>
    <w:rsid w:val="00764F03"/>
    <w:rsid w:val="007650E6"/>
    <w:rsid w:val="00765195"/>
    <w:rsid w:val="00765B1A"/>
    <w:rsid w:val="00765B70"/>
    <w:rsid w:val="00765DC1"/>
    <w:rsid w:val="00765E55"/>
    <w:rsid w:val="007664BF"/>
    <w:rsid w:val="00766B8E"/>
    <w:rsid w:val="0076717E"/>
    <w:rsid w:val="007673A2"/>
    <w:rsid w:val="00770BA5"/>
    <w:rsid w:val="0077126B"/>
    <w:rsid w:val="007716B9"/>
    <w:rsid w:val="00771AF0"/>
    <w:rsid w:val="00772321"/>
    <w:rsid w:val="0077239B"/>
    <w:rsid w:val="007728D6"/>
    <w:rsid w:val="00772E83"/>
    <w:rsid w:val="0077414A"/>
    <w:rsid w:val="007742F3"/>
    <w:rsid w:val="00774579"/>
    <w:rsid w:val="00774600"/>
    <w:rsid w:val="00774796"/>
    <w:rsid w:val="007750A6"/>
    <w:rsid w:val="00775550"/>
    <w:rsid w:val="0077555E"/>
    <w:rsid w:val="007766E5"/>
    <w:rsid w:val="00776700"/>
    <w:rsid w:val="00776A29"/>
    <w:rsid w:val="00776C74"/>
    <w:rsid w:val="007771A9"/>
    <w:rsid w:val="00777335"/>
    <w:rsid w:val="00777BA8"/>
    <w:rsid w:val="00777D3E"/>
    <w:rsid w:val="00777D8E"/>
    <w:rsid w:val="00781555"/>
    <w:rsid w:val="007821C7"/>
    <w:rsid w:val="007821EB"/>
    <w:rsid w:val="00783121"/>
    <w:rsid w:val="007837EB"/>
    <w:rsid w:val="0078391C"/>
    <w:rsid w:val="00784067"/>
    <w:rsid w:val="007843F2"/>
    <w:rsid w:val="007846FA"/>
    <w:rsid w:val="00784709"/>
    <w:rsid w:val="00784820"/>
    <w:rsid w:val="00784C3A"/>
    <w:rsid w:val="00785A9F"/>
    <w:rsid w:val="007868A2"/>
    <w:rsid w:val="00786C28"/>
    <w:rsid w:val="00786E3A"/>
    <w:rsid w:val="00787414"/>
    <w:rsid w:val="00787A08"/>
    <w:rsid w:val="007902DA"/>
    <w:rsid w:val="00790E4B"/>
    <w:rsid w:val="007912AB"/>
    <w:rsid w:val="007915AC"/>
    <w:rsid w:val="00791794"/>
    <w:rsid w:val="00791925"/>
    <w:rsid w:val="00791FB7"/>
    <w:rsid w:val="007921E3"/>
    <w:rsid w:val="007925DF"/>
    <w:rsid w:val="007927A8"/>
    <w:rsid w:val="00792972"/>
    <w:rsid w:val="0079334B"/>
    <w:rsid w:val="00793351"/>
    <w:rsid w:val="00793A26"/>
    <w:rsid w:val="0079404A"/>
    <w:rsid w:val="00794369"/>
    <w:rsid w:val="00794F11"/>
    <w:rsid w:val="00795A94"/>
    <w:rsid w:val="007960D5"/>
    <w:rsid w:val="0079713E"/>
    <w:rsid w:val="007973B1"/>
    <w:rsid w:val="00797E2A"/>
    <w:rsid w:val="007A04E9"/>
    <w:rsid w:val="007A08AA"/>
    <w:rsid w:val="007A0A12"/>
    <w:rsid w:val="007A132D"/>
    <w:rsid w:val="007A1345"/>
    <w:rsid w:val="007A27CB"/>
    <w:rsid w:val="007A2D8B"/>
    <w:rsid w:val="007A2DDB"/>
    <w:rsid w:val="007A3293"/>
    <w:rsid w:val="007A446B"/>
    <w:rsid w:val="007A4ADB"/>
    <w:rsid w:val="007A4FFA"/>
    <w:rsid w:val="007A5CAE"/>
    <w:rsid w:val="007A5F9B"/>
    <w:rsid w:val="007A5FA3"/>
    <w:rsid w:val="007A6D23"/>
    <w:rsid w:val="007A70BA"/>
    <w:rsid w:val="007A70C2"/>
    <w:rsid w:val="007A776C"/>
    <w:rsid w:val="007B0D68"/>
    <w:rsid w:val="007B1185"/>
    <w:rsid w:val="007B251D"/>
    <w:rsid w:val="007B2BD3"/>
    <w:rsid w:val="007B2CE4"/>
    <w:rsid w:val="007B326F"/>
    <w:rsid w:val="007B3533"/>
    <w:rsid w:val="007B3F7A"/>
    <w:rsid w:val="007B4F58"/>
    <w:rsid w:val="007B528D"/>
    <w:rsid w:val="007B55AF"/>
    <w:rsid w:val="007B5A49"/>
    <w:rsid w:val="007B60CD"/>
    <w:rsid w:val="007B63CA"/>
    <w:rsid w:val="007B7626"/>
    <w:rsid w:val="007B77D1"/>
    <w:rsid w:val="007B7C8F"/>
    <w:rsid w:val="007B7C9B"/>
    <w:rsid w:val="007C0657"/>
    <w:rsid w:val="007C07C7"/>
    <w:rsid w:val="007C133C"/>
    <w:rsid w:val="007C1C3B"/>
    <w:rsid w:val="007C1CD9"/>
    <w:rsid w:val="007C1D91"/>
    <w:rsid w:val="007C32EF"/>
    <w:rsid w:val="007C3602"/>
    <w:rsid w:val="007C361D"/>
    <w:rsid w:val="007C45E7"/>
    <w:rsid w:val="007C4B84"/>
    <w:rsid w:val="007C4C91"/>
    <w:rsid w:val="007C533D"/>
    <w:rsid w:val="007C5686"/>
    <w:rsid w:val="007C70FF"/>
    <w:rsid w:val="007C7318"/>
    <w:rsid w:val="007C77B5"/>
    <w:rsid w:val="007C783C"/>
    <w:rsid w:val="007C7C25"/>
    <w:rsid w:val="007D004F"/>
    <w:rsid w:val="007D0291"/>
    <w:rsid w:val="007D0330"/>
    <w:rsid w:val="007D035F"/>
    <w:rsid w:val="007D06B2"/>
    <w:rsid w:val="007D0B38"/>
    <w:rsid w:val="007D0B62"/>
    <w:rsid w:val="007D0E7B"/>
    <w:rsid w:val="007D1712"/>
    <w:rsid w:val="007D20D5"/>
    <w:rsid w:val="007D28A1"/>
    <w:rsid w:val="007D2F19"/>
    <w:rsid w:val="007D2F40"/>
    <w:rsid w:val="007D3D0E"/>
    <w:rsid w:val="007D4F81"/>
    <w:rsid w:val="007D4FE8"/>
    <w:rsid w:val="007D5440"/>
    <w:rsid w:val="007D649B"/>
    <w:rsid w:val="007D69EB"/>
    <w:rsid w:val="007E098E"/>
    <w:rsid w:val="007E0AB5"/>
    <w:rsid w:val="007E0CC5"/>
    <w:rsid w:val="007E128F"/>
    <w:rsid w:val="007E1469"/>
    <w:rsid w:val="007E1B73"/>
    <w:rsid w:val="007E2C57"/>
    <w:rsid w:val="007E3023"/>
    <w:rsid w:val="007E3589"/>
    <w:rsid w:val="007E374D"/>
    <w:rsid w:val="007E3872"/>
    <w:rsid w:val="007E41E0"/>
    <w:rsid w:val="007E4708"/>
    <w:rsid w:val="007E508D"/>
    <w:rsid w:val="007E5372"/>
    <w:rsid w:val="007E638B"/>
    <w:rsid w:val="007E6C21"/>
    <w:rsid w:val="007F1017"/>
    <w:rsid w:val="007F1539"/>
    <w:rsid w:val="007F2D3D"/>
    <w:rsid w:val="007F38BF"/>
    <w:rsid w:val="007F3BAC"/>
    <w:rsid w:val="007F3D08"/>
    <w:rsid w:val="007F4134"/>
    <w:rsid w:val="007F472A"/>
    <w:rsid w:val="007F472E"/>
    <w:rsid w:val="007F4A3F"/>
    <w:rsid w:val="007F4A61"/>
    <w:rsid w:val="007F5255"/>
    <w:rsid w:val="007F56CC"/>
    <w:rsid w:val="007F61C2"/>
    <w:rsid w:val="007F669B"/>
    <w:rsid w:val="007F70D7"/>
    <w:rsid w:val="007F73C9"/>
    <w:rsid w:val="007F790D"/>
    <w:rsid w:val="00800C66"/>
    <w:rsid w:val="0080103B"/>
    <w:rsid w:val="00801B85"/>
    <w:rsid w:val="00801E68"/>
    <w:rsid w:val="00802AAC"/>
    <w:rsid w:val="00803018"/>
    <w:rsid w:val="00803163"/>
    <w:rsid w:val="00803686"/>
    <w:rsid w:val="00805142"/>
    <w:rsid w:val="00805366"/>
    <w:rsid w:val="0080566B"/>
    <w:rsid w:val="008057C0"/>
    <w:rsid w:val="00805F65"/>
    <w:rsid w:val="00805FCE"/>
    <w:rsid w:val="00806090"/>
    <w:rsid w:val="00807A8B"/>
    <w:rsid w:val="00811235"/>
    <w:rsid w:val="00811383"/>
    <w:rsid w:val="00812149"/>
    <w:rsid w:val="00812253"/>
    <w:rsid w:val="00812811"/>
    <w:rsid w:val="008129C6"/>
    <w:rsid w:val="00812CAC"/>
    <w:rsid w:val="00813B48"/>
    <w:rsid w:val="00813D85"/>
    <w:rsid w:val="00814533"/>
    <w:rsid w:val="00815211"/>
    <w:rsid w:val="00815433"/>
    <w:rsid w:val="00816361"/>
    <w:rsid w:val="008166EF"/>
    <w:rsid w:val="00816A23"/>
    <w:rsid w:val="00816D92"/>
    <w:rsid w:val="00816F68"/>
    <w:rsid w:val="00816FEF"/>
    <w:rsid w:val="00817455"/>
    <w:rsid w:val="0081781E"/>
    <w:rsid w:val="00817850"/>
    <w:rsid w:val="00817C8F"/>
    <w:rsid w:val="00820A8C"/>
    <w:rsid w:val="008215FB"/>
    <w:rsid w:val="00821B5D"/>
    <w:rsid w:val="008220CC"/>
    <w:rsid w:val="008221F1"/>
    <w:rsid w:val="0082240C"/>
    <w:rsid w:val="00823174"/>
    <w:rsid w:val="0082405C"/>
    <w:rsid w:val="00825751"/>
    <w:rsid w:val="00825F7E"/>
    <w:rsid w:val="008264EB"/>
    <w:rsid w:val="008266AB"/>
    <w:rsid w:val="008268CE"/>
    <w:rsid w:val="00826D83"/>
    <w:rsid w:val="00827C23"/>
    <w:rsid w:val="00827F21"/>
    <w:rsid w:val="00830666"/>
    <w:rsid w:val="00830B5F"/>
    <w:rsid w:val="00830E35"/>
    <w:rsid w:val="008327C0"/>
    <w:rsid w:val="0083337A"/>
    <w:rsid w:val="00833B05"/>
    <w:rsid w:val="00833F7B"/>
    <w:rsid w:val="0083587A"/>
    <w:rsid w:val="008362B4"/>
    <w:rsid w:val="0083693F"/>
    <w:rsid w:val="00836E17"/>
    <w:rsid w:val="00840381"/>
    <w:rsid w:val="00840705"/>
    <w:rsid w:val="008407F4"/>
    <w:rsid w:val="008408AC"/>
    <w:rsid w:val="00840948"/>
    <w:rsid w:val="00840AD5"/>
    <w:rsid w:val="00840CA2"/>
    <w:rsid w:val="00840E50"/>
    <w:rsid w:val="0084119F"/>
    <w:rsid w:val="00841B7A"/>
    <w:rsid w:val="00841E87"/>
    <w:rsid w:val="00842037"/>
    <w:rsid w:val="0084207F"/>
    <w:rsid w:val="008425ED"/>
    <w:rsid w:val="008428F7"/>
    <w:rsid w:val="00842AD8"/>
    <w:rsid w:val="00842CD4"/>
    <w:rsid w:val="00842CE3"/>
    <w:rsid w:val="00843141"/>
    <w:rsid w:val="00843359"/>
    <w:rsid w:val="0084374F"/>
    <w:rsid w:val="00843AAF"/>
    <w:rsid w:val="00844A22"/>
    <w:rsid w:val="008453B8"/>
    <w:rsid w:val="00845668"/>
    <w:rsid w:val="00845C4D"/>
    <w:rsid w:val="00845FAC"/>
    <w:rsid w:val="00846384"/>
    <w:rsid w:val="00847703"/>
    <w:rsid w:val="00847D25"/>
    <w:rsid w:val="00847D46"/>
    <w:rsid w:val="00847DF5"/>
    <w:rsid w:val="008511C1"/>
    <w:rsid w:val="00852B1C"/>
    <w:rsid w:val="00852CA2"/>
    <w:rsid w:val="0085309D"/>
    <w:rsid w:val="008536C1"/>
    <w:rsid w:val="00853FF7"/>
    <w:rsid w:val="008545A0"/>
    <w:rsid w:val="00855285"/>
    <w:rsid w:val="008560D4"/>
    <w:rsid w:val="008567AF"/>
    <w:rsid w:val="00856897"/>
    <w:rsid w:val="00856E9A"/>
    <w:rsid w:val="008572E6"/>
    <w:rsid w:val="008576EE"/>
    <w:rsid w:val="008601CC"/>
    <w:rsid w:val="0086060B"/>
    <w:rsid w:val="0086075D"/>
    <w:rsid w:val="00861064"/>
    <w:rsid w:val="008614E3"/>
    <w:rsid w:val="00861BB6"/>
    <w:rsid w:val="00861ECF"/>
    <w:rsid w:val="00862218"/>
    <w:rsid w:val="00862434"/>
    <w:rsid w:val="00862502"/>
    <w:rsid w:val="008628F1"/>
    <w:rsid w:val="00862A5C"/>
    <w:rsid w:val="00862CC1"/>
    <w:rsid w:val="00862F57"/>
    <w:rsid w:val="008632C0"/>
    <w:rsid w:val="00863900"/>
    <w:rsid w:val="00863C15"/>
    <w:rsid w:val="008642A7"/>
    <w:rsid w:val="0086448A"/>
    <w:rsid w:val="0086556A"/>
    <w:rsid w:val="00865890"/>
    <w:rsid w:val="00865A22"/>
    <w:rsid w:val="008660D4"/>
    <w:rsid w:val="0086633D"/>
    <w:rsid w:val="008677F6"/>
    <w:rsid w:val="00867E5A"/>
    <w:rsid w:val="00870326"/>
    <w:rsid w:val="00870A83"/>
    <w:rsid w:val="008710CB"/>
    <w:rsid w:val="00871FA9"/>
    <w:rsid w:val="0087212E"/>
    <w:rsid w:val="008728E9"/>
    <w:rsid w:val="00872B1E"/>
    <w:rsid w:val="00873482"/>
    <w:rsid w:val="008739AE"/>
    <w:rsid w:val="00875908"/>
    <w:rsid w:val="00875CED"/>
    <w:rsid w:val="00876DAF"/>
    <w:rsid w:val="008801ED"/>
    <w:rsid w:val="00880317"/>
    <w:rsid w:val="00880A0B"/>
    <w:rsid w:val="00880D42"/>
    <w:rsid w:val="00881C26"/>
    <w:rsid w:val="00881F94"/>
    <w:rsid w:val="00882245"/>
    <w:rsid w:val="0088266D"/>
    <w:rsid w:val="00882874"/>
    <w:rsid w:val="00882BA4"/>
    <w:rsid w:val="00882E3C"/>
    <w:rsid w:val="00882EB4"/>
    <w:rsid w:val="0088308A"/>
    <w:rsid w:val="0088374E"/>
    <w:rsid w:val="00883787"/>
    <w:rsid w:val="0088406C"/>
    <w:rsid w:val="0088409D"/>
    <w:rsid w:val="008855E4"/>
    <w:rsid w:val="008866BA"/>
    <w:rsid w:val="00886CD2"/>
    <w:rsid w:val="0089170B"/>
    <w:rsid w:val="008917E2"/>
    <w:rsid w:val="00891E6F"/>
    <w:rsid w:val="0089275D"/>
    <w:rsid w:val="00892A36"/>
    <w:rsid w:val="00892FBE"/>
    <w:rsid w:val="00893217"/>
    <w:rsid w:val="00893239"/>
    <w:rsid w:val="00893301"/>
    <w:rsid w:val="008938E4"/>
    <w:rsid w:val="0089420E"/>
    <w:rsid w:val="00894489"/>
    <w:rsid w:val="00894CD6"/>
    <w:rsid w:val="00895264"/>
    <w:rsid w:val="00895AAB"/>
    <w:rsid w:val="00895E4E"/>
    <w:rsid w:val="008962C3"/>
    <w:rsid w:val="0089631A"/>
    <w:rsid w:val="008963A5"/>
    <w:rsid w:val="0089649B"/>
    <w:rsid w:val="00896708"/>
    <w:rsid w:val="00896D5A"/>
    <w:rsid w:val="00896D5D"/>
    <w:rsid w:val="008978FD"/>
    <w:rsid w:val="00897BF6"/>
    <w:rsid w:val="008A034C"/>
    <w:rsid w:val="008A07EF"/>
    <w:rsid w:val="008A1828"/>
    <w:rsid w:val="008A1A8D"/>
    <w:rsid w:val="008A1BFB"/>
    <w:rsid w:val="008A2907"/>
    <w:rsid w:val="008A2B70"/>
    <w:rsid w:val="008A2D6C"/>
    <w:rsid w:val="008A2E38"/>
    <w:rsid w:val="008A3158"/>
    <w:rsid w:val="008A3363"/>
    <w:rsid w:val="008A3371"/>
    <w:rsid w:val="008A3374"/>
    <w:rsid w:val="008A33B5"/>
    <w:rsid w:val="008A36F0"/>
    <w:rsid w:val="008A3C3E"/>
    <w:rsid w:val="008A4431"/>
    <w:rsid w:val="008A49B7"/>
    <w:rsid w:val="008A4ACD"/>
    <w:rsid w:val="008A4EC2"/>
    <w:rsid w:val="008A57E3"/>
    <w:rsid w:val="008A66FA"/>
    <w:rsid w:val="008A79DE"/>
    <w:rsid w:val="008A7F14"/>
    <w:rsid w:val="008B05C4"/>
    <w:rsid w:val="008B15AC"/>
    <w:rsid w:val="008B1757"/>
    <w:rsid w:val="008B1C33"/>
    <w:rsid w:val="008B29CB"/>
    <w:rsid w:val="008B2B14"/>
    <w:rsid w:val="008B348D"/>
    <w:rsid w:val="008B3DE6"/>
    <w:rsid w:val="008B3FA1"/>
    <w:rsid w:val="008B4AF6"/>
    <w:rsid w:val="008B4B6F"/>
    <w:rsid w:val="008B5297"/>
    <w:rsid w:val="008B5B54"/>
    <w:rsid w:val="008B6FD8"/>
    <w:rsid w:val="008B77B6"/>
    <w:rsid w:val="008B7980"/>
    <w:rsid w:val="008B7992"/>
    <w:rsid w:val="008B7D7E"/>
    <w:rsid w:val="008B7F3D"/>
    <w:rsid w:val="008C0AAC"/>
    <w:rsid w:val="008C0ABD"/>
    <w:rsid w:val="008C0BEF"/>
    <w:rsid w:val="008C0C04"/>
    <w:rsid w:val="008C165F"/>
    <w:rsid w:val="008C18A7"/>
    <w:rsid w:val="008C21C9"/>
    <w:rsid w:val="008C26D5"/>
    <w:rsid w:val="008C2E14"/>
    <w:rsid w:val="008C3621"/>
    <w:rsid w:val="008C3C6D"/>
    <w:rsid w:val="008C42DB"/>
    <w:rsid w:val="008C45CA"/>
    <w:rsid w:val="008C5610"/>
    <w:rsid w:val="008C56DB"/>
    <w:rsid w:val="008C5739"/>
    <w:rsid w:val="008C5CFA"/>
    <w:rsid w:val="008C67F7"/>
    <w:rsid w:val="008C68B0"/>
    <w:rsid w:val="008C6912"/>
    <w:rsid w:val="008C6ACE"/>
    <w:rsid w:val="008C702A"/>
    <w:rsid w:val="008C71B6"/>
    <w:rsid w:val="008C7282"/>
    <w:rsid w:val="008C7ECB"/>
    <w:rsid w:val="008D0CAF"/>
    <w:rsid w:val="008D1034"/>
    <w:rsid w:val="008D1088"/>
    <w:rsid w:val="008D122E"/>
    <w:rsid w:val="008D1847"/>
    <w:rsid w:val="008D1A2A"/>
    <w:rsid w:val="008D2180"/>
    <w:rsid w:val="008D247A"/>
    <w:rsid w:val="008D2E44"/>
    <w:rsid w:val="008D3B86"/>
    <w:rsid w:val="008D43FD"/>
    <w:rsid w:val="008D4755"/>
    <w:rsid w:val="008D4C3D"/>
    <w:rsid w:val="008D52A5"/>
    <w:rsid w:val="008D52D2"/>
    <w:rsid w:val="008D5F02"/>
    <w:rsid w:val="008D6104"/>
    <w:rsid w:val="008D66D3"/>
    <w:rsid w:val="008D6CA2"/>
    <w:rsid w:val="008D72C3"/>
    <w:rsid w:val="008D743C"/>
    <w:rsid w:val="008D74E3"/>
    <w:rsid w:val="008D7D25"/>
    <w:rsid w:val="008D7DED"/>
    <w:rsid w:val="008E05E8"/>
    <w:rsid w:val="008E0B12"/>
    <w:rsid w:val="008E0B3F"/>
    <w:rsid w:val="008E0D3C"/>
    <w:rsid w:val="008E1803"/>
    <w:rsid w:val="008E1B9E"/>
    <w:rsid w:val="008E2F0E"/>
    <w:rsid w:val="008E3453"/>
    <w:rsid w:val="008E3CC5"/>
    <w:rsid w:val="008E4132"/>
    <w:rsid w:val="008E527C"/>
    <w:rsid w:val="008E55AB"/>
    <w:rsid w:val="008E580A"/>
    <w:rsid w:val="008E68C1"/>
    <w:rsid w:val="008E7404"/>
    <w:rsid w:val="008F0184"/>
    <w:rsid w:val="008F03D8"/>
    <w:rsid w:val="008F0A0D"/>
    <w:rsid w:val="008F120A"/>
    <w:rsid w:val="008F1474"/>
    <w:rsid w:val="008F27E0"/>
    <w:rsid w:val="008F2B2D"/>
    <w:rsid w:val="008F3626"/>
    <w:rsid w:val="008F380B"/>
    <w:rsid w:val="008F430F"/>
    <w:rsid w:val="008F48EB"/>
    <w:rsid w:val="008F4915"/>
    <w:rsid w:val="008F4F0B"/>
    <w:rsid w:val="008F539B"/>
    <w:rsid w:val="008F5477"/>
    <w:rsid w:val="008F551B"/>
    <w:rsid w:val="008F63A6"/>
    <w:rsid w:val="008F71BD"/>
    <w:rsid w:val="009004E4"/>
    <w:rsid w:val="009009A6"/>
    <w:rsid w:val="00900A8A"/>
    <w:rsid w:val="00900DEE"/>
    <w:rsid w:val="0090184B"/>
    <w:rsid w:val="0090247F"/>
    <w:rsid w:val="0090276D"/>
    <w:rsid w:val="00902D5D"/>
    <w:rsid w:val="009046C4"/>
    <w:rsid w:val="00904912"/>
    <w:rsid w:val="0090492C"/>
    <w:rsid w:val="00904EA3"/>
    <w:rsid w:val="00904F9B"/>
    <w:rsid w:val="00905603"/>
    <w:rsid w:val="00905BEC"/>
    <w:rsid w:val="00906132"/>
    <w:rsid w:val="009062A5"/>
    <w:rsid w:val="00906517"/>
    <w:rsid w:val="009066F4"/>
    <w:rsid w:val="00906EB6"/>
    <w:rsid w:val="00907449"/>
    <w:rsid w:val="00907699"/>
    <w:rsid w:val="00907A4E"/>
    <w:rsid w:val="00907BAB"/>
    <w:rsid w:val="00910FA7"/>
    <w:rsid w:val="00911272"/>
    <w:rsid w:val="00911339"/>
    <w:rsid w:val="00911364"/>
    <w:rsid w:val="009116DF"/>
    <w:rsid w:val="00911F43"/>
    <w:rsid w:val="00911F82"/>
    <w:rsid w:val="0091239D"/>
    <w:rsid w:val="009123A7"/>
    <w:rsid w:val="0091263C"/>
    <w:rsid w:val="00912D59"/>
    <w:rsid w:val="00912FA1"/>
    <w:rsid w:val="00913592"/>
    <w:rsid w:val="009135BA"/>
    <w:rsid w:val="009135D6"/>
    <w:rsid w:val="0091360A"/>
    <w:rsid w:val="009141F8"/>
    <w:rsid w:val="0091451D"/>
    <w:rsid w:val="00914854"/>
    <w:rsid w:val="00914923"/>
    <w:rsid w:val="00914B10"/>
    <w:rsid w:val="00914C77"/>
    <w:rsid w:val="00916270"/>
    <w:rsid w:val="009163C1"/>
    <w:rsid w:val="00916A75"/>
    <w:rsid w:val="00916A8E"/>
    <w:rsid w:val="009171B7"/>
    <w:rsid w:val="00917234"/>
    <w:rsid w:val="00920ABF"/>
    <w:rsid w:val="00920C86"/>
    <w:rsid w:val="00920F85"/>
    <w:rsid w:val="00921908"/>
    <w:rsid w:val="00921ACB"/>
    <w:rsid w:val="00921E53"/>
    <w:rsid w:val="0092202E"/>
    <w:rsid w:val="009222A5"/>
    <w:rsid w:val="00923058"/>
    <w:rsid w:val="009230BC"/>
    <w:rsid w:val="009231A2"/>
    <w:rsid w:val="00923530"/>
    <w:rsid w:val="0092369B"/>
    <w:rsid w:val="0092380A"/>
    <w:rsid w:val="00924186"/>
    <w:rsid w:val="009244DB"/>
    <w:rsid w:val="00924935"/>
    <w:rsid w:val="009258E4"/>
    <w:rsid w:val="00925FB7"/>
    <w:rsid w:val="00926146"/>
    <w:rsid w:val="00926C86"/>
    <w:rsid w:val="0092747E"/>
    <w:rsid w:val="00927A9B"/>
    <w:rsid w:val="00930737"/>
    <w:rsid w:val="00930CFB"/>
    <w:rsid w:val="009320FB"/>
    <w:rsid w:val="00932842"/>
    <w:rsid w:val="00933064"/>
    <w:rsid w:val="00934690"/>
    <w:rsid w:val="00934988"/>
    <w:rsid w:val="00934B40"/>
    <w:rsid w:val="009364F9"/>
    <w:rsid w:val="00937089"/>
    <w:rsid w:val="009372F3"/>
    <w:rsid w:val="00937436"/>
    <w:rsid w:val="0093771D"/>
    <w:rsid w:val="009378CB"/>
    <w:rsid w:val="009401AB"/>
    <w:rsid w:val="009417C6"/>
    <w:rsid w:val="00941BF6"/>
    <w:rsid w:val="009429D3"/>
    <w:rsid w:val="00942F82"/>
    <w:rsid w:val="00942FCC"/>
    <w:rsid w:val="00943413"/>
    <w:rsid w:val="00943C97"/>
    <w:rsid w:val="00943E21"/>
    <w:rsid w:val="0094444C"/>
    <w:rsid w:val="00944658"/>
    <w:rsid w:val="009446F1"/>
    <w:rsid w:val="0094489C"/>
    <w:rsid w:val="00944F8A"/>
    <w:rsid w:val="00945BDF"/>
    <w:rsid w:val="009465D8"/>
    <w:rsid w:val="00946CC0"/>
    <w:rsid w:val="0094781E"/>
    <w:rsid w:val="00947886"/>
    <w:rsid w:val="00950A39"/>
    <w:rsid w:val="009510A2"/>
    <w:rsid w:val="009510A3"/>
    <w:rsid w:val="009513DB"/>
    <w:rsid w:val="009516FB"/>
    <w:rsid w:val="00953257"/>
    <w:rsid w:val="0095394F"/>
    <w:rsid w:val="00953BEF"/>
    <w:rsid w:val="00954338"/>
    <w:rsid w:val="009544B6"/>
    <w:rsid w:val="0095474C"/>
    <w:rsid w:val="0095493A"/>
    <w:rsid w:val="00955444"/>
    <w:rsid w:val="009554B8"/>
    <w:rsid w:val="009559D4"/>
    <w:rsid w:val="00956070"/>
    <w:rsid w:val="00956825"/>
    <w:rsid w:val="00957D92"/>
    <w:rsid w:val="00962BAE"/>
    <w:rsid w:val="00962CB9"/>
    <w:rsid w:val="009637DC"/>
    <w:rsid w:val="00964312"/>
    <w:rsid w:val="0096438C"/>
    <w:rsid w:val="009644AB"/>
    <w:rsid w:val="009648B1"/>
    <w:rsid w:val="009649F5"/>
    <w:rsid w:val="00965810"/>
    <w:rsid w:val="00965B8A"/>
    <w:rsid w:val="00965C06"/>
    <w:rsid w:val="00966E92"/>
    <w:rsid w:val="009672E2"/>
    <w:rsid w:val="0096787A"/>
    <w:rsid w:val="00967CC5"/>
    <w:rsid w:val="00967EDB"/>
    <w:rsid w:val="009701E0"/>
    <w:rsid w:val="009702A8"/>
    <w:rsid w:val="0097041C"/>
    <w:rsid w:val="0097071F"/>
    <w:rsid w:val="00970EA9"/>
    <w:rsid w:val="00971241"/>
    <w:rsid w:val="009717AC"/>
    <w:rsid w:val="00971A77"/>
    <w:rsid w:val="009720BD"/>
    <w:rsid w:val="00972388"/>
    <w:rsid w:val="0097315C"/>
    <w:rsid w:val="009732E4"/>
    <w:rsid w:val="00974160"/>
    <w:rsid w:val="009751C1"/>
    <w:rsid w:val="0097588D"/>
    <w:rsid w:val="00976450"/>
    <w:rsid w:val="00977604"/>
    <w:rsid w:val="009776AC"/>
    <w:rsid w:val="00977FA4"/>
    <w:rsid w:val="00980716"/>
    <w:rsid w:val="009807D3"/>
    <w:rsid w:val="00980DC1"/>
    <w:rsid w:val="009811F1"/>
    <w:rsid w:val="009813A3"/>
    <w:rsid w:val="00981F48"/>
    <w:rsid w:val="009824D5"/>
    <w:rsid w:val="0098262F"/>
    <w:rsid w:val="00982F1B"/>
    <w:rsid w:val="00983668"/>
    <w:rsid w:val="00983B8D"/>
    <w:rsid w:val="00983E57"/>
    <w:rsid w:val="0098477E"/>
    <w:rsid w:val="00984EB4"/>
    <w:rsid w:val="00984F7E"/>
    <w:rsid w:val="0098541A"/>
    <w:rsid w:val="00985DE2"/>
    <w:rsid w:val="0098623E"/>
    <w:rsid w:val="009864FF"/>
    <w:rsid w:val="0098675D"/>
    <w:rsid w:val="00987861"/>
    <w:rsid w:val="00987BA4"/>
    <w:rsid w:val="0099108B"/>
    <w:rsid w:val="0099182E"/>
    <w:rsid w:val="00991A38"/>
    <w:rsid w:val="00991FA2"/>
    <w:rsid w:val="00991FF5"/>
    <w:rsid w:val="009926E0"/>
    <w:rsid w:val="00993029"/>
    <w:rsid w:val="00993414"/>
    <w:rsid w:val="009937A2"/>
    <w:rsid w:val="00993C47"/>
    <w:rsid w:val="00993E8E"/>
    <w:rsid w:val="009943DD"/>
    <w:rsid w:val="0099451E"/>
    <w:rsid w:val="00994C8A"/>
    <w:rsid w:val="00994E46"/>
    <w:rsid w:val="0099560F"/>
    <w:rsid w:val="00995F95"/>
    <w:rsid w:val="00996715"/>
    <w:rsid w:val="00996B1A"/>
    <w:rsid w:val="00996D2E"/>
    <w:rsid w:val="0099712A"/>
    <w:rsid w:val="00997337"/>
    <w:rsid w:val="00997886"/>
    <w:rsid w:val="00997A7E"/>
    <w:rsid w:val="00997AC4"/>
    <w:rsid w:val="00997E68"/>
    <w:rsid w:val="009A0F80"/>
    <w:rsid w:val="009A0FFB"/>
    <w:rsid w:val="009A18F6"/>
    <w:rsid w:val="009A1B83"/>
    <w:rsid w:val="009A2897"/>
    <w:rsid w:val="009A2DCC"/>
    <w:rsid w:val="009A469B"/>
    <w:rsid w:val="009A49A5"/>
    <w:rsid w:val="009A4ED6"/>
    <w:rsid w:val="009A5508"/>
    <w:rsid w:val="009A571B"/>
    <w:rsid w:val="009A5812"/>
    <w:rsid w:val="009A5ABC"/>
    <w:rsid w:val="009A5CE3"/>
    <w:rsid w:val="009A5E56"/>
    <w:rsid w:val="009A5F98"/>
    <w:rsid w:val="009A6086"/>
    <w:rsid w:val="009A7F10"/>
    <w:rsid w:val="009B0965"/>
    <w:rsid w:val="009B09D9"/>
    <w:rsid w:val="009B0B30"/>
    <w:rsid w:val="009B1999"/>
    <w:rsid w:val="009B1A2E"/>
    <w:rsid w:val="009B1A43"/>
    <w:rsid w:val="009B23F4"/>
    <w:rsid w:val="009B251D"/>
    <w:rsid w:val="009B26FC"/>
    <w:rsid w:val="009B3BA2"/>
    <w:rsid w:val="009B3E26"/>
    <w:rsid w:val="009B412C"/>
    <w:rsid w:val="009B4706"/>
    <w:rsid w:val="009B4967"/>
    <w:rsid w:val="009B4E2B"/>
    <w:rsid w:val="009B542B"/>
    <w:rsid w:val="009B5913"/>
    <w:rsid w:val="009B5E1B"/>
    <w:rsid w:val="009B604E"/>
    <w:rsid w:val="009B679B"/>
    <w:rsid w:val="009B6D79"/>
    <w:rsid w:val="009B7EDF"/>
    <w:rsid w:val="009C00D4"/>
    <w:rsid w:val="009C02BC"/>
    <w:rsid w:val="009C0493"/>
    <w:rsid w:val="009C1271"/>
    <w:rsid w:val="009C1A4A"/>
    <w:rsid w:val="009C22E8"/>
    <w:rsid w:val="009C28F1"/>
    <w:rsid w:val="009C315C"/>
    <w:rsid w:val="009C343C"/>
    <w:rsid w:val="009C3706"/>
    <w:rsid w:val="009C388B"/>
    <w:rsid w:val="009C3A3A"/>
    <w:rsid w:val="009C3A44"/>
    <w:rsid w:val="009C3E36"/>
    <w:rsid w:val="009C426B"/>
    <w:rsid w:val="009C4488"/>
    <w:rsid w:val="009C45BC"/>
    <w:rsid w:val="009C471F"/>
    <w:rsid w:val="009C4A40"/>
    <w:rsid w:val="009C4DF5"/>
    <w:rsid w:val="009C5EC7"/>
    <w:rsid w:val="009C6425"/>
    <w:rsid w:val="009C667D"/>
    <w:rsid w:val="009C6CEA"/>
    <w:rsid w:val="009C7B85"/>
    <w:rsid w:val="009C7BF1"/>
    <w:rsid w:val="009D0254"/>
    <w:rsid w:val="009D0FD2"/>
    <w:rsid w:val="009D1736"/>
    <w:rsid w:val="009D1A64"/>
    <w:rsid w:val="009D3577"/>
    <w:rsid w:val="009D4696"/>
    <w:rsid w:val="009D4C05"/>
    <w:rsid w:val="009D5B91"/>
    <w:rsid w:val="009D5F39"/>
    <w:rsid w:val="009D61AF"/>
    <w:rsid w:val="009D6692"/>
    <w:rsid w:val="009D7394"/>
    <w:rsid w:val="009D744B"/>
    <w:rsid w:val="009D792E"/>
    <w:rsid w:val="009D7B2D"/>
    <w:rsid w:val="009D7EC9"/>
    <w:rsid w:val="009E06B1"/>
    <w:rsid w:val="009E0D00"/>
    <w:rsid w:val="009E0DFE"/>
    <w:rsid w:val="009E133F"/>
    <w:rsid w:val="009E1692"/>
    <w:rsid w:val="009E191B"/>
    <w:rsid w:val="009E22B6"/>
    <w:rsid w:val="009E2D90"/>
    <w:rsid w:val="009E31F6"/>
    <w:rsid w:val="009E35EA"/>
    <w:rsid w:val="009E3901"/>
    <w:rsid w:val="009E3DA9"/>
    <w:rsid w:val="009E4126"/>
    <w:rsid w:val="009E4B59"/>
    <w:rsid w:val="009E4BCE"/>
    <w:rsid w:val="009E4C07"/>
    <w:rsid w:val="009E545A"/>
    <w:rsid w:val="009E5C08"/>
    <w:rsid w:val="009E61A8"/>
    <w:rsid w:val="009E671D"/>
    <w:rsid w:val="009E6B2B"/>
    <w:rsid w:val="009E7321"/>
    <w:rsid w:val="009E777F"/>
    <w:rsid w:val="009F0C0A"/>
    <w:rsid w:val="009F1BCA"/>
    <w:rsid w:val="009F26A6"/>
    <w:rsid w:val="009F3A52"/>
    <w:rsid w:val="009F403C"/>
    <w:rsid w:val="009F458D"/>
    <w:rsid w:val="009F4811"/>
    <w:rsid w:val="009F490C"/>
    <w:rsid w:val="009F6120"/>
    <w:rsid w:val="009F64C8"/>
    <w:rsid w:val="00A00082"/>
    <w:rsid w:val="00A00A94"/>
    <w:rsid w:val="00A00CE7"/>
    <w:rsid w:val="00A00D76"/>
    <w:rsid w:val="00A01184"/>
    <w:rsid w:val="00A01449"/>
    <w:rsid w:val="00A01F95"/>
    <w:rsid w:val="00A02186"/>
    <w:rsid w:val="00A02248"/>
    <w:rsid w:val="00A024EA"/>
    <w:rsid w:val="00A02D3F"/>
    <w:rsid w:val="00A03146"/>
    <w:rsid w:val="00A033DD"/>
    <w:rsid w:val="00A037C2"/>
    <w:rsid w:val="00A03D43"/>
    <w:rsid w:val="00A04380"/>
    <w:rsid w:val="00A046E6"/>
    <w:rsid w:val="00A04786"/>
    <w:rsid w:val="00A05472"/>
    <w:rsid w:val="00A05C32"/>
    <w:rsid w:val="00A05D15"/>
    <w:rsid w:val="00A0653F"/>
    <w:rsid w:val="00A066F1"/>
    <w:rsid w:val="00A06D72"/>
    <w:rsid w:val="00A06EFC"/>
    <w:rsid w:val="00A0788D"/>
    <w:rsid w:val="00A07FD9"/>
    <w:rsid w:val="00A102DA"/>
    <w:rsid w:val="00A105AB"/>
    <w:rsid w:val="00A10C84"/>
    <w:rsid w:val="00A11166"/>
    <w:rsid w:val="00A112AA"/>
    <w:rsid w:val="00A11BE5"/>
    <w:rsid w:val="00A11CD0"/>
    <w:rsid w:val="00A11D78"/>
    <w:rsid w:val="00A12255"/>
    <w:rsid w:val="00A13899"/>
    <w:rsid w:val="00A13948"/>
    <w:rsid w:val="00A13B2D"/>
    <w:rsid w:val="00A1447F"/>
    <w:rsid w:val="00A1555B"/>
    <w:rsid w:val="00A155C5"/>
    <w:rsid w:val="00A16990"/>
    <w:rsid w:val="00A16AD8"/>
    <w:rsid w:val="00A16F69"/>
    <w:rsid w:val="00A1700F"/>
    <w:rsid w:val="00A1737F"/>
    <w:rsid w:val="00A1788D"/>
    <w:rsid w:val="00A17AA4"/>
    <w:rsid w:val="00A2021E"/>
    <w:rsid w:val="00A20A32"/>
    <w:rsid w:val="00A20EF5"/>
    <w:rsid w:val="00A20FDB"/>
    <w:rsid w:val="00A214A3"/>
    <w:rsid w:val="00A21BE8"/>
    <w:rsid w:val="00A21C95"/>
    <w:rsid w:val="00A21CF3"/>
    <w:rsid w:val="00A22726"/>
    <w:rsid w:val="00A22A62"/>
    <w:rsid w:val="00A231D6"/>
    <w:rsid w:val="00A23295"/>
    <w:rsid w:val="00A24207"/>
    <w:rsid w:val="00A247DF"/>
    <w:rsid w:val="00A24813"/>
    <w:rsid w:val="00A24826"/>
    <w:rsid w:val="00A249F5"/>
    <w:rsid w:val="00A24A7D"/>
    <w:rsid w:val="00A25645"/>
    <w:rsid w:val="00A25AFE"/>
    <w:rsid w:val="00A261E3"/>
    <w:rsid w:val="00A26537"/>
    <w:rsid w:val="00A2666F"/>
    <w:rsid w:val="00A27021"/>
    <w:rsid w:val="00A27527"/>
    <w:rsid w:val="00A2753F"/>
    <w:rsid w:val="00A27AEC"/>
    <w:rsid w:val="00A304A2"/>
    <w:rsid w:val="00A30B71"/>
    <w:rsid w:val="00A3197A"/>
    <w:rsid w:val="00A3209F"/>
    <w:rsid w:val="00A320DB"/>
    <w:rsid w:val="00A325F6"/>
    <w:rsid w:val="00A348E5"/>
    <w:rsid w:val="00A3498A"/>
    <w:rsid w:val="00A34FA2"/>
    <w:rsid w:val="00A356E7"/>
    <w:rsid w:val="00A35A9D"/>
    <w:rsid w:val="00A35C4B"/>
    <w:rsid w:val="00A35D16"/>
    <w:rsid w:val="00A35D7B"/>
    <w:rsid w:val="00A37026"/>
    <w:rsid w:val="00A374AE"/>
    <w:rsid w:val="00A37BCD"/>
    <w:rsid w:val="00A4086E"/>
    <w:rsid w:val="00A41689"/>
    <w:rsid w:val="00A4200C"/>
    <w:rsid w:val="00A42118"/>
    <w:rsid w:val="00A424AB"/>
    <w:rsid w:val="00A42592"/>
    <w:rsid w:val="00A43C59"/>
    <w:rsid w:val="00A44807"/>
    <w:rsid w:val="00A449C3"/>
    <w:rsid w:val="00A44B6C"/>
    <w:rsid w:val="00A44E78"/>
    <w:rsid w:val="00A46971"/>
    <w:rsid w:val="00A4776E"/>
    <w:rsid w:val="00A50087"/>
    <w:rsid w:val="00A50313"/>
    <w:rsid w:val="00A50ECD"/>
    <w:rsid w:val="00A50EE8"/>
    <w:rsid w:val="00A518F3"/>
    <w:rsid w:val="00A5194E"/>
    <w:rsid w:val="00A523DB"/>
    <w:rsid w:val="00A52699"/>
    <w:rsid w:val="00A52729"/>
    <w:rsid w:val="00A52C24"/>
    <w:rsid w:val="00A5348C"/>
    <w:rsid w:val="00A53675"/>
    <w:rsid w:val="00A53F34"/>
    <w:rsid w:val="00A54915"/>
    <w:rsid w:val="00A5518B"/>
    <w:rsid w:val="00A558E8"/>
    <w:rsid w:val="00A55F16"/>
    <w:rsid w:val="00A56068"/>
    <w:rsid w:val="00A564D7"/>
    <w:rsid w:val="00A56654"/>
    <w:rsid w:val="00A56B6A"/>
    <w:rsid w:val="00A56F5F"/>
    <w:rsid w:val="00A5705F"/>
    <w:rsid w:val="00A573B6"/>
    <w:rsid w:val="00A573F4"/>
    <w:rsid w:val="00A578DC"/>
    <w:rsid w:val="00A57D7F"/>
    <w:rsid w:val="00A57E1E"/>
    <w:rsid w:val="00A57ED6"/>
    <w:rsid w:val="00A615B7"/>
    <w:rsid w:val="00A61C96"/>
    <w:rsid w:val="00A61CA7"/>
    <w:rsid w:val="00A61E4A"/>
    <w:rsid w:val="00A6257A"/>
    <w:rsid w:val="00A63155"/>
    <w:rsid w:val="00A63F3F"/>
    <w:rsid w:val="00A640E2"/>
    <w:rsid w:val="00A646A6"/>
    <w:rsid w:val="00A649CB"/>
    <w:rsid w:val="00A64D65"/>
    <w:rsid w:val="00A64DE9"/>
    <w:rsid w:val="00A651F9"/>
    <w:rsid w:val="00A65ABE"/>
    <w:rsid w:val="00A66973"/>
    <w:rsid w:val="00A66B87"/>
    <w:rsid w:val="00A67240"/>
    <w:rsid w:val="00A6725B"/>
    <w:rsid w:val="00A67931"/>
    <w:rsid w:val="00A700EE"/>
    <w:rsid w:val="00A70233"/>
    <w:rsid w:val="00A703AF"/>
    <w:rsid w:val="00A70605"/>
    <w:rsid w:val="00A70BF1"/>
    <w:rsid w:val="00A70CC6"/>
    <w:rsid w:val="00A72253"/>
    <w:rsid w:val="00A7290D"/>
    <w:rsid w:val="00A72F42"/>
    <w:rsid w:val="00A73134"/>
    <w:rsid w:val="00A7365A"/>
    <w:rsid w:val="00A73B8A"/>
    <w:rsid w:val="00A740D1"/>
    <w:rsid w:val="00A75401"/>
    <w:rsid w:val="00A75749"/>
    <w:rsid w:val="00A75ED4"/>
    <w:rsid w:val="00A76001"/>
    <w:rsid w:val="00A76203"/>
    <w:rsid w:val="00A76899"/>
    <w:rsid w:val="00A768C5"/>
    <w:rsid w:val="00A7735F"/>
    <w:rsid w:val="00A777B2"/>
    <w:rsid w:val="00A800B3"/>
    <w:rsid w:val="00A80525"/>
    <w:rsid w:val="00A80AF1"/>
    <w:rsid w:val="00A80E41"/>
    <w:rsid w:val="00A81263"/>
    <w:rsid w:val="00A814AE"/>
    <w:rsid w:val="00A81549"/>
    <w:rsid w:val="00A8204A"/>
    <w:rsid w:val="00A825D4"/>
    <w:rsid w:val="00A828F6"/>
    <w:rsid w:val="00A82A22"/>
    <w:rsid w:val="00A82B73"/>
    <w:rsid w:val="00A835FC"/>
    <w:rsid w:val="00A84848"/>
    <w:rsid w:val="00A8489B"/>
    <w:rsid w:val="00A8636E"/>
    <w:rsid w:val="00A86D45"/>
    <w:rsid w:val="00A86E8B"/>
    <w:rsid w:val="00A87164"/>
    <w:rsid w:val="00A871A9"/>
    <w:rsid w:val="00A87E1E"/>
    <w:rsid w:val="00A9015F"/>
    <w:rsid w:val="00A9140B"/>
    <w:rsid w:val="00A91738"/>
    <w:rsid w:val="00A921EB"/>
    <w:rsid w:val="00A9270E"/>
    <w:rsid w:val="00A92C89"/>
    <w:rsid w:val="00A92D17"/>
    <w:rsid w:val="00A92EA0"/>
    <w:rsid w:val="00A93072"/>
    <w:rsid w:val="00A930AD"/>
    <w:rsid w:val="00A938BD"/>
    <w:rsid w:val="00A93953"/>
    <w:rsid w:val="00A9454F"/>
    <w:rsid w:val="00A959D8"/>
    <w:rsid w:val="00A95A51"/>
    <w:rsid w:val="00A95E73"/>
    <w:rsid w:val="00A9605C"/>
    <w:rsid w:val="00A961D9"/>
    <w:rsid w:val="00A96872"/>
    <w:rsid w:val="00A970BF"/>
    <w:rsid w:val="00AA01F3"/>
    <w:rsid w:val="00AA084D"/>
    <w:rsid w:val="00AA113D"/>
    <w:rsid w:val="00AA1C8E"/>
    <w:rsid w:val="00AA2B38"/>
    <w:rsid w:val="00AA3FDB"/>
    <w:rsid w:val="00AA4454"/>
    <w:rsid w:val="00AA6007"/>
    <w:rsid w:val="00AA69FC"/>
    <w:rsid w:val="00AA6BD5"/>
    <w:rsid w:val="00AA6BD8"/>
    <w:rsid w:val="00AA6C7D"/>
    <w:rsid w:val="00AA7600"/>
    <w:rsid w:val="00AA7DA5"/>
    <w:rsid w:val="00AA7FD6"/>
    <w:rsid w:val="00AB042A"/>
    <w:rsid w:val="00AB0CFC"/>
    <w:rsid w:val="00AB11AD"/>
    <w:rsid w:val="00AB1477"/>
    <w:rsid w:val="00AB19D0"/>
    <w:rsid w:val="00AB19EF"/>
    <w:rsid w:val="00AB1F8A"/>
    <w:rsid w:val="00AB2495"/>
    <w:rsid w:val="00AB2646"/>
    <w:rsid w:val="00AB2D34"/>
    <w:rsid w:val="00AB2E65"/>
    <w:rsid w:val="00AB3430"/>
    <w:rsid w:val="00AB350F"/>
    <w:rsid w:val="00AB37B9"/>
    <w:rsid w:val="00AB3B27"/>
    <w:rsid w:val="00AB40C8"/>
    <w:rsid w:val="00AB440D"/>
    <w:rsid w:val="00AB4AD1"/>
    <w:rsid w:val="00AB5BF2"/>
    <w:rsid w:val="00AB5D1B"/>
    <w:rsid w:val="00AB5E07"/>
    <w:rsid w:val="00AB607C"/>
    <w:rsid w:val="00AB702A"/>
    <w:rsid w:val="00AB71E5"/>
    <w:rsid w:val="00AB72F7"/>
    <w:rsid w:val="00AB7534"/>
    <w:rsid w:val="00AB772B"/>
    <w:rsid w:val="00AB7AA2"/>
    <w:rsid w:val="00AB7CFA"/>
    <w:rsid w:val="00AC05CD"/>
    <w:rsid w:val="00AC0741"/>
    <w:rsid w:val="00AC1553"/>
    <w:rsid w:val="00AC1696"/>
    <w:rsid w:val="00AC177A"/>
    <w:rsid w:val="00AC243B"/>
    <w:rsid w:val="00AC3B78"/>
    <w:rsid w:val="00AC43D9"/>
    <w:rsid w:val="00AC4CFD"/>
    <w:rsid w:val="00AC52FD"/>
    <w:rsid w:val="00AC59D5"/>
    <w:rsid w:val="00AC5B42"/>
    <w:rsid w:val="00AC5B48"/>
    <w:rsid w:val="00AC5FA8"/>
    <w:rsid w:val="00AC717C"/>
    <w:rsid w:val="00AD0ABF"/>
    <w:rsid w:val="00AD1450"/>
    <w:rsid w:val="00AD15E8"/>
    <w:rsid w:val="00AD356D"/>
    <w:rsid w:val="00AD3E6C"/>
    <w:rsid w:val="00AD3FA0"/>
    <w:rsid w:val="00AD48A3"/>
    <w:rsid w:val="00AD5248"/>
    <w:rsid w:val="00AD5623"/>
    <w:rsid w:val="00AD5A22"/>
    <w:rsid w:val="00AD5B8F"/>
    <w:rsid w:val="00AD5EC0"/>
    <w:rsid w:val="00AD61A3"/>
    <w:rsid w:val="00AD6502"/>
    <w:rsid w:val="00AD734D"/>
    <w:rsid w:val="00AE0695"/>
    <w:rsid w:val="00AE0D56"/>
    <w:rsid w:val="00AE131A"/>
    <w:rsid w:val="00AE1C8B"/>
    <w:rsid w:val="00AE34BC"/>
    <w:rsid w:val="00AE3E7E"/>
    <w:rsid w:val="00AE41B5"/>
    <w:rsid w:val="00AE4B57"/>
    <w:rsid w:val="00AE518B"/>
    <w:rsid w:val="00AE5419"/>
    <w:rsid w:val="00AE55AD"/>
    <w:rsid w:val="00AE56D9"/>
    <w:rsid w:val="00AE6D43"/>
    <w:rsid w:val="00AE7664"/>
    <w:rsid w:val="00AE7672"/>
    <w:rsid w:val="00AE7B7B"/>
    <w:rsid w:val="00AE7C35"/>
    <w:rsid w:val="00AE7DA0"/>
    <w:rsid w:val="00AE7E53"/>
    <w:rsid w:val="00AF0100"/>
    <w:rsid w:val="00AF02EB"/>
    <w:rsid w:val="00AF0330"/>
    <w:rsid w:val="00AF058E"/>
    <w:rsid w:val="00AF0D77"/>
    <w:rsid w:val="00AF12BA"/>
    <w:rsid w:val="00AF1315"/>
    <w:rsid w:val="00AF1340"/>
    <w:rsid w:val="00AF16F5"/>
    <w:rsid w:val="00AF18D6"/>
    <w:rsid w:val="00AF19BF"/>
    <w:rsid w:val="00AF251C"/>
    <w:rsid w:val="00AF2DC3"/>
    <w:rsid w:val="00AF32D9"/>
    <w:rsid w:val="00AF44B2"/>
    <w:rsid w:val="00AF4E0D"/>
    <w:rsid w:val="00AF4E49"/>
    <w:rsid w:val="00AF5244"/>
    <w:rsid w:val="00AF553A"/>
    <w:rsid w:val="00AF57E4"/>
    <w:rsid w:val="00AF5EF1"/>
    <w:rsid w:val="00AF60C3"/>
    <w:rsid w:val="00AF63B6"/>
    <w:rsid w:val="00AF644A"/>
    <w:rsid w:val="00AF68F3"/>
    <w:rsid w:val="00B00492"/>
    <w:rsid w:val="00B00525"/>
    <w:rsid w:val="00B00BCC"/>
    <w:rsid w:val="00B00CDF"/>
    <w:rsid w:val="00B01022"/>
    <w:rsid w:val="00B01A7C"/>
    <w:rsid w:val="00B01BB4"/>
    <w:rsid w:val="00B02616"/>
    <w:rsid w:val="00B033E5"/>
    <w:rsid w:val="00B03723"/>
    <w:rsid w:val="00B037A2"/>
    <w:rsid w:val="00B03A63"/>
    <w:rsid w:val="00B04033"/>
    <w:rsid w:val="00B041DB"/>
    <w:rsid w:val="00B0436B"/>
    <w:rsid w:val="00B045B8"/>
    <w:rsid w:val="00B047B7"/>
    <w:rsid w:val="00B04F77"/>
    <w:rsid w:val="00B05C12"/>
    <w:rsid w:val="00B0603A"/>
    <w:rsid w:val="00B06127"/>
    <w:rsid w:val="00B063C0"/>
    <w:rsid w:val="00B069A1"/>
    <w:rsid w:val="00B069B5"/>
    <w:rsid w:val="00B06B97"/>
    <w:rsid w:val="00B07E1B"/>
    <w:rsid w:val="00B100F5"/>
    <w:rsid w:val="00B10CC0"/>
    <w:rsid w:val="00B110EE"/>
    <w:rsid w:val="00B11A61"/>
    <w:rsid w:val="00B11BB0"/>
    <w:rsid w:val="00B11F24"/>
    <w:rsid w:val="00B121D2"/>
    <w:rsid w:val="00B1282B"/>
    <w:rsid w:val="00B129A4"/>
    <w:rsid w:val="00B12E18"/>
    <w:rsid w:val="00B13606"/>
    <w:rsid w:val="00B13A20"/>
    <w:rsid w:val="00B13C29"/>
    <w:rsid w:val="00B13E6B"/>
    <w:rsid w:val="00B13FCC"/>
    <w:rsid w:val="00B1411B"/>
    <w:rsid w:val="00B141D1"/>
    <w:rsid w:val="00B144BF"/>
    <w:rsid w:val="00B16AAA"/>
    <w:rsid w:val="00B17585"/>
    <w:rsid w:val="00B17D0C"/>
    <w:rsid w:val="00B17F18"/>
    <w:rsid w:val="00B201A4"/>
    <w:rsid w:val="00B201D1"/>
    <w:rsid w:val="00B206F5"/>
    <w:rsid w:val="00B207B2"/>
    <w:rsid w:val="00B209FE"/>
    <w:rsid w:val="00B20A13"/>
    <w:rsid w:val="00B20DD1"/>
    <w:rsid w:val="00B213A6"/>
    <w:rsid w:val="00B2183B"/>
    <w:rsid w:val="00B21DB6"/>
    <w:rsid w:val="00B226C4"/>
    <w:rsid w:val="00B229FF"/>
    <w:rsid w:val="00B235B0"/>
    <w:rsid w:val="00B23F6A"/>
    <w:rsid w:val="00B24DF6"/>
    <w:rsid w:val="00B25F7F"/>
    <w:rsid w:val="00B26544"/>
    <w:rsid w:val="00B266E1"/>
    <w:rsid w:val="00B27A61"/>
    <w:rsid w:val="00B314E1"/>
    <w:rsid w:val="00B31706"/>
    <w:rsid w:val="00B31DDA"/>
    <w:rsid w:val="00B3204C"/>
    <w:rsid w:val="00B32F39"/>
    <w:rsid w:val="00B32FB9"/>
    <w:rsid w:val="00B33143"/>
    <w:rsid w:val="00B33935"/>
    <w:rsid w:val="00B33B21"/>
    <w:rsid w:val="00B33B39"/>
    <w:rsid w:val="00B34FE2"/>
    <w:rsid w:val="00B35166"/>
    <w:rsid w:val="00B35438"/>
    <w:rsid w:val="00B357D8"/>
    <w:rsid w:val="00B35A97"/>
    <w:rsid w:val="00B360F4"/>
    <w:rsid w:val="00B36A00"/>
    <w:rsid w:val="00B3792B"/>
    <w:rsid w:val="00B37BFC"/>
    <w:rsid w:val="00B40358"/>
    <w:rsid w:val="00B40552"/>
    <w:rsid w:val="00B41405"/>
    <w:rsid w:val="00B41614"/>
    <w:rsid w:val="00B4222A"/>
    <w:rsid w:val="00B42456"/>
    <w:rsid w:val="00B42851"/>
    <w:rsid w:val="00B42882"/>
    <w:rsid w:val="00B42DA6"/>
    <w:rsid w:val="00B42E11"/>
    <w:rsid w:val="00B42F80"/>
    <w:rsid w:val="00B435CB"/>
    <w:rsid w:val="00B4463D"/>
    <w:rsid w:val="00B44E27"/>
    <w:rsid w:val="00B450A3"/>
    <w:rsid w:val="00B450D5"/>
    <w:rsid w:val="00B45D0B"/>
    <w:rsid w:val="00B465A2"/>
    <w:rsid w:val="00B465EC"/>
    <w:rsid w:val="00B46647"/>
    <w:rsid w:val="00B505C8"/>
    <w:rsid w:val="00B50CB2"/>
    <w:rsid w:val="00B50DB8"/>
    <w:rsid w:val="00B50FF4"/>
    <w:rsid w:val="00B5142E"/>
    <w:rsid w:val="00B516E4"/>
    <w:rsid w:val="00B519C1"/>
    <w:rsid w:val="00B52858"/>
    <w:rsid w:val="00B533A5"/>
    <w:rsid w:val="00B53654"/>
    <w:rsid w:val="00B536ED"/>
    <w:rsid w:val="00B53905"/>
    <w:rsid w:val="00B54020"/>
    <w:rsid w:val="00B546DB"/>
    <w:rsid w:val="00B5486A"/>
    <w:rsid w:val="00B54B48"/>
    <w:rsid w:val="00B54B5B"/>
    <w:rsid w:val="00B54B69"/>
    <w:rsid w:val="00B54DEF"/>
    <w:rsid w:val="00B5549F"/>
    <w:rsid w:val="00B5562E"/>
    <w:rsid w:val="00B55862"/>
    <w:rsid w:val="00B55D65"/>
    <w:rsid w:val="00B56305"/>
    <w:rsid w:val="00B56502"/>
    <w:rsid w:val="00B57000"/>
    <w:rsid w:val="00B570A5"/>
    <w:rsid w:val="00B57BDA"/>
    <w:rsid w:val="00B57E0E"/>
    <w:rsid w:val="00B60812"/>
    <w:rsid w:val="00B60862"/>
    <w:rsid w:val="00B60939"/>
    <w:rsid w:val="00B60943"/>
    <w:rsid w:val="00B60ABF"/>
    <w:rsid w:val="00B60AFD"/>
    <w:rsid w:val="00B617ED"/>
    <w:rsid w:val="00B61ABD"/>
    <w:rsid w:val="00B61C8D"/>
    <w:rsid w:val="00B61D60"/>
    <w:rsid w:val="00B62101"/>
    <w:rsid w:val="00B62715"/>
    <w:rsid w:val="00B62A57"/>
    <w:rsid w:val="00B647D2"/>
    <w:rsid w:val="00B65013"/>
    <w:rsid w:val="00B654B7"/>
    <w:rsid w:val="00B65611"/>
    <w:rsid w:val="00B663D4"/>
    <w:rsid w:val="00B66701"/>
    <w:rsid w:val="00B67A4A"/>
    <w:rsid w:val="00B705B4"/>
    <w:rsid w:val="00B70E8E"/>
    <w:rsid w:val="00B71294"/>
    <w:rsid w:val="00B71422"/>
    <w:rsid w:val="00B7149E"/>
    <w:rsid w:val="00B71C05"/>
    <w:rsid w:val="00B72E3D"/>
    <w:rsid w:val="00B73F26"/>
    <w:rsid w:val="00B74064"/>
    <w:rsid w:val="00B74165"/>
    <w:rsid w:val="00B749E2"/>
    <w:rsid w:val="00B75BE5"/>
    <w:rsid w:val="00B7611A"/>
    <w:rsid w:val="00B76748"/>
    <w:rsid w:val="00B76C92"/>
    <w:rsid w:val="00B76EBB"/>
    <w:rsid w:val="00B76F18"/>
    <w:rsid w:val="00B77A65"/>
    <w:rsid w:val="00B804B5"/>
    <w:rsid w:val="00B80EFD"/>
    <w:rsid w:val="00B81048"/>
    <w:rsid w:val="00B818A4"/>
    <w:rsid w:val="00B81C79"/>
    <w:rsid w:val="00B81E34"/>
    <w:rsid w:val="00B8242E"/>
    <w:rsid w:val="00B826D3"/>
    <w:rsid w:val="00B82C96"/>
    <w:rsid w:val="00B82D2C"/>
    <w:rsid w:val="00B831DD"/>
    <w:rsid w:val="00B8338C"/>
    <w:rsid w:val="00B83739"/>
    <w:rsid w:val="00B84117"/>
    <w:rsid w:val="00B84419"/>
    <w:rsid w:val="00B845D1"/>
    <w:rsid w:val="00B846B5"/>
    <w:rsid w:val="00B8512A"/>
    <w:rsid w:val="00B858F0"/>
    <w:rsid w:val="00B85A8E"/>
    <w:rsid w:val="00B85AA2"/>
    <w:rsid w:val="00B85C4E"/>
    <w:rsid w:val="00B861FE"/>
    <w:rsid w:val="00B8649C"/>
    <w:rsid w:val="00B8695D"/>
    <w:rsid w:val="00B87F0A"/>
    <w:rsid w:val="00B901A1"/>
    <w:rsid w:val="00B90DDA"/>
    <w:rsid w:val="00B92447"/>
    <w:rsid w:val="00B92D0B"/>
    <w:rsid w:val="00B930A0"/>
    <w:rsid w:val="00B943B3"/>
    <w:rsid w:val="00B94945"/>
    <w:rsid w:val="00B94DD6"/>
    <w:rsid w:val="00B94F61"/>
    <w:rsid w:val="00B95B99"/>
    <w:rsid w:val="00B96647"/>
    <w:rsid w:val="00B96CCF"/>
    <w:rsid w:val="00B97428"/>
    <w:rsid w:val="00B97D29"/>
    <w:rsid w:val="00BA08F0"/>
    <w:rsid w:val="00BA139E"/>
    <w:rsid w:val="00BA23F2"/>
    <w:rsid w:val="00BA2412"/>
    <w:rsid w:val="00BA267B"/>
    <w:rsid w:val="00BA2DA9"/>
    <w:rsid w:val="00BA2E93"/>
    <w:rsid w:val="00BA322D"/>
    <w:rsid w:val="00BA3915"/>
    <w:rsid w:val="00BA3944"/>
    <w:rsid w:val="00BA4033"/>
    <w:rsid w:val="00BA4D89"/>
    <w:rsid w:val="00BA50E2"/>
    <w:rsid w:val="00BA51DD"/>
    <w:rsid w:val="00BA5732"/>
    <w:rsid w:val="00BA5887"/>
    <w:rsid w:val="00BA605A"/>
    <w:rsid w:val="00BA63FA"/>
    <w:rsid w:val="00BA662A"/>
    <w:rsid w:val="00BA73DD"/>
    <w:rsid w:val="00BA7629"/>
    <w:rsid w:val="00BB00B3"/>
    <w:rsid w:val="00BB0B2F"/>
    <w:rsid w:val="00BB0BDD"/>
    <w:rsid w:val="00BB1159"/>
    <w:rsid w:val="00BB15F6"/>
    <w:rsid w:val="00BB176C"/>
    <w:rsid w:val="00BB19A5"/>
    <w:rsid w:val="00BB1F83"/>
    <w:rsid w:val="00BB24B4"/>
    <w:rsid w:val="00BB2A73"/>
    <w:rsid w:val="00BB2AA1"/>
    <w:rsid w:val="00BB3214"/>
    <w:rsid w:val="00BB3A45"/>
    <w:rsid w:val="00BB3D5C"/>
    <w:rsid w:val="00BB43D6"/>
    <w:rsid w:val="00BB455D"/>
    <w:rsid w:val="00BB45FD"/>
    <w:rsid w:val="00BB4ACC"/>
    <w:rsid w:val="00BB4B2D"/>
    <w:rsid w:val="00BB4E4B"/>
    <w:rsid w:val="00BB4FA6"/>
    <w:rsid w:val="00BB6EC6"/>
    <w:rsid w:val="00BB703E"/>
    <w:rsid w:val="00BB713A"/>
    <w:rsid w:val="00BB732D"/>
    <w:rsid w:val="00BB7405"/>
    <w:rsid w:val="00BC0D8B"/>
    <w:rsid w:val="00BC1034"/>
    <w:rsid w:val="00BC34A9"/>
    <w:rsid w:val="00BC3631"/>
    <w:rsid w:val="00BC4599"/>
    <w:rsid w:val="00BC4690"/>
    <w:rsid w:val="00BC591F"/>
    <w:rsid w:val="00BC5960"/>
    <w:rsid w:val="00BC5FAF"/>
    <w:rsid w:val="00BC6953"/>
    <w:rsid w:val="00BC6DB2"/>
    <w:rsid w:val="00BC7319"/>
    <w:rsid w:val="00BC79FD"/>
    <w:rsid w:val="00BC7D6D"/>
    <w:rsid w:val="00BD000D"/>
    <w:rsid w:val="00BD0291"/>
    <w:rsid w:val="00BD0D4A"/>
    <w:rsid w:val="00BD14ED"/>
    <w:rsid w:val="00BD1E7F"/>
    <w:rsid w:val="00BD2108"/>
    <w:rsid w:val="00BD2764"/>
    <w:rsid w:val="00BD28E2"/>
    <w:rsid w:val="00BD296C"/>
    <w:rsid w:val="00BD299B"/>
    <w:rsid w:val="00BD2A56"/>
    <w:rsid w:val="00BD430D"/>
    <w:rsid w:val="00BD4782"/>
    <w:rsid w:val="00BD4957"/>
    <w:rsid w:val="00BD5A22"/>
    <w:rsid w:val="00BD68A3"/>
    <w:rsid w:val="00BD6938"/>
    <w:rsid w:val="00BD6CF3"/>
    <w:rsid w:val="00BD7580"/>
    <w:rsid w:val="00BD7F72"/>
    <w:rsid w:val="00BE0996"/>
    <w:rsid w:val="00BE0B1C"/>
    <w:rsid w:val="00BE0E59"/>
    <w:rsid w:val="00BE0ECA"/>
    <w:rsid w:val="00BE14DC"/>
    <w:rsid w:val="00BE1F17"/>
    <w:rsid w:val="00BE2180"/>
    <w:rsid w:val="00BE21F2"/>
    <w:rsid w:val="00BE255D"/>
    <w:rsid w:val="00BE2A8C"/>
    <w:rsid w:val="00BE3957"/>
    <w:rsid w:val="00BE4275"/>
    <w:rsid w:val="00BE4552"/>
    <w:rsid w:val="00BE4559"/>
    <w:rsid w:val="00BE5475"/>
    <w:rsid w:val="00BE713C"/>
    <w:rsid w:val="00BE7AD2"/>
    <w:rsid w:val="00BE7E77"/>
    <w:rsid w:val="00BF06AE"/>
    <w:rsid w:val="00BF0F95"/>
    <w:rsid w:val="00BF203A"/>
    <w:rsid w:val="00BF2161"/>
    <w:rsid w:val="00BF2433"/>
    <w:rsid w:val="00BF2E6E"/>
    <w:rsid w:val="00BF2EEE"/>
    <w:rsid w:val="00BF3FA8"/>
    <w:rsid w:val="00BF52EB"/>
    <w:rsid w:val="00BF5468"/>
    <w:rsid w:val="00BF5682"/>
    <w:rsid w:val="00BF59A4"/>
    <w:rsid w:val="00BF5B60"/>
    <w:rsid w:val="00BF61C9"/>
    <w:rsid w:val="00BF6711"/>
    <w:rsid w:val="00BF6C94"/>
    <w:rsid w:val="00C00424"/>
    <w:rsid w:val="00C00511"/>
    <w:rsid w:val="00C00BB0"/>
    <w:rsid w:val="00C010E8"/>
    <w:rsid w:val="00C010EE"/>
    <w:rsid w:val="00C014C8"/>
    <w:rsid w:val="00C01592"/>
    <w:rsid w:val="00C01745"/>
    <w:rsid w:val="00C018A5"/>
    <w:rsid w:val="00C01ECD"/>
    <w:rsid w:val="00C023B9"/>
    <w:rsid w:val="00C02BB2"/>
    <w:rsid w:val="00C02EE9"/>
    <w:rsid w:val="00C036E8"/>
    <w:rsid w:val="00C0559E"/>
    <w:rsid w:val="00C057BB"/>
    <w:rsid w:val="00C060E3"/>
    <w:rsid w:val="00C06770"/>
    <w:rsid w:val="00C067F6"/>
    <w:rsid w:val="00C06ABA"/>
    <w:rsid w:val="00C06C47"/>
    <w:rsid w:val="00C074C4"/>
    <w:rsid w:val="00C07C8B"/>
    <w:rsid w:val="00C10E2C"/>
    <w:rsid w:val="00C11478"/>
    <w:rsid w:val="00C1163B"/>
    <w:rsid w:val="00C1179F"/>
    <w:rsid w:val="00C127B9"/>
    <w:rsid w:val="00C128FA"/>
    <w:rsid w:val="00C12C14"/>
    <w:rsid w:val="00C1366F"/>
    <w:rsid w:val="00C13BAB"/>
    <w:rsid w:val="00C13C0E"/>
    <w:rsid w:val="00C14312"/>
    <w:rsid w:val="00C14B87"/>
    <w:rsid w:val="00C156DC"/>
    <w:rsid w:val="00C15F04"/>
    <w:rsid w:val="00C1682F"/>
    <w:rsid w:val="00C16F19"/>
    <w:rsid w:val="00C1732E"/>
    <w:rsid w:val="00C174DA"/>
    <w:rsid w:val="00C179B3"/>
    <w:rsid w:val="00C179D0"/>
    <w:rsid w:val="00C17E3F"/>
    <w:rsid w:val="00C17FF2"/>
    <w:rsid w:val="00C200AA"/>
    <w:rsid w:val="00C20CF4"/>
    <w:rsid w:val="00C216B9"/>
    <w:rsid w:val="00C21BC8"/>
    <w:rsid w:val="00C22204"/>
    <w:rsid w:val="00C227AD"/>
    <w:rsid w:val="00C22AEB"/>
    <w:rsid w:val="00C22CBC"/>
    <w:rsid w:val="00C23545"/>
    <w:rsid w:val="00C237ED"/>
    <w:rsid w:val="00C2382C"/>
    <w:rsid w:val="00C2391F"/>
    <w:rsid w:val="00C23EEC"/>
    <w:rsid w:val="00C24632"/>
    <w:rsid w:val="00C24A50"/>
    <w:rsid w:val="00C253C8"/>
    <w:rsid w:val="00C25418"/>
    <w:rsid w:val="00C25747"/>
    <w:rsid w:val="00C2582D"/>
    <w:rsid w:val="00C25D9C"/>
    <w:rsid w:val="00C2778B"/>
    <w:rsid w:val="00C278EE"/>
    <w:rsid w:val="00C27F08"/>
    <w:rsid w:val="00C303D9"/>
    <w:rsid w:val="00C308F8"/>
    <w:rsid w:val="00C3117F"/>
    <w:rsid w:val="00C31649"/>
    <w:rsid w:val="00C31B31"/>
    <w:rsid w:val="00C31DA1"/>
    <w:rsid w:val="00C31F54"/>
    <w:rsid w:val="00C327FB"/>
    <w:rsid w:val="00C33F02"/>
    <w:rsid w:val="00C33F0F"/>
    <w:rsid w:val="00C341AE"/>
    <w:rsid w:val="00C34213"/>
    <w:rsid w:val="00C3434C"/>
    <w:rsid w:val="00C355F8"/>
    <w:rsid w:val="00C357AA"/>
    <w:rsid w:val="00C35816"/>
    <w:rsid w:val="00C35970"/>
    <w:rsid w:val="00C359C5"/>
    <w:rsid w:val="00C3749F"/>
    <w:rsid w:val="00C3764F"/>
    <w:rsid w:val="00C37C6D"/>
    <w:rsid w:val="00C40385"/>
    <w:rsid w:val="00C41768"/>
    <w:rsid w:val="00C41A36"/>
    <w:rsid w:val="00C41B74"/>
    <w:rsid w:val="00C42623"/>
    <w:rsid w:val="00C4280F"/>
    <w:rsid w:val="00C4312E"/>
    <w:rsid w:val="00C435B7"/>
    <w:rsid w:val="00C43FEF"/>
    <w:rsid w:val="00C44141"/>
    <w:rsid w:val="00C44830"/>
    <w:rsid w:val="00C45FE0"/>
    <w:rsid w:val="00C4715A"/>
    <w:rsid w:val="00C475AA"/>
    <w:rsid w:val="00C47934"/>
    <w:rsid w:val="00C47B38"/>
    <w:rsid w:val="00C47C92"/>
    <w:rsid w:val="00C50446"/>
    <w:rsid w:val="00C50A05"/>
    <w:rsid w:val="00C51059"/>
    <w:rsid w:val="00C512DE"/>
    <w:rsid w:val="00C5146F"/>
    <w:rsid w:val="00C51722"/>
    <w:rsid w:val="00C526E7"/>
    <w:rsid w:val="00C527C7"/>
    <w:rsid w:val="00C53C98"/>
    <w:rsid w:val="00C54153"/>
    <w:rsid w:val="00C549C4"/>
    <w:rsid w:val="00C5526B"/>
    <w:rsid w:val="00C554E9"/>
    <w:rsid w:val="00C55588"/>
    <w:rsid w:val="00C55661"/>
    <w:rsid w:val="00C562DB"/>
    <w:rsid w:val="00C5674E"/>
    <w:rsid w:val="00C56883"/>
    <w:rsid w:val="00C56FCF"/>
    <w:rsid w:val="00C570C6"/>
    <w:rsid w:val="00C572F6"/>
    <w:rsid w:val="00C575EA"/>
    <w:rsid w:val="00C57B6C"/>
    <w:rsid w:val="00C603E9"/>
    <w:rsid w:val="00C604C9"/>
    <w:rsid w:val="00C60BAE"/>
    <w:rsid w:val="00C6111A"/>
    <w:rsid w:val="00C61A59"/>
    <w:rsid w:val="00C61C5B"/>
    <w:rsid w:val="00C622A7"/>
    <w:rsid w:val="00C628A6"/>
    <w:rsid w:val="00C63D1B"/>
    <w:rsid w:val="00C64078"/>
    <w:rsid w:val="00C64344"/>
    <w:rsid w:val="00C64CDE"/>
    <w:rsid w:val="00C65108"/>
    <w:rsid w:val="00C65512"/>
    <w:rsid w:val="00C65576"/>
    <w:rsid w:val="00C65EB7"/>
    <w:rsid w:val="00C66165"/>
    <w:rsid w:val="00C667A8"/>
    <w:rsid w:val="00C66DDD"/>
    <w:rsid w:val="00C67941"/>
    <w:rsid w:val="00C67E9C"/>
    <w:rsid w:val="00C70275"/>
    <w:rsid w:val="00C70555"/>
    <w:rsid w:val="00C7060A"/>
    <w:rsid w:val="00C70B17"/>
    <w:rsid w:val="00C70B7B"/>
    <w:rsid w:val="00C7151A"/>
    <w:rsid w:val="00C717E3"/>
    <w:rsid w:val="00C71BEC"/>
    <w:rsid w:val="00C71F60"/>
    <w:rsid w:val="00C7222E"/>
    <w:rsid w:val="00C72241"/>
    <w:rsid w:val="00C723C4"/>
    <w:rsid w:val="00C72C3A"/>
    <w:rsid w:val="00C72FB6"/>
    <w:rsid w:val="00C73137"/>
    <w:rsid w:val="00C731BB"/>
    <w:rsid w:val="00C73978"/>
    <w:rsid w:val="00C73B17"/>
    <w:rsid w:val="00C73BDE"/>
    <w:rsid w:val="00C74C3D"/>
    <w:rsid w:val="00C750C8"/>
    <w:rsid w:val="00C7560F"/>
    <w:rsid w:val="00C75725"/>
    <w:rsid w:val="00C75B62"/>
    <w:rsid w:val="00C76067"/>
    <w:rsid w:val="00C77537"/>
    <w:rsid w:val="00C776C0"/>
    <w:rsid w:val="00C77B90"/>
    <w:rsid w:val="00C77FCC"/>
    <w:rsid w:val="00C80548"/>
    <w:rsid w:val="00C80A07"/>
    <w:rsid w:val="00C80A0E"/>
    <w:rsid w:val="00C80D49"/>
    <w:rsid w:val="00C811AE"/>
    <w:rsid w:val="00C81FB0"/>
    <w:rsid w:val="00C8213F"/>
    <w:rsid w:val="00C8303F"/>
    <w:rsid w:val="00C83474"/>
    <w:rsid w:val="00C83A7C"/>
    <w:rsid w:val="00C84016"/>
    <w:rsid w:val="00C8425E"/>
    <w:rsid w:val="00C8476D"/>
    <w:rsid w:val="00C84F71"/>
    <w:rsid w:val="00C85154"/>
    <w:rsid w:val="00C85A70"/>
    <w:rsid w:val="00C85CFB"/>
    <w:rsid w:val="00C85E1C"/>
    <w:rsid w:val="00C8671F"/>
    <w:rsid w:val="00C86EB5"/>
    <w:rsid w:val="00C86ED4"/>
    <w:rsid w:val="00C8797A"/>
    <w:rsid w:val="00C900B8"/>
    <w:rsid w:val="00C90197"/>
    <w:rsid w:val="00C9070A"/>
    <w:rsid w:val="00C90C71"/>
    <w:rsid w:val="00C915B7"/>
    <w:rsid w:val="00C91B53"/>
    <w:rsid w:val="00C91FD1"/>
    <w:rsid w:val="00C92C8A"/>
    <w:rsid w:val="00C93113"/>
    <w:rsid w:val="00C931CF"/>
    <w:rsid w:val="00C938CF"/>
    <w:rsid w:val="00C93D1D"/>
    <w:rsid w:val="00C94053"/>
    <w:rsid w:val="00C94D61"/>
    <w:rsid w:val="00C954FE"/>
    <w:rsid w:val="00C95A5C"/>
    <w:rsid w:val="00C9624D"/>
    <w:rsid w:val="00C969DA"/>
    <w:rsid w:val="00C973A4"/>
    <w:rsid w:val="00CA0D79"/>
    <w:rsid w:val="00CA124F"/>
    <w:rsid w:val="00CA15BF"/>
    <w:rsid w:val="00CA19A2"/>
    <w:rsid w:val="00CA1D0B"/>
    <w:rsid w:val="00CA28E2"/>
    <w:rsid w:val="00CA2C77"/>
    <w:rsid w:val="00CA3606"/>
    <w:rsid w:val="00CA38E2"/>
    <w:rsid w:val="00CA3FE4"/>
    <w:rsid w:val="00CA41C6"/>
    <w:rsid w:val="00CA444F"/>
    <w:rsid w:val="00CA45BE"/>
    <w:rsid w:val="00CA51A7"/>
    <w:rsid w:val="00CA5245"/>
    <w:rsid w:val="00CA568A"/>
    <w:rsid w:val="00CA617B"/>
    <w:rsid w:val="00CA6D00"/>
    <w:rsid w:val="00CA6D5B"/>
    <w:rsid w:val="00CA7123"/>
    <w:rsid w:val="00CA71F4"/>
    <w:rsid w:val="00CA72CE"/>
    <w:rsid w:val="00CA7B09"/>
    <w:rsid w:val="00CA7D73"/>
    <w:rsid w:val="00CB0251"/>
    <w:rsid w:val="00CB04AD"/>
    <w:rsid w:val="00CB0CBD"/>
    <w:rsid w:val="00CB0E5A"/>
    <w:rsid w:val="00CB12A5"/>
    <w:rsid w:val="00CB1697"/>
    <w:rsid w:val="00CB1CAC"/>
    <w:rsid w:val="00CB2660"/>
    <w:rsid w:val="00CB2EB0"/>
    <w:rsid w:val="00CB2F2A"/>
    <w:rsid w:val="00CB4532"/>
    <w:rsid w:val="00CB4850"/>
    <w:rsid w:val="00CB5640"/>
    <w:rsid w:val="00CB5B1A"/>
    <w:rsid w:val="00CB5E4B"/>
    <w:rsid w:val="00CB6B22"/>
    <w:rsid w:val="00CB7BE2"/>
    <w:rsid w:val="00CB7F5F"/>
    <w:rsid w:val="00CC0237"/>
    <w:rsid w:val="00CC0E80"/>
    <w:rsid w:val="00CC1B39"/>
    <w:rsid w:val="00CC1BFA"/>
    <w:rsid w:val="00CC250F"/>
    <w:rsid w:val="00CC2A35"/>
    <w:rsid w:val="00CC2E9F"/>
    <w:rsid w:val="00CC3170"/>
    <w:rsid w:val="00CC35EA"/>
    <w:rsid w:val="00CC3848"/>
    <w:rsid w:val="00CC4E4C"/>
    <w:rsid w:val="00CC669D"/>
    <w:rsid w:val="00CC6C7C"/>
    <w:rsid w:val="00CC6D5E"/>
    <w:rsid w:val="00CC7928"/>
    <w:rsid w:val="00CC7CE1"/>
    <w:rsid w:val="00CC7F83"/>
    <w:rsid w:val="00CD0200"/>
    <w:rsid w:val="00CD0B14"/>
    <w:rsid w:val="00CD0FD8"/>
    <w:rsid w:val="00CD1A41"/>
    <w:rsid w:val="00CD1B18"/>
    <w:rsid w:val="00CD1E2F"/>
    <w:rsid w:val="00CD201E"/>
    <w:rsid w:val="00CD21B3"/>
    <w:rsid w:val="00CD3174"/>
    <w:rsid w:val="00CD3F77"/>
    <w:rsid w:val="00CD5BC2"/>
    <w:rsid w:val="00CD605A"/>
    <w:rsid w:val="00CD668D"/>
    <w:rsid w:val="00CD6ADC"/>
    <w:rsid w:val="00CD70C0"/>
    <w:rsid w:val="00CD7193"/>
    <w:rsid w:val="00CD775C"/>
    <w:rsid w:val="00CD7D3F"/>
    <w:rsid w:val="00CE11AA"/>
    <w:rsid w:val="00CE194A"/>
    <w:rsid w:val="00CE1F46"/>
    <w:rsid w:val="00CE1FAB"/>
    <w:rsid w:val="00CE2202"/>
    <w:rsid w:val="00CE2312"/>
    <w:rsid w:val="00CE3673"/>
    <w:rsid w:val="00CE37F8"/>
    <w:rsid w:val="00CE38C8"/>
    <w:rsid w:val="00CE3ADB"/>
    <w:rsid w:val="00CE3C1A"/>
    <w:rsid w:val="00CE4880"/>
    <w:rsid w:val="00CE5185"/>
    <w:rsid w:val="00CE524F"/>
    <w:rsid w:val="00CE549A"/>
    <w:rsid w:val="00CE55F4"/>
    <w:rsid w:val="00CE5735"/>
    <w:rsid w:val="00CE58CC"/>
    <w:rsid w:val="00CE5E16"/>
    <w:rsid w:val="00CE618A"/>
    <w:rsid w:val="00CE6274"/>
    <w:rsid w:val="00CE63B7"/>
    <w:rsid w:val="00CE6445"/>
    <w:rsid w:val="00CE6E38"/>
    <w:rsid w:val="00CE77B6"/>
    <w:rsid w:val="00CE79D6"/>
    <w:rsid w:val="00CE7E74"/>
    <w:rsid w:val="00CF097C"/>
    <w:rsid w:val="00CF0A3F"/>
    <w:rsid w:val="00CF1B11"/>
    <w:rsid w:val="00CF1E77"/>
    <w:rsid w:val="00CF260C"/>
    <w:rsid w:val="00CF2B8D"/>
    <w:rsid w:val="00CF2BEE"/>
    <w:rsid w:val="00CF2E1B"/>
    <w:rsid w:val="00CF326E"/>
    <w:rsid w:val="00CF3301"/>
    <w:rsid w:val="00CF3A1B"/>
    <w:rsid w:val="00CF3CE8"/>
    <w:rsid w:val="00CF456B"/>
    <w:rsid w:val="00CF50B0"/>
    <w:rsid w:val="00CF5A22"/>
    <w:rsid w:val="00CF5C07"/>
    <w:rsid w:val="00CF69DA"/>
    <w:rsid w:val="00CF7254"/>
    <w:rsid w:val="00CF7558"/>
    <w:rsid w:val="00CF78E6"/>
    <w:rsid w:val="00CF7EFB"/>
    <w:rsid w:val="00D00DC5"/>
    <w:rsid w:val="00D013BE"/>
    <w:rsid w:val="00D01F3E"/>
    <w:rsid w:val="00D0262E"/>
    <w:rsid w:val="00D0337F"/>
    <w:rsid w:val="00D03607"/>
    <w:rsid w:val="00D03679"/>
    <w:rsid w:val="00D058B8"/>
    <w:rsid w:val="00D05E3D"/>
    <w:rsid w:val="00D06139"/>
    <w:rsid w:val="00D06303"/>
    <w:rsid w:val="00D06371"/>
    <w:rsid w:val="00D0652F"/>
    <w:rsid w:val="00D0706C"/>
    <w:rsid w:val="00D076DD"/>
    <w:rsid w:val="00D07C82"/>
    <w:rsid w:val="00D1032C"/>
    <w:rsid w:val="00D10B51"/>
    <w:rsid w:val="00D10E94"/>
    <w:rsid w:val="00D10FF3"/>
    <w:rsid w:val="00D110BD"/>
    <w:rsid w:val="00D11440"/>
    <w:rsid w:val="00D116E8"/>
    <w:rsid w:val="00D13675"/>
    <w:rsid w:val="00D13C12"/>
    <w:rsid w:val="00D141E1"/>
    <w:rsid w:val="00D14710"/>
    <w:rsid w:val="00D15176"/>
    <w:rsid w:val="00D15255"/>
    <w:rsid w:val="00D15314"/>
    <w:rsid w:val="00D15B48"/>
    <w:rsid w:val="00D16128"/>
    <w:rsid w:val="00D17D6C"/>
    <w:rsid w:val="00D17E8E"/>
    <w:rsid w:val="00D20348"/>
    <w:rsid w:val="00D208CF"/>
    <w:rsid w:val="00D20EBA"/>
    <w:rsid w:val="00D2155B"/>
    <w:rsid w:val="00D21E9F"/>
    <w:rsid w:val="00D222E2"/>
    <w:rsid w:val="00D223D2"/>
    <w:rsid w:val="00D23B9A"/>
    <w:rsid w:val="00D23D11"/>
    <w:rsid w:val="00D23F17"/>
    <w:rsid w:val="00D244B6"/>
    <w:rsid w:val="00D24B8C"/>
    <w:rsid w:val="00D24F88"/>
    <w:rsid w:val="00D25B9A"/>
    <w:rsid w:val="00D26090"/>
    <w:rsid w:val="00D27206"/>
    <w:rsid w:val="00D2754D"/>
    <w:rsid w:val="00D277B0"/>
    <w:rsid w:val="00D27B27"/>
    <w:rsid w:val="00D30847"/>
    <w:rsid w:val="00D30D5B"/>
    <w:rsid w:val="00D3102E"/>
    <w:rsid w:val="00D32C62"/>
    <w:rsid w:val="00D335E4"/>
    <w:rsid w:val="00D33BE9"/>
    <w:rsid w:val="00D33E60"/>
    <w:rsid w:val="00D33F93"/>
    <w:rsid w:val="00D340CF"/>
    <w:rsid w:val="00D343A3"/>
    <w:rsid w:val="00D3453A"/>
    <w:rsid w:val="00D346E9"/>
    <w:rsid w:val="00D34735"/>
    <w:rsid w:val="00D34B92"/>
    <w:rsid w:val="00D34EE2"/>
    <w:rsid w:val="00D35128"/>
    <w:rsid w:val="00D35219"/>
    <w:rsid w:val="00D35287"/>
    <w:rsid w:val="00D356A9"/>
    <w:rsid w:val="00D357FF"/>
    <w:rsid w:val="00D35F3F"/>
    <w:rsid w:val="00D362CE"/>
    <w:rsid w:val="00D3672D"/>
    <w:rsid w:val="00D36D2A"/>
    <w:rsid w:val="00D37145"/>
    <w:rsid w:val="00D407DD"/>
    <w:rsid w:val="00D412C4"/>
    <w:rsid w:val="00D415C9"/>
    <w:rsid w:val="00D41866"/>
    <w:rsid w:val="00D41C08"/>
    <w:rsid w:val="00D424C7"/>
    <w:rsid w:val="00D42CB1"/>
    <w:rsid w:val="00D43977"/>
    <w:rsid w:val="00D43B2A"/>
    <w:rsid w:val="00D43CF1"/>
    <w:rsid w:val="00D43D83"/>
    <w:rsid w:val="00D44550"/>
    <w:rsid w:val="00D44BD4"/>
    <w:rsid w:val="00D44FE5"/>
    <w:rsid w:val="00D454BB"/>
    <w:rsid w:val="00D45792"/>
    <w:rsid w:val="00D45808"/>
    <w:rsid w:val="00D4593A"/>
    <w:rsid w:val="00D459D6"/>
    <w:rsid w:val="00D45C39"/>
    <w:rsid w:val="00D466E6"/>
    <w:rsid w:val="00D47575"/>
    <w:rsid w:val="00D50C50"/>
    <w:rsid w:val="00D51742"/>
    <w:rsid w:val="00D5243B"/>
    <w:rsid w:val="00D5245B"/>
    <w:rsid w:val="00D533EC"/>
    <w:rsid w:val="00D54F58"/>
    <w:rsid w:val="00D5507D"/>
    <w:rsid w:val="00D55907"/>
    <w:rsid w:val="00D56734"/>
    <w:rsid w:val="00D56A95"/>
    <w:rsid w:val="00D56B0A"/>
    <w:rsid w:val="00D56CC1"/>
    <w:rsid w:val="00D57D3F"/>
    <w:rsid w:val="00D57DB5"/>
    <w:rsid w:val="00D57F28"/>
    <w:rsid w:val="00D601C6"/>
    <w:rsid w:val="00D603B0"/>
    <w:rsid w:val="00D60767"/>
    <w:rsid w:val="00D6076E"/>
    <w:rsid w:val="00D61307"/>
    <w:rsid w:val="00D61395"/>
    <w:rsid w:val="00D6178C"/>
    <w:rsid w:val="00D628E1"/>
    <w:rsid w:val="00D62992"/>
    <w:rsid w:val="00D630B2"/>
    <w:rsid w:val="00D64D59"/>
    <w:rsid w:val="00D65306"/>
    <w:rsid w:val="00D65D0D"/>
    <w:rsid w:val="00D65ED1"/>
    <w:rsid w:val="00D65F64"/>
    <w:rsid w:val="00D67D1B"/>
    <w:rsid w:val="00D70344"/>
    <w:rsid w:val="00D70F16"/>
    <w:rsid w:val="00D71209"/>
    <w:rsid w:val="00D715FA"/>
    <w:rsid w:val="00D72617"/>
    <w:rsid w:val="00D7288B"/>
    <w:rsid w:val="00D72F57"/>
    <w:rsid w:val="00D741E8"/>
    <w:rsid w:val="00D74261"/>
    <w:rsid w:val="00D74D58"/>
    <w:rsid w:val="00D7665C"/>
    <w:rsid w:val="00D768FC"/>
    <w:rsid w:val="00D76A44"/>
    <w:rsid w:val="00D76AFB"/>
    <w:rsid w:val="00D77296"/>
    <w:rsid w:val="00D773B1"/>
    <w:rsid w:val="00D774FA"/>
    <w:rsid w:val="00D77718"/>
    <w:rsid w:val="00D77809"/>
    <w:rsid w:val="00D77A69"/>
    <w:rsid w:val="00D8002E"/>
    <w:rsid w:val="00D815EF"/>
    <w:rsid w:val="00D816A2"/>
    <w:rsid w:val="00D81949"/>
    <w:rsid w:val="00D81F26"/>
    <w:rsid w:val="00D82095"/>
    <w:rsid w:val="00D822E2"/>
    <w:rsid w:val="00D824FB"/>
    <w:rsid w:val="00D82943"/>
    <w:rsid w:val="00D8333A"/>
    <w:rsid w:val="00D83357"/>
    <w:rsid w:val="00D83B59"/>
    <w:rsid w:val="00D843F2"/>
    <w:rsid w:val="00D84474"/>
    <w:rsid w:val="00D84619"/>
    <w:rsid w:val="00D8501C"/>
    <w:rsid w:val="00D8503F"/>
    <w:rsid w:val="00D85172"/>
    <w:rsid w:val="00D852AB"/>
    <w:rsid w:val="00D86231"/>
    <w:rsid w:val="00D866DC"/>
    <w:rsid w:val="00D86CA9"/>
    <w:rsid w:val="00D870F0"/>
    <w:rsid w:val="00D909B7"/>
    <w:rsid w:val="00D91086"/>
    <w:rsid w:val="00D912AB"/>
    <w:rsid w:val="00D9145A"/>
    <w:rsid w:val="00D917F2"/>
    <w:rsid w:val="00D91923"/>
    <w:rsid w:val="00D91B1E"/>
    <w:rsid w:val="00D91E43"/>
    <w:rsid w:val="00D921CB"/>
    <w:rsid w:val="00D9285F"/>
    <w:rsid w:val="00D92B8E"/>
    <w:rsid w:val="00D92D9D"/>
    <w:rsid w:val="00D930E3"/>
    <w:rsid w:val="00D9315F"/>
    <w:rsid w:val="00D93235"/>
    <w:rsid w:val="00D93753"/>
    <w:rsid w:val="00D938FA"/>
    <w:rsid w:val="00D94109"/>
    <w:rsid w:val="00D945D7"/>
    <w:rsid w:val="00D95156"/>
    <w:rsid w:val="00D9567A"/>
    <w:rsid w:val="00D956C8"/>
    <w:rsid w:val="00D958C7"/>
    <w:rsid w:val="00D960A0"/>
    <w:rsid w:val="00D96FAE"/>
    <w:rsid w:val="00D978AE"/>
    <w:rsid w:val="00DA00A6"/>
    <w:rsid w:val="00DA0C87"/>
    <w:rsid w:val="00DA0FF6"/>
    <w:rsid w:val="00DA1098"/>
    <w:rsid w:val="00DA1B2A"/>
    <w:rsid w:val="00DA22A2"/>
    <w:rsid w:val="00DA29EB"/>
    <w:rsid w:val="00DA2C37"/>
    <w:rsid w:val="00DA3167"/>
    <w:rsid w:val="00DA434B"/>
    <w:rsid w:val="00DA49C6"/>
    <w:rsid w:val="00DA4DC3"/>
    <w:rsid w:val="00DA4FF4"/>
    <w:rsid w:val="00DA55C3"/>
    <w:rsid w:val="00DA5C51"/>
    <w:rsid w:val="00DA77A5"/>
    <w:rsid w:val="00DA7BDD"/>
    <w:rsid w:val="00DB0A3A"/>
    <w:rsid w:val="00DB0E36"/>
    <w:rsid w:val="00DB152D"/>
    <w:rsid w:val="00DB2723"/>
    <w:rsid w:val="00DB2E46"/>
    <w:rsid w:val="00DB387B"/>
    <w:rsid w:val="00DB3DBF"/>
    <w:rsid w:val="00DB448C"/>
    <w:rsid w:val="00DB484F"/>
    <w:rsid w:val="00DB5501"/>
    <w:rsid w:val="00DB57A7"/>
    <w:rsid w:val="00DB5891"/>
    <w:rsid w:val="00DB5FE5"/>
    <w:rsid w:val="00DB60E3"/>
    <w:rsid w:val="00DB6386"/>
    <w:rsid w:val="00DB6D33"/>
    <w:rsid w:val="00DB72B4"/>
    <w:rsid w:val="00DC01D1"/>
    <w:rsid w:val="00DC04F6"/>
    <w:rsid w:val="00DC0690"/>
    <w:rsid w:val="00DC0F2B"/>
    <w:rsid w:val="00DC13B4"/>
    <w:rsid w:val="00DC1D65"/>
    <w:rsid w:val="00DC2238"/>
    <w:rsid w:val="00DC2296"/>
    <w:rsid w:val="00DC295F"/>
    <w:rsid w:val="00DC2A77"/>
    <w:rsid w:val="00DC2D89"/>
    <w:rsid w:val="00DC3B45"/>
    <w:rsid w:val="00DC3C30"/>
    <w:rsid w:val="00DC3C57"/>
    <w:rsid w:val="00DC3C71"/>
    <w:rsid w:val="00DC3E37"/>
    <w:rsid w:val="00DC4BD8"/>
    <w:rsid w:val="00DC5501"/>
    <w:rsid w:val="00DC5DE4"/>
    <w:rsid w:val="00DC6BE3"/>
    <w:rsid w:val="00DC70F3"/>
    <w:rsid w:val="00DC7154"/>
    <w:rsid w:val="00DC72E5"/>
    <w:rsid w:val="00DC732F"/>
    <w:rsid w:val="00DC7373"/>
    <w:rsid w:val="00DC7E8A"/>
    <w:rsid w:val="00DC7FBA"/>
    <w:rsid w:val="00DD03ED"/>
    <w:rsid w:val="00DD0950"/>
    <w:rsid w:val="00DD0BD4"/>
    <w:rsid w:val="00DD0BD6"/>
    <w:rsid w:val="00DD0F78"/>
    <w:rsid w:val="00DD1B1E"/>
    <w:rsid w:val="00DD1E1B"/>
    <w:rsid w:val="00DD2257"/>
    <w:rsid w:val="00DD273C"/>
    <w:rsid w:val="00DD2E3B"/>
    <w:rsid w:val="00DD3F28"/>
    <w:rsid w:val="00DD4446"/>
    <w:rsid w:val="00DD4537"/>
    <w:rsid w:val="00DD4B2D"/>
    <w:rsid w:val="00DD4E15"/>
    <w:rsid w:val="00DD4EF2"/>
    <w:rsid w:val="00DD5324"/>
    <w:rsid w:val="00DD5649"/>
    <w:rsid w:val="00DD57C4"/>
    <w:rsid w:val="00DD62E9"/>
    <w:rsid w:val="00DD65A6"/>
    <w:rsid w:val="00DD7059"/>
    <w:rsid w:val="00DD7409"/>
    <w:rsid w:val="00DE0490"/>
    <w:rsid w:val="00DE0632"/>
    <w:rsid w:val="00DE14F1"/>
    <w:rsid w:val="00DE14F5"/>
    <w:rsid w:val="00DE1F7C"/>
    <w:rsid w:val="00DE2304"/>
    <w:rsid w:val="00DE2DC0"/>
    <w:rsid w:val="00DE3138"/>
    <w:rsid w:val="00DE37F8"/>
    <w:rsid w:val="00DE4273"/>
    <w:rsid w:val="00DE436A"/>
    <w:rsid w:val="00DE437A"/>
    <w:rsid w:val="00DE4C06"/>
    <w:rsid w:val="00DE4FCB"/>
    <w:rsid w:val="00DE52FA"/>
    <w:rsid w:val="00DE5592"/>
    <w:rsid w:val="00DE5649"/>
    <w:rsid w:val="00DE5D07"/>
    <w:rsid w:val="00DE5F48"/>
    <w:rsid w:val="00DE72A7"/>
    <w:rsid w:val="00DE7832"/>
    <w:rsid w:val="00DE7FD2"/>
    <w:rsid w:val="00DF0F5C"/>
    <w:rsid w:val="00DF17D3"/>
    <w:rsid w:val="00DF18FC"/>
    <w:rsid w:val="00DF1C89"/>
    <w:rsid w:val="00DF24E3"/>
    <w:rsid w:val="00DF3106"/>
    <w:rsid w:val="00DF3D92"/>
    <w:rsid w:val="00DF54E2"/>
    <w:rsid w:val="00DF5809"/>
    <w:rsid w:val="00DF5D2B"/>
    <w:rsid w:val="00DF6180"/>
    <w:rsid w:val="00DF6341"/>
    <w:rsid w:val="00DF6A90"/>
    <w:rsid w:val="00DF6BBD"/>
    <w:rsid w:val="00DF7455"/>
    <w:rsid w:val="00DF7881"/>
    <w:rsid w:val="00DF7C8F"/>
    <w:rsid w:val="00E00E8E"/>
    <w:rsid w:val="00E01B99"/>
    <w:rsid w:val="00E0211D"/>
    <w:rsid w:val="00E024C0"/>
    <w:rsid w:val="00E0273E"/>
    <w:rsid w:val="00E02E14"/>
    <w:rsid w:val="00E03A11"/>
    <w:rsid w:val="00E03E90"/>
    <w:rsid w:val="00E03FD1"/>
    <w:rsid w:val="00E046ED"/>
    <w:rsid w:val="00E05630"/>
    <w:rsid w:val="00E05B6A"/>
    <w:rsid w:val="00E05B7F"/>
    <w:rsid w:val="00E06461"/>
    <w:rsid w:val="00E068BD"/>
    <w:rsid w:val="00E06DBB"/>
    <w:rsid w:val="00E0719B"/>
    <w:rsid w:val="00E07B2A"/>
    <w:rsid w:val="00E10149"/>
    <w:rsid w:val="00E10573"/>
    <w:rsid w:val="00E11340"/>
    <w:rsid w:val="00E11F11"/>
    <w:rsid w:val="00E122A1"/>
    <w:rsid w:val="00E12D4A"/>
    <w:rsid w:val="00E131E0"/>
    <w:rsid w:val="00E13BD0"/>
    <w:rsid w:val="00E1445B"/>
    <w:rsid w:val="00E14901"/>
    <w:rsid w:val="00E150E8"/>
    <w:rsid w:val="00E16372"/>
    <w:rsid w:val="00E16AD8"/>
    <w:rsid w:val="00E16F2C"/>
    <w:rsid w:val="00E171DA"/>
    <w:rsid w:val="00E17D69"/>
    <w:rsid w:val="00E17FFA"/>
    <w:rsid w:val="00E201B8"/>
    <w:rsid w:val="00E203A6"/>
    <w:rsid w:val="00E2042F"/>
    <w:rsid w:val="00E20567"/>
    <w:rsid w:val="00E20E4D"/>
    <w:rsid w:val="00E20ED6"/>
    <w:rsid w:val="00E21358"/>
    <w:rsid w:val="00E214D1"/>
    <w:rsid w:val="00E21D53"/>
    <w:rsid w:val="00E22359"/>
    <w:rsid w:val="00E2249B"/>
    <w:rsid w:val="00E225D7"/>
    <w:rsid w:val="00E22A0D"/>
    <w:rsid w:val="00E230AF"/>
    <w:rsid w:val="00E232E1"/>
    <w:rsid w:val="00E23988"/>
    <w:rsid w:val="00E23E5F"/>
    <w:rsid w:val="00E244F6"/>
    <w:rsid w:val="00E2471A"/>
    <w:rsid w:val="00E247AB"/>
    <w:rsid w:val="00E2486C"/>
    <w:rsid w:val="00E24ADA"/>
    <w:rsid w:val="00E24E9F"/>
    <w:rsid w:val="00E258DB"/>
    <w:rsid w:val="00E25FF1"/>
    <w:rsid w:val="00E262A9"/>
    <w:rsid w:val="00E26D26"/>
    <w:rsid w:val="00E270BC"/>
    <w:rsid w:val="00E2771E"/>
    <w:rsid w:val="00E2776A"/>
    <w:rsid w:val="00E27B15"/>
    <w:rsid w:val="00E30209"/>
    <w:rsid w:val="00E303F9"/>
    <w:rsid w:val="00E30774"/>
    <w:rsid w:val="00E30C6B"/>
    <w:rsid w:val="00E311EF"/>
    <w:rsid w:val="00E31896"/>
    <w:rsid w:val="00E31983"/>
    <w:rsid w:val="00E31C8E"/>
    <w:rsid w:val="00E31D9A"/>
    <w:rsid w:val="00E31F3F"/>
    <w:rsid w:val="00E320C1"/>
    <w:rsid w:val="00E32180"/>
    <w:rsid w:val="00E326D8"/>
    <w:rsid w:val="00E32DE1"/>
    <w:rsid w:val="00E33628"/>
    <w:rsid w:val="00E345FB"/>
    <w:rsid w:val="00E34948"/>
    <w:rsid w:val="00E351B1"/>
    <w:rsid w:val="00E3588C"/>
    <w:rsid w:val="00E3634E"/>
    <w:rsid w:val="00E366C0"/>
    <w:rsid w:val="00E36F48"/>
    <w:rsid w:val="00E37250"/>
    <w:rsid w:val="00E37569"/>
    <w:rsid w:val="00E401B2"/>
    <w:rsid w:val="00E40480"/>
    <w:rsid w:val="00E41496"/>
    <w:rsid w:val="00E41E30"/>
    <w:rsid w:val="00E424C7"/>
    <w:rsid w:val="00E42AF1"/>
    <w:rsid w:val="00E42F73"/>
    <w:rsid w:val="00E431C1"/>
    <w:rsid w:val="00E43D70"/>
    <w:rsid w:val="00E4429B"/>
    <w:rsid w:val="00E45062"/>
    <w:rsid w:val="00E45841"/>
    <w:rsid w:val="00E45B13"/>
    <w:rsid w:val="00E466F3"/>
    <w:rsid w:val="00E47A9C"/>
    <w:rsid w:val="00E47B2C"/>
    <w:rsid w:val="00E47C7E"/>
    <w:rsid w:val="00E47CEC"/>
    <w:rsid w:val="00E5055B"/>
    <w:rsid w:val="00E50C69"/>
    <w:rsid w:val="00E513E9"/>
    <w:rsid w:val="00E51560"/>
    <w:rsid w:val="00E51821"/>
    <w:rsid w:val="00E529F1"/>
    <w:rsid w:val="00E52F9E"/>
    <w:rsid w:val="00E53E25"/>
    <w:rsid w:val="00E53FC8"/>
    <w:rsid w:val="00E54347"/>
    <w:rsid w:val="00E551AC"/>
    <w:rsid w:val="00E55424"/>
    <w:rsid w:val="00E558D7"/>
    <w:rsid w:val="00E55915"/>
    <w:rsid w:val="00E55A39"/>
    <w:rsid w:val="00E55BB5"/>
    <w:rsid w:val="00E55D72"/>
    <w:rsid w:val="00E5703B"/>
    <w:rsid w:val="00E609E4"/>
    <w:rsid w:val="00E61074"/>
    <w:rsid w:val="00E611DF"/>
    <w:rsid w:val="00E61254"/>
    <w:rsid w:val="00E61CB1"/>
    <w:rsid w:val="00E6241E"/>
    <w:rsid w:val="00E624A3"/>
    <w:rsid w:val="00E626C1"/>
    <w:rsid w:val="00E62B6E"/>
    <w:rsid w:val="00E62C5E"/>
    <w:rsid w:val="00E62C6F"/>
    <w:rsid w:val="00E631B5"/>
    <w:rsid w:val="00E64653"/>
    <w:rsid w:val="00E6593B"/>
    <w:rsid w:val="00E65C8F"/>
    <w:rsid w:val="00E65E79"/>
    <w:rsid w:val="00E66926"/>
    <w:rsid w:val="00E66BA2"/>
    <w:rsid w:val="00E67007"/>
    <w:rsid w:val="00E67416"/>
    <w:rsid w:val="00E675C8"/>
    <w:rsid w:val="00E67896"/>
    <w:rsid w:val="00E67CB5"/>
    <w:rsid w:val="00E67E5C"/>
    <w:rsid w:val="00E70A8A"/>
    <w:rsid w:val="00E70DC9"/>
    <w:rsid w:val="00E712C5"/>
    <w:rsid w:val="00E718B6"/>
    <w:rsid w:val="00E71A30"/>
    <w:rsid w:val="00E71EC9"/>
    <w:rsid w:val="00E7204A"/>
    <w:rsid w:val="00E723BA"/>
    <w:rsid w:val="00E7295B"/>
    <w:rsid w:val="00E72CC9"/>
    <w:rsid w:val="00E73581"/>
    <w:rsid w:val="00E7555B"/>
    <w:rsid w:val="00E774F1"/>
    <w:rsid w:val="00E774FE"/>
    <w:rsid w:val="00E8041F"/>
    <w:rsid w:val="00E8067A"/>
    <w:rsid w:val="00E8146A"/>
    <w:rsid w:val="00E81DBB"/>
    <w:rsid w:val="00E82725"/>
    <w:rsid w:val="00E82D42"/>
    <w:rsid w:val="00E833F7"/>
    <w:rsid w:val="00E8365B"/>
    <w:rsid w:val="00E83BDF"/>
    <w:rsid w:val="00E83C2D"/>
    <w:rsid w:val="00E8436D"/>
    <w:rsid w:val="00E85301"/>
    <w:rsid w:val="00E866C9"/>
    <w:rsid w:val="00E86B33"/>
    <w:rsid w:val="00E86FCC"/>
    <w:rsid w:val="00E87A1D"/>
    <w:rsid w:val="00E9094A"/>
    <w:rsid w:val="00E90DFF"/>
    <w:rsid w:val="00E91961"/>
    <w:rsid w:val="00E91D35"/>
    <w:rsid w:val="00E926A5"/>
    <w:rsid w:val="00E92A2E"/>
    <w:rsid w:val="00E932E7"/>
    <w:rsid w:val="00E94414"/>
    <w:rsid w:val="00E95461"/>
    <w:rsid w:val="00E955A4"/>
    <w:rsid w:val="00E95C08"/>
    <w:rsid w:val="00E9611B"/>
    <w:rsid w:val="00E962CC"/>
    <w:rsid w:val="00E97964"/>
    <w:rsid w:val="00E97E67"/>
    <w:rsid w:val="00E97F4F"/>
    <w:rsid w:val="00EA17C3"/>
    <w:rsid w:val="00EA185C"/>
    <w:rsid w:val="00EA18A1"/>
    <w:rsid w:val="00EA1A92"/>
    <w:rsid w:val="00EA1C5B"/>
    <w:rsid w:val="00EA1EE9"/>
    <w:rsid w:val="00EA28CC"/>
    <w:rsid w:val="00EA2CAA"/>
    <w:rsid w:val="00EA30F7"/>
    <w:rsid w:val="00EA36C0"/>
    <w:rsid w:val="00EA3864"/>
    <w:rsid w:val="00EA3EE2"/>
    <w:rsid w:val="00EA5D00"/>
    <w:rsid w:val="00EA7359"/>
    <w:rsid w:val="00EA7B1E"/>
    <w:rsid w:val="00EA7F1C"/>
    <w:rsid w:val="00EB01DE"/>
    <w:rsid w:val="00EB028E"/>
    <w:rsid w:val="00EB0F26"/>
    <w:rsid w:val="00EB15B6"/>
    <w:rsid w:val="00EB37B7"/>
    <w:rsid w:val="00EB3D06"/>
    <w:rsid w:val="00EB3DDE"/>
    <w:rsid w:val="00EB4513"/>
    <w:rsid w:val="00EB4916"/>
    <w:rsid w:val="00EB5313"/>
    <w:rsid w:val="00EB55C8"/>
    <w:rsid w:val="00EB63BB"/>
    <w:rsid w:val="00EB649A"/>
    <w:rsid w:val="00EB6E1B"/>
    <w:rsid w:val="00EB725C"/>
    <w:rsid w:val="00EB7BE2"/>
    <w:rsid w:val="00EB7DFA"/>
    <w:rsid w:val="00EC00C9"/>
    <w:rsid w:val="00EC02FD"/>
    <w:rsid w:val="00EC0B46"/>
    <w:rsid w:val="00EC0DD9"/>
    <w:rsid w:val="00EC1101"/>
    <w:rsid w:val="00EC12F8"/>
    <w:rsid w:val="00EC1F81"/>
    <w:rsid w:val="00EC2649"/>
    <w:rsid w:val="00EC2D11"/>
    <w:rsid w:val="00EC31ED"/>
    <w:rsid w:val="00EC3288"/>
    <w:rsid w:val="00EC35D8"/>
    <w:rsid w:val="00EC3B66"/>
    <w:rsid w:val="00EC40CB"/>
    <w:rsid w:val="00EC4A9F"/>
    <w:rsid w:val="00EC5836"/>
    <w:rsid w:val="00EC62DD"/>
    <w:rsid w:val="00EC688C"/>
    <w:rsid w:val="00EC6AF7"/>
    <w:rsid w:val="00EC7209"/>
    <w:rsid w:val="00EC740F"/>
    <w:rsid w:val="00EC75BA"/>
    <w:rsid w:val="00EC7772"/>
    <w:rsid w:val="00ED0CBB"/>
    <w:rsid w:val="00ED0F9E"/>
    <w:rsid w:val="00ED10AA"/>
    <w:rsid w:val="00ED12A6"/>
    <w:rsid w:val="00ED12E3"/>
    <w:rsid w:val="00ED1D6B"/>
    <w:rsid w:val="00ED340E"/>
    <w:rsid w:val="00ED388F"/>
    <w:rsid w:val="00ED3EC6"/>
    <w:rsid w:val="00ED4385"/>
    <w:rsid w:val="00ED4855"/>
    <w:rsid w:val="00ED48DD"/>
    <w:rsid w:val="00ED4B04"/>
    <w:rsid w:val="00ED4C4C"/>
    <w:rsid w:val="00ED551C"/>
    <w:rsid w:val="00ED57EA"/>
    <w:rsid w:val="00ED5BD4"/>
    <w:rsid w:val="00ED6B10"/>
    <w:rsid w:val="00ED6E2B"/>
    <w:rsid w:val="00ED726E"/>
    <w:rsid w:val="00ED7B48"/>
    <w:rsid w:val="00ED7C4D"/>
    <w:rsid w:val="00EE07B0"/>
    <w:rsid w:val="00EE07D3"/>
    <w:rsid w:val="00EE1996"/>
    <w:rsid w:val="00EE19D0"/>
    <w:rsid w:val="00EE1C01"/>
    <w:rsid w:val="00EE22AF"/>
    <w:rsid w:val="00EE2839"/>
    <w:rsid w:val="00EE283D"/>
    <w:rsid w:val="00EE2ABF"/>
    <w:rsid w:val="00EE2CAA"/>
    <w:rsid w:val="00EE362F"/>
    <w:rsid w:val="00EE3F36"/>
    <w:rsid w:val="00EE41EA"/>
    <w:rsid w:val="00EE5ECA"/>
    <w:rsid w:val="00EE6A26"/>
    <w:rsid w:val="00EE72A8"/>
    <w:rsid w:val="00EE7434"/>
    <w:rsid w:val="00EE7710"/>
    <w:rsid w:val="00EE7C85"/>
    <w:rsid w:val="00EF0171"/>
    <w:rsid w:val="00EF03B5"/>
    <w:rsid w:val="00EF06A8"/>
    <w:rsid w:val="00EF0797"/>
    <w:rsid w:val="00EF0B59"/>
    <w:rsid w:val="00EF140F"/>
    <w:rsid w:val="00EF1B25"/>
    <w:rsid w:val="00EF1DA0"/>
    <w:rsid w:val="00EF1E54"/>
    <w:rsid w:val="00EF2577"/>
    <w:rsid w:val="00EF328B"/>
    <w:rsid w:val="00EF3D08"/>
    <w:rsid w:val="00EF462B"/>
    <w:rsid w:val="00EF4747"/>
    <w:rsid w:val="00EF48B5"/>
    <w:rsid w:val="00EF4BF8"/>
    <w:rsid w:val="00EF4D93"/>
    <w:rsid w:val="00EF56EC"/>
    <w:rsid w:val="00EF5BCE"/>
    <w:rsid w:val="00EF71AB"/>
    <w:rsid w:val="00EF72E7"/>
    <w:rsid w:val="00EF7E4E"/>
    <w:rsid w:val="00F002F9"/>
    <w:rsid w:val="00F008FD"/>
    <w:rsid w:val="00F020B4"/>
    <w:rsid w:val="00F02253"/>
    <w:rsid w:val="00F02A17"/>
    <w:rsid w:val="00F0300B"/>
    <w:rsid w:val="00F03252"/>
    <w:rsid w:val="00F03C2E"/>
    <w:rsid w:val="00F03E52"/>
    <w:rsid w:val="00F04138"/>
    <w:rsid w:val="00F04399"/>
    <w:rsid w:val="00F04764"/>
    <w:rsid w:val="00F049D4"/>
    <w:rsid w:val="00F04A66"/>
    <w:rsid w:val="00F04B4B"/>
    <w:rsid w:val="00F0516C"/>
    <w:rsid w:val="00F067A2"/>
    <w:rsid w:val="00F07B9E"/>
    <w:rsid w:val="00F07C19"/>
    <w:rsid w:val="00F07C8C"/>
    <w:rsid w:val="00F10445"/>
    <w:rsid w:val="00F104AC"/>
    <w:rsid w:val="00F10562"/>
    <w:rsid w:val="00F1091A"/>
    <w:rsid w:val="00F10CE6"/>
    <w:rsid w:val="00F10F3F"/>
    <w:rsid w:val="00F1116F"/>
    <w:rsid w:val="00F113C8"/>
    <w:rsid w:val="00F117AA"/>
    <w:rsid w:val="00F1263A"/>
    <w:rsid w:val="00F126A7"/>
    <w:rsid w:val="00F137C0"/>
    <w:rsid w:val="00F139C5"/>
    <w:rsid w:val="00F1477B"/>
    <w:rsid w:val="00F14A92"/>
    <w:rsid w:val="00F159F6"/>
    <w:rsid w:val="00F15A6C"/>
    <w:rsid w:val="00F15A8A"/>
    <w:rsid w:val="00F15B28"/>
    <w:rsid w:val="00F15B77"/>
    <w:rsid w:val="00F16538"/>
    <w:rsid w:val="00F1653C"/>
    <w:rsid w:val="00F165A4"/>
    <w:rsid w:val="00F16A7D"/>
    <w:rsid w:val="00F170D8"/>
    <w:rsid w:val="00F176A2"/>
    <w:rsid w:val="00F179F2"/>
    <w:rsid w:val="00F179F8"/>
    <w:rsid w:val="00F21236"/>
    <w:rsid w:val="00F21D83"/>
    <w:rsid w:val="00F21E82"/>
    <w:rsid w:val="00F21F0D"/>
    <w:rsid w:val="00F22080"/>
    <w:rsid w:val="00F23455"/>
    <w:rsid w:val="00F239DF"/>
    <w:rsid w:val="00F23EBF"/>
    <w:rsid w:val="00F24837"/>
    <w:rsid w:val="00F24CEB"/>
    <w:rsid w:val="00F250F2"/>
    <w:rsid w:val="00F25424"/>
    <w:rsid w:val="00F25549"/>
    <w:rsid w:val="00F2575F"/>
    <w:rsid w:val="00F263FD"/>
    <w:rsid w:val="00F2678E"/>
    <w:rsid w:val="00F2684D"/>
    <w:rsid w:val="00F268D1"/>
    <w:rsid w:val="00F26C4A"/>
    <w:rsid w:val="00F27565"/>
    <w:rsid w:val="00F27A6F"/>
    <w:rsid w:val="00F27B3E"/>
    <w:rsid w:val="00F300CD"/>
    <w:rsid w:val="00F3033C"/>
    <w:rsid w:val="00F30D2E"/>
    <w:rsid w:val="00F30D6D"/>
    <w:rsid w:val="00F310D4"/>
    <w:rsid w:val="00F317F9"/>
    <w:rsid w:val="00F31D5A"/>
    <w:rsid w:val="00F33975"/>
    <w:rsid w:val="00F33DE9"/>
    <w:rsid w:val="00F33F7C"/>
    <w:rsid w:val="00F34381"/>
    <w:rsid w:val="00F346FE"/>
    <w:rsid w:val="00F35591"/>
    <w:rsid w:val="00F355DA"/>
    <w:rsid w:val="00F35E6D"/>
    <w:rsid w:val="00F3619A"/>
    <w:rsid w:val="00F36797"/>
    <w:rsid w:val="00F4017D"/>
    <w:rsid w:val="00F40973"/>
    <w:rsid w:val="00F40A1B"/>
    <w:rsid w:val="00F40AAA"/>
    <w:rsid w:val="00F40BA7"/>
    <w:rsid w:val="00F40C60"/>
    <w:rsid w:val="00F40DAC"/>
    <w:rsid w:val="00F40F5F"/>
    <w:rsid w:val="00F40F9D"/>
    <w:rsid w:val="00F41184"/>
    <w:rsid w:val="00F41ACD"/>
    <w:rsid w:val="00F4236F"/>
    <w:rsid w:val="00F42BA7"/>
    <w:rsid w:val="00F433B2"/>
    <w:rsid w:val="00F43D20"/>
    <w:rsid w:val="00F443A3"/>
    <w:rsid w:val="00F444AB"/>
    <w:rsid w:val="00F455E3"/>
    <w:rsid w:val="00F45A66"/>
    <w:rsid w:val="00F466FA"/>
    <w:rsid w:val="00F46C5C"/>
    <w:rsid w:val="00F46CB6"/>
    <w:rsid w:val="00F4756D"/>
    <w:rsid w:val="00F47DE8"/>
    <w:rsid w:val="00F47E73"/>
    <w:rsid w:val="00F50929"/>
    <w:rsid w:val="00F50A35"/>
    <w:rsid w:val="00F50C06"/>
    <w:rsid w:val="00F50C6C"/>
    <w:rsid w:val="00F5112E"/>
    <w:rsid w:val="00F51B24"/>
    <w:rsid w:val="00F529C7"/>
    <w:rsid w:val="00F52F43"/>
    <w:rsid w:val="00F53E06"/>
    <w:rsid w:val="00F540A8"/>
    <w:rsid w:val="00F542C1"/>
    <w:rsid w:val="00F54953"/>
    <w:rsid w:val="00F54CDA"/>
    <w:rsid w:val="00F550E3"/>
    <w:rsid w:val="00F554A8"/>
    <w:rsid w:val="00F5591F"/>
    <w:rsid w:val="00F55A29"/>
    <w:rsid w:val="00F55E73"/>
    <w:rsid w:val="00F55EDA"/>
    <w:rsid w:val="00F56C80"/>
    <w:rsid w:val="00F56E27"/>
    <w:rsid w:val="00F60092"/>
    <w:rsid w:val="00F60314"/>
    <w:rsid w:val="00F6088E"/>
    <w:rsid w:val="00F60C76"/>
    <w:rsid w:val="00F61265"/>
    <w:rsid w:val="00F612DF"/>
    <w:rsid w:val="00F619AF"/>
    <w:rsid w:val="00F61C18"/>
    <w:rsid w:val="00F6271A"/>
    <w:rsid w:val="00F628AE"/>
    <w:rsid w:val="00F62C9A"/>
    <w:rsid w:val="00F63F16"/>
    <w:rsid w:val="00F64202"/>
    <w:rsid w:val="00F648A8"/>
    <w:rsid w:val="00F64CC5"/>
    <w:rsid w:val="00F655B3"/>
    <w:rsid w:val="00F65BF8"/>
    <w:rsid w:val="00F65F4B"/>
    <w:rsid w:val="00F663B4"/>
    <w:rsid w:val="00F66C65"/>
    <w:rsid w:val="00F670BE"/>
    <w:rsid w:val="00F67A69"/>
    <w:rsid w:val="00F67C32"/>
    <w:rsid w:val="00F7004A"/>
    <w:rsid w:val="00F705E0"/>
    <w:rsid w:val="00F7079D"/>
    <w:rsid w:val="00F70BFF"/>
    <w:rsid w:val="00F70C9D"/>
    <w:rsid w:val="00F71551"/>
    <w:rsid w:val="00F718DD"/>
    <w:rsid w:val="00F71A27"/>
    <w:rsid w:val="00F71AA6"/>
    <w:rsid w:val="00F71BA1"/>
    <w:rsid w:val="00F7240F"/>
    <w:rsid w:val="00F72890"/>
    <w:rsid w:val="00F7355C"/>
    <w:rsid w:val="00F73669"/>
    <w:rsid w:val="00F738F3"/>
    <w:rsid w:val="00F73E08"/>
    <w:rsid w:val="00F7402C"/>
    <w:rsid w:val="00F74CD9"/>
    <w:rsid w:val="00F75A28"/>
    <w:rsid w:val="00F75ADF"/>
    <w:rsid w:val="00F75BEA"/>
    <w:rsid w:val="00F75C4E"/>
    <w:rsid w:val="00F7698F"/>
    <w:rsid w:val="00F76CAB"/>
    <w:rsid w:val="00F77255"/>
    <w:rsid w:val="00F7786E"/>
    <w:rsid w:val="00F80A7B"/>
    <w:rsid w:val="00F80E5D"/>
    <w:rsid w:val="00F81120"/>
    <w:rsid w:val="00F81E78"/>
    <w:rsid w:val="00F82315"/>
    <w:rsid w:val="00F82CB7"/>
    <w:rsid w:val="00F8319B"/>
    <w:rsid w:val="00F8337D"/>
    <w:rsid w:val="00F83870"/>
    <w:rsid w:val="00F83916"/>
    <w:rsid w:val="00F84C8C"/>
    <w:rsid w:val="00F84EAF"/>
    <w:rsid w:val="00F85031"/>
    <w:rsid w:val="00F850C3"/>
    <w:rsid w:val="00F851CE"/>
    <w:rsid w:val="00F85B73"/>
    <w:rsid w:val="00F86984"/>
    <w:rsid w:val="00F875A7"/>
    <w:rsid w:val="00F911EC"/>
    <w:rsid w:val="00F91219"/>
    <w:rsid w:val="00F92444"/>
    <w:rsid w:val="00F9247F"/>
    <w:rsid w:val="00F937D7"/>
    <w:rsid w:val="00F9393E"/>
    <w:rsid w:val="00F93A55"/>
    <w:rsid w:val="00F93FB9"/>
    <w:rsid w:val="00F94963"/>
    <w:rsid w:val="00F94A9C"/>
    <w:rsid w:val="00F94B26"/>
    <w:rsid w:val="00F94ED1"/>
    <w:rsid w:val="00F957EE"/>
    <w:rsid w:val="00F96FD0"/>
    <w:rsid w:val="00F97A78"/>
    <w:rsid w:val="00F97C59"/>
    <w:rsid w:val="00FA0244"/>
    <w:rsid w:val="00FA0B20"/>
    <w:rsid w:val="00FA1378"/>
    <w:rsid w:val="00FA2341"/>
    <w:rsid w:val="00FA24E7"/>
    <w:rsid w:val="00FA300C"/>
    <w:rsid w:val="00FA35E5"/>
    <w:rsid w:val="00FA414E"/>
    <w:rsid w:val="00FA4236"/>
    <w:rsid w:val="00FA4D1D"/>
    <w:rsid w:val="00FA4FA5"/>
    <w:rsid w:val="00FA5678"/>
    <w:rsid w:val="00FA5D38"/>
    <w:rsid w:val="00FA5EE6"/>
    <w:rsid w:val="00FA60E9"/>
    <w:rsid w:val="00FA64D2"/>
    <w:rsid w:val="00FA6E99"/>
    <w:rsid w:val="00FA7956"/>
    <w:rsid w:val="00FA7B02"/>
    <w:rsid w:val="00FA7D7F"/>
    <w:rsid w:val="00FB0824"/>
    <w:rsid w:val="00FB1FAA"/>
    <w:rsid w:val="00FB2FCB"/>
    <w:rsid w:val="00FB3015"/>
    <w:rsid w:val="00FB3695"/>
    <w:rsid w:val="00FB36C1"/>
    <w:rsid w:val="00FB3AA1"/>
    <w:rsid w:val="00FB4C9C"/>
    <w:rsid w:val="00FB53A7"/>
    <w:rsid w:val="00FB5DC5"/>
    <w:rsid w:val="00FB6C69"/>
    <w:rsid w:val="00FB7547"/>
    <w:rsid w:val="00FB7C55"/>
    <w:rsid w:val="00FB7CE0"/>
    <w:rsid w:val="00FB7E7A"/>
    <w:rsid w:val="00FC016B"/>
    <w:rsid w:val="00FC067A"/>
    <w:rsid w:val="00FC07EC"/>
    <w:rsid w:val="00FC0997"/>
    <w:rsid w:val="00FC0F52"/>
    <w:rsid w:val="00FC1074"/>
    <w:rsid w:val="00FC10F7"/>
    <w:rsid w:val="00FC1884"/>
    <w:rsid w:val="00FC2C53"/>
    <w:rsid w:val="00FC2C7A"/>
    <w:rsid w:val="00FC371D"/>
    <w:rsid w:val="00FC3D12"/>
    <w:rsid w:val="00FC45BA"/>
    <w:rsid w:val="00FC4C5F"/>
    <w:rsid w:val="00FC4E0F"/>
    <w:rsid w:val="00FC50F3"/>
    <w:rsid w:val="00FC5183"/>
    <w:rsid w:val="00FC56D2"/>
    <w:rsid w:val="00FC57EA"/>
    <w:rsid w:val="00FC5A37"/>
    <w:rsid w:val="00FC5F0B"/>
    <w:rsid w:val="00FC6628"/>
    <w:rsid w:val="00FC7596"/>
    <w:rsid w:val="00FC78B4"/>
    <w:rsid w:val="00FC7B75"/>
    <w:rsid w:val="00FC7CFF"/>
    <w:rsid w:val="00FC7EA6"/>
    <w:rsid w:val="00FD0975"/>
    <w:rsid w:val="00FD0E21"/>
    <w:rsid w:val="00FD18BC"/>
    <w:rsid w:val="00FD1D64"/>
    <w:rsid w:val="00FD2100"/>
    <w:rsid w:val="00FD27B4"/>
    <w:rsid w:val="00FD3032"/>
    <w:rsid w:val="00FD379A"/>
    <w:rsid w:val="00FD428E"/>
    <w:rsid w:val="00FD434E"/>
    <w:rsid w:val="00FD436C"/>
    <w:rsid w:val="00FD446D"/>
    <w:rsid w:val="00FD448D"/>
    <w:rsid w:val="00FD44B2"/>
    <w:rsid w:val="00FD44BD"/>
    <w:rsid w:val="00FD4F2C"/>
    <w:rsid w:val="00FD50A4"/>
    <w:rsid w:val="00FD5359"/>
    <w:rsid w:val="00FD54EE"/>
    <w:rsid w:val="00FD6394"/>
    <w:rsid w:val="00FD6676"/>
    <w:rsid w:val="00FD72F5"/>
    <w:rsid w:val="00FD7300"/>
    <w:rsid w:val="00FD733F"/>
    <w:rsid w:val="00FD7846"/>
    <w:rsid w:val="00FD7D88"/>
    <w:rsid w:val="00FE0CC2"/>
    <w:rsid w:val="00FE0E6C"/>
    <w:rsid w:val="00FE0EA9"/>
    <w:rsid w:val="00FE1710"/>
    <w:rsid w:val="00FE1CDC"/>
    <w:rsid w:val="00FE21A1"/>
    <w:rsid w:val="00FE2892"/>
    <w:rsid w:val="00FE3531"/>
    <w:rsid w:val="00FE4972"/>
    <w:rsid w:val="00FE5DA8"/>
    <w:rsid w:val="00FE5E59"/>
    <w:rsid w:val="00FE678C"/>
    <w:rsid w:val="00FE69A0"/>
    <w:rsid w:val="00FE70C3"/>
    <w:rsid w:val="00FE71B7"/>
    <w:rsid w:val="00FE7572"/>
    <w:rsid w:val="00FF0451"/>
    <w:rsid w:val="00FF09DB"/>
    <w:rsid w:val="00FF1A8B"/>
    <w:rsid w:val="00FF2AD9"/>
    <w:rsid w:val="00FF359F"/>
    <w:rsid w:val="00FF3796"/>
    <w:rsid w:val="00FF3C17"/>
    <w:rsid w:val="00FF3DCF"/>
    <w:rsid w:val="00FF46A7"/>
    <w:rsid w:val="00FF488B"/>
    <w:rsid w:val="00FF492C"/>
    <w:rsid w:val="00FF4A21"/>
    <w:rsid w:val="00FF538E"/>
    <w:rsid w:val="00FF5AA3"/>
    <w:rsid w:val="00FF5AD8"/>
    <w:rsid w:val="00FF5AF4"/>
    <w:rsid w:val="00FF5CF1"/>
    <w:rsid w:val="00FF69B2"/>
    <w:rsid w:val="00FF70A1"/>
    <w:rsid w:val="00FF70DD"/>
    <w:rsid w:val="00FF7171"/>
    <w:rsid w:val="00FF71E5"/>
    <w:rsid w:val="00FF72B4"/>
    <w:rsid w:val="00FF7BC7"/>
    <w:rsid w:val="00FF7C62"/>
    <w:rsid w:val="00FF7D4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7" w:semiHidden="1" w:unhideWhenUsed="1"/>
    <w:lsdException w:name="heading 8" w:semiHidden="1" w:uiPriority="7"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aliases w:val="V5.0 Heading 1"/>
    <w:basedOn w:val="Normal"/>
    <w:next w:val="Normal"/>
    <w:uiPriority w:val="1"/>
    <w:qFormat/>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 H17,Bayer Caption,IB Caption,Medical Caption,Char Char2 Char Char,NICE Caption,! Q,B Caption,PHE Caption,table,Caption PRIMA,Caption Char1,Caption Char Char,Caption Char1 Char Char,Caption Char Char Char Char,Caption Char1 Char,Caption 3,c,Cha"/>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 H17 Char,Bayer Caption Char,IB Caption Char,Medical Caption Char,Char Char2 Char Char Char,NICE Caption Char,! Q Char,B Caption Char,PHE Caption Char,table Char,Caption PRIMA Char,Caption Char1 Char1,Caption Char Char Char,Caption 3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V5.0 Exec bullet List 1"/>
    <w:link w:val="ListParagraphChar"/>
    <w:uiPriority w:val="34"/>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V5.0 Exec bullet List 1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lthConsult,Source table_,NICE instructions,Header Table,RTI AMCP Table,new style,Dossier table,Section 3- footnotes,MSD Table Grid,PBAC table,Summary Table,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
    <w:name w:val="Table"/>
    <w:basedOn w:val="Normal"/>
    <w:link w:val="TableChar"/>
    <w:qFormat/>
    <w:rsid w:val="00E86B33"/>
    <w:rPr>
      <w:rFonts w:asciiTheme="minorHAnsi" w:eastAsiaTheme="majorEastAsia" w:hAnsiTheme="minorHAnsi" w:cstheme="majorBidi"/>
      <w:sz w:val="20"/>
      <w:szCs w:val="22"/>
      <w:lang w:eastAsia="en-US" w:bidi="en-US"/>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916270"/>
    <w:pPr>
      <w:keepNext/>
      <w:keepLines/>
      <w:jc w:val="center"/>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7"/>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401847"/>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401847"/>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Char">
    <w:name w:val="Table Char"/>
    <w:basedOn w:val="DefaultParagraphFont"/>
    <w:link w:val="Table"/>
    <w:locked/>
    <w:rsid w:val="00E86B33"/>
    <w:rPr>
      <w:rFonts w:asciiTheme="minorHAnsi" w:eastAsiaTheme="majorEastAsia" w:hAnsiTheme="minorHAnsi" w:cstheme="majorBidi"/>
      <w:szCs w:val="22"/>
      <w:lang w:eastAsia="en-US" w:bidi="en-US"/>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A102DA"/>
    <w:pPr>
      <w:keepLines/>
      <w:spacing w:after="16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A102DA"/>
    <w:rPr>
      <w:rFonts w:ascii="Arial Narrow" w:hAnsi="Arial Narrow" w:cs="Arial"/>
      <w:snapToGrid w:val="0"/>
      <w:sz w:val="18"/>
      <w:szCs w:val="22"/>
    </w:rPr>
  </w:style>
  <w:style w:type="paragraph" w:styleId="DocumentMap">
    <w:name w:val="Document Map"/>
    <w:basedOn w:val="Normal"/>
    <w:link w:val="DocumentMapChar"/>
    <w:semiHidden/>
    <w:unhideWhenUsed/>
    <w:rsid w:val="007771A9"/>
    <w:rPr>
      <w:rFonts w:ascii="Tahoma" w:eastAsiaTheme="majorEastAsia" w:hAnsi="Tahoma" w:cs="Tahoma"/>
      <w:sz w:val="16"/>
      <w:szCs w:val="16"/>
      <w:lang w:eastAsia="en-US" w:bidi="en-US"/>
    </w:rPr>
  </w:style>
  <w:style w:type="character" w:customStyle="1" w:styleId="DocumentMapChar">
    <w:name w:val="Document Map Char"/>
    <w:basedOn w:val="DefaultParagraphFont"/>
    <w:link w:val="DocumentMap"/>
    <w:semiHidden/>
    <w:rsid w:val="007771A9"/>
    <w:rPr>
      <w:rFonts w:ascii="Tahoma" w:eastAsiaTheme="majorEastAsia" w:hAnsi="Tahoma" w:cs="Tahoma"/>
      <w:sz w:val="16"/>
      <w:szCs w:val="16"/>
      <w:lang w:eastAsia="en-US" w:bidi="en-US"/>
    </w:rPr>
  </w:style>
  <w:style w:type="paragraph" w:styleId="FootnoteText">
    <w:name w:val="footnote text"/>
    <w:basedOn w:val="Normal"/>
    <w:link w:val="FootnoteTextChar"/>
    <w:unhideWhenUsed/>
    <w:rsid w:val="00250D68"/>
    <w:rPr>
      <w:sz w:val="20"/>
      <w:szCs w:val="20"/>
    </w:rPr>
  </w:style>
  <w:style w:type="character" w:customStyle="1" w:styleId="FootnoteTextChar">
    <w:name w:val="Footnote Text Char"/>
    <w:basedOn w:val="DefaultParagraphFont"/>
    <w:link w:val="FootnoteText"/>
    <w:rsid w:val="00250D68"/>
    <w:rPr>
      <w:rFonts w:ascii="Calibri" w:hAnsi="Calibri" w:cs="Arial"/>
    </w:rPr>
  </w:style>
  <w:style w:type="character" w:styleId="FootnoteReference">
    <w:name w:val="footnote reference"/>
    <w:basedOn w:val="DefaultParagraphFont"/>
    <w:semiHidden/>
    <w:unhideWhenUsed/>
    <w:rsid w:val="00250D68"/>
    <w:rPr>
      <w:vertAlign w:val="superscript"/>
    </w:rPr>
  </w:style>
  <w:style w:type="character" w:customStyle="1" w:styleId="CaptionFootnoteChar">
    <w:name w:val="Caption Footnote Char"/>
    <w:basedOn w:val="CaptionChar"/>
    <w:link w:val="CaptionFootnote"/>
    <w:rsid w:val="00A2753F"/>
    <w:rPr>
      <w:rFonts w:ascii="Candara" w:hAnsi="Candara" w:cs="Arial"/>
      <w:b w:val="0"/>
      <w:bCs/>
      <w:sz w:val="16"/>
      <w:szCs w:val="18"/>
    </w:rPr>
  </w:style>
  <w:style w:type="paragraph" w:customStyle="1" w:styleId="CaptionFootnote">
    <w:name w:val="Caption Footnote"/>
    <w:basedOn w:val="Caption"/>
    <w:link w:val="CaptionFootnoteChar"/>
    <w:qFormat/>
    <w:rsid w:val="00A2753F"/>
    <w:pPr>
      <w:keepNext w:val="0"/>
      <w:keepLines w:val="0"/>
      <w:widowControl w:val="0"/>
    </w:pPr>
    <w:rPr>
      <w:rFonts w:ascii="Candara" w:hAnsi="Candara" w:cs="Times New Roman"/>
      <w:b w:val="0"/>
      <w:sz w:val="16"/>
    </w:rPr>
  </w:style>
  <w:style w:type="paragraph" w:customStyle="1" w:styleId="p1">
    <w:name w:val="p1"/>
    <w:basedOn w:val="Normal"/>
    <w:rsid w:val="00E45B13"/>
    <w:pPr>
      <w:jc w:val="left"/>
    </w:pPr>
    <w:rPr>
      <w:rFonts w:ascii="Helvetica" w:hAnsi="Helvetica" w:cs="Times New Roman"/>
      <w:color w:val="141413"/>
      <w:lang w:eastAsia="en-GB"/>
    </w:rPr>
  </w:style>
  <w:style w:type="character" w:customStyle="1" w:styleId="s1">
    <w:name w:val="s1"/>
    <w:basedOn w:val="DefaultParagraphFont"/>
    <w:rsid w:val="00845668"/>
    <w:rPr>
      <w:rFonts w:ascii="Times" w:hAnsi="Times" w:cs="Times" w:hint="default"/>
      <w:sz w:val="8"/>
      <w:szCs w:val="8"/>
    </w:rPr>
  </w:style>
  <w:style w:type="character" w:customStyle="1" w:styleId="apple-converted-space">
    <w:name w:val="apple-converted-space"/>
    <w:basedOn w:val="DefaultParagraphFont"/>
    <w:rsid w:val="00F9247F"/>
  </w:style>
  <w:style w:type="character" w:customStyle="1" w:styleId="SmallBold">
    <w:name w:val="Small Bold"/>
    <w:basedOn w:val="DefaultParagraphFont"/>
    <w:uiPriority w:val="4"/>
    <w:qFormat/>
    <w:rsid w:val="00E86B33"/>
    <w:rPr>
      <w:rFonts w:asciiTheme="minorHAnsi" w:hAnsiTheme="minorHAnsi"/>
      <w:b/>
      <w:sz w:val="20"/>
      <w:lang w:val="en-AU"/>
    </w:rPr>
  </w:style>
  <w:style w:type="paragraph" w:customStyle="1" w:styleId="TableLeft">
    <w:name w:val="Table Left"/>
    <w:basedOn w:val="Normal"/>
    <w:link w:val="TableLeftChar"/>
    <w:uiPriority w:val="99"/>
    <w:qFormat/>
    <w:rsid w:val="007A776C"/>
    <w:pPr>
      <w:jc w:val="left"/>
    </w:pPr>
    <w:rPr>
      <w:rFonts w:asciiTheme="minorHAnsi" w:eastAsiaTheme="majorEastAsia" w:hAnsiTheme="minorHAnsi" w:cstheme="minorHAnsi"/>
      <w:sz w:val="20"/>
      <w:szCs w:val="22"/>
      <w:lang w:eastAsia="en-US" w:bidi="en-US"/>
    </w:rPr>
  </w:style>
  <w:style w:type="character" w:customStyle="1" w:styleId="TableLeftChar">
    <w:name w:val="Table Left Char"/>
    <w:basedOn w:val="DefaultParagraphFont"/>
    <w:link w:val="TableLeft"/>
    <w:uiPriority w:val="99"/>
    <w:locked/>
    <w:rsid w:val="007A776C"/>
    <w:rPr>
      <w:rFonts w:asciiTheme="minorHAnsi" w:eastAsiaTheme="majorEastAsia" w:hAnsiTheme="minorHAnsi" w:cstheme="minorHAnsi"/>
      <w:szCs w:val="22"/>
      <w:lang w:eastAsia="en-US" w:bidi="en-US"/>
    </w:rPr>
  </w:style>
  <w:style w:type="character" w:styleId="UnresolvedMention">
    <w:name w:val="Unresolved Mention"/>
    <w:basedOn w:val="DefaultParagraphFont"/>
    <w:uiPriority w:val="99"/>
    <w:semiHidden/>
    <w:unhideWhenUsed/>
    <w:rsid w:val="00BD4957"/>
    <w:rPr>
      <w:color w:val="605E5C"/>
      <w:shd w:val="clear" w:color="auto" w:fill="E1DFDD"/>
    </w:rPr>
  </w:style>
  <w:style w:type="paragraph" w:customStyle="1" w:styleId="TableText0">
    <w:name w:val="Table Text"/>
    <w:link w:val="TableTextChar0"/>
    <w:autoRedefine/>
    <w:qFormat/>
    <w:rsid w:val="00D4593A"/>
    <w:pPr>
      <w:keepNext/>
      <w:keepLines/>
      <w:jc w:val="center"/>
    </w:pPr>
    <w:rPr>
      <w:rFonts w:ascii="Arial Narrow" w:eastAsiaTheme="majorEastAsia" w:hAnsi="Arial Narrow" w:cstheme="majorBidi"/>
      <w:szCs w:val="24"/>
    </w:rPr>
  </w:style>
  <w:style w:type="character" w:customStyle="1" w:styleId="TableTextChar0">
    <w:name w:val="Table Text Char"/>
    <w:basedOn w:val="DefaultParagraphFont"/>
    <w:link w:val="TableText0"/>
    <w:rsid w:val="00D4593A"/>
    <w:rPr>
      <w:rFonts w:ascii="Arial Narrow" w:eastAsiaTheme="majorEastAsia" w:hAnsi="Arial Narrow" w:cstheme="majorBidi"/>
      <w:szCs w:val="24"/>
    </w:rPr>
  </w:style>
  <w:style w:type="paragraph" w:customStyle="1" w:styleId="pf0">
    <w:name w:val="pf0"/>
    <w:basedOn w:val="Normal"/>
    <w:rsid w:val="00AB772B"/>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AB772B"/>
    <w:rPr>
      <w:rFonts w:ascii="Segoe UI" w:hAnsi="Segoe UI" w:cs="Segoe UI" w:hint="default"/>
      <w:sz w:val="18"/>
      <w:szCs w:val="18"/>
    </w:rPr>
  </w:style>
  <w:style w:type="character" w:customStyle="1" w:styleId="Font">
    <w:name w:val="Font"/>
    <w:uiPriority w:val="1"/>
    <w:qFormat/>
    <w:rsid w:val="00B84419"/>
    <w:rPr>
      <w:lang w:val="en-GB"/>
    </w:rPr>
  </w:style>
  <w:style w:type="character" w:customStyle="1" w:styleId="PBACTableTextChar">
    <w:name w:val="PBAC Table Text Char"/>
    <w:basedOn w:val="DefaultParagraphFont"/>
    <w:link w:val="PBACTableText"/>
    <w:locked/>
    <w:rsid w:val="00FC45BA"/>
    <w:rPr>
      <w:rFonts w:ascii="Arial Narrow" w:hAnsi="Arial Narrow"/>
    </w:rPr>
  </w:style>
  <w:style w:type="paragraph" w:customStyle="1" w:styleId="PBACTableText">
    <w:name w:val="PBAC Table Text"/>
    <w:basedOn w:val="Normal"/>
    <w:link w:val="PBACTableTextChar"/>
    <w:qFormat/>
    <w:rsid w:val="00FC45BA"/>
    <w:pPr>
      <w:spacing w:before="40" w:after="40"/>
    </w:pPr>
    <w:rPr>
      <w:rFonts w:ascii="Arial Narrow" w:hAnsi="Arial Narrow" w:cs="Times New Roman"/>
      <w:sz w:val="20"/>
      <w:szCs w:val="20"/>
    </w:rPr>
  </w:style>
  <w:style w:type="paragraph" w:customStyle="1" w:styleId="COMTablefooter">
    <w:name w:val="COM Table footer"/>
    <w:basedOn w:val="Normal"/>
    <w:next w:val="Normal"/>
    <w:link w:val="COMTablefooterChar"/>
    <w:qFormat/>
    <w:rsid w:val="00FC45BA"/>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FC45BA"/>
    <w:rPr>
      <w:rFonts w:ascii="Arial Narrow" w:hAnsi="Arial Narrow" w:cs="Arial"/>
      <w:snapToGrid w:val="0"/>
      <w:sz w:val="18"/>
      <w:szCs w:val="22"/>
    </w:rPr>
  </w:style>
  <w:style w:type="paragraph" w:customStyle="1" w:styleId="3-SubsectionHeading">
    <w:name w:val="3-Subsection Heading"/>
    <w:basedOn w:val="Heading2"/>
    <w:next w:val="Normal"/>
    <w:link w:val="3-SubsectionHeadingChar"/>
    <w:qFormat/>
    <w:rsid w:val="009C315C"/>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9C315C"/>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1A107445-871D-42CD-96C3-03A99DC0B446}">
  <ds:schemaRefs>
    <ds:schemaRef ds:uri="http://schemas.openxmlformats.org/officeDocument/2006/bibliography"/>
  </ds:schemaRefs>
</ds:datastoreItem>
</file>

<file path=customXml/itemProps2.xml><?xml version="1.0" encoding="utf-8"?>
<ds:datastoreItem xmlns:ds="http://schemas.openxmlformats.org/officeDocument/2006/customXml" ds:itemID="{30C155FF-AC12-4AF6-9850-F976E3F4B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D2118C-8EC1-4C82-B940-A5E4525EED6F}">
  <ds:schemaRefs>
    <ds:schemaRef ds:uri="http://schemas.microsoft.com/sharepoint/v3/contenttype/forms"/>
  </ds:schemaRefs>
</ds:datastoreItem>
</file>

<file path=customXml/itemProps4.xml><?xml version="1.0" encoding="utf-8"?>
<ds:datastoreItem xmlns:ds="http://schemas.openxmlformats.org/officeDocument/2006/customXml" ds:itemID="{A4DE6036-80B4-4748-8D67-47D2617326C7}">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9110</Words>
  <Characters>50383</Characters>
  <Application>Microsoft Office Word</Application>
  <DocSecurity>0</DocSecurity>
  <Lines>1679</Lines>
  <Paragraphs>1043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2026-05-07T05:36:00Z</dcterms:created>
  <dcterms:modified xsi:type="dcterms:W3CDTF">2026-07-06T03:16:00Z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16adef6a,44093ddc,281a8a76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7e571811,541c328,1d6016ba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2026-03-31T02:16:04Z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b2e545cb-8082-4b90-a5db-913f67821fc1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ies>
</file>