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56AF" w14:textId="77777777" w:rsidR="006D1AFF" w:rsidRDefault="00BB61AE" w:rsidP="006D1AFF">
      <w:pPr>
        <w:pStyle w:val="1MainTitle"/>
        <w:ind w:left="709" w:hanging="862"/>
        <w:jc w:val="left"/>
      </w:pPr>
      <w:r>
        <w:t>6.15</w:t>
      </w:r>
      <w:r w:rsidRPr="00A6439B">
        <w:tab/>
      </w:r>
      <w:r>
        <w:t>RUXOLITINIB</w:t>
      </w:r>
      <w:r w:rsidRPr="00A6439B">
        <w:t>,</w:t>
      </w:r>
      <w:r w:rsidRPr="00A6439B">
        <w:br/>
      </w:r>
      <w:r>
        <w:t>Tablet 5 mg,</w:t>
      </w:r>
    </w:p>
    <w:p w14:paraId="60BEEB9A" w14:textId="77777777" w:rsidR="006D1AFF" w:rsidRDefault="00BB61AE" w:rsidP="006D1AFF">
      <w:pPr>
        <w:pStyle w:val="1MainTitle"/>
        <w:ind w:left="709" w:firstLine="0"/>
        <w:jc w:val="left"/>
      </w:pPr>
      <w:r>
        <w:t>Tablet 10 mg,</w:t>
      </w:r>
    </w:p>
    <w:p w14:paraId="49B8F54C" w14:textId="203D0A40" w:rsidR="00BB61AE" w:rsidRDefault="00BB61AE" w:rsidP="006D1AFF">
      <w:pPr>
        <w:pStyle w:val="1MainTitle"/>
        <w:ind w:left="709" w:firstLine="0"/>
        <w:jc w:val="left"/>
      </w:pPr>
      <w:r>
        <w:t>Tablet 15 mg,</w:t>
      </w:r>
    </w:p>
    <w:p w14:paraId="13BAA186" w14:textId="642346FF" w:rsidR="00BB61AE" w:rsidRDefault="00BB61AE" w:rsidP="000A0C96">
      <w:pPr>
        <w:pStyle w:val="1MainTitle"/>
        <w:ind w:left="709" w:firstLine="0"/>
        <w:jc w:val="left"/>
      </w:pPr>
      <w:r>
        <w:t>Tablet 20 mg,</w:t>
      </w:r>
    </w:p>
    <w:p w14:paraId="1F17F7B4" w14:textId="301961F4" w:rsidR="003440B0" w:rsidRPr="005462DC" w:rsidRDefault="00BB61AE" w:rsidP="00411464">
      <w:pPr>
        <w:pStyle w:val="1MainTitle"/>
        <w:ind w:left="709" w:firstLine="0"/>
        <w:jc w:val="left"/>
        <w:rPr>
          <w:rFonts w:eastAsiaTheme="minorEastAsia" w:cstheme="minorHAnsi"/>
          <w:szCs w:val="22"/>
        </w:rPr>
      </w:pPr>
      <w:proofErr w:type="spellStart"/>
      <w:r>
        <w:t>Jakavi</w:t>
      </w:r>
      <w:proofErr w:type="spellEnd"/>
      <w:r w:rsidRPr="00A6439B">
        <w:t>®</w:t>
      </w:r>
      <w:r>
        <w:t>,</w:t>
      </w:r>
      <w:r w:rsidRPr="00A6439B">
        <w:br/>
      </w:r>
      <w:r w:rsidR="00EA7C5A">
        <w:t>Novartis Pharmaceuticals Australia Pty Ltd</w:t>
      </w:r>
    </w:p>
    <w:p w14:paraId="6E2EC646" w14:textId="1B44764A" w:rsidR="003440B0" w:rsidRPr="00A6439B" w:rsidRDefault="003440B0" w:rsidP="003440B0">
      <w:pPr>
        <w:pStyle w:val="2-SectionHeading"/>
        <w:numPr>
          <w:ilvl w:val="0"/>
          <w:numId w:val="2"/>
        </w:numPr>
        <w:rPr>
          <w:rFonts w:cstheme="minorHAnsi"/>
          <w:color w:val="FF0000"/>
        </w:rPr>
      </w:pPr>
      <w:r w:rsidRPr="007E1673">
        <w:t>Purpose of Submission</w:t>
      </w:r>
      <w:r w:rsidRPr="00A6439B">
        <w:t xml:space="preserve"> </w:t>
      </w:r>
    </w:p>
    <w:p w14:paraId="0875FA3F" w14:textId="75C4DC4D" w:rsidR="003440B0" w:rsidRPr="007E023A" w:rsidRDefault="003440B0" w:rsidP="1B234C3C">
      <w:pPr>
        <w:pStyle w:val="3-BodyText"/>
      </w:pPr>
      <w:r>
        <w:t xml:space="preserve">The Category </w:t>
      </w:r>
      <w:r w:rsidR="00520B2B">
        <w:t xml:space="preserve">4 </w:t>
      </w:r>
      <w:r>
        <w:t>submission requested to</w:t>
      </w:r>
      <w:r w:rsidR="007E023A">
        <w:t xml:space="preserve"> </w:t>
      </w:r>
      <w:r w:rsidRPr="1B234C3C">
        <w:t>add</w:t>
      </w:r>
      <w:r w:rsidR="006D1AFF">
        <w:t xml:space="preserve"> nurse practitioners</w:t>
      </w:r>
      <w:r w:rsidR="00F377D0" w:rsidRPr="1B234C3C">
        <w:t xml:space="preserve"> </w:t>
      </w:r>
      <w:r w:rsidR="006D1AFF">
        <w:t>(</w:t>
      </w:r>
      <w:r w:rsidR="00F377D0" w:rsidRPr="1B234C3C">
        <w:t>NPs</w:t>
      </w:r>
      <w:r w:rsidR="006D1AFF">
        <w:t>)</w:t>
      </w:r>
      <w:r w:rsidRPr="1B234C3C">
        <w:t xml:space="preserve"> to the prescriber type of PBS-listed</w:t>
      </w:r>
      <w:r w:rsidR="00842EDE" w:rsidRPr="1B234C3C">
        <w:t xml:space="preserve"> ruxolitinib 5 mg, 10 mg, 15 mg and 20 mg</w:t>
      </w:r>
      <w:r w:rsidR="002046BC" w:rsidRPr="1B234C3C">
        <w:t xml:space="preserve"> </w:t>
      </w:r>
      <w:r w:rsidR="002046BC">
        <w:t xml:space="preserve">for the treatment of myelofibrosis (MF), </w:t>
      </w:r>
      <w:proofErr w:type="spellStart"/>
      <w:r w:rsidR="002046BC">
        <w:t>polycythemia</w:t>
      </w:r>
      <w:proofErr w:type="spellEnd"/>
      <w:r w:rsidR="002046BC">
        <w:t xml:space="preserve"> vera (PV) and acute and chronic graft versus host disease (</w:t>
      </w:r>
      <w:proofErr w:type="spellStart"/>
      <w:r w:rsidR="002046BC">
        <w:t>aGVHD</w:t>
      </w:r>
      <w:proofErr w:type="spellEnd"/>
      <w:r w:rsidR="002046BC">
        <w:t xml:space="preserve">, </w:t>
      </w:r>
      <w:proofErr w:type="spellStart"/>
      <w:r w:rsidR="002046BC">
        <w:t>cGVHD</w:t>
      </w:r>
      <w:proofErr w:type="spellEnd"/>
      <w:r w:rsidR="002046BC">
        <w:t>)</w:t>
      </w:r>
      <w:r w:rsidR="002C67BC">
        <w:t xml:space="preserve"> </w:t>
      </w:r>
      <w:r w:rsidR="002C67BC" w:rsidRPr="1B234C3C">
        <w:t>both in initiation and continuation phases of treatment. Currently, only Medical Practitioners can prescribe ruxolitinib under the PBS</w:t>
      </w:r>
      <w:r w:rsidR="002046BC">
        <w:t>.</w:t>
      </w:r>
      <w:r w:rsidR="00D032BD" w:rsidRPr="1B234C3C">
        <w:rPr>
          <w:rFonts w:ascii="Calibri" w:eastAsia="Times New Roman" w:hAnsi="Calibri" w:cs="Times New Roman"/>
        </w:rPr>
        <w:t xml:space="preserve"> </w:t>
      </w:r>
      <w:r w:rsidR="00D032BD">
        <w:t>The submission proposed that any NP prescribing would be in consultation with a specialist physician.</w:t>
      </w:r>
    </w:p>
    <w:p w14:paraId="48F187C9" w14:textId="77777777" w:rsidR="003440B0" w:rsidRPr="00A6439B" w:rsidRDefault="003440B0" w:rsidP="003440B0">
      <w:pPr>
        <w:pStyle w:val="2-SectionHeading"/>
        <w:numPr>
          <w:ilvl w:val="0"/>
          <w:numId w:val="2"/>
        </w:numPr>
      </w:pPr>
      <w:r w:rsidRPr="00A6439B">
        <w:t xml:space="preserve">Background </w:t>
      </w:r>
    </w:p>
    <w:p w14:paraId="3DBBC0B1" w14:textId="77777777" w:rsidR="004B3BBC" w:rsidRPr="004B3BBC" w:rsidRDefault="00207F99" w:rsidP="003440B0">
      <w:pPr>
        <w:pStyle w:val="3-BodyText"/>
        <w:numPr>
          <w:ilvl w:val="1"/>
          <w:numId w:val="2"/>
        </w:numPr>
        <w:rPr>
          <w:color w:val="FF0000"/>
        </w:rPr>
      </w:pPr>
      <w:r w:rsidRPr="00207F99">
        <w:t xml:space="preserve">Ruxolitinib </w:t>
      </w:r>
      <w:r w:rsidR="003440B0" w:rsidRPr="00B63251">
        <w:rPr>
          <w:color w:val="000000" w:themeColor="text1"/>
        </w:rPr>
        <w:t>is currently listed on the PBS as</w:t>
      </w:r>
      <w:r w:rsidR="004B3BBC">
        <w:rPr>
          <w:color w:val="000000" w:themeColor="text1"/>
        </w:rPr>
        <w:t>:</w:t>
      </w:r>
    </w:p>
    <w:p w14:paraId="69AA4921" w14:textId="3B7CB298" w:rsidR="00254C2E" w:rsidRDefault="00254C2E" w:rsidP="00417720">
      <w:pPr>
        <w:pStyle w:val="3-BodyText"/>
        <w:numPr>
          <w:ilvl w:val="0"/>
          <w:numId w:val="10"/>
        </w:numPr>
      </w:pPr>
      <w:r w:rsidRPr="00404EBE">
        <w:t>A General Schedule</w:t>
      </w:r>
      <w:r w:rsidR="00976DE6">
        <w:t xml:space="preserve"> (Authority Required)</w:t>
      </w:r>
      <w:r w:rsidR="008F4012">
        <w:t xml:space="preserve"> </w:t>
      </w:r>
      <w:r w:rsidRPr="00404EBE">
        <w:t>listing for</w:t>
      </w:r>
      <w:r w:rsidR="00976DE6">
        <w:t xml:space="preserve"> the treatment of</w:t>
      </w:r>
      <w:r w:rsidRPr="00404EBE">
        <w:t xml:space="preserve"> </w:t>
      </w:r>
      <w:r w:rsidR="009553AA">
        <w:t xml:space="preserve">Intermediate-1 </w:t>
      </w:r>
      <w:r w:rsidR="007A0A2A">
        <w:t>risk,</w:t>
      </w:r>
      <w:r w:rsidR="009553AA">
        <w:t xml:space="preserve"> High risk and </w:t>
      </w:r>
      <w:r w:rsidR="00CE7E86">
        <w:t>I</w:t>
      </w:r>
      <w:r w:rsidR="009553AA">
        <w:t xml:space="preserve">ntermediate-2 risk </w:t>
      </w:r>
      <w:r w:rsidRPr="00404EBE">
        <w:t xml:space="preserve">myelofibrosis </w:t>
      </w:r>
      <w:r w:rsidR="00381DA7">
        <w:t>(MF)</w:t>
      </w:r>
    </w:p>
    <w:p w14:paraId="593CCA53" w14:textId="5E4D84F9" w:rsidR="003D7E48" w:rsidRPr="00404EBE" w:rsidRDefault="006A678D" w:rsidP="00417720">
      <w:pPr>
        <w:pStyle w:val="3-BodyText"/>
        <w:numPr>
          <w:ilvl w:val="0"/>
          <w:numId w:val="10"/>
        </w:numPr>
      </w:pPr>
      <w:r w:rsidRPr="00404EBE">
        <w:t>A Section 100 – Highly Specialised Drugs Program listing f</w:t>
      </w:r>
      <w:r w:rsidR="003D7E48" w:rsidRPr="00404EBE">
        <w:t>o</w:t>
      </w:r>
      <w:r w:rsidRPr="00404EBE">
        <w:t xml:space="preserve">r </w:t>
      </w:r>
      <w:r w:rsidR="00976DE6">
        <w:t xml:space="preserve">the treatment of </w:t>
      </w:r>
      <w:r w:rsidR="008630F2" w:rsidRPr="00404EBE">
        <w:t xml:space="preserve">Grade II to IV </w:t>
      </w:r>
      <w:r w:rsidR="003D7E48" w:rsidRPr="00404EBE">
        <w:t>acute graft vs host diseas</w:t>
      </w:r>
      <w:r w:rsidR="007727F1" w:rsidRPr="00404EBE">
        <w:t>e</w:t>
      </w:r>
      <w:r w:rsidR="00FB3549">
        <w:t xml:space="preserve"> (</w:t>
      </w:r>
      <w:proofErr w:type="spellStart"/>
      <w:r w:rsidR="0029642B">
        <w:t>aGVHD</w:t>
      </w:r>
      <w:proofErr w:type="spellEnd"/>
      <w:r w:rsidR="0029642B">
        <w:t>)</w:t>
      </w:r>
      <w:r w:rsidR="003D7E48" w:rsidRPr="00404EBE">
        <w:t xml:space="preserve"> </w:t>
      </w:r>
    </w:p>
    <w:p w14:paraId="687FF4ED" w14:textId="14A5BA1E" w:rsidR="00E7356B" w:rsidRDefault="00A43EC6" w:rsidP="00417720">
      <w:pPr>
        <w:pStyle w:val="3-BodyText"/>
        <w:numPr>
          <w:ilvl w:val="0"/>
          <w:numId w:val="10"/>
        </w:numPr>
      </w:pPr>
      <w:r w:rsidRPr="00404EBE">
        <w:t>A General Schedule</w:t>
      </w:r>
      <w:r w:rsidR="00F35BB7">
        <w:t xml:space="preserve"> (Authority Required)</w:t>
      </w:r>
      <w:r w:rsidRPr="00404EBE">
        <w:t xml:space="preserve"> listing for</w:t>
      </w:r>
      <w:r w:rsidR="00E97BA9">
        <w:t xml:space="preserve"> the treatment of</w:t>
      </w:r>
      <w:r w:rsidRPr="00404EBE">
        <w:t xml:space="preserve"> moderate to severe chronic graft vs host disease </w:t>
      </w:r>
      <w:r w:rsidR="00765843">
        <w:t>(</w:t>
      </w:r>
      <w:proofErr w:type="spellStart"/>
      <w:r w:rsidR="00765843">
        <w:t>cGHVD</w:t>
      </w:r>
      <w:proofErr w:type="spellEnd"/>
      <w:r w:rsidR="00765843">
        <w:t>)</w:t>
      </w:r>
    </w:p>
    <w:p w14:paraId="4F12912C" w14:textId="00F4181A" w:rsidR="00226B72" w:rsidRPr="00404EBE" w:rsidRDefault="00E7356B" w:rsidP="00417720">
      <w:pPr>
        <w:pStyle w:val="3-BodyText"/>
        <w:numPr>
          <w:ilvl w:val="0"/>
          <w:numId w:val="10"/>
        </w:numPr>
      </w:pPr>
      <w:r w:rsidRPr="00404EBE">
        <w:t xml:space="preserve">A General Schedule </w:t>
      </w:r>
      <w:r w:rsidR="00F35BB7">
        <w:t xml:space="preserve">(Authority Required) </w:t>
      </w:r>
      <w:r w:rsidRPr="00404EBE">
        <w:t xml:space="preserve">listing for </w:t>
      </w:r>
      <w:r w:rsidR="00E97BA9">
        <w:t xml:space="preserve">the treatment of </w:t>
      </w:r>
      <w:proofErr w:type="spellStart"/>
      <w:r w:rsidRPr="00404EBE">
        <w:t>polycythemia</w:t>
      </w:r>
      <w:proofErr w:type="spellEnd"/>
      <w:r w:rsidRPr="00404EBE">
        <w:t xml:space="preserve"> vera</w:t>
      </w:r>
      <w:r w:rsidR="00226B72" w:rsidRPr="00404EBE">
        <w:t>.</w:t>
      </w:r>
    </w:p>
    <w:p w14:paraId="387956F3" w14:textId="77777777" w:rsidR="003440B0" w:rsidRPr="00A6439B" w:rsidRDefault="003440B0" w:rsidP="003440B0">
      <w:pPr>
        <w:pStyle w:val="4-SubsectionHeading"/>
      </w:pPr>
      <w:r w:rsidRPr="00691A2C">
        <w:t>Registration</w:t>
      </w:r>
      <w:r w:rsidRPr="00A6439B">
        <w:t xml:space="preserve"> status</w:t>
      </w:r>
    </w:p>
    <w:p w14:paraId="190874C4" w14:textId="3A68608D" w:rsidR="003440B0" w:rsidRPr="004C607D" w:rsidRDefault="00205FCE" w:rsidP="003440B0">
      <w:pPr>
        <w:pStyle w:val="3-BodyText"/>
        <w:numPr>
          <w:ilvl w:val="1"/>
          <w:numId w:val="2"/>
        </w:numPr>
        <w:rPr>
          <w:color w:val="FF0000"/>
        </w:rPr>
      </w:pPr>
      <w:r>
        <w:t>Ruxolitinib w</w:t>
      </w:r>
      <w:r w:rsidR="003440B0" w:rsidRPr="00A6439B">
        <w:t>as</w:t>
      </w:r>
      <w:r w:rsidR="001A0B69">
        <w:t xml:space="preserve"> originally</w:t>
      </w:r>
      <w:r w:rsidR="003440B0" w:rsidRPr="00A6439B">
        <w:t xml:space="preserve"> registered</w:t>
      </w:r>
      <w:r w:rsidR="005F27F1">
        <w:t xml:space="preserve"> on the A</w:t>
      </w:r>
      <w:r w:rsidR="00F029FF">
        <w:t xml:space="preserve">ustralian </w:t>
      </w:r>
      <w:r w:rsidR="005F27F1">
        <w:t>R</w:t>
      </w:r>
      <w:r w:rsidR="00F029FF">
        <w:t xml:space="preserve">egister of </w:t>
      </w:r>
      <w:r w:rsidR="005F27F1">
        <w:t>T</w:t>
      </w:r>
      <w:r w:rsidR="00F029FF">
        <w:t xml:space="preserve">herapeutic </w:t>
      </w:r>
      <w:r w:rsidR="005F27F1">
        <w:t>G</w:t>
      </w:r>
      <w:r w:rsidR="00F029FF">
        <w:t>oods</w:t>
      </w:r>
      <w:r w:rsidR="00BB2448">
        <w:t xml:space="preserve"> (ARTG)</w:t>
      </w:r>
      <w:r w:rsidR="003440B0" w:rsidRPr="00A6439B">
        <w:t xml:space="preserve"> on</w:t>
      </w:r>
      <w:r w:rsidR="00E13E0A">
        <w:t xml:space="preserve"> </w:t>
      </w:r>
      <w:r w:rsidR="00BB2448">
        <w:t>3 July 2013 for its 5 mg, 15 mg and 20 mg strengths</w:t>
      </w:r>
      <w:r>
        <w:t>.</w:t>
      </w:r>
      <w:r w:rsidR="00BB2448">
        <w:t xml:space="preserve"> Its 10 mg strength was subsequently ARTG registered on 16 December 2015. </w:t>
      </w:r>
      <w:r w:rsidR="001A0B69">
        <w:t xml:space="preserve"> As of </w:t>
      </w:r>
      <w:r w:rsidR="004C607D">
        <w:t xml:space="preserve">10 November 2023, ruxolitinib is </w:t>
      </w:r>
      <w:r w:rsidR="005F27F1">
        <w:t>TGA r</w:t>
      </w:r>
      <w:r w:rsidR="004C607D">
        <w:t>egistered for the treatment of:</w:t>
      </w:r>
    </w:p>
    <w:p w14:paraId="1B8BAF48" w14:textId="28E537A2" w:rsidR="004C607D" w:rsidRPr="001A0DBF" w:rsidRDefault="004C607D" w:rsidP="00417720">
      <w:pPr>
        <w:pStyle w:val="3-BodyText"/>
        <w:numPr>
          <w:ilvl w:val="0"/>
          <w:numId w:val="10"/>
        </w:numPr>
      </w:pPr>
      <w:r w:rsidRPr="001A0DBF">
        <w:t>disease-related splenomegaly or symptoms in patients with primary myelofibrosis, post-</w:t>
      </w:r>
      <w:proofErr w:type="spellStart"/>
      <w:r w:rsidRPr="001A0DBF">
        <w:t>polycythemia</w:t>
      </w:r>
      <w:proofErr w:type="spellEnd"/>
      <w:r w:rsidRPr="001A0DBF">
        <w:t xml:space="preserve"> vera myelofibrosis or post-essential </w:t>
      </w:r>
      <w:proofErr w:type="spellStart"/>
      <w:r w:rsidRPr="001A0DBF">
        <w:t>thrombocythaemia</w:t>
      </w:r>
      <w:proofErr w:type="spellEnd"/>
      <w:r w:rsidRPr="001A0DBF">
        <w:t xml:space="preserve"> myelofibrosis</w:t>
      </w:r>
    </w:p>
    <w:p w14:paraId="4BFEC8AA" w14:textId="7C94012A" w:rsidR="004C607D" w:rsidRPr="001A0DBF" w:rsidRDefault="004C607D" w:rsidP="00417720">
      <w:pPr>
        <w:pStyle w:val="3-BodyText"/>
        <w:numPr>
          <w:ilvl w:val="0"/>
          <w:numId w:val="10"/>
        </w:numPr>
      </w:pPr>
      <w:r w:rsidRPr="001A0DBF">
        <w:lastRenderedPageBreak/>
        <w:t xml:space="preserve">adult patients with </w:t>
      </w:r>
      <w:proofErr w:type="spellStart"/>
      <w:r w:rsidRPr="001A0DBF">
        <w:t>polycythemia</w:t>
      </w:r>
      <w:proofErr w:type="spellEnd"/>
      <w:r w:rsidRPr="001A0DBF">
        <w:t xml:space="preserve"> vera who are resistant to or intolerant of hydroxyurea</w:t>
      </w:r>
    </w:p>
    <w:p w14:paraId="28995094" w14:textId="77777777" w:rsidR="004C607D" w:rsidRPr="001A0DBF" w:rsidRDefault="004C607D" w:rsidP="00417720">
      <w:pPr>
        <w:pStyle w:val="3-BodyText"/>
        <w:numPr>
          <w:ilvl w:val="0"/>
          <w:numId w:val="10"/>
        </w:numPr>
      </w:pPr>
      <w:r w:rsidRPr="001A0DBF">
        <w:t>patients aged 12 years and older with acute graft-versus-host disease who have inadequate response to corticosteroids</w:t>
      </w:r>
    </w:p>
    <w:p w14:paraId="247A9858" w14:textId="1CB50EFE" w:rsidR="004C607D" w:rsidRPr="001A0DBF" w:rsidRDefault="004C607D" w:rsidP="00417720">
      <w:pPr>
        <w:pStyle w:val="3-BodyText"/>
        <w:numPr>
          <w:ilvl w:val="0"/>
          <w:numId w:val="10"/>
        </w:numPr>
      </w:pPr>
      <w:r w:rsidRPr="001A0DBF">
        <w:t>patients aged 12 years and older with chronic graft-versus-host disease who have inadequate response to corticosteroids.</w:t>
      </w:r>
    </w:p>
    <w:p w14:paraId="3AEDB298" w14:textId="77777777" w:rsidR="003440B0" w:rsidRDefault="003440B0" w:rsidP="003440B0">
      <w:pPr>
        <w:pStyle w:val="4-SubsectionHeading"/>
      </w:pPr>
      <w:r w:rsidRPr="00A6439B">
        <w:t xml:space="preserve">Previous PBAC </w:t>
      </w:r>
      <w:r w:rsidRPr="00691A2C">
        <w:t>consideration</w:t>
      </w:r>
      <w:r w:rsidRPr="00A6439B">
        <w:t xml:space="preserve"> </w:t>
      </w:r>
    </w:p>
    <w:p w14:paraId="7BC6FCBF" w14:textId="58E3D800" w:rsidR="00F95C5D" w:rsidRPr="00F95C5D" w:rsidRDefault="00F95C5D" w:rsidP="009D0D3C">
      <w:pPr>
        <w:pStyle w:val="3-BodyText"/>
      </w:pPr>
      <w:r w:rsidRPr="00F95C5D">
        <w:t xml:space="preserve">Previous PBAC recommendations of </w:t>
      </w:r>
      <w:r>
        <w:t>ruxolitinib for</w:t>
      </w:r>
      <w:r w:rsidR="004F583F">
        <w:t xml:space="preserve"> </w:t>
      </w:r>
      <w:r w:rsidR="00F35BB7">
        <w:t xml:space="preserve">the treatment of </w:t>
      </w:r>
      <w:r w:rsidR="004F583F">
        <w:t>myelofibrosis</w:t>
      </w:r>
      <w:r>
        <w:t xml:space="preserve">, </w:t>
      </w:r>
      <w:proofErr w:type="spellStart"/>
      <w:r w:rsidR="004F583F">
        <w:t>polycythemia</w:t>
      </w:r>
      <w:proofErr w:type="spellEnd"/>
      <w:r w:rsidR="004F583F">
        <w:t xml:space="preserve"> vera</w:t>
      </w:r>
      <w:r>
        <w:t xml:space="preserve">, </w:t>
      </w:r>
      <w:r w:rsidR="004F583F">
        <w:t>acute graft-vs-host disease</w:t>
      </w:r>
      <w:r>
        <w:t xml:space="preserve"> and </w:t>
      </w:r>
      <w:r w:rsidR="004F583F">
        <w:t>chronic graft-vs-host disease</w:t>
      </w:r>
      <w:r>
        <w:t xml:space="preserve"> all restricted prescribing to medical practitioners only. </w:t>
      </w:r>
    </w:p>
    <w:p w14:paraId="4C3A9828" w14:textId="6329D087" w:rsidR="009D0D3C" w:rsidRPr="009D0D3C" w:rsidRDefault="009D0D3C" w:rsidP="009D0D3C">
      <w:pPr>
        <w:pStyle w:val="5-SubsectionSubheading"/>
      </w:pPr>
      <w:r>
        <w:t>Myelofibrosis</w:t>
      </w:r>
      <w:r w:rsidR="004F583F">
        <w:t xml:space="preserve"> </w:t>
      </w:r>
    </w:p>
    <w:p w14:paraId="0C105A94" w14:textId="1104E2E7" w:rsidR="004A6A57" w:rsidRPr="004A6A57" w:rsidRDefault="009D0D3C" w:rsidP="0059207C">
      <w:pPr>
        <w:pStyle w:val="3-BodyText"/>
        <w:rPr>
          <w:color w:val="FF0000"/>
        </w:rPr>
      </w:pPr>
      <w:r>
        <w:t xml:space="preserve">The </w:t>
      </w:r>
      <w:r w:rsidR="003518CB">
        <w:t xml:space="preserve">PBAC </w:t>
      </w:r>
      <w:r>
        <w:t>did not recommend ruxolitinib</w:t>
      </w:r>
      <w:r w:rsidR="004A4300">
        <w:t xml:space="preserve"> for </w:t>
      </w:r>
      <w:r w:rsidR="00676D1A">
        <w:t>MF</w:t>
      </w:r>
      <w:r>
        <w:t xml:space="preserve"> </w:t>
      </w:r>
      <w:r w:rsidR="006525CC">
        <w:t xml:space="preserve">for </w:t>
      </w:r>
      <w:r w:rsidR="006525CC" w:rsidRPr="00446DAB">
        <w:t>high risk and intermediate-2 risk</w:t>
      </w:r>
      <w:r w:rsidR="006525CC">
        <w:t xml:space="preserve"> patients </w:t>
      </w:r>
      <w:r>
        <w:t xml:space="preserve">at its </w:t>
      </w:r>
      <w:r w:rsidR="00F777CB">
        <w:t>July</w:t>
      </w:r>
      <w:r>
        <w:t xml:space="preserve"> 2013 meeting</w:t>
      </w:r>
      <w:r w:rsidR="00DE77EF">
        <w:t xml:space="preserve"> due </w:t>
      </w:r>
      <w:r w:rsidR="004A6A57">
        <w:t>to its</w:t>
      </w:r>
      <w:r w:rsidR="002B62F8">
        <w:t xml:space="preserve"> unacceptably high price, where its benefits were not commensurate with its costs.</w:t>
      </w:r>
    </w:p>
    <w:p w14:paraId="5C3891B6" w14:textId="09B3DBFF" w:rsidR="00506188" w:rsidRPr="00506188" w:rsidRDefault="004A6A57" w:rsidP="0059207C">
      <w:pPr>
        <w:pStyle w:val="3-BodyText"/>
        <w:rPr>
          <w:color w:val="FF0000"/>
        </w:rPr>
      </w:pPr>
      <w:r>
        <w:t xml:space="preserve">The PBAC </w:t>
      </w:r>
      <w:r w:rsidR="00195E05">
        <w:t>deferred its decision</w:t>
      </w:r>
      <w:r w:rsidR="00B25813">
        <w:t xml:space="preserve"> on the resubmission</w:t>
      </w:r>
      <w:r w:rsidR="00195E05">
        <w:t xml:space="preserve"> at its July 2014 meeting</w:t>
      </w:r>
      <w:r w:rsidR="00C41B95">
        <w:t xml:space="preserve"> due to </w:t>
      </w:r>
      <w:r w:rsidR="002B62F8">
        <w:t>a lack of clarity around its clinical place,</w:t>
      </w:r>
      <w:r w:rsidR="00C26F55">
        <w:t xml:space="preserve"> concerns around proposed restrictions,</w:t>
      </w:r>
      <w:r w:rsidR="002B62F8">
        <w:t xml:space="preserve"> and an unacceptably high price. </w:t>
      </w:r>
    </w:p>
    <w:p w14:paraId="2BB27737" w14:textId="10B6014B" w:rsidR="009009EB" w:rsidRPr="0030309B" w:rsidRDefault="004E2E7B" w:rsidP="0059207C">
      <w:pPr>
        <w:pStyle w:val="3-BodyText"/>
        <w:rPr>
          <w:color w:val="FF0000"/>
        </w:rPr>
      </w:pPr>
      <w:r>
        <w:t>At its</w:t>
      </w:r>
      <w:r w:rsidR="00471DCB">
        <w:t xml:space="preserve"> </w:t>
      </w:r>
      <w:r w:rsidR="00227F59">
        <w:t>March 2015 meeting</w:t>
      </w:r>
      <w:r w:rsidR="00471DCB">
        <w:t xml:space="preserve">, </w:t>
      </w:r>
      <w:r w:rsidR="009B6067">
        <w:t xml:space="preserve">the PBAC recommended listing for </w:t>
      </w:r>
      <w:r w:rsidR="00676D1A">
        <w:t>MF</w:t>
      </w:r>
      <w:r w:rsidR="009B6067">
        <w:t xml:space="preserve"> based on</w:t>
      </w:r>
      <w:r w:rsidR="00F419A4">
        <w:t xml:space="preserve"> a lowered cost and </w:t>
      </w:r>
      <w:r w:rsidR="006E71A1">
        <w:t>a broadened population</w:t>
      </w:r>
      <w:r w:rsidR="00DD0F37">
        <w:t xml:space="preserve"> </w:t>
      </w:r>
      <w:r w:rsidR="00DD0F37" w:rsidRPr="00446DAB">
        <w:t>to include intermediate-1 risk patients</w:t>
      </w:r>
      <w:r w:rsidR="00A914FF" w:rsidRPr="00446DAB">
        <w:t xml:space="preserve">, alongside high risk </w:t>
      </w:r>
      <w:r w:rsidR="00184551" w:rsidRPr="00446DAB">
        <w:t xml:space="preserve">and </w:t>
      </w:r>
      <w:r w:rsidR="00DD0F37" w:rsidRPr="00446DAB">
        <w:t>intermediate-</w:t>
      </w:r>
      <w:r w:rsidR="00A914FF" w:rsidRPr="00446DAB">
        <w:t>2</w:t>
      </w:r>
      <w:r w:rsidR="00DD0F37" w:rsidRPr="00446DAB">
        <w:t xml:space="preserve"> risk patients</w:t>
      </w:r>
      <w:r w:rsidR="00DE5834">
        <w:t>.</w:t>
      </w:r>
      <w:r w:rsidR="006E71A1">
        <w:t xml:space="preserve"> </w:t>
      </w:r>
      <w:r w:rsidR="004A2279" w:rsidRPr="004A2279">
        <w:t xml:space="preserve">The PBAC advised that ruxolitinib </w:t>
      </w:r>
      <w:r w:rsidR="004A2279">
        <w:t>was</w:t>
      </w:r>
      <w:r w:rsidR="004A2279" w:rsidRPr="004A2279">
        <w:t xml:space="preserve"> not suitable for prescribing by </w:t>
      </w:r>
      <w:r w:rsidR="00371DC6">
        <w:t>N</w:t>
      </w:r>
      <w:r w:rsidR="004A2279" w:rsidRPr="004A2279">
        <w:t xml:space="preserve">urse </w:t>
      </w:r>
      <w:r w:rsidR="00371DC6">
        <w:t>P</w:t>
      </w:r>
      <w:r w:rsidR="004A2279" w:rsidRPr="004A2279">
        <w:t>ractitioners.</w:t>
      </w:r>
    </w:p>
    <w:p w14:paraId="0D9BDDD8" w14:textId="701C1295" w:rsidR="00E277B6" w:rsidRPr="00D93FB3" w:rsidRDefault="00B2731F" w:rsidP="0059207C">
      <w:pPr>
        <w:pStyle w:val="3-BodyText"/>
        <w:rPr>
          <w:color w:val="FF0000"/>
        </w:rPr>
      </w:pPr>
      <w:r>
        <w:t xml:space="preserve">At its November 2025 meeting, PBAC recommended listing </w:t>
      </w:r>
      <w:proofErr w:type="spellStart"/>
      <w:r>
        <w:t>fedratinib</w:t>
      </w:r>
      <w:proofErr w:type="spellEnd"/>
      <w:r>
        <w:t xml:space="preserve"> </w:t>
      </w:r>
      <w:r w:rsidR="00841EAA">
        <w:t>for</w:t>
      </w:r>
      <w:r w:rsidR="00841EAA" w:rsidRPr="00841EAA">
        <w:t xml:space="preserve"> patients with intermediate/high-risk primary </w:t>
      </w:r>
      <w:r w:rsidR="00841EAA">
        <w:t>MF</w:t>
      </w:r>
      <w:r w:rsidR="00841EAA" w:rsidRPr="00841EAA">
        <w:t>, post</w:t>
      </w:r>
      <w:r w:rsidR="00841EAA">
        <w:t>-PV MF</w:t>
      </w:r>
      <w:r w:rsidR="00841EAA" w:rsidRPr="00841EAA">
        <w:t>, or post-essential</w:t>
      </w:r>
      <w:r w:rsidR="00841EAA">
        <w:t xml:space="preserve"> </w:t>
      </w:r>
      <w:proofErr w:type="spellStart"/>
      <w:r w:rsidR="00841EAA" w:rsidRPr="00841EAA">
        <w:t>thrombocythaemia</w:t>
      </w:r>
      <w:proofErr w:type="spellEnd"/>
      <w:r w:rsidR="00841EAA" w:rsidRPr="00841EAA">
        <w:t xml:space="preserve"> </w:t>
      </w:r>
      <w:r w:rsidR="00841EAA">
        <w:t>MF</w:t>
      </w:r>
      <w:r w:rsidR="00114113">
        <w:t xml:space="preserve">. </w:t>
      </w:r>
    </w:p>
    <w:p w14:paraId="5959061B" w14:textId="7FE80220" w:rsidR="00D93FB3" w:rsidRPr="00B25813" w:rsidRDefault="00D93FB3" w:rsidP="00D93FB3">
      <w:pPr>
        <w:pStyle w:val="3-BodyText"/>
        <w:rPr>
          <w:color w:val="FF0000"/>
        </w:rPr>
      </w:pPr>
      <w:r>
        <w:t xml:space="preserve">The PBAC </w:t>
      </w:r>
      <w:r w:rsidRPr="00114113">
        <w:t xml:space="preserve">considered that </w:t>
      </w:r>
      <w:r w:rsidR="001F0C9D">
        <w:t>NPs</w:t>
      </w:r>
      <w:r w:rsidRPr="00114113">
        <w:t xml:space="preserve"> should be permitted to prescribe </w:t>
      </w:r>
      <w:proofErr w:type="spellStart"/>
      <w:r w:rsidRPr="00114113">
        <w:t>fedratinib</w:t>
      </w:r>
      <w:proofErr w:type="spellEnd"/>
      <w:r w:rsidRPr="00114113">
        <w:t xml:space="preserve"> for continuing existing treatment, where the patient's care is shared with a medical practitioner. The PBAC considered this should flow on to the listings for </w:t>
      </w:r>
      <w:proofErr w:type="spellStart"/>
      <w:r w:rsidRPr="00114113">
        <w:t>momelotinib</w:t>
      </w:r>
      <w:proofErr w:type="spellEnd"/>
      <w:r w:rsidRPr="00114113">
        <w:t xml:space="preserve"> and ruxolitinib for the intermediate-1, intermediate-2 and high-risk myelofibrosis populations</w:t>
      </w:r>
      <w:r w:rsidR="001F0C9D">
        <w:t>. The flow-on for the listing comprised adding NP</w:t>
      </w:r>
      <w:r w:rsidR="003D431D">
        <w:t>s as a prescriber type</w:t>
      </w:r>
      <w:r w:rsidR="000B47B7">
        <w:t xml:space="preserve"> to all strengths of ruxolitinib</w:t>
      </w:r>
      <w:r w:rsidR="001F0C9D">
        <w:t xml:space="preserve">, as well as </w:t>
      </w:r>
      <w:r w:rsidR="0054277D">
        <w:t xml:space="preserve">the addition of </w:t>
      </w:r>
      <w:r w:rsidR="001F0C9D">
        <w:t>the following treatment criteria</w:t>
      </w:r>
      <w:r w:rsidR="00A01822">
        <w:t xml:space="preserve"> (</w:t>
      </w:r>
      <w:r w:rsidR="004E5FE6">
        <w:t>p</w:t>
      </w:r>
      <w:r w:rsidR="00A01822">
        <w:t xml:space="preserve">aragraph 8.4, </w:t>
      </w:r>
      <w:proofErr w:type="spellStart"/>
      <w:r w:rsidR="00A01822">
        <w:t>fedratinib</w:t>
      </w:r>
      <w:proofErr w:type="spellEnd"/>
      <w:r w:rsidR="00A01822">
        <w:t xml:space="preserve"> Public Summary Document, November 2025 meeting)</w:t>
      </w:r>
      <w:r w:rsidR="001F0C9D">
        <w:t xml:space="preserve">: </w:t>
      </w:r>
    </w:p>
    <w:p w14:paraId="54E04B0E" w14:textId="77777777" w:rsidR="00E277B6" w:rsidRPr="002B6882" w:rsidRDefault="00E277B6" w:rsidP="00E277B6">
      <w:pPr>
        <w:pStyle w:val="3Bodytext"/>
        <w:ind w:left="720" w:hanging="11"/>
        <w:rPr>
          <w:rFonts w:ascii="Arial Narrow" w:hAnsi="Arial Narrow"/>
          <w:b/>
          <w:bCs/>
          <w:sz w:val="20"/>
          <w:szCs w:val="20"/>
        </w:rPr>
      </w:pPr>
      <w:r w:rsidRPr="002B6882">
        <w:rPr>
          <w:rFonts w:ascii="Arial Narrow" w:hAnsi="Arial Narrow"/>
          <w:b/>
          <w:bCs/>
          <w:sz w:val="20"/>
          <w:szCs w:val="20"/>
        </w:rPr>
        <w:t>[34120] Treatment criteria:</w:t>
      </w:r>
    </w:p>
    <w:p w14:paraId="3BAC3D9D" w14:textId="77777777" w:rsidR="00E277B6" w:rsidRPr="002B6882" w:rsidRDefault="00E277B6" w:rsidP="00E277B6">
      <w:pPr>
        <w:pStyle w:val="3Bodytext"/>
        <w:ind w:left="720" w:hanging="11"/>
        <w:rPr>
          <w:rFonts w:ascii="Arial Narrow" w:hAnsi="Arial Narrow"/>
          <w:sz w:val="20"/>
          <w:szCs w:val="20"/>
        </w:rPr>
      </w:pPr>
      <w:r w:rsidRPr="002B6882">
        <w:rPr>
          <w:rFonts w:ascii="Arial Narrow" w:hAnsi="Arial Narrow"/>
          <w:sz w:val="20"/>
          <w:szCs w:val="20"/>
        </w:rPr>
        <w:t>[33255] Must be treated by a medical practitioner; or</w:t>
      </w:r>
    </w:p>
    <w:p w14:paraId="4E94739D" w14:textId="4A9C60C6" w:rsidR="00E277B6" w:rsidRPr="00E277B6" w:rsidRDefault="00E277B6" w:rsidP="00E277B6">
      <w:pPr>
        <w:pStyle w:val="3Bodytext"/>
        <w:ind w:left="720" w:hanging="11"/>
        <w:rPr>
          <w:rFonts w:ascii="Arial Narrow" w:hAnsi="Arial Narrow"/>
          <w:sz w:val="20"/>
          <w:szCs w:val="20"/>
        </w:rPr>
      </w:pPr>
      <w:r w:rsidRPr="002B6882">
        <w:rPr>
          <w:rFonts w:ascii="Arial Narrow" w:hAnsi="Arial Narrow"/>
          <w:sz w:val="20"/>
          <w:szCs w:val="20"/>
        </w:rPr>
        <w:t>[</w:t>
      </w:r>
      <w:r w:rsidRPr="76D7AE50">
        <w:rPr>
          <w:rFonts w:ascii="Arial Narrow" w:hAnsi="Arial Narrow"/>
          <w:sz w:val="20"/>
          <w:szCs w:val="20"/>
        </w:rPr>
        <w:t>34119</w:t>
      </w:r>
      <w:r w:rsidRPr="002B6882">
        <w:rPr>
          <w:rFonts w:ascii="Arial Narrow" w:hAnsi="Arial Narrow"/>
          <w:sz w:val="20"/>
          <w:szCs w:val="20"/>
        </w:rPr>
        <w:t>]</w:t>
      </w:r>
      <w:r w:rsidRPr="0069315F">
        <w:rPr>
          <w:rFonts w:ascii="Arial Narrow" w:hAnsi="Arial Narrow"/>
          <w:sz w:val="20"/>
          <w:szCs w:val="20"/>
        </w:rPr>
        <w:t xml:space="preserve"> Must be treated by a nurse practitioner where both of the following are occurring: (</w:t>
      </w:r>
      <w:proofErr w:type="spellStart"/>
      <w:r w:rsidRPr="0069315F">
        <w:rPr>
          <w:rFonts w:ascii="Arial Narrow" w:hAnsi="Arial Narrow"/>
          <w:sz w:val="20"/>
          <w:szCs w:val="20"/>
        </w:rPr>
        <w:t>i</w:t>
      </w:r>
      <w:proofErr w:type="spellEnd"/>
      <w:r w:rsidRPr="0069315F">
        <w:rPr>
          <w:rFonts w:ascii="Arial Narrow" w:hAnsi="Arial Narrow"/>
          <w:sz w:val="20"/>
          <w:szCs w:val="20"/>
        </w:rPr>
        <w:t>) patient care is being shared with a medical practitioner, (ii) the prescription continues existing therapy with this medicine</w:t>
      </w:r>
    </w:p>
    <w:p w14:paraId="5249099E" w14:textId="4B41503F" w:rsidR="004A4300" w:rsidRPr="00535101" w:rsidRDefault="004A4300" w:rsidP="004A4300">
      <w:pPr>
        <w:pStyle w:val="5-SubsectionSubheading"/>
      </w:pPr>
      <w:proofErr w:type="spellStart"/>
      <w:r>
        <w:t>Polycythemia</w:t>
      </w:r>
      <w:proofErr w:type="spellEnd"/>
      <w:r>
        <w:t xml:space="preserve"> </w:t>
      </w:r>
      <w:r w:rsidR="00D510AE">
        <w:t>V</w:t>
      </w:r>
      <w:r>
        <w:t>era</w:t>
      </w:r>
      <w:r w:rsidR="00CB36C2">
        <w:t xml:space="preserve"> </w:t>
      </w:r>
    </w:p>
    <w:p w14:paraId="1F252D21" w14:textId="2A269982" w:rsidR="004A6A57" w:rsidRPr="004A6A57" w:rsidRDefault="004A6A57" w:rsidP="004A6A57">
      <w:pPr>
        <w:pStyle w:val="3-BodyText"/>
        <w:rPr>
          <w:color w:val="FF0000"/>
        </w:rPr>
      </w:pPr>
      <w:r>
        <w:t>The PBAC did not recommend ruxolitinib for PV at its July 2013 meeting due to its</w:t>
      </w:r>
      <w:r w:rsidR="002B62F8">
        <w:t xml:space="preserve"> unacceptably high price, where its benefits were not commensurate with its costs.</w:t>
      </w:r>
    </w:p>
    <w:p w14:paraId="166C53E9" w14:textId="28E2C826" w:rsidR="00873C60" w:rsidRDefault="00E40C3F" w:rsidP="0059207C">
      <w:pPr>
        <w:pStyle w:val="3-BodyText"/>
      </w:pPr>
      <w:r w:rsidRPr="00E40C3F">
        <w:lastRenderedPageBreak/>
        <w:t>The PBAC</w:t>
      </w:r>
      <w:r>
        <w:t xml:space="preserve"> did not recommend </w:t>
      </w:r>
      <w:r w:rsidR="00E34799">
        <w:t xml:space="preserve">ruxolitinib for </w:t>
      </w:r>
      <w:r w:rsidR="00CB36C2">
        <w:t>PV</w:t>
      </w:r>
      <w:r w:rsidR="00E34799">
        <w:t xml:space="preserve"> at its November 2019 meeting. </w:t>
      </w:r>
      <w:r w:rsidR="0008685D">
        <w:t>The PBAC considered t</w:t>
      </w:r>
      <w:r w:rsidR="00C92B38">
        <w:t xml:space="preserve">hat clinical benefit was not supported by evidence, and that </w:t>
      </w:r>
      <w:r w:rsidR="00C9390F">
        <w:t xml:space="preserve">the economic model was not sound. </w:t>
      </w:r>
    </w:p>
    <w:p w14:paraId="29B946AA" w14:textId="404CF761" w:rsidR="00E7356B" w:rsidRDefault="00865027" w:rsidP="0059207C">
      <w:pPr>
        <w:pStyle w:val="3-BodyText"/>
      </w:pPr>
      <w:r>
        <w:t>At its March 2025 meeting, the PBAC recommended ruxolitinib fo</w:t>
      </w:r>
      <w:r w:rsidR="00197605">
        <w:t xml:space="preserve">r PV, where </w:t>
      </w:r>
      <w:r w:rsidR="00407834">
        <w:t>patients</w:t>
      </w:r>
      <w:r w:rsidR="00197605">
        <w:t xml:space="preserve"> were resistant to or intolerant of </w:t>
      </w:r>
      <w:r w:rsidR="00B45F41">
        <w:t xml:space="preserve">hydroxycarbamide. </w:t>
      </w:r>
      <w:r w:rsidR="00C07189">
        <w:t xml:space="preserve">The PBAC considered that </w:t>
      </w:r>
      <w:r w:rsidR="00506188">
        <w:t xml:space="preserve">the cost-per-overall response and the revised economic model demonstrated cost-effectiveness. </w:t>
      </w:r>
      <w:r w:rsidR="0000237E">
        <w:t xml:space="preserve">The PBAC </w:t>
      </w:r>
      <w:r w:rsidR="00641F9A">
        <w:t xml:space="preserve">restricted </w:t>
      </w:r>
      <w:r w:rsidR="00216FBC">
        <w:t xml:space="preserve">prescribing </w:t>
      </w:r>
      <w:r w:rsidR="00641F9A">
        <w:t xml:space="preserve">to </w:t>
      </w:r>
      <w:r w:rsidR="00216FBC">
        <w:t>medical practitioners</w:t>
      </w:r>
      <w:r w:rsidR="00641F9A">
        <w:t xml:space="preserve"> </w:t>
      </w:r>
      <w:proofErr w:type="gramStart"/>
      <w:r w:rsidR="00641F9A">
        <w:t>only</w:t>
      </w:r>
      <w:r w:rsidR="00216FBC">
        <w:t>, but</w:t>
      </w:r>
      <w:proofErr w:type="gramEnd"/>
      <w:r w:rsidR="00216FBC">
        <w:t xml:space="preserve"> did not advise </w:t>
      </w:r>
      <w:r w:rsidR="00BD340B">
        <w:t xml:space="preserve">on whether </w:t>
      </w:r>
      <w:r w:rsidR="00216FBC">
        <w:t xml:space="preserve">ruxolitinib was unsuitable for NP prescribing. </w:t>
      </w:r>
    </w:p>
    <w:p w14:paraId="3BB9A283" w14:textId="3E3F52A2" w:rsidR="00676D1A" w:rsidRPr="00676D1A" w:rsidRDefault="00D510AE" w:rsidP="00CA5C8A">
      <w:pPr>
        <w:pStyle w:val="5-SubsectionSubheading"/>
      </w:pPr>
      <w:r>
        <w:t xml:space="preserve">Acute </w:t>
      </w:r>
      <w:r w:rsidR="00676D1A">
        <w:t xml:space="preserve">Graft vs </w:t>
      </w:r>
      <w:r>
        <w:t>H</w:t>
      </w:r>
      <w:r w:rsidR="00676D1A">
        <w:t xml:space="preserve">ost </w:t>
      </w:r>
      <w:r>
        <w:t>D</w:t>
      </w:r>
      <w:r w:rsidR="00676D1A">
        <w:t>isease</w:t>
      </w:r>
      <w:r w:rsidR="00CB36C2">
        <w:t xml:space="preserve"> </w:t>
      </w:r>
    </w:p>
    <w:p w14:paraId="18BD2291" w14:textId="4F3D26BE" w:rsidR="00227F59" w:rsidRPr="00D510AE" w:rsidRDefault="00D510AE" w:rsidP="00227F59">
      <w:pPr>
        <w:pStyle w:val="3-BodyText"/>
        <w:rPr>
          <w:color w:val="FF0000"/>
        </w:rPr>
      </w:pPr>
      <w:r>
        <w:t xml:space="preserve">Ruxolitinib </w:t>
      </w:r>
      <w:r w:rsidR="007727F1">
        <w:t xml:space="preserve">was </w:t>
      </w:r>
      <w:r w:rsidR="00512E54">
        <w:t>recommended</w:t>
      </w:r>
      <w:r w:rsidR="007727F1">
        <w:t xml:space="preserve"> for </w:t>
      </w:r>
      <w:proofErr w:type="spellStart"/>
      <w:r w:rsidR="00CB36C2">
        <w:t>aGVHD</w:t>
      </w:r>
      <w:proofErr w:type="spellEnd"/>
      <w:r w:rsidR="00CB36C2">
        <w:t xml:space="preserve"> </w:t>
      </w:r>
      <w:r w:rsidR="007727F1">
        <w:t xml:space="preserve">at its </w:t>
      </w:r>
      <w:r w:rsidR="00227F59">
        <w:t>July 2022 PBAC meeting</w:t>
      </w:r>
      <w:r w:rsidR="007727F1">
        <w:t>.</w:t>
      </w:r>
      <w:r w:rsidR="0008685D">
        <w:t xml:space="preserve"> </w:t>
      </w:r>
      <w:r w:rsidR="0079201D">
        <w:t xml:space="preserve">The PBAC </w:t>
      </w:r>
      <w:r w:rsidR="00641F9A">
        <w:t xml:space="preserve">restricted </w:t>
      </w:r>
      <w:r w:rsidR="0079201D">
        <w:t xml:space="preserve">prescribing </w:t>
      </w:r>
      <w:r w:rsidR="00641F9A">
        <w:t xml:space="preserve">to </w:t>
      </w:r>
      <w:r w:rsidR="0079201D">
        <w:t>medical practitioners</w:t>
      </w:r>
      <w:r w:rsidR="00641F9A">
        <w:t xml:space="preserve"> </w:t>
      </w:r>
      <w:proofErr w:type="gramStart"/>
      <w:r w:rsidR="00641F9A">
        <w:t>only</w:t>
      </w:r>
      <w:r w:rsidR="0079201D">
        <w:t>, but</w:t>
      </w:r>
      <w:proofErr w:type="gramEnd"/>
      <w:r w:rsidR="0079201D">
        <w:t xml:space="preserve"> did not advise on whether ruxolitinib was unsuitable for NP prescribing. </w:t>
      </w:r>
    </w:p>
    <w:p w14:paraId="63C0162E" w14:textId="15BFB208" w:rsidR="00D510AE" w:rsidRPr="003D7E48" w:rsidRDefault="00D510AE" w:rsidP="00D510AE">
      <w:pPr>
        <w:pStyle w:val="5-SubsectionSubheading"/>
        <w:rPr>
          <w:color w:val="FF0000"/>
        </w:rPr>
      </w:pPr>
      <w:r w:rsidRPr="00D510AE">
        <w:t xml:space="preserve">Chronic </w:t>
      </w:r>
      <w:r>
        <w:t xml:space="preserve">Graft vs </w:t>
      </w:r>
      <w:r w:rsidRPr="00D510AE">
        <w:t xml:space="preserve">Host Disease </w:t>
      </w:r>
    </w:p>
    <w:p w14:paraId="7A0B56E5" w14:textId="27237156" w:rsidR="007B033F" w:rsidRPr="007B033F" w:rsidRDefault="00CB36C2" w:rsidP="00CE469B">
      <w:pPr>
        <w:pStyle w:val="3-BodyText"/>
        <w:rPr>
          <w:i/>
        </w:rPr>
      </w:pPr>
      <w:r>
        <w:t xml:space="preserve">Initially, at its July </w:t>
      </w:r>
      <w:r w:rsidR="00385EC6">
        <w:t>2022 meeting,</w:t>
      </w:r>
      <w:r>
        <w:t xml:space="preserve"> the PBAC did not recommend </w:t>
      </w:r>
      <w:r w:rsidR="00385EC6">
        <w:t>ruxolitinib</w:t>
      </w:r>
      <w:r w:rsidR="00404EBE">
        <w:t xml:space="preserve"> for </w:t>
      </w:r>
      <w:r w:rsidR="00227F59">
        <w:t xml:space="preserve">moderate to severe </w:t>
      </w:r>
      <w:proofErr w:type="spellStart"/>
      <w:r w:rsidR="00385EC6">
        <w:t>cGVHD</w:t>
      </w:r>
      <w:proofErr w:type="spellEnd"/>
      <w:r w:rsidR="00385EC6">
        <w:t xml:space="preserve">. </w:t>
      </w:r>
      <w:r w:rsidR="00242AC6">
        <w:t xml:space="preserve">The PBAC considered the </w:t>
      </w:r>
      <w:r w:rsidR="00621AAE">
        <w:t xml:space="preserve">economic modelling unacceptable and the financial estimates overestimated. </w:t>
      </w:r>
    </w:p>
    <w:p w14:paraId="373022B1" w14:textId="7AB33ABF" w:rsidR="00873C60" w:rsidRPr="00873C60" w:rsidRDefault="00873C60" w:rsidP="00CE469B">
      <w:pPr>
        <w:pStyle w:val="3-BodyText"/>
        <w:rPr>
          <w:i/>
        </w:rPr>
      </w:pPr>
      <w:r>
        <w:t>The PBAC did not consider t</w:t>
      </w:r>
      <w:r w:rsidR="003506B4">
        <w:t xml:space="preserve">hese issues adequately resolved </w:t>
      </w:r>
      <w:r>
        <w:t xml:space="preserve">by the </w:t>
      </w:r>
      <w:r w:rsidR="003506B4">
        <w:t>resubmission to its September 2022</w:t>
      </w:r>
      <w:r>
        <w:t xml:space="preserve"> </w:t>
      </w:r>
      <w:proofErr w:type="gramStart"/>
      <w:r>
        <w:t>meeting, and</w:t>
      </w:r>
      <w:proofErr w:type="gramEnd"/>
      <w:r>
        <w:t xml:space="preserve"> did not recommend ruxolitinib at that time</w:t>
      </w:r>
      <w:r w:rsidR="003506B4">
        <w:t xml:space="preserve">. </w:t>
      </w:r>
    </w:p>
    <w:p w14:paraId="08CB3E7B" w14:textId="3F2C1D09" w:rsidR="003440B0" w:rsidRPr="003506B4" w:rsidRDefault="003C7856" w:rsidP="00CE469B">
      <w:pPr>
        <w:pStyle w:val="3-BodyText"/>
        <w:rPr>
          <w:i/>
        </w:rPr>
      </w:pPr>
      <w:r>
        <w:t>T</w:t>
      </w:r>
      <w:r w:rsidR="00385EC6">
        <w:t xml:space="preserve">he PBAC recommended ruxolitinib for </w:t>
      </w:r>
      <w:proofErr w:type="spellStart"/>
      <w:r w:rsidR="00385EC6">
        <w:t>cGVHD</w:t>
      </w:r>
      <w:proofErr w:type="spellEnd"/>
      <w:r w:rsidR="00385EC6">
        <w:t xml:space="preserve"> at its </w:t>
      </w:r>
      <w:r w:rsidR="00227F59">
        <w:t>November 2022 PBAC meeting</w:t>
      </w:r>
      <w:r w:rsidR="00404EBE">
        <w:t>.</w:t>
      </w:r>
      <w:r w:rsidR="00506188" w:rsidRPr="00506188">
        <w:t xml:space="preserve"> </w:t>
      </w:r>
      <w:r w:rsidR="00CA0E1F">
        <w:t xml:space="preserve">The PBAC considered ruxolitinib cost-effective at the price proposed, and changes to the financial estimates acceptable. </w:t>
      </w:r>
      <w:r w:rsidR="00177688">
        <w:t>The PBAC</w:t>
      </w:r>
      <w:r w:rsidR="00641F9A">
        <w:t xml:space="preserve"> restricted </w:t>
      </w:r>
      <w:r w:rsidR="00177688">
        <w:t xml:space="preserve">prescribing </w:t>
      </w:r>
      <w:r w:rsidR="00641F9A">
        <w:t>to</w:t>
      </w:r>
      <w:r w:rsidR="00177688">
        <w:t xml:space="preserve"> medical practitioners</w:t>
      </w:r>
      <w:r w:rsidR="00641F9A">
        <w:t xml:space="preserve"> </w:t>
      </w:r>
      <w:proofErr w:type="gramStart"/>
      <w:r w:rsidR="00641F9A">
        <w:t>only</w:t>
      </w:r>
      <w:r w:rsidR="00177688">
        <w:t>, but</w:t>
      </w:r>
      <w:proofErr w:type="gramEnd"/>
      <w:r w:rsidR="00177688">
        <w:t xml:space="preserve"> did not advise on whether ruxolitinib was unsuitable for NP prescribing.</w:t>
      </w:r>
    </w:p>
    <w:p w14:paraId="07D085B6" w14:textId="1FA8975D" w:rsidR="00932361" w:rsidRDefault="00AF402B" w:rsidP="00314355">
      <w:pPr>
        <w:pStyle w:val="5-SubsectionSubheading"/>
      </w:pPr>
      <w:r>
        <w:t xml:space="preserve">PBS Review </w:t>
      </w:r>
      <w:r w:rsidR="00E2178E">
        <w:t>of</w:t>
      </w:r>
      <w:r>
        <w:t xml:space="preserve"> Prescribing</w:t>
      </w:r>
      <w:r w:rsidR="00E2178E">
        <w:t xml:space="preserve"> by Nurse Practitioners</w:t>
      </w:r>
    </w:p>
    <w:p w14:paraId="49341FED" w14:textId="5D6731FF" w:rsidR="00146C71" w:rsidRDefault="00E00A96" w:rsidP="00C24C0B">
      <w:pPr>
        <w:pStyle w:val="3-BodyText"/>
        <w:rPr>
          <w:rFonts w:ascii="Calibri" w:eastAsia="Calibri" w:hAnsi="Calibri" w:cs="Arial"/>
          <w:szCs w:val="24"/>
        </w:rPr>
      </w:pPr>
      <w:r>
        <w:t>The department</w:t>
      </w:r>
      <w:r w:rsidDel="006D63C3">
        <w:t xml:space="preserve"> </w:t>
      </w:r>
      <w:r w:rsidR="006D63C3">
        <w:t xml:space="preserve">recently completed a </w:t>
      </w:r>
      <w:r>
        <w:t xml:space="preserve">review of PBS prescribing by </w:t>
      </w:r>
      <w:r w:rsidR="00371DC6">
        <w:t>NPs</w:t>
      </w:r>
      <w:r>
        <w:t xml:space="preserve"> and endorsed midwives. </w:t>
      </w:r>
      <w:r w:rsidR="003743C8">
        <w:t xml:space="preserve">This is </w:t>
      </w:r>
      <w:r w:rsidR="003743C8" w:rsidRPr="00D2537E">
        <w:t xml:space="preserve">in response to </w:t>
      </w:r>
      <w:r w:rsidR="003743C8" w:rsidRPr="00D2537E">
        <w:rPr>
          <w:rFonts w:cstheme="minorHAnsi"/>
        </w:rPr>
        <w:t xml:space="preserve">Item 4.1.2 of </w:t>
      </w:r>
      <w:r w:rsidR="003743C8" w:rsidRPr="00D2537E">
        <w:t>the</w:t>
      </w:r>
      <w:r w:rsidR="003743C8" w:rsidRPr="00D2537E">
        <w:rPr>
          <w:rFonts w:cstheme="minorHAnsi"/>
        </w:rPr>
        <w:t xml:space="preserve"> Nurse Practitioner Workforce Plan released by the Government in May 2023</w:t>
      </w:r>
      <w:r w:rsidR="003743C8" w:rsidRPr="00D2537E">
        <w:t>.</w:t>
      </w:r>
      <w:r w:rsidR="000C257A">
        <w:t xml:space="preserve"> </w:t>
      </w:r>
      <w:r w:rsidR="000C257A" w:rsidRPr="00CC75A6">
        <w:rPr>
          <w:rFonts w:ascii="Calibri" w:eastAsia="Calibri" w:hAnsi="Calibri" w:cs="Arial"/>
          <w:szCs w:val="24"/>
        </w:rPr>
        <w:t xml:space="preserve">In early 2024, the then PBAC Chair consulted with health professional groups (nurse practitioner, midwifery, medical and rural/remote medicine) in the development of general principles for determining prescriber types for PBS listings. </w:t>
      </w:r>
    </w:p>
    <w:p w14:paraId="2A9FAE3A" w14:textId="47971E4F" w:rsidR="000C257A" w:rsidRDefault="000C257A" w:rsidP="00C24C0B">
      <w:pPr>
        <w:pStyle w:val="3-BodyText"/>
        <w:ind w:left="709" w:hanging="709"/>
        <w:rPr>
          <w:rFonts w:ascii="Calibri" w:eastAsia="Calibri" w:hAnsi="Calibri" w:cs="Arial"/>
          <w:szCs w:val="24"/>
        </w:rPr>
      </w:pPr>
      <w:r w:rsidRPr="00CC75A6">
        <w:rPr>
          <w:rFonts w:ascii="Calibri" w:eastAsia="Calibri" w:hAnsi="Calibri" w:cs="Arial"/>
          <w:szCs w:val="24"/>
        </w:rPr>
        <w:t>Whil</w:t>
      </w:r>
      <w:r w:rsidR="001F6D67">
        <w:rPr>
          <w:rFonts w:ascii="Calibri" w:eastAsia="Calibri" w:hAnsi="Calibri" w:cs="Arial"/>
          <w:szCs w:val="24"/>
        </w:rPr>
        <w:t>e</w:t>
      </w:r>
      <w:r w:rsidRPr="00CC75A6">
        <w:rPr>
          <w:rFonts w:ascii="Calibri" w:eastAsia="Calibri" w:hAnsi="Calibri" w:cs="Arial"/>
          <w:szCs w:val="24"/>
        </w:rPr>
        <w:t xml:space="preserve"> the draft guidance principles were developed in the context of this PBS Review, the guidance principles were intended to be applicable to all PBS prescribers. The PBAC endorsed the guidance principles for determining PBS prescriber type eligibility at its March 2024 meeting (an abridged version is shown in</w:t>
      </w:r>
      <w:r w:rsidR="00167A6C">
        <w:rPr>
          <w:rFonts w:ascii="Calibri" w:eastAsia="Calibri" w:hAnsi="Calibri" w:cs="Arial"/>
          <w:szCs w:val="24"/>
        </w:rPr>
        <w:t xml:space="preserve"> </w:t>
      </w:r>
      <w:r w:rsidR="00167A6C">
        <w:rPr>
          <w:rFonts w:ascii="Calibri" w:eastAsia="Calibri" w:hAnsi="Calibri" w:cs="Arial"/>
          <w:szCs w:val="24"/>
        </w:rPr>
        <w:fldChar w:fldCharType="begin"/>
      </w:r>
      <w:r w:rsidR="00167A6C">
        <w:rPr>
          <w:rFonts w:ascii="Calibri" w:eastAsia="Calibri" w:hAnsi="Calibri" w:cs="Arial"/>
          <w:szCs w:val="24"/>
        </w:rPr>
        <w:instrText xml:space="preserve"> REF _Ref222391446 \h </w:instrText>
      </w:r>
      <w:r w:rsidR="00167A6C">
        <w:rPr>
          <w:rFonts w:ascii="Calibri" w:eastAsia="Calibri" w:hAnsi="Calibri" w:cs="Arial"/>
          <w:szCs w:val="24"/>
        </w:rPr>
      </w:r>
      <w:r w:rsidR="00167A6C">
        <w:rPr>
          <w:rFonts w:ascii="Calibri" w:eastAsia="Calibri" w:hAnsi="Calibri" w:cs="Arial"/>
          <w:szCs w:val="24"/>
        </w:rPr>
        <w:fldChar w:fldCharType="separate"/>
      </w:r>
      <w:r w:rsidR="00167A6C">
        <w:t xml:space="preserve">Table </w:t>
      </w:r>
      <w:r w:rsidR="00167A6C">
        <w:rPr>
          <w:noProof/>
        </w:rPr>
        <w:t>1</w:t>
      </w:r>
      <w:r w:rsidR="00167A6C">
        <w:rPr>
          <w:rFonts w:ascii="Calibri" w:eastAsia="Calibri" w:hAnsi="Calibri" w:cs="Arial"/>
          <w:szCs w:val="24"/>
        </w:rPr>
        <w:fldChar w:fldCharType="end"/>
      </w:r>
      <w:r w:rsidRPr="00CC75A6">
        <w:rPr>
          <w:rFonts w:ascii="Calibri" w:eastAsia="Calibri" w:hAnsi="Calibri" w:cs="Arial"/>
          <w:szCs w:val="24"/>
        </w:rPr>
        <w:t>).</w:t>
      </w:r>
    </w:p>
    <w:p w14:paraId="4AEBA87B" w14:textId="02435FC8" w:rsidR="000C257A" w:rsidRDefault="00167A6C" w:rsidP="00167A6C">
      <w:pPr>
        <w:pStyle w:val="Caption"/>
        <w:keepNext/>
        <w:ind w:firstLine="709"/>
        <w:jc w:val="left"/>
      </w:pPr>
      <w:bookmarkStart w:id="0" w:name="_Ref222391446"/>
      <w:bookmarkStart w:id="1" w:name="_Ref222391405"/>
      <w:r>
        <w:lastRenderedPageBreak/>
        <w:t xml:space="preserve">Table </w:t>
      </w:r>
      <w:fldSimple w:instr=" SEQ Table \* ARABIC ">
        <w:r>
          <w:rPr>
            <w:noProof/>
          </w:rPr>
          <w:t>1</w:t>
        </w:r>
      </w:fldSimple>
      <w:bookmarkEnd w:id="0"/>
      <w:r>
        <w:t xml:space="preserve">: </w:t>
      </w:r>
      <w:r w:rsidR="000C257A">
        <w:t>PBAC general principles for guiding PBS prescriber type eligibility (abridged)</w:t>
      </w:r>
      <w:bookmarkEnd w:id="1"/>
    </w:p>
    <w:tbl>
      <w:tblPr>
        <w:tblStyle w:val="TableGrid"/>
        <w:tblW w:w="8363" w:type="dxa"/>
        <w:tblInd w:w="701" w:type="dxa"/>
        <w:tblLook w:val="06A0" w:firstRow="1" w:lastRow="0" w:firstColumn="1" w:lastColumn="0" w:noHBand="1" w:noVBand="1"/>
        <w:tblCaption w:val="Table 1: PBAC general principles for guiding PBS prescriber type eligibility (abridged)"/>
      </w:tblPr>
      <w:tblGrid>
        <w:gridCol w:w="242"/>
        <w:gridCol w:w="2590"/>
        <w:gridCol w:w="5531"/>
      </w:tblGrid>
      <w:tr w:rsidR="00603C1B" w14:paraId="345AE60D" w14:textId="77777777" w:rsidTr="0057364B">
        <w:trPr>
          <w:trHeight w:val="49"/>
        </w:trPr>
        <w:tc>
          <w:tcPr>
            <w:tcW w:w="2832" w:type="dxa"/>
            <w:gridSpan w:val="2"/>
            <w:tcMar>
              <w:top w:w="150" w:type="dxa"/>
              <w:left w:w="150" w:type="dxa"/>
              <w:bottom w:w="150" w:type="dxa"/>
              <w:right w:w="150" w:type="dxa"/>
            </w:tcMar>
          </w:tcPr>
          <w:p w14:paraId="4DAB667A" w14:textId="77777777" w:rsidR="000C257A" w:rsidRDefault="000C257A" w:rsidP="00EB0992">
            <w:pPr>
              <w:pStyle w:val="In-tableHeading"/>
            </w:pPr>
            <w:r w:rsidRPr="00CC75A6">
              <w:t>Principle</w:t>
            </w:r>
          </w:p>
        </w:tc>
        <w:tc>
          <w:tcPr>
            <w:tcW w:w="5531" w:type="dxa"/>
            <w:tcMar>
              <w:top w:w="150" w:type="dxa"/>
              <w:left w:w="150" w:type="dxa"/>
              <w:bottom w:w="150" w:type="dxa"/>
              <w:right w:w="150" w:type="dxa"/>
            </w:tcMar>
          </w:tcPr>
          <w:p w14:paraId="43873076" w14:textId="77777777" w:rsidR="000C257A" w:rsidRDefault="000C257A" w:rsidP="00EB0992">
            <w:pPr>
              <w:pStyle w:val="In-tableHeading"/>
            </w:pPr>
            <w:r w:rsidRPr="00CC75A6">
              <w:t>Considerations may include (but are not limited to):</w:t>
            </w:r>
          </w:p>
        </w:tc>
      </w:tr>
      <w:tr w:rsidR="000C257A" w14:paraId="6F58B2A9" w14:textId="77777777" w:rsidTr="0057364B">
        <w:trPr>
          <w:trHeight w:val="300"/>
        </w:trPr>
        <w:tc>
          <w:tcPr>
            <w:tcW w:w="242" w:type="dxa"/>
            <w:tcMar>
              <w:top w:w="75" w:type="dxa"/>
              <w:left w:w="75" w:type="dxa"/>
              <w:bottom w:w="75" w:type="dxa"/>
              <w:right w:w="75" w:type="dxa"/>
            </w:tcMar>
          </w:tcPr>
          <w:p w14:paraId="1E3849A1" w14:textId="77777777" w:rsidR="000C257A" w:rsidRDefault="000C257A" w:rsidP="00EB0992">
            <w:pPr>
              <w:pStyle w:val="TableText0"/>
            </w:pPr>
            <w:r w:rsidRPr="00CC75A6">
              <w:t>1</w:t>
            </w:r>
          </w:p>
        </w:tc>
        <w:tc>
          <w:tcPr>
            <w:tcW w:w="2590" w:type="dxa"/>
            <w:tcMar>
              <w:top w:w="75" w:type="dxa"/>
              <w:left w:w="75" w:type="dxa"/>
              <w:bottom w:w="75" w:type="dxa"/>
              <w:right w:w="75" w:type="dxa"/>
            </w:tcMar>
          </w:tcPr>
          <w:p w14:paraId="706D7536" w14:textId="77777777" w:rsidR="000C257A" w:rsidRDefault="000C257A" w:rsidP="00EB0992">
            <w:pPr>
              <w:pStyle w:val="TableText0"/>
            </w:pPr>
            <w:r w:rsidRPr="00CC75A6">
              <w:t>Scope of practice of the health practitioner group</w:t>
            </w:r>
          </w:p>
        </w:tc>
        <w:tc>
          <w:tcPr>
            <w:tcW w:w="5531" w:type="dxa"/>
            <w:tcMar>
              <w:top w:w="75" w:type="dxa"/>
              <w:left w:w="75" w:type="dxa"/>
              <w:bottom w:w="75" w:type="dxa"/>
              <w:right w:w="75" w:type="dxa"/>
            </w:tcMar>
          </w:tcPr>
          <w:p w14:paraId="32367CA6" w14:textId="77777777" w:rsidR="000C257A" w:rsidRDefault="000C257A" w:rsidP="00EB0992">
            <w:pPr>
              <w:pStyle w:val="TableText0"/>
            </w:pPr>
            <w:r w:rsidRPr="00CC75A6">
              <w:t>Consider if the prescriber group is likely to be required to treat patients with this medicine.</w:t>
            </w:r>
          </w:p>
        </w:tc>
      </w:tr>
      <w:tr w:rsidR="000C257A" w14:paraId="2FD90DC0" w14:textId="77777777" w:rsidTr="0057364B">
        <w:trPr>
          <w:trHeight w:val="300"/>
        </w:trPr>
        <w:tc>
          <w:tcPr>
            <w:tcW w:w="242" w:type="dxa"/>
            <w:tcMar>
              <w:top w:w="75" w:type="dxa"/>
              <w:left w:w="75" w:type="dxa"/>
              <w:bottom w:w="75" w:type="dxa"/>
              <w:right w:w="75" w:type="dxa"/>
            </w:tcMar>
          </w:tcPr>
          <w:p w14:paraId="38CAECBD" w14:textId="77777777" w:rsidR="000C257A" w:rsidRDefault="000C257A" w:rsidP="00EB0992">
            <w:pPr>
              <w:pStyle w:val="TableText0"/>
            </w:pPr>
            <w:r w:rsidRPr="00CC75A6">
              <w:t>2</w:t>
            </w:r>
          </w:p>
        </w:tc>
        <w:tc>
          <w:tcPr>
            <w:tcW w:w="2590" w:type="dxa"/>
            <w:tcMar>
              <w:top w:w="75" w:type="dxa"/>
              <w:left w:w="75" w:type="dxa"/>
              <w:bottom w:w="75" w:type="dxa"/>
              <w:right w:w="75" w:type="dxa"/>
            </w:tcMar>
          </w:tcPr>
          <w:p w14:paraId="5BE8E580" w14:textId="77777777" w:rsidR="000C257A" w:rsidRDefault="000C257A" w:rsidP="00EB0992">
            <w:pPr>
              <w:pStyle w:val="TableText0"/>
            </w:pPr>
            <w:r w:rsidRPr="00CC75A6">
              <w:t>Scope of practice of individual health practitioners</w:t>
            </w:r>
          </w:p>
        </w:tc>
        <w:tc>
          <w:tcPr>
            <w:tcW w:w="5531" w:type="dxa"/>
            <w:tcMar>
              <w:top w:w="75" w:type="dxa"/>
              <w:left w:w="75" w:type="dxa"/>
              <w:bottom w:w="75" w:type="dxa"/>
              <w:right w:w="75" w:type="dxa"/>
            </w:tcMar>
          </w:tcPr>
          <w:p w14:paraId="10B94D59" w14:textId="77777777" w:rsidR="000C257A" w:rsidRDefault="000C257A" w:rsidP="00EB0992">
            <w:pPr>
              <w:pStyle w:val="TableText0"/>
            </w:pPr>
            <w:r w:rsidRPr="00CC75A6">
              <w:t>Consider whether a subset of prescribers within the health practitioner group have an extended or specialised scope of practice. Consider what education, training or experience may be required, how this is recognised, and the context of practice for these health practitioners.</w:t>
            </w:r>
          </w:p>
        </w:tc>
      </w:tr>
      <w:tr w:rsidR="000C257A" w14:paraId="71BBB691" w14:textId="77777777" w:rsidTr="0057364B">
        <w:trPr>
          <w:trHeight w:val="300"/>
        </w:trPr>
        <w:tc>
          <w:tcPr>
            <w:tcW w:w="242" w:type="dxa"/>
            <w:tcMar>
              <w:top w:w="75" w:type="dxa"/>
              <w:left w:w="75" w:type="dxa"/>
              <w:bottom w:w="75" w:type="dxa"/>
              <w:right w:w="75" w:type="dxa"/>
            </w:tcMar>
          </w:tcPr>
          <w:p w14:paraId="34F13DFE" w14:textId="77777777" w:rsidR="000C257A" w:rsidRDefault="000C257A" w:rsidP="00EB0992">
            <w:pPr>
              <w:pStyle w:val="TableText0"/>
            </w:pPr>
            <w:r w:rsidRPr="00CC75A6">
              <w:t>3</w:t>
            </w:r>
          </w:p>
        </w:tc>
        <w:tc>
          <w:tcPr>
            <w:tcW w:w="2590" w:type="dxa"/>
            <w:tcMar>
              <w:top w:w="75" w:type="dxa"/>
              <w:left w:w="75" w:type="dxa"/>
              <w:bottom w:w="75" w:type="dxa"/>
              <w:right w:w="75" w:type="dxa"/>
            </w:tcMar>
          </w:tcPr>
          <w:p w14:paraId="25E3F871" w14:textId="77777777" w:rsidR="000C257A" w:rsidRDefault="000C257A" w:rsidP="00EB0992">
            <w:pPr>
              <w:pStyle w:val="TableText0"/>
            </w:pPr>
            <w:r w:rsidRPr="00CC75A6">
              <w:t>Medicine specific considerations</w:t>
            </w:r>
          </w:p>
        </w:tc>
        <w:tc>
          <w:tcPr>
            <w:tcW w:w="5531" w:type="dxa"/>
            <w:tcMar>
              <w:top w:w="75" w:type="dxa"/>
              <w:left w:w="75" w:type="dxa"/>
              <w:bottom w:w="75" w:type="dxa"/>
              <w:right w:w="75" w:type="dxa"/>
            </w:tcMar>
          </w:tcPr>
          <w:p w14:paraId="35BEBF3F" w14:textId="77777777" w:rsidR="000C257A" w:rsidRDefault="000C257A" w:rsidP="00EB0992">
            <w:pPr>
              <w:pStyle w:val="TableText0"/>
            </w:pPr>
            <w:r w:rsidRPr="00CC75A6">
              <w:t>Consider any medicine-specific risks for prescribing e.g. narrow therapeutic index, addiction/diversion risks, dosing error risks, severe side effects, medicine scheduling. Consider medicine cost/overall Government budget impact.</w:t>
            </w:r>
          </w:p>
        </w:tc>
      </w:tr>
      <w:tr w:rsidR="000C257A" w14:paraId="0FD63F18" w14:textId="77777777" w:rsidTr="0057364B">
        <w:trPr>
          <w:trHeight w:val="300"/>
        </w:trPr>
        <w:tc>
          <w:tcPr>
            <w:tcW w:w="242" w:type="dxa"/>
            <w:tcMar>
              <w:top w:w="75" w:type="dxa"/>
              <w:left w:w="75" w:type="dxa"/>
              <w:bottom w:w="75" w:type="dxa"/>
              <w:right w:w="75" w:type="dxa"/>
            </w:tcMar>
          </w:tcPr>
          <w:p w14:paraId="4957BAFB" w14:textId="77777777" w:rsidR="000C257A" w:rsidRDefault="000C257A" w:rsidP="00EB0992">
            <w:pPr>
              <w:pStyle w:val="TableText0"/>
            </w:pPr>
            <w:r w:rsidRPr="00CC75A6">
              <w:t>4</w:t>
            </w:r>
          </w:p>
        </w:tc>
        <w:tc>
          <w:tcPr>
            <w:tcW w:w="2590" w:type="dxa"/>
            <w:tcMar>
              <w:top w:w="75" w:type="dxa"/>
              <w:left w:w="75" w:type="dxa"/>
              <w:bottom w:w="75" w:type="dxa"/>
              <w:right w:w="75" w:type="dxa"/>
            </w:tcMar>
          </w:tcPr>
          <w:p w14:paraId="45AD1503" w14:textId="77777777" w:rsidR="000C257A" w:rsidRDefault="000C257A" w:rsidP="00EB0992">
            <w:pPr>
              <w:pStyle w:val="TableText0"/>
            </w:pPr>
            <w:r w:rsidRPr="00CC75A6">
              <w:t>Health condition specific considerations</w:t>
            </w:r>
          </w:p>
        </w:tc>
        <w:tc>
          <w:tcPr>
            <w:tcW w:w="5531" w:type="dxa"/>
            <w:tcMar>
              <w:top w:w="75" w:type="dxa"/>
              <w:left w:w="75" w:type="dxa"/>
              <w:bottom w:w="75" w:type="dxa"/>
              <w:right w:w="75" w:type="dxa"/>
            </w:tcMar>
          </w:tcPr>
          <w:p w14:paraId="1C0BE829" w14:textId="77777777" w:rsidR="000C257A" w:rsidRDefault="000C257A" w:rsidP="00EB0992">
            <w:pPr>
              <w:pStyle w:val="TableText0"/>
            </w:pPr>
            <w:r w:rsidRPr="00CC75A6">
              <w:t>Consider the complexity of the condition the medicine is used for, risk and implications of misdiagnosis or mismanagement, and consequences of possible treatment delay.</w:t>
            </w:r>
          </w:p>
        </w:tc>
      </w:tr>
    </w:tbl>
    <w:p w14:paraId="293F3929" w14:textId="77777777" w:rsidR="000C257A" w:rsidRDefault="000C257A" w:rsidP="00EB0992">
      <w:pPr>
        <w:pStyle w:val="3-BodyText"/>
        <w:numPr>
          <w:ilvl w:val="0"/>
          <w:numId w:val="0"/>
        </w:numPr>
        <w:rPr>
          <w:rFonts w:ascii="Calibri" w:eastAsia="Calibri" w:hAnsi="Calibri" w:cs="Arial"/>
          <w:szCs w:val="24"/>
        </w:rPr>
      </w:pPr>
    </w:p>
    <w:p w14:paraId="4030C027" w14:textId="2AF54708" w:rsidR="00B70409" w:rsidRPr="00EB0992" w:rsidRDefault="000C257A" w:rsidP="00C24C0B">
      <w:pPr>
        <w:pStyle w:val="3-BodyText"/>
        <w:ind w:left="709" w:hanging="709"/>
        <w:rPr>
          <w:rFonts w:ascii="Calibri" w:eastAsia="Calibri" w:hAnsi="Calibri" w:cs="Arial"/>
          <w:szCs w:val="24"/>
        </w:rPr>
      </w:pPr>
      <w:r w:rsidRPr="00CC75A6">
        <w:rPr>
          <w:rFonts w:ascii="Calibri" w:eastAsia="Calibri" w:hAnsi="Calibri" w:cs="Arial"/>
          <w:szCs w:val="24"/>
        </w:rPr>
        <w:t xml:space="preserve">Between 1 March – 1 April 2024, the Department </w:t>
      </w:r>
      <w:r w:rsidR="0087091C">
        <w:rPr>
          <w:rFonts w:ascii="Calibri" w:eastAsia="Calibri" w:hAnsi="Calibri" w:cs="Arial"/>
          <w:szCs w:val="24"/>
        </w:rPr>
        <w:t>of Health, Disability and Ageing</w:t>
      </w:r>
      <w:r w:rsidRPr="00CC75A6">
        <w:rPr>
          <w:rFonts w:ascii="Calibri" w:eastAsia="Calibri" w:hAnsi="Calibri" w:cs="Arial"/>
          <w:szCs w:val="24"/>
        </w:rPr>
        <w:t xml:space="preserve"> published a </w:t>
      </w:r>
      <w:hyperlink r:id="rId11" w:history="1">
        <w:r w:rsidRPr="00CC75A6">
          <w:rPr>
            <w:rStyle w:val="Hyperlink"/>
            <w:rFonts w:ascii="Calibri" w:eastAsia="Calibri" w:hAnsi="Calibri" w:cs="Arial"/>
            <w:szCs w:val="24"/>
          </w:rPr>
          <w:t>consultation survey</w:t>
        </w:r>
      </w:hyperlink>
      <w:r w:rsidRPr="00CC75A6">
        <w:rPr>
          <w:rFonts w:ascii="Calibri" w:eastAsia="Calibri" w:hAnsi="Calibri" w:cs="Arial"/>
          <w:szCs w:val="24"/>
        </w:rPr>
        <w:t xml:space="preserve"> to inform the PBS Review, to collect data on which medicines are frequently being prescribed privately by nurse practitioners and endorsed midwives that are subsidised through the PBS when prescribed by another prescriber type, and the settings in which this is occurring. The survey received feedback from consumers, carers, health professionals, consumer groups and peak representative organisations</w:t>
      </w:r>
    </w:p>
    <w:p w14:paraId="0CCF7DC4" w14:textId="07768B22" w:rsidR="004426E9" w:rsidRDefault="000C257A" w:rsidP="004426E9">
      <w:pPr>
        <w:pStyle w:val="3-BodyText"/>
      </w:pPr>
      <w:r>
        <w:t>Under its review, at</w:t>
      </w:r>
      <w:r w:rsidR="004426E9">
        <w:t xml:space="preserve"> its July 2025 meeting, the PBAC considered a tranche of</w:t>
      </w:r>
      <w:r w:rsidR="004426E9" w:rsidRPr="00253342">
        <w:t xml:space="preserve"> </w:t>
      </w:r>
      <w:r w:rsidR="004426E9">
        <w:t>identified medicines for the Review</w:t>
      </w:r>
      <w:r w:rsidR="00A6435D">
        <w:t xml:space="preserve"> consisting </w:t>
      </w:r>
      <w:r w:rsidR="004426E9">
        <w:t>of General Schedule oncology, haematology, and S100 H</w:t>
      </w:r>
      <w:r w:rsidR="00840DB1">
        <w:t xml:space="preserve">ighly </w:t>
      </w:r>
      <w:r w:rsidR="004426E9">
        <w:t>S</w:t>
      </w:r>
      <w:r w:rsidR="00840DB1">
        <w:t xml:space="preserve">pecialised </w:t>
      </w:r>
      <w:r w:rsidR="004426E9">
        <w:t>D</w:t>
      </w:r>
      <w:r w:rsidR="00840DB1">
        <w:t>rug (HSD)</w:t>
      </w:r>
      <w:r w:rsidR="004426E9">
        <w:t xml:space="preserve"> medicines. Ruxolitinib was not considered at this meeting as it had not been identified for review</w:t>
      </w:r>
      <w:r w:rsidR="005D483D">
        <w:t xml:space="preserve"> by stakehold</w:t>
      </w:r>
      <w:r w:rsidR="0061561A">
        <w:t>ers</w:t>
      </w:r>
      <w:r w:rsidR="004426E9">
        <w:t xml:space="preserve">. </w:t>
      </w:r>
      <w:r w:rsidR="00F62600">
        <w:t xml:space="preserve"> </w:t>
      </w:r>
    </w:p>
    <w:p w14:paraId="377A41D1" w14:textId="0EC8D575" w:rsidR="00A6435D" w:rsidRDefault="00A6435D" w:rsidP="00A6435D">
      <w:pPr>
        <w:pStyle w:val="3-BodyText"/>
      </w:pPr>
      <w:r w:rsidRPr="00A6435D">
        <w:rPr>
          <w:szCs w:val="24"/>
        </w:rPr>
        <w:t>For oncological or haematological conditions</w:t>
      </w:r>
      <w:r w:rsidR="009D1DF7">
        <w:rPr>
          <w:szCs w:val="24"/>
        </w:rPr>
        <w:t xml:space="preserve"> in general</w:t>
      </w:r>
      <w:r w:rsidRPr="00A6435D">
        <w:rPr>
          <w:szCs w:val="24"/>
        </w:rPr>
        <w:t xml:space="preserve">, the PBAC considered that the clinical work up required for a diagnosis and differential diagnosis may be complex and likely require that a patient’s care be overseen by an oncologist or haematologist. </w:t>
      </w:r>
      <w:r w:rsidR="00EA7F19">
        <w:t>As such, t</w:t>
      </w:r>
      <w:r w:rsidR="00EA7F19" w:rsidRPr="006C48DC">
        <w:t>he PBAC was of a view that limiting nurse practitioner prescribing to continuing therapy</w:t>
      </w:r>
      <w:r w:rsidR="006321EA">
        <w:t xml:space="preserve"> with a specific medicine</w:t>
      </w:r>
      <w:r w:rsidR="00EA7F19">
        <w:t>,</w:t>
      </w:r>
      <w:r w:rsidR="00EA7F19" w:rsidRPr="006C48DC">
        <w:t xml:space="preserve"> and where patient care is shared with a medical practitioner, would assist in mitigating potential risks</w:t>
      </w:r>
      <w:r w:rsidR="00EA7F19">
        <w:t xml:space="preserve"> </w:t>
      </w:r>
      <w:r>
        <w:t xml:space="preserve">(Nurse Practitioners, Minutes, July 2025 meeting). </w:t>
      </w:r>
    </w:p>
    <w:p w14:paraId="69E813DF" w14:textId="1FB88DF6" w:rsidR="00B97EC2" w:rsidRDefault="00B97EC2" w:rsidP="00B97EC2">
      <w:pPr>
        <w:pStyle w:val="3-BodyText"/>
      </w:pPr>
      <w:r>
        <w:t>Most of the identified General Schedule oncology and haematology medicines were recommended to allow NPs to continue existing therapy, where</w:t>
      </w:r>
      <w:r w:rsidRPr="00FC02FC">
        <w:t xml:space="preserve"> patient care is being shared with a medical practitioner</w:t>
      </w:r>
      <w:r>
        <w:t xml:space="preserve">. </w:t>
      </w:r>
      <w:r w:rsidR="00B43052">
        <w:t xml:space="preserve">These July 2025 PBAC recommendations for oncology and haematology General Schedule medicines were implemented on 1 February 2026. </w:t>
      </w:r>
    </w:p>
    <w:p w14:paraId="7847162E" w14:textId="4EB77A6B" w:rsidR="00FA5007" w:rsidRPr="00925F61" w:rsidRDefault="002A7D02" w:rsidP="00FA5007">
      <w:pPr>
        <w:pStyle w:val="3-BodyText"/>
        <w:rPr>
          <w:szCs w:val="24"/>
        </w:rPr>
      </w:pPr>
      <w:r>
        <w:t xml:space="preserve">For </w:t>
      </w:r>
      <w:r w:rsidR="00FA5007" w:rsidRPr="00925F61">
        <w:rPr>
          <w:szCs w:val="24"/>
        </w:rPr>
        <w:t xml:space="preserve">the </w:t>
      </w:r>
      <w:r w:rsidR="00920C3A">
        <w:rPr>
          <w:szCs w:val="24"/>
        </w:rPr>
        <w:t xml:space="preserve">General Schedule oncology and haematology </w:t>
      </w:r>
      <w:r w:rsidR="00FA5007" w:rsidRPr="00925F61">
        <w:rPr>
          <w:szCs w:val="24"/>
        </w:rPr>
        <w:t xml:space="preserve">medicines </w:t>
      </w:r>
      <w:r w:rsidR="00920C3A">
        <w:rPr>
          <w:szCs w:val="24"/>
        </w:rPr>
        <w:t xml:space="preserve">referred to </w:t>
      </w:r>
      <w:r w:rsidR="00FA5007" w:rsidRPr="00925F61">
        <w:rPr>
          <w:szCs w:val="24"/>
        </w:rPr>
        <w:t>above</w:t>
      </w:r>
      <w:r w:rsidR="00FA5007">
        <w:rPr>
          <w:szCs w:val="24"/>
        </w:rPr>
        <w:t>, the PBAC advised to add the prescriber type</w:t>
      </w:r>
      <w:r w:rsidR="00FA5007" w:rsidRPr="00925F61">
        <w:rPr>
          <w:szCs w:val="24"/>
        </w:rPr>
        <w:t xml:space="preserve"> ‘nurse practitioner’</w:t>
      </w:r>
      <w:r w:rsidR="00FA5007">
        <w:rPr>
          <w:szCs w:val="24"/>
        </w:rPr>
        <w:t xml:space="preserve"> and the following </w:t>
      </w:r>
      <w:r w:rsidR="00FA5007">
        <w:rPr>
          <w:szCs w:val="24"/>
        </w:rPr>
        <w:lastRenderedPageBreak/>
        <w:t>Treatment Criterion</w:t>
      </w:r>
      <w:r w:rsidR="00FA5007">
        <w:t xml:space="preserve"> to any treatment phase listing described as ‘Continuing treatment’ </w:t>
      </w:r>
      <w:r w:rsidR="002F1918">
        <w:t>or ‘Maintenance</w:t>
      </w:r>
      <w:r w:rsidR="00F76C16">
        <w:t> </w:t>
      </w:r>
      <w:r w:rsidR="002F1918">
        <w:t xml:space="preserve">treatment’ or equivalent </w:t>
      </w:r>
      <w:r w:rsidR="00F76C16">
        <w:t>(</w:t>
      </w:r>
      <w:r w:rsidR="004C2987">
        <w:rPr>
          <w:szCs w:val="24"/>
        </w:rPr>
        <w:t xml:space="preserve">where there are </w:t>
      </w:r>
      <w:r w:rsidR="0043759C">
        <w:rPr>
          <w:szCs w:val="24"/>
        </w:rPr>
        <w:t xml:space="preserve">at least </w:t>
      </w:r>
      <w:r w:rsidR="0043759C">
        <w:t xml:space="preserve">two </w:t>
      </w:r>
      <w:r w:rsidR="0043759C">
        <w:rPr>
          <w:szCs w:val="24"/>
        </w:rPr>
        <w:t>treatment phase listings</w:t>
      </w:r>
      <w:r w:rsidR="004C2987">
        <w:rPr>
          <w:szCs w:val="24"/>
        </w:rPr>
        <w:t>)</w:t>
      </w:r>
      <w:r w:rsidR="0043759C">
        <w:t xml:space="preserve"> </w:t>
      </w:r>
      <w:r w:rsidR="008B453C">
        <w:t xml:space="preserve">as well as to any listing where no treatment phase exists </w:t>
      </w:r>
      <w:r w:rsidR="00FA5007">
        <w:t>(Nurse Practitioners, Minutes, July 2025 meeting)</w:t>
      </w:r>
      <w:r w:rsidR="00FA5007" w:rsidRPr="00925F61">
        <w:t>:</w:t>
      </w:r>
    </w:p>
    <w:p w14:paraId="5A2AD473" w14:textId="6E8F3B64" w:rsidR="00FA5007" w:rsidRPr="002B6882" w:rsidRDefault="00FA5007" w:rsidP="00FA5007">
      <w:pPr>
        <w:pStyle w:val="3Bodytext"/>
        <w:ind w:left="720" w:hanging="11"/>
        <w:rPr>
          <w:rFonts w:ascii="Arial Narrow" w:hAnsi="Arial Narrow"/>
          <w:b/>
          <w:bCs/>
          <w:sz w:val="20"/>
          <w:szCs w:val="20"/>
        </w:rPr>
      </w:pPr>
      <w:bookmarkStart w:id="2" w:name="_Hlk220583152"/>
      <w:r w:rsidRPr="002B6882">
        <w:rPr>
          <w:rFonts w:ascii="Arial Narrow" w:hAnsi="Arial Narrow"/>
          <w:b/>
          <w:bCs/>
          <w:sz w:val="20"/>
          <w:szCs w:val="20"/>
        </w:rPr>
        <w:t>[</w:t>
      </w:r>
      <w:r w:rsidR="002B6882" w:rsidRPr="002B6882">
        <w:rPr>
          <w:rFonts w:ascii="Arial Narrow" w:hAnsi="Arial Narrow"/>
          <w:b/>
          <w:bCs/>
          <w:sz w:val="20"/>
          <w:szCs w:val="20"/>
        </w:rPr>
        <w:t>34120</w:t>
      </w:r>
      <w:r w:rsidRPr="002B6882">
        <w:rPr>
          <w:rFonts w:ascii="Arial Narrow" w:hAnsi="Arial Narrow"/>
          <w:b/>
          <w:bCs/>
          <w:sz w:val="20"/>
          <w:szCs w:val="20"/>
        </w:rPr>
        <w:t>] Treatment criteria:</w:t>
      </w:r>
    </w:p>
    <w:p w14:paraId="382535CA" w14:textId="09C42C1C" w:rsidR="00FA5007" w:rsidRPr="002B6882" w:rsidRDefault="00FA5007" w:rsidP="00FA5007">
      <w:pPr>
        <w:pStyle w:val="3Bodytext"/>
        <w:ind w:left="720" w:hanging="11"/>
        <w:rPr>
          <w:rFonts w:ascii="Arial Narrow" w:hAnsi="Arial Narrow"/>
          <w:sz w:val="20"/>
          <w:szCs w:val="20"/>
        </w:rPr>
      </w:pPr>
      <w:r w:rsidRPr="002B6882">
        <w:rPr>
          <w:rFonts w:ascii="Arial Narrow" w:hAnsi="Arial Narrow"/>
          <w:sz w:val="20"/>
          <w:szCs w:val="20"/>
        </w:rPr>
        <w:t>[33255] Must be treated by a medical practitioner; or</w:t>
      </w:r>
    </w:p>
    <w:p w14:paraId="068D6373" w14:textId="60A4A8BD" w:rsidR="00FA5007" w:rsidRDefault="00FA5007" w:rsidP="00FA5007">
      <w:pPr>
        <w:pStyle w:val="3Bodytext"/>
        <w:ind w:left="720" w:hanging="11"/>
        <w:rPr>
          <w:rFonts w:ascii="Arial Narrow" w:hAnsi="Arial Narrow"/>
          <w:sz w:val="20"/>
          <w:szCs w:val="20"/>
        </w:rPr>
      </w:pPr>
      <w:r w:rsidRPr="002B6882">
        <w:rPr>
          <w:rFonts w:ascii="Arial Narrow" w:hAnsi="Arial Narrow"/>
          <w:sz w:val="20"/>
          <w:szCs w:val="20"/>
        </w:rPr>
        <w:t>[</w:t>
      </w:r>
      <w:r w:rsidR="00C17640" w:rsidRPr="76D7AE50">
        <w:rPr>
          <w:rFonts w:ascii="Arial Narrow" w:hAnsi="Arial Narrow"/>
          <w:sz w:val="20"/>
          <w:szCs w:val="20"/>
        </w:rPr>
        <w:t>34119</w:t>
      </w:r>
      <w:r w:rsidRPr="002B6882">
        <w:rPr>
          <w:rFonts w:ascii="Arial Narrow" w:hAnsi="Arial Narrow"/>
          <w:sz w:val="20"/>
          <w:szCs w:val="20"/>
        </w:rPr>
        <w:t>]</w:t>
      </w:r>
      <w:r w:rsidRPr="0069315F">
        <w:rPr>
          <w:rFonts w:ascii="Arial Narrow" w:hAnsi="Arial Narrow"/>
          <w:sz w:val="20"/>
          <w:szCs w:val="20"/>
        </w:rPr>
        <w:t xml:space="preserve"> Must be treated by a nurse practitioner where both of the following are occurring: (</w:t>
      </w:r>
      <w:proofErr w:type="spellStart"/>
      <w:r w:rsidRPr="0069315F">
        <w:rPr>
          <w:rFonts w:ascii="Arial Narrow" w:hAnsi="Arial Narrow"/>
          <w:sz w:val="20"/>
          <w:szCs w:val="20"/>
        </w:rPr>
        <w:t>i</w:t>
      </w:r>
      <w:proofErr w:type="spellEnd"/>
      <w:r w:rsidRPr="0069315F">
        <w:rPr>
          <w:rFonts w:ascii="Arial Narrow" w:hAnsi="Arial Narrow"/>
          <w:sz w:val="20"/>
          <w:szCs w:val="20"/>
        </w:rPr>
        <w:t>) patient care is being shared with a medical practitioner, (ii) the prescription continues existing therapy with this medicine</w:t>
      </w:r>
    </w:p>
    <w:p w14:paraId="01833DFF" w14:textId="59E5D453" w:rsidR="00413F90" w:rsidRDefault="00413F90" w:rsidP="00413F90">
      <w:pPr>
        <w:pStyle w:val="3-BodyText"/>
      </w:pPr>
      <w:r>
        <w:t xml:space="preserve">Several medicines on the S100 HSD program were recommended by the PBAC </w:t>
      </w:r>
      <w:r w:rsidR="0059649F">
        <w:t xml:space="preserve">at its July 2025 meeting </w:t>
      </w:r>
      <w:r>
        <w:t xml:space="preserve">to be suitable for prescribing </w:t>
      </w:r>
      <w:r w:rsidR="0059649F">
        <w:t xml:space="preserve">by </w:t>
      </w:r>
      <w:r>
        <w:t>NPs for continuing treatment, with agreement from the treating specialist medical practitioner. The PBAC noted that amendments to the S100 HSD program legislative instrument would be required</w:t>
      </w:r>
      <w:r w:rsidR="00F54B10">
        <w:t xml:space="preserve"> to facilitate </w:t>
      </w:r>
      <w:r w:rsidR="001C032F">
        <w:t>nurse practitioner prescribing</w:t>
      </w:r>
      <w:r w:rsidR="00F703A1">
        <w:t xml:space="preserve"> for these medicines</w:t>
      </w:r>
      <w:r w:rsidR="001C032F">
        <w:t>.</w:t>
      </w:r>
      <w:r w:rsidDel="00F54B10">
        <w:t xml:space="preserve"> </w:t>
      </w:r>
      <w:r w:rsidR="00F23A3C">
        <w:t>At t</w:t>
      </w:r>
      <w:r w:rsidR="0090177E">
        <w:t>he</w:t>
      </w:r>
      <w:r w:rsidR="005A369C">
        <w:t xml:space="preserve"> time of </w:t>
      </w:r>
      <w:r w:rsidR="00052A0F">
        <w:t>this March 2026 meeting</w:t>
      </w:r>
      <w:r w:rsidR="005A369C">
        <w:t>, the</w:t>
      </w:r>
      <w:r w:rsidR="0090177E">
        <w:t xml:space="preserve"> </w:t>
      </w:r>
      <w:r w:rsidR="00757CB2">
        <w:t>department</w:t>
      </w:r>
      <w:r w:rsidR="00C46E62">
        <w:t xml:space="preserve"> </w:t>
      </w:r>
      <w:r w:rsidR="00052A0F">
        <w:t xml:space="preserve">had </w:t>
      </w:r>
      <w:r w:rsidR="00055026">
        <w:t>yet to imp</w:t>
      </w:r>
      <w:r w:rsidR="009D5D8F">
        <w:t xml:space="preserve">lement the </w:t>
      </w:r>
      <w:r w:rsidR="005A369C">
        <w:t xml:space="preserve">PBAC’s </w:t>
      </w:r>
      <w:r w:rsidR="00363194">
        <w:t>S100 HSD recommendations from</w:t>
      </w:r>
      <w:r w:rsidR="005A369C">
        <w:t xml:space="preserve"> </w:t>
      </w:r>
      <w:proofErr w:type="gramStart"/>
      <w:r w:rsidR="005A369C">
        <w:t>July 2025, but</w:t>
      </w:r>
      <w:proofErr w:type="gramEnd"/>
      <w:r w:rsidR="005A369C">
        <w:t xml:space="preserve"> </w:t>
      </w:r>
      <w:r w:rsidR="00052A0F">
        <w:t xml:space="preserve">advised that it was </w:t>
      </w:r>
      <w:r w:rsidR="003A223F">
        <w:t xml:space="preserve">progressing </w:t>
      </w:r>
      <w:r w:rsidR="00CD5EE5">
        <w:t xml:space="preserve">the necessary </w:t>
      </w:r>
      <w:r w:rsidR="00437080">
        <w:t>amendments to the legislated Section 100 arrangements.</w:t>
      </w:r>
    </w:p>
    <w:p w14:paraId="6817D04A" w14:textId="2589451A" w:rsidR="001160CE" w:rsidRPr="0049389A" w:rsidRDefault="004642A1" w:rsidP="0049389A">
      <w:pPr>
        <w:pStyle w:val="3-BodyText"/>
      </w:pPr>
      <w:r>
        <w:t>For</w:t>
      </w:r>
      <w:r w:rsidR="00CD6645">
        <w:t xml:space="preserve"> </w:t>
      </w:r>
      <w:r w:rsidR="00003D98">
        <w:t>the s</w:t>
      </w:r>
      <w:r w:rsidR="000B47C8">
        <w:t>100 HSD medicines</w:t>
      </w:r>
      <w:r w:rsidR="009265B7">
        <w:t xml:space="preserve"> referred to above</w:t>
      </w:r>
      <w:r w:rsidR="00CD6645">
        <w:t xml:space="preserve">, the PBAC advised </w:t>
      </w:r>
      <w:proofErr w:type="gramStart"/>
      <w:r w:rsidR="00CD6645">
        <w:t>to</w:t>
      </w:r>
      <w:r w:rsidR="2A6592F0">
        <w:t xml:space="preserve"> </w:t>
      </w:r>
      <w:r w:rsidR="00CD6645">
        <w:t>add</w:t>
      </w:r>
      <w:proofErr w:type="gramEnd"/>
      <w:r w:rsidR="00CD6645">
        <w:t xml:space="preserve"> the prescriber type ‘nurse practitioner’ and the following Treatment Criterion</w:t>
      </w:r>
      <w:r w:rsidR="00757CB2">
        <w:t xml:space="preserve"> </w:t>
      </w:r>
      <w:r w:rsidR="00F74926">
        <w:t xml:space="preserve">in the same manner as described in paragraph </w:t>
      </w:r>
      <w:r w:rsidR="00402B0E">
        <w:t>2.21 above</w:t>
      </w:r>
      <w:r w:rsidR="00DF78F3">
        <w:t>:</w:t>
      </w:r>
      <w:r w:rsidR="00BC0ADE">
        <w:t xml:space="preserve"> (</w:t>
      </w:r>
      <w:r w:rsidR="001336BD">
        <w:t>Nurse</w:t>
      </w:r>
      <w:r w:rsidR="00F42C3C">
        <w:t> </w:t>
      </w:r>
      <w:r w:rsidR="001336BD">
        <w:t>Practitioners, Minutes, July</w:t>
      </w:r>
      <w:r w:rsidR="00B5111D">
        <w:t> </w:t>
      </w:r>
      <w:r w:rsidR="001336BD">
        <w:t>2025 meeting)</w:t>
      </w:r>
      <w:r w:rsidR="00CD6645">
        <w:t>:</w:t>
      </w:r>
    </w:p>
    <w:p w14:paraId="41FEAD4A" w14:textId="119DA6E1" w:rsidR="00413F90" w:rsidRPr="00413F90" w:rsidRDefault="005B2549" w:rsidP="00413F90">
      <w:pPr>
        <w:pStyle w:val="3Bodytext"/>
        <w:ind w:left="709"/>
        <w:rPr>
          <w:rFonts w:ascii="Arial Narrow" w:hAnsi="Arial Narrow"/>
          <w:b/>
          <w:bCs/>
          <w:sz w:val="20"/>
          <w:szCs w:val="20"/>
        </w:rPr>
      </w:pPr>
      <w:r>
        <w:rPr>
          <w:rFonts w:ascii="Arial Narrow" w:hAnsi="Arial Narrow"/>
          <w:b/>
          <w:bCs/>
          <w:sz w:val="20"/>
          <w:szCs w:val="20"/>
        </w:rPr>
        <w:t xml:space="preserve">[New TC1] </w:t>
      </w:r>
      <w:r w:rsidR="00413F90" w:rsidRPr="00413F90">
        <w:rPr>
          <w:rFonts w:ascii="Arial Narrow" w:hAnsi="Arial Narrow"/>
          <w:b/>
          <w:bCs/>
          <w:sz w:val="20"/>
          <w:szCs w:val="20"/>
        </w:rPr>
        <w:t>Treatment criteria:</w:t>
      </w:r>
    </w:p>
    <w:p w14:paraId="624ACED1" w14:textId="0C5BFFF6" w:rsidR="00413F90" w:rsidRPr="00413F90" w:rsidRDefault="005B2549" w:rsidP="00413F90">
      <w:pPr>
        <w:pStyle w:val="3Bodytext"/>
        <w:ind w:left="709"/>
        <w:rPr>
          <w:rFonts w:ascii="Arial Narrow" w:hAnsi="Arial Narrow"/>
          <w:sz w:val="20"/>
          <w:szCs w:val="20"/>
        </w:rPr>
      </w:pPr>
      <w:r>
        <w:rPr>
          <w:rFonts w:ascii="Arial Narrow" w:hAnsi="Arial Narrow"/>
          <w:sz w:val="20"/>
          <w:szCs w:val="20"/>
        </w:rPr>
        <w:t xml:space="preserve">[33255] </w:t>
      </w:r>
      <w:r w:rsidR="00413F90" w:rsidRPr="00413F90">
        <w:rPr>
          <w:rFonts w:ascii="Arial Narrow" w:hAnsi="Arial Narrow"/>
          <w:sz w:val="20"/>
          <w:szCs w:val="20"/>
        </w:rPr>
        <w:t>Must be treated by a specialist medical practitioner; or</w:t>
      </w:r>
    </w:p>
    <w:p w14:paraId="3BBB1892" w14:textId="53D8BE61" w:rsidR="00413F90" w:rsidRPr="00057B56" w:rsidRDefault="005B2549" w:rsidP="00057B56">
      <w:pPr>
        <w:pStyle w:val="3Bodytext"/>
        <w:ind w:left="709"/>
        <w:rPr>
          <w:rFonts w:ascii="Arial Narrow" w:hAnsi="Arial Narrow"/>
          <w:i/>
          <w:iCs/>
          <w:sz w:val="20"/>
          <w:szCs w:val="20"/>
        </w:rPr>
      </w:pPr>
      <w:r>
        <w:rPr>
          <w:rFonts w:ascii="Arial Narrow" w:hAnsi="Arial Narrow"/>
          <w:sz w:val="20"/>
          <w:szCs w:val="20"/>
        </w:rPr>
        <w:t xml:space="preserve">[New TC1.1] </w:t>
      </w:r>
      <w:r w:rsidR="00413F90" w:rsidRPr="00413F90">
        <w:rPr>
          <w:rFonts w:ascii="Arial Narrow" w:hAnsi="Arial Narrow"/>
          <w:sz w:val="20"/>
          <w:szCs w:val="20"/>
        </w:rPr>
        <w:t>Must be treated by an authorised prescriber type (non-specialist medical practitioner, nurse practitioner) who is both: (</w:t>
      </w:r>
      <w:proofErr w:type="spellStart"/>
      <w:r w:rsidR="00413F90" w:rsidRPr="00413F90">
        <w:rPr>
          <w:rFonts w:ascii="Arial Narrow" w:hAnsi="Arial Narrow"/>
          <w:sz w:val="20"/>
          <w:szCs w:val="20"/>
        </w:rPr>
        <w:t>i</w:t>
      </w:r>
      <w:proofErr w:type="spellEnd"/>
      <w:r w:rsidR="00413F90" w:rsidRPr="00413F90">
        <w:rPr>
          <w:rFonts w:ascii="Arial Narrow" w:hAnsi="Arial Narrow"/>
          <w:sz w:val="20"/>
          <w:szCs w:val="20"/>
        </w:rPr>
        <w:t xml:space="preserve">) continuing existing therapy with this medicine (i.e. not initiating treatment), (ii) has agreement from the treating specialist medical practitioner </w:t>
      </w:r>
    </w:p>
    <w:bookmarkEnd w:id="2"/>
    <w:p w14:paraId="61C98030" w14:textId="31E94FE7" w:rsidR="004323D6" w:rsidRDefault="003440B0" w:rsidP="00167A6C">
      <w:pPr>
        <w:pStyle w:val="2-SectionHeading"/>
      </w:pPr>
      <w:r w:rsidRPr="00A6439B">
        <w:t xml:space="preserve">Requested listing </w:t>
      </w:r>
    </w:p>
    <w:p w14:paraId="34D42EB2" w14:textId="77777777" w:rsidR="0048744A" w:rsidRDefault="008C6B45" w:rsidP="0048744A">
      <w:pPr>
        <w:pStyle w:val="3-BodyText"/>
        <w:rPr>
          <w:i/>
          <w:iCs/>
        </w:rPr>
      </w:pPr>
      <w:r w:rsidRPr="004323D6">
        <w:t xml:space="preserve">The sponsor proposed adding </w:t>
      </w:r>
      <w:r w:rsidR="00EA0DBE">
        <w:t xml:space="preserve">NP </w:t>
      </w:r>
      <w:r w:rsidRPr="004323D6">
        <w:t>prescribing to all indications, for both initiating and continuing phases.</w:t>
      </w:r>
      <w:r>
        <w:t xml:space="preserve"> </w:t>
      </w:r>
    </w:p>
    <w:p w14:paraId="08A3D171" w14:textId="77777777" w:rsidR="00C131F5" w:rsidRPr="00C131F5" w:rsidRDefault="00EA0DBE" w:rsidP="00D5489C">
      <w:pPr>
        <w:pStyle w:val="3-BodyText"/>
        <w:rPr>
          <w:i/>
          <w:iCs/>
        </w:rPr>
      </w:pPr>
      <w:r>
        <w:t xml:space="preserve">The Secretariat proposed to add NP prescribing to the continuing phase only. For PV, the Secretariat proposed NP prescribing for subsequent continuing treatment only. </w:t>
      </w:r>
    </w:p>
    <w:p w14:paraId="45BACF0F" w14:textId="4FDDBCE1" w:rsidR="00563145" w:rsidRPr="0048744A" w:rsidRDefault="00EA0DBE" w:rsidP="00C131F5">
      <w:pPr>
        <w:pStyle w:val="3-BodyText"/>
        <w:rPr>
          <w:i/>
          <w:iCs/>
        </w:rPr>
      </w:pPr>
      <w:r>
        <w:t>As such, t</w:t>
      </w:r>
      <w:r w:rsidR="003F7A6D" w:rsidRPr="0049389A">
        <w:t>he</w:t>
      </w:r>
      <w:r w:rsidR="00563145" w:rsidRPr="0049389A">
        <w:t xml:space="preserve"> Secretariat proposed to add ‘NP – nurse practitioner’ prescriber type to the existing </w:t>
      </w:r>
      <w:r w:rsidR="00DA3312" w:rsidRPr="0049389A">
        <w:t>PBS item codes</w:t>
      </w:r>
      <w:r w:rsidR="00175A62" w:rsidRPr="0049389A">
        <w:t xml:space="preserve"> </w:t>
      </w:r>
      <w:r w:rsidR="00563145" w:rsidRPr="0049389A">
        <w:t>as follows:</w:t>
      </w:r>
    </w:p>
    <w:p w14:paraId="2AA63B5B" w14:textId="3828C23C" w:rsidR="00563145" w:rsidRPr="00C073DB" w:rsidRDefault="00167A6C" w:rsidP="00167A6C">
      <w:pPr>
        <w:pStyle w:val="Caption"/>
        <w:keepNext/>
        <w:ind w:firstLine="709"/>
        <w:jc w:val="left"/>
      </w:pPr>
      <w:r>
        <w:lastRenderedPageBreak/>
        <w:t xml:space="preserve">Table </w:t>
      </w:r>
      <w:fldSimple w:instr=" SEQ Table \* ARABIC ">
        <w:r>
          <w:rPr>
            <w:noProof/>
          </w:rPr>
          <w:t>2</w:t>
        </w:r>
      </w:fldSimple>
      <w:r>
        <w:t xml:space="preserve">: </w:t>
      </w:r>
      <w:r w:rsidR="00563145">
        <w:t>PBS items</w:t>
      </w:r>
      <w:r w:rsidR="00563145" w:rsidRPr="00145B2A">
        <w:t xml:space="preserve"> </w:t>
      </w:r>
      <w:r w:rsidR="00563145">
        <w:t xml:space="preserve">and treatment phases </w:t>
      </w:r>
      <w:r w:rsidR="00563145" w:rsidRPr="00145B2A">
        <w:t>for which </w:t>
      </w:r>
      <w:r w:rsidR="00563145">
        <w:t>NPs</w:t>
      </w:r>
      <w:r w:rsidR="00563145" w:rsidRPr="00145B2A">
        <w:t xml:space="preserve"> are to be added as a prescriber type</w:t>
      </w:r>
    </w:p>
    <w:tbl>
      <w:tblPr>
        <w:tblStyle w:val="TableGrid"/>
        <w:tblW w:w="8359" w:type="dxa"/>
        <w:tblInd w:w="709" w:type="dxa"/>
        <w:tblLook w:val="04A0" w:firstRow="1" w:lastRow="0" w:firstColumn="1" w:lastColumn="0" w:noHBand="0" w:noVBand="1"/>
        <w:tblCaption w:val="Table 2: PBS items and treatment phases for which NPs are to be added as a prescriber type"/>
      </w:tblPr>
      <w:tblGrid>
        <w:gridCol w:w="929"/>
        <w:gridCol w:w="1901"/>
        <w:gridCol w:w="1105"/>
        <w:gridCol w:w="1074"/>
        <w:gridCol w:w="3350"/>
      </w:tblGrid>
      <w:tr w:rsidR="005A7ACE" w14:paraId="662CF890" w14:textId="77777777" w:rsidTr="0041470E">
        <w:tc>
          <w:tcPr>
            <w:tcW w:w="929" w:type="dxa"/>
          </w:tcPr>
          <w:p w14:paraId="3C2A3793" w14:textId="3EEA9319" w:rsidR="006E124F" w:rsidRDefault="006E124F" w:rsidP="00C1131F">
            <w:pPr>
              <w:pStyle w:val="In-tableHeading"/>
            </w:pPr>
            <w:r>
              <w:t>PBS item codes</w:t>
            </w:r>
          </w:p>
        </w:tc>
        <w:tc>
          <w:tcPr>
            <w:tcW w:w="1901" w:type="dxa"/>
          </w:tcPr>
          <w:p w14:paraId="6833C779" w14:textId="31D6D912" w:rsidR="006E124F" w:rsidRDefault="006E124F" w:rsidP="00C1131F">
            <w:pPr>
              <w:pStyle w:val="In-tableHeading"/>
            </w:pPr>
            <w:r>
              <w:t>Indication</w:t>
            </w:r>
          </w:p>
        </w:tc>
        <w:tc>
          <w:tcPr>
            <w:tcW w:w="1105" w:type="dxa"/>
          </w:tcPr>
          <w:p w14:paraId="06A5BB39" w14:textId="77777777" w:rsidR="006E124F" w:rsidRDefault="006E124F" w:rsidP="00C1131F">
            <w:pPr>
              <w:pStyle w:val="In-tableHeading"/>
            </w:pPr>
            <w:r>
              <w:t>Restriction summary</w:t>
            </w:r>
          </w:p>
        </w:tc>
        <w:tc>
          <w:tcPr>
            <w:tcW w:w="1074" w:type="dxa"/>
          </w:tcPr>
          <w:p w14:paraId="1F0C3BB9" w14:textId="77777777" w:rsidR="006E124F" w:rsidRDefault="006E124F" w:rsidP="00C1131F">
            <w:pPr>
              <w:pStyle w:val="In-tableHeading"/>
            </w:pPr>
            <w:r>
              <w:t>Treatment of concept</w:t>
            </w:r>
          </w:p>
        </w:tc>
        <w:tc>
          <w:tcPr>
            <w:tcW w:w="3350" w:type="dxa"/>
          </w:tcPr>
          <w:p w14:paraId="335BDCA8" w14:textId="77777777" w:rsidR="006E124F" w:rsidRDefault="006E124F" w:rsidP="00C1131F">
            <w:pPr>
              <w:pStyle w:val="In-tableHeading"/>
            </w:pPr>
            <w:r>
              <w:t>Treatment phase</w:t>
            </w:r>
          </w:p>
        </w:tc>
      </w:tr>
      <w:tr w:rsidR="005A7ACE" w14:paraId="28426E58" w14:textId="77777777" w:rsidTr="0041470E">
        <w:tc>
          <w:tcPr>
            <w:tcW w:w="929" w:type="dxa"/>
            <w:vAlign w:val="center"/>
          </w:tcPr>
          <w:p w14:paraId="0A838150" w14:textId="481A0AA3" w:rsidR="006E124F" w:rsidRDefault="006E124F" w:rsidP="00C1131F">
            <w:pPr>
              <w:pStyle w:val="TableText0"/>
            </w:pPr>
            <w:r w:rsidRPr="004701B4">
              <w:t>14990Y</w:t>
            </w:r>
          </w:p>
        </w:tc>
        <w:tc>
          <w:tcPr>
            <w:tcW w:w="1901" w:type="dxa"/>
            <w:vMerge w:val="restart"/>
            <w:vAlign w:val="center"/>
          </w:tcPr>
          <w:p w14:paraId="3BFDE14A" w14:textId="65EA3259" w:rsidR="006E124F" w:rsidRDefault="006E124F" w:rsidP="00C1131F">
            <w:pPr>
              <w:pStyle w:val="TableText0"/>
            </w:pPr>
            <w:r>
              <w:t>PV</w:t>
            </w:r>
          </w:p>
        </w:tc>
        <w:tc>
          <w:tcPr>
            <w:tcW w:w="1105" w:type="dxa"/>
            <w:vMerge w:val="restart"/>
            <w:vAlign w:val="center"/>
          </w:tcPr>
          <w:p w14:paraId="0AB650A8" w14:textId="481EE703" w:rsidR="006E124F" w:rsidRDefault="006E124F" w:rsidP="00C1131F">
            <w:pPr>
              <w:pStyle w:val="TableText0"/>
            </w:pPr>
            <w:r>
              <w:t>17051</w:t>
            </w:r>
          </w:p>
        </w:tc>
        <w:tc>
          <w:tcPr>
            <w:tcW w:w="1074" w:type="dxa"/>
            <w:vMerge w:val="restart"/>
            <w:vAlign w:val="center"/>
          </w:tcPr>
          <w:p w14:paraId="0F41015F" w14:textId="4618AC45" w:rsidR="006E124F" w:rsidRDefault="006E124F" w:rsidP="00C1131F">
            <w:pPr>
              <w:pStyle w:val="TableText0"/>
            </w:pPr>
            <w:r>
              <w:t>17019</w:t>
            </w:r>
          </w:p>
        </w:tc>
        <w:tc>
          <w:tcPr>
            <w:tcW w:w="3350" w:type="dxa"/>
            <w:vMerge w:val="restart"/>
            <w:vAlign w:val="center"/>
          </w:tcPr>
          <w:p w14:paraId="4BDE3FCD" w14:textId="713075BC" w:rsidR="006E124F" w:rsidRDefault="006E124F" w:rsidP="0063320B">
            <w:pPr>
              <w:pStyle w:val="TableText0"/>
            </w:pPr>
            <w:r>
              <w:t>Subsequent continuing treatment</w:t>
            </w:r>
          </w:p>
        </w:tc>
      </w:tr>
      <w:tr w:rsidR="005A7ACE" w14:paraId="304301C5" w14:textId="77777777" w:rsidTr="0041470E">
        <w:tc>
          <w:tcPr>
            <w:tcW w:w="929" w:type="dxa"/>
            <w:vAlign w:val="center"/>
          </w:tcPr>
          <w:p w14:paraId="326A4E3A" w14:textId="2A16DFEA" w:rsidR="006E124F" w:rsidRDefault="006E124F" w:rsidP="00C1131F">
            <w:pPr>
              <w:pStyle w:val="TableText0"/>
            </w:pPr>
            <w:r w:rsidRPr="004701B4">
              <w:t>14991B</w:t>
            </w:r>
          </w:p>
        </w:tc>
        <w:tc>
          <w:tcPr>
            <w:tcW w:w="1901" w:type="dxa"/>
            <w:vMerge/>
          </w:tcPr>
          <w:p w14:paraId="61442F88" w14:textId="77777777" w:rsidR="006E124F" w:rsidRDefault="006E124F" w:rsidP="00C1131F">
            <w:pPr>
              <w:pStyle w:val="TableText0"/>
            </w:pPr>
          </w:p>
        </w:tc>
        <w:tc>
          <w:tcPr>
            <w:tcW w:w="1105" w:type="dxa"/>
            <w:vMerge/>
            <w:vAlign w:val="center"/>
          </w:tcPr>
          <w:p w14:paraId="09BA40DC" w14:textId="3BEC968C" w:rsidR="006E124F" w:rsidRDefault="006E124F" w:rsidP="00C1131F">
            <w:pPr>
              <w:pStyle w:val="TableText0"/>
            </w:pPr>
          </w:p>
        </w:tc>
        <w:tc>
          <w:tcPr>
            <w:tcW w:w="1074" w:type="dxa"/>
            <w:vMerge/>
            <w:vAlign w:val="center"/>
          </w:tcPr>
          <w:p w14:paraId="4956E34E" w14:textId="59FF8DB7" w:rsidR="006E124F" w:rsidRDefault="006E124F" w:rsidP="00C1131F">
            <w:pPr>
              <w:pStyle w:val="TableText0"/>
            </w:pPr>
          </w:p>
        </w:tc>
        <w:tc>
          <w:tcPr>
            <w:tcW w:w="3350" w:type="dxa"/>
            <w:vMerge/>
          </w:tcPr>
          <w:p w14:paraId="255B07B2" w14:textId="06518D1B" w:rsidR="006E124F" w:rsidRDefault="006E124F" w:rsidP="00C1131F">
            <w:pPr>
              <w:pStyle w:val="TableText0"/>
            </w:pPr>
          </w:p>
        </w:tc>
      </w:tr>
      <w:tr w:rsidR="005A7ACE" w14:paraId="4C8062E7" w14:textId="77777777" w:rsidTr="0041470E">
        <w:tc>
          <w:tcPr>
            <w:tcW w:w="929" w:type="dxa"/>
            <w:vAlign w:val="center"/>
          </w:tcPr>
          <w:p w14:paraId="5F8B31D8" w14:textId="4A98DF89" w:rsidR="006E124F" w:rsidRDefault="006E124F" w:rsidP="00C1131F">
            <w:pPr>
              <w:pStyle w:val="TableText0"/>
            </w:pPr>
            <w:r w:rsidRPr="004701B4">
              <w:t>15014F</w:t>
            </w:r>
          </w:p>
        </w:tc>
        <w:tc>
          <w:tcPr>
            <w:tcW w:w="1901" w:type="dxa"/>
            <w:vMerge/>
          </w:tcPr>
          <w:p w14:paraId="486A243D" w14:textId="2A1F8614" w:rsidR="006E124F" w:rsidRDefault="006E124F" w:rsidP="00C1131F">
            <w:pPr>
              <w:pStyle w:val="TableText0"/>
            </w:pPr>
          </w:p>
        </w:tc>
        <w:tc>
          <w:tcPr>
            <w:tcW w:w="1105" w:type="dxa"/>
            <w:vMerge/>
            <w:vAlign w:val="center"/>
          </w:tcPr>
          <w:p w14:paraId="4B9C852B" w14:textId="77777777" w:rsidR="006E124F" w:rsidRDefault="006E124F" w:rsidP="00C1131F">
            <w:pPr>
              <w:pStyle w:val="TableText0"/>
            </w:pPr>
          </w:p>
        </w:tc>
        <w:tc>
          <w:tcPr>
            <w:tcW w:w="1074" w:type="dxa"/>
            <w:vMerge/>
            <w:vAlign w:val="center"/>
          </w:tcPr>
          <w:p w14:paraId="4EADA7D9" w14:textId="77777777" w:rsidR="006E124F" w:rsidRDefault="006E124F" w:rsidP="00C1131F">
            <w:pPr>
              <w:pStyle w:val="TableText0"/>
            </w:pPr>
          </w:p>
        </w:tc>
        <w:tc>
          <w:tcPr>
            <w:tcW w:w="3350" w:type="dxa"/>
            <w:vMerge/>
          </w:tcPr>
          <w:p w14:paraId="770D18E1" w14:textId="77777777" w:rsidR="006E124F" w:rsidRDefault="006E124F" w:rsidP="00C1131F">
            <w:pPr>
              <w:pStyle w:val="TableText0"/>
            </w:pPr>
          </w:p>
        </w:tc>
      </w:tr>
      <w:tr w:rsidR="005A7ACE" w14:paraId="39ABD510" w14:textId="77777777" w:rsidTr="0041470E">
        <w:tc>
          <w:tcPr>
            <w:tcW w:w="929" w:type="dxa"/>
            <w:vAlign w:val="center"/>
          </w:tcPr>
          <w:p w14:paraId="420139FA" w14:textId="65C46834" w:rsidR="006E124F" w:rsidRDefault="006E124F" w:rsidP="00C1131F">
            <w:pPr>
              <w:pStyle w:val="TableText0"/>
            </w:pPr>
            <w:r w:rsidRPr="004701B4">
              <w:t>15002N</w:t>
            </w:r>
          </w:p>
        </w:tc>
        <w:tc>
          <w:tcPr>
            <w:tcW w:w="1901" w:type="dxa"/>
            <w:vMerge/>
          </w:tcPr>
          <w:p w14:paraId="421BB893" w14:textId="392F7E69" w:rsidR="006E124F" w:rsidRDefault="006E124F" w:rsidP="00C1131F">
            <w:pPr>
              <w:pStyle w:val="TableText0"/>
            </w:pPr>
          </w:p>
        </w:tc>
        <w:tc>
          <w:tcPr>
            <w:tcW w:w="1105" w:type="dxa"/>
            <w:vMerge/>
            <w:vAlign w:val="center"/>
          </w:tcPr>
          <w:p w14:paraId="48E626AA" w14:textId="77777777" w:rsidR="006E124F" w:rsidRDefault="006E124F" w:rsidP="00C1131F">
            <w:pPr>
              <w:pStyle w:val="TableText0"/>
            </w:pPr>
          </w:p>
        </w:tc>
        <w:tc>
          <w:tcPr>
            <w:tcW w:w="1074" w:type="dxa"/>
            <w:vMerge/>
            <w:vAlign w:val="center"/>
          </w:tcPr>
          <w:p w14:paraId="40661AB4" w14:textId="77777777" w:rsidR="006E124F" w:rsidRDefault="006E124F" w:rsidP="00C1131F">
            <w:pPr>
              <w:pStyle w:val="TableText0"/>
            </w:pPr>
          </w:p>
        </w:tc>
        <w:tc>
          <w:tcPr>
            <w:tcW w:w="3350" w:type="dxa"/>
            <w:vMerge/>
          </w:tcPr>
          <w:p w14:paraId="281B4827" w14:textId="77777777" w:rsidR="006E124F" w:rsidRDefault="006E124F" w:rsidP="00C1131F">
            <w:pPr>
              <w:pStyle w:val="TableText0"/>
            </w:pPr>
          </w:p>
        </w:tc>
      </w:tr>
      <w:tr w:rsidR="00E943A2" w14:paraId="0BE17B0A" w14:textId="77777777" w:rsidTr="0041470E">
        <w:tc>
          <w:tcPr>
            <w:tcW w:w="929" w:type="dxa"/>
            <w:vAlign w:val="center"/>
          </w:tcPr>
          <w:p w14:paraId="6C4224B5" w14:textId="110F5F00" w:rsidR="00E943A2" w:rsidRPr="004701B4" w:rsidRDefault="00E943A2" w:rsidP="006E124F">
            <w:pPr>
              <w:pStyle w:val="TableText0"/>
            </w:pPr>
            <w:r w:rsidRPr="004D25DD">
              <w:t>10616R</w:t>
            </w:r>
          </w:p>
        </w:tc>
        <w:tc>
          <w:tcPr>
            <w:tcW w:w="1901" w:type="dxa"/>
            <w:vMerge w:val="restart"/>
            <w:vAlign w:val="center"/>
          </w:tcPr>
          <w:p w14:paraId="40871995" w14:textId="4DFD15B4" w:rsidR="00E943A2" w:rsidRDefault="00E943A2" w:rsidP="006E124F">
            <w:pPr>
              <w:pStyle w:val="TableText0"/>
              <w:ind w:right="-102"/>
            </w:pPr>
            <w:r>
              <w:t>Intermediate-1 risk MF</w:t>
            </w:r>
          </w:p>
        </w:tc>
        <w:tc>
          <w:tcPr>
            <w:tcW w:w="1105" w:type="dxa"/>
            <w:vMerge w:val="restart"/>
            <w:vAlign w:val="center"/>
          </w:tcPr>
          <w:p w14:paraId="19ED3D47" w14:textId="1CB20BE6" w:rsidR="00E943A2" w:rsidRDefault="008C57C9" w:rsidP="006E124F">
            <w:pPr>
              <w:pStyle w:val="TableText0"/>
            </w:pPr>
            <w:r>
              <w:t>167373</w:t>
            </w:r>
          </w:p>
        </w:tc>
        <w:tc>
          <w:tcPr>
            <w:tcW w:w="1074" w:type="dxa"/>
            <w:vMerge w:val="restart"/>
            <w:vAlign w:val="center"/>
          </w:tcPr>
          <w:p w14:paraId="3D547F98" w14:textId="7D9F9F91" w:rsidR="00E943A2" w:rsidRDefault="00E943A2" w:rsidP="006E124F">
            <w:pPr>
              <w:pStyle w:val="TableText0"/>
            </w:pPr>
            <w:r>
              <w:t>167373</w:t>
            </w:r>
          </w:p>
        </w:tc>
        <w:tc>
          <w:tcPr>
            <w:tcW w:w="3350" w:type="dxa"/>
            <w:vMerge w:val="restart"/>
            <w:vAlign w:val="center"/>
          </w:tcPr>
          <w:p w14:paraId="6DAFC9E6" w14:textId="2D204E7D" w:rsidR="00E943A2" w:rsidRDefault="00E943A2" w:rsidP="006E124F">
            <w:pPr>
              <w:pStyle w:val="TableText0"/>
            </w:pPr>
            <w:r>
              <w:t xml:space="preserve">Continuing treatment </w:t>
            </w:r>
          </w:p>
        </w:tc>
      </w:tr>
      <w:tr w:rsidR="00E943A2" w14:paraId="0720021F" w14:textId="77777777" w:rsidTr="0041470E">
        <w:tc>
          <w:tcPr>
            <w:tcW w:w="929" w:type="dxa"/>
            <w:vAlign w:val="center"/>
          </w:tcPr>
          <w:p w14:paraId="642293A3" w14:textId="15BC3880" w:rsidR="00E943A2" w:rsidRPr="004701B4" w:rsidRDefault="00E943A2" w:rsidP="006E124F">
            <w:pPr>
              <w:pStyle w:val="TableText0"/>
            </w:pPr>
            <w:r w:rsidRPr="004D25DD">
              <w:t>10927D</w:t>
            </w:r>
          </w:p>
        </w:tc>
        <w:tc>
          <w:tcPr>
            <w:tcW w:w="1901" w:type="dxa"/>
            <w:vMerge/>
          </w:tcPr>
          <w:p w14:paraId="1D86BE18" w14:textId="77777777" w:rsidR="00E943A2" w:rsidRDefault="00E943A2" w:rsidP="006E124F">
            <w:pPr>
              <w:pStyle w:val="TableText0"/>
            </w:pPr>
          </w:p>
        </w:tc>
        <w:tc>
          <w:tcPr>
            <w:tcW w:w="1105" w:type="dxa"/>
            <w:vMerge/>
            <w:vAlign w:val="center"/>
          </w:tcPr>
          <w:p w14:paraId="5537508C" w14:textId="77777777" w:rsidR="00E943A2" w:rsidRDefault="00E943A2" w:rsidP="006E124F">
            <w:pPr>
              <w:pStyle w:val="TableText0"/>
            </w:pPr>
          </w:p>
        </w:tc>
        <w:tc>
          <w:tcPr>
            <w:tcW w:w="1074" w:type="dxa"/>
            <w:vMerge/>
            <w:vAlign w:val="center"/>
          </w:tcPr>
          <w:p w14:paraId="4619DCAE" w14:textId="77777777" w:rsidR="00E943A2" w:rsidRDefault="00E943A2" w:rsidP="006E124F">
            <w:pPr>
              <w:pStyle w:val="TableText0"/>
            </w:pPr>
          </w:p>
        </w:tc>
        <w:tc>
          <w:tcPr>
            <w:tcW w:w="3350" w:type="dxa"/>
            <w:vMerge/>
          </w:tcPr>
          <w:p w14:paraId="6933E689" w14:textId="77777777" w:rsidR="00E943A2" w:rsidRDefault="00E943A2" w:rsidP="006E124F">
            <w:pPr>
              <w:pStyle w:val="TableText0"/>
            </w:pPr>
          </w:p>
        </w:tc>
      </w:tr>
      <w:tr w:rsidR="00E943A2" w14:paraId="44DFBA73" w14:textId="77777777" w:rsidTr="0041470E">
        <w:tc>
          <w:tcPr>
            <w:tcW w:w="929" w:type="dxa"/>
            <w:vAlign w:val="center"/>
          </w:tcPr>
          <w:p w14:paraId="5DB194A1" w14:textId="70D0547F" w:rsidR="00E943A2" w:rsidRPr="004701B4" w:rsidRDefault="00E943A2" w:rsidP="006E124F">
            <w:pPr>
              <w:pStyle w:val="TableText0"/>
            </w:pPr>
            <w:r w:rsidRPr="004D25DD">
              <w:t>10619X</w:t>
            </w:r>
          </w:p>
        </w:tc>
        <w:tc>
          <w:tcPr>
            <w:tcW w:w="1901" w:type="dxa"/>
            <w:vMerge/>
          </w:tcPr>
          <w:p w14:paraId="009FD137" w14:textId="77777777" w:rsidR="00E943A2" w:rsidRDefault="00E943A2" w:rsidP="006E124F">
            <w:pPr>
              <w:pStyle w:val="TableText0"/>
            </w:pPr>
          </w:p>
        </w:tc>
        <w:tc>
          <w:tcPr>
            <w:tcW w:w="1105" w:type="dxa"/>
            <w:vMerge/>
            <w:vAlign w:val="center"/>
          </w:tcPr>
          <w:p w14:paraId="0E29CD9A" w14:textId="77777777" w:rsidR="00E943A2" w:rsidRDefault="00E943A2" w:rsidP="006E124F">
            <w:pPr>
              <w:pStyle w:val="TableText0"/>
            </w:pPr>
          </w:p>
        </w:tc>
        <w:tc>
          <w:tcPr>
            <w:tcW w:w="1074" w:type="dxa"/>
            <w:vMerge/>
            <w:vAlign w:val="center"/>
          </w:tcPr>
          <w:p w14:paraId="74C13D46" w14:textId="77777777" w:rsidR="00E943A2" w:rsidRDefault="00E943A2" w:rsidP="006E124F">
            <w:pPr>
              <w:pStyle w:val="TableText0"/>
            </w:pPr>
          </w:p>
        </w:tc>
        <w:tc>
          <w:tcPr>
            <w:tcW w:w="3350" w:type="dxa"/>
            <w:vMerge/>
          </w:tcPr>
          <w:p w14:paraId="345891D7" w14:textId="77777777" w:rsidR="00E943A2" w:rsidRDefault="00E943A2" w:rsidP="006E124F">
            <w:pPr>
              <w:pStyle w:val="TableText0"/>
            </w:pPr>
          </w:p>
        </w:tc>
      </w:tr>
      <w:tr w:rsidR="00E943A2" w14:paraId="7A78F371" w14:textId="77777777" w:rsidTr="0041470E">
        <w:trPr>
          <w:trHeight w:val="70"/>
        </w:trPr>
        <w:tc>
          <w:tcPr>
            <w:tcW w:w="929" w:type="dxa"/>
            <w:vAlign w:val="center"/>
          </w:tcPr>
          <w:p w14:paraId="63B1247B" w14:textId="03468FB7" w:rsidR="00E943A2" w:rsidRPr="004701B4" w:rsidRDefault="00E943A2" w:rsidP="006E124F">
            <w:pPr>
              <w:pStyle w:val="TableText0"/>
            </w:pPr>
            <w:r w:rsidRPr="004D25DD">
              <w:t>10618W</w:t>
            </w:r>
          </w:p>
        </w:tc>
        <w:tc>
          <w:tcPr>
            <w:tcW w:w="1901" w:type="dxa"/>
            <w:vMerge/>
          </w:tcPr>
          <w:p w14:paraId="1DD167C4" w14:textId="77777777" w:rsidR="00E943A2" w:rsidRDefault="00E943A2" w:rsidP="006E124F">
            <w:pPr>
              <w:pStyle w:val="TableText0"/>
            </w:pPr>
          </w:p>
        </w:tc>
        <w:tc>
          <w:tcPr>
            <w:tcW w:w="1105" w:type="dxa"/>
            <w:vMerge/>
            <w:vAlign w:val="center"/>
          </w:tcPr>
          <w:p w14:paraId="05867EF5" w14:textId="77777777" w:rsidR="00E943A2" w:rsidRDefault="00E943A2" w:rsidP="006E124F">
            <w:pPr>
              <w:pStyle w:val="TableText0"/>
            </w:pPr>
          </w:p>
        </w:tc>
        <w:tc>
          <w:tcPr>
            <w:tcW w:w="1074" w:type="dxa"/>
            <w:vMerge/>
            <w:vAlign w:val="center"/>
          </w:tcPr>
          <w:p w14:paraId="13C12BB0" w14:textId="77777777" w:rsidR="00E943A2" w:rsidRDefault="00E943A2" w:rsidP="006E124F">
            <w:pPr>
              <w:pStyle w:val="TableText0"/>
            </w:pPr>
          </w:p>
        </w:tc>
        <w:tc>
          <w:tcPr>
            <w:tcW w:w="3350" w:type="dxa"/>
            <w:vMerge/>
          </w:tcPr>
          <w:p w14:paraId="74B5B8A1" w14:textId="77777777" w:rsidR="00E943A2" w:rsidRDefault="00E943A2" w:rsidP="006E124F">
            <w:pPr>
              <w:pStyle w:val="TableText0"/>
            </w:pPr>
          </w:p>
        </w:tc>
      </w:tr>
      <w:tr w:rsidR="008C57C9" w14:paraId="25C4F1BF" w14:textId="77777777" w:rsidTr="0041470E">
        <w:tc>
          <w:tcPr>
            <w:tcW w:w="929" w:type="dxa"/>
            <w:vAlign w:val="center"/>
          </w:tcPr>
          <w:p w14:paraId="52E4612A" w14:textId="77777777" w:rsidR="008C57C9" w:rsidRPr="004701B4" w:rsidRDefault="008C57C9">
            <w:pPr>
              <w:pStyle w:val="TableText0"/>
            </w:pPr>
            <w:r w:rsidRPr="004D25DD">
              <w:t>10616R</w:t>
            </w:r>
          </w:p>
        </w:tc>
        <w:tc>
          <w:tcPr>
            <w:tcW w:w="1901" w:type="dxa"/>
            <w:vMerge w:val="restart"/>
            <w:vAlign w:val="center"/>
          </w:tcPr>
          <w:p w14:paraId="1E705BBB" w14:textId="74600725" w:rsidR="008C57C9" w:rsidRDefault="008C57C9">
            <w:pPr>
              <w:pStyle w:val="TableText0"/>
              <w:ind w:right="-102"/>
            </w:pPr>
            <w:r>
              <w:t>High-risk and intermediate-2 risk MF</w:t>
            </w:r>
          </w:p>
        </w:tc>
        <w:tc>
          <w:tcPr>
            <w:tcW w:w="1105" w:type="dxa"/>
            <w:vMerge w:val="restart"/>
            <w:vAlign w:val="center"/>
          </w:tcPr>
          <w:p w14:paraId="577BD5BF" w14:textId="5112DAE3" w:rsidR="008C57C9" w:rsidRDefault="008C57C9">
            <w:pPr>
              <w:pStyle w:val="TableText0"/>
            </w:pPr>
            <w:r>
              <w:t>1</w:t>
            </w:r>
            <w:r w:rsidR="0041470E">
              <w:t>3637</w:t>
            </w:r>
          </w:p>
        </w:tc>
        <w:tc>
          <w:tcPr>
            <w:tcW w:w="1074" w:type="dxa"/>
            <w:vMerge w:val="restart"/>
            <w:vAlign w:val="center"/>
          </w:tcPr>
          <w:p w14:paraId="44C3DECC" w14:textId="6817EDB8" w:rsidR="008C57C9" w:rsidRDefault="0041470E">
            <w:pPr>
              <w:pStyle w:val="TableText0"/>
            </w:pPr>
            <w:r>
              <w:t>13637</w:t>
            </w:r>
          </w:p>
        </w:tc>
        <w:tc>
          <w:tcPr>
            <w:tcW w:w="3350" w:type="dxa"/>
            <w:vMerge w:val="restart"/>
            <w:vAlign w:val="center"/>
          </w:tcPr>
          <w:p w14:paraId="29470CDB" w14:textId="77777777" w:rsidR="008C57C9" w:rsidRDefault="008C57C9">
            <w:pPr>
              <w:pStyle w:val="TableText0"/>
            </w:pPr>
            <w:r>
              <w:t xml:space="preserve">Continuing treatment </w:t>
            </w:r>
          </w:p>
        </w:tc>
      </w:tr>
      <w:tr w:rsidR="008C57C9" w14:paraId="0DEB1E9D" w14:textId="77777777" w:rsidTr="0041470E">
        <w:tc>
          <w:tcPr>
            <w:tcW w:w="929" w:type="dxa"/>
            <w:vAlign w:val="center"/>
          </w:tcPr>
          <w:p w14:paraId="0F7AEB1B" w14:textId="77777777" w:rsidR="008C57C9" w:rsidRPr="004701B4" w:rsidRDefault="008C57C9">
            <w:pPr>
              <w:pStyle w:val="TableText0"/>
            </w:pPr>
            <w:r w:rsidRPr="004D25DD">
              <w:t>10927D</w:t>
            </w:r>
          </w:p>
        </w:tc>
        <w:tc>
          <w:tcPr>
            <w:tcW w:w="1901" w:type="dxa"/>
            <w:vMerge/>
          </w:tcPr>
          <w:p w14:paraId="799A1F8E" w14:textId="77777777" w:rsidR="008C57C9" w:rsidRDefault="008C57C9">
            <w:pPr>
              <w:pStyle w:val="TableText0"/>
            </w:pPr>
          </w:p>
        </w:tc>
        <w:tc>
          <w:tcPr>
            <w:tcW w:w="1105" w:type="dxa"/>
            <w:vMerge/>
            <w:vAlign w:val="center"/>
          </w:tcPr>
          <w:p w14:paraId="28B985FF" w14:textId="77777777" w:rsidR="008C57C9" w:rsidRDefault="008C57C9">
            <w:pPr>
              <w:pStyle w:val="TableText0"/>
            </w:pPr>
          </w:p>
        </w:tc>
        <w:tc>
          <w:tcPr>
            <w:tcW w:w="1074" w:type="dxa"/>
            <w:vMerge/>
            <w:vAlign w:val="center"/>
          </w:tcPr>
          <w:p w14:paraId="70564167" w14:textId="77777777" w:rsidR="008C57C9" w:rsidRDefault="008C57C9">
            <w:pPr>
              <w:pStyle w:val="TableText0"/>
            </w:pPr>
          </w:p>
        </w:tc>
        <w:tc>
          <w:tcPr>
            <w:tcW w:w="3350" w:type="dxa"/>
            <w:vMerge/>
          </w:tcPr>
          <w:p w14:paraId="38180E58" w14:textId="77777777" w:rsidR="008C57C9" w:rsidRDefault="008C57C9">
            <w:pPr>
              <w:pStyle w:val="TableText0"/>
            </w:pPr>
          </w:p>
        </w:tc>
      </w:tr>
      <w:tr w:rsidR="008C57C9" w14:paraId="5AE05123" w14:textId="77777777" w:rsidTr="0041470E">
        <w:tc>
          <w:tcPr>
            <w:tcW w:w="929" w:type="dxa"/>
            <w:vAlign w:val="center"/>
          </w:tcPr>
          <w:p w14:paraId="10021BF2" w14:textId="77777777" w:rsidR="008C57C9" w:rsidRPr="004701B4" w:rsidRDefault="008C57C9">
            <w:pPr>
              <w:pStyle w:val="TableText0"/>
            </w:pPr>
            <w:r w:rsidRPr="004D25DD">
              <w:t>10619X</w:t>
            </w:r>
          </w:p>
        </w:tc>
        <w:tc>
          <w:tcPr>
            <w:tcW w:w="1901" w:type="dxa"/>
            <w:vMerge/>
          </w:tcPr>
          <w:p w14:paraId="3BF6BB27" w14:textId="77777777" w:rsidR="008C57C9" w:rsidRDefault="008C57C9">
            <w:pPr>
              <w:pStyle w:val="TableText0"/>
            </w:pPr>
          </w:p>
        </w:tc>
        <w:tc>
          <w:tcPr>
            <w:tcW w:w="1105" w:type="dxa"/>
            <w:vMerge/>
            <w:vAlign w:val="center"/>
          </w:tcPr>
          <w:p w14:paraId="03768F67" w14:textId="77777777" w:rsidR="008C57C9" w:rsidRDefault="008C57C9">
            <w:pPr>
              <w:pStyle w:val="TableText0"/>
            </w:pPr>
          </w:p>
        </w:tc>
        <w:tc>
          <w:tcPr>
            <w:tcW w:w="1074" w:type="dxa"/>
            <w:vMerge/>
            <w:vAlign w:val="center"/>
          </w:tcPr>
          <w:p w14:paraId="766819C9" w14:textId="77777777" w:rsidR="008C57C9" w:rsidRDefault="008C57C9">
            <w:pPr>
              <w:pStyle w:val="TableText0"/>
            </w:pPr>
          </w:p>
        </w:tc>
        <w:tc>
          <w:tcPr>
            <w:tcW w:w="3350" w:type="dxa"/>
            <w:vMerge/>
          </w:tcPr>
          <w:p w14:paraId="12B23D24" w14:textId="77777777" w:rsidR="008C57C9" w:rsidRDefault="008C57C9">
            <w:pPr>
              <w:pStyle w:val="TableText0"/>
            </w:pPr>
          </w:p>
        </w:tc>
      </w:tr>
      <w:tr w:rsidR="008C57C9" w14:paraId="789EEF3D" w14:textId="77777777" w:rsidTr="0041470E">
        <w:trPr>
          <w:trHeight w:val="70"/>
        </w:trPr>
        <w:tc>
          <w:tcPr>
            <w:tcW w:w="929" w:type="dxa"/>
            <w:vAlign w:val="center"/>
          </w:tcPr>
          <w:p w14:paraId="6A959B5B" w14:textId="77777777" w:rsidR="008C57C9" w:rsidRPr="004701B4" w:rsidRDefault="008C57C9">
            <w:pPr>
              <w:pStyle w:val="TableText0"/>
            </w:pPr>
            <w:r w:rsidRPr="004D25DD">
              <w:t>10618W</w:t>
            </w:r>
          </w:p>
        </w:tc>
        <w:tc>
          <w:tcPr>
            <w:tcW w:w="1901" w:type="dxa"/>
            <w:vMerge/>
          </w:tcPr>
          <w:p w14:paraId="0875E4A1" w14:textId="77777777" w:rsidR="008C57C9" w:rsidRDefault="008C57C9">
            <w:pPr>
              <w:pStyle w:val="TableText0"/>
            </w:pPr>
          </w:p>
        </w:tc>
        <w:tc>
          <w:tcPr>
            <w:tcW w:w="1105" w:type="dxa"/>
            <w:vMerge/>
            <w:vAlign w:val="center"/>
          </w:tcPr>
          <w:p w14:paraId="2DD09D8D" w14:textId="77777777" w:rsidR="008C57C9" w:rsidRDefault="008C57C9">
            <w:pPr>
              <w:pStyle w:val="TableText0"/>
            </w:pPr>
          </w:p>
        </w:tc>
        <w:tc>
          <w:tcPr>
            <w:tcW w:w="1074" w:type="dxa"/>
            <w:vMerge/>
            <w:vAlign w:val="center"/>
          </w:tcPr>
          <w:p w14:paraId="3738F261" w14:textId="77777777" w:rsidR="008C57C9" w:rsidRDefault="008C57C9">
            <w:pPr>
              <w:pStyle w:val="TableText0"/>
            </w:pPr>
          </w:p>
        </w:tc>
        <w:tc>
          <w:tcPr>
            <w:tcW w:w="3350" w:type="dxa"/>
            <w:vMerge/>
          </w:tcPr>
          <w:p w14:paraId="1EB74A02" w14:textId="77777777" w:rsidR="008C57C9" w:rsidRDefault="008C57C9">
            <w:pPr>
              <w:pStyle w:val="TableText0"/>
            </w:pPr>
          </w:p>
        </w:tc>
      </w:tr>
    </w:tbl>
    <w:p w14:paraId="11A644CF" w14:textId="75CCF297" w:rsidR="00531A35" w:rsidRPr="0049389A" w:rsidRDefault="00531A35" w:rsidP="00167A6C">
      <w:pPr>
        <w:pStyle w:val="3-BodyText"/>
        <w:numPr>
          <w:ilvl w:val="0"/>
          <w:numId w:val="0"/>
        </w:numPr>
        <w:ind w:left="720"/>
      </w:pPr>
      <w:r w:rsidRPr="0049389A">
        <w:t xml:space="preserve">To the </w:t>
      </w:r>
      <w:r w:rsidR="00A31BE4" w:rsidRPr="0049389A">
        <w:t xml:space="preserve">above </w:t>
      </w:r>
      <w:r w:rsidRPr="0049389A">
        <w:t>concepts, the Secretariat proposed that the following treatment criteria be applied:</w:t>
      </w:r>
    </w:p>
    <w:tbl>
      <w:tblPr>
        <w:tblW w:w="0" w:type="auto"/>
        <w:tblInd w:w="709" w:type="dxa"/>
        <w:tblLook w:val="06A0" w:firstRow="1" w:lastRow="0" w:firstColumn="1" w:lastColumn="0" w:noHBand="1" w:noVBand="1"/>
        <w:tblCaption w:val="Treatment criteria: "/>
      </w:tblPr>
      <w:tblGrid>
        <w:gridCol w:w="6889"/>
      </w:tblGrid>
      <w:tr w:rsidR="00AE17C6" w:rsidRPr="7093FE7D" w14:paraId="76FD7A90" w14:textId="77777777">
        <w:trPr>
          <w:trHeight w:val="290"/>
        </w:trPr>
        <w:tc>
          <w:tcPr>
            <w:tcW w:w="6889" w:type="dxa"/>
            <w:tcMar>
              <w:top w:w="15" w:type="dxa"/>
              <w:left w:w="108" w:type="dxa"/>
              <w:bottom w:w="15" w:type="dxa"/>
              <w:right w:w="108" w:type="dxa"/>
            </w:tcMar>
            <w:vAlign w:val="center"/>
          </w:tcPr>
          <w:p w14:paraId="496D08F5" w14:textId="77777777" w:rsidR="00AE17C6" w:rsidRPr="7093FE7D" w:rsidRDefault="00AE17C6">
            <w:pPr>
              <w:rPr>
                <w:rFonts w:ascii="Arial Narrow" w:eastAsia="Arial Narrow" w:hAnsi="Arial Narrow" w:cs="Arial Narrow"/>
                <w:b/>
                <w:bCs/>
                <w:sz w:val="20"/>
                <w:szCs w:val="20"/>
              </w:rPr>
            </w:pPr>
            <w:r>
              <w:rPr>
                <w:rFonts w:ascii="Arial Narrow" w:eastAsia="Arial Narrow" w:hAnsi="Arial Narrow" w:cs="Arial Narrow"/>
                <w:b/>
                <w:bCs/>
                <w:i/>
                <w:iCs/>
                <w:sz w:val="20"/>
                <w:szCs w:val="20"/>
              </w:rPr>
              <w:t xml:space="preserve">Treatment criteria: </w:t>
            </w:r>
          </w:p>
        </w:tc>
      </w:tr>
      <w:tr w:rsidR="00AE17C6" w14:paraId="2E8B6A07" w14:textId="77777777">
        <w:trPr>
          <w:trHeight w:val="238"/>
        </w:trPr>
        <w:tc>
          <w:tcPr>
            <w:tcW w:w="6889" w:type="dxa"/>
            <w:tcMar>
              <w:top w:w="15" w:type="dxa"/>
              <w:left w:w="108" w:type="dxa"/>
              <w:bottom w:w="15" w:type="dxa"/>
              <w:right w:w="108" w:type="dxa"/>
            </w:tcMar>
            <w:vAlign w:val="center"/>
          </w:tcPr>
          <w:p w14:paraId="7553E52A" w14:textId="77777777" w:rsidR="00AE17C6" w:rsidRDefault="00AE17C6">
            <w:pPr>
              <w:rPr>
                <w:rFonts w:ascii="Arial Narrow" w:eastAsia="Arial Narrow" w:hAnsi="Arial Narrow" w:cs="Arial Narrow"/>
                <w:b/>
                <w:bCs/>
                <w:i/>
                <w:iCs/>
                <w:sz w:val="20"/>
                <w:szCs w:val="20"/>
              </w:rPr>
            </w:pPr>
            <w:r w:rsidRPr="000A47DF">
              <w:rPr>
                <w:rFonts w:ascii="Arial Narrow" w:eastAsia="Arial Narrow" w:hAnsi="Arial Narrow" w:cs="Arial Narrow"/>
                <w:i/>
                <w:iCs/>
                <w:sz w:val="20"/>
                <w:szCs w:val="20"/>
              </w:rPr>
              <w:t>Must be treated by a medical practitioner; or </w:t>
            </w:r>
          </w:p>
        </w:tc>
      </w:tr>
      <w:tr w:rsidR="00AE17C6" w14:paraId="0E9F824B" w14:textId="77777777">
        <w:trPr>
          <w:trHeight w:val="45"/>
        </w:trPr>
        <w:tc>
          <w:tcPr>
            <w:tcW w:w="6889" w:type="dxa"/>
            <w:tcMar>
              <w:top w:w="15" w:type="dxa"/>
              <w:left w:w="108" w:type="dxa"/>
              <w:bottom w:w="15" w:type="dxa"/>
              <w:right w:w="108" w:type="dxa"/>
            </w:tcMar>
            <w:vAlign w:val="center"/>
          </w:tcPr>
          <w:p w14:paraId="356F6C6E" w14:textId="77777777" w:rsidR="00AE17C6" w:rsidRDefault="00AE17C6">
            <w:pPr>
              <w:rPr>
                <w:rFonts w:ascii="Arial Narrow" w:eastAsia="Arial Narrow" w:hAnsi="Arial Narrow" w:cs="Arial Narrow"/>
                <w:b/>
                <w:bCs/>
                <w:i/>
                <w:iCs/>
                <w:sz w:val="20"/>
                <w:szCs w:val="20"/>
              </w:rPr>
            </w:pPr>
            <w:r w:rsidRPr="000A47DF">
              <w:rPr>
                <w:rFonts w:ascii="Arial Narrow" w:eastAsia="Arial Narrow" w:hAnsi="Arial Narrow" w:cs="Arial Narrow"/>
                <w:i/>
                <w:iCs/>
                <w:sz w:val="20"/>
                <w:szCs w:val="20"/>
              </w:rPr>
              <w:t>Must be treated by a nurse practitioner where both of the following are occurring: (</w:t>
            </w:r>
            <w:proofErr w:type="spellStart"/>
            <w:r w:rsidRPr="000A47DF">
              <w:rPr>
                <w:rFonts w:ascii="Arial Narrow" w:eastAsia="Arial Narrow" w:hAnsi="Arial Narrow" w:cs="Arial Narrow"/>
                <w:i/>
                <w:iCs/>
                <w:sz w:val="20"/>
                <w:szCs w:val="20"/>
              </w:rPr>
              <w:t>i</w:t>
            </w:r>
            <w:proofErr w:type="spellEnd"/>
            <w:r w:rsidRPr="000A47DF">
              <w:rPr>
                <w:rFonts w:ascii="Arial Narrow" w:eastAsia="Arial Narrow" w:hAnsi="Arial Narrow" w:cs="Arial Narrow"/>
                <w:i/>
                <w:iCs/>
                <w:sz w:val="20"/>
                <w:szCs w:val="20"/>
              </w:rPr>
              <w:t>) patient care is being shared with a medical practitioner, (ii) the prescription continues existing therapy with this medicine </w:t>
            </w:r>
          </w:p>
        </w:tc>
      </w:tr>
    </w:tbl>
    <w:p w14:paraId="65CDCA9E" w14:textId="77777777" w:rsidR="00E333B4" w:rsidRDefault="00E333B4" w:rsidP="005A7ACE">
      <w:pPr>
        <w:pStyle w:val="TableFigureHeading"/>
        <w:ind w:left="709"/>
      </w:pPr>
    </w:p>
    <w:p w14:paraId="650199F7" w14:textId="56D8FE0F" w:rsidR="003F7A6D" w:rsidRPr="0049389A" w:rsidRDefault="00DA3312" w:rsidP="003F7A6D">
      <w:pPr>
        <w:pStyle w:val="3-BodyText"/>
        <w:numPr>
          <w:ilvl w:val="0"/>
          <w:numId w:val="0"/>
        </w:numPr>
        <w:ind w:left="709"/>
      </w:pPr>
      <w:r w:rsidRPr="0049389A">
        <w:t>The Secretariat also</w:t>
      </w:r>
      <w:r w:rsidR="003F7A6D" w:rsidRPr="0049389A">
        <w:t xml:space="preserve"> proposed to add</w:t>
      </w:r>
      <w:r w:rsidR="0045605A" w:rsidRPr="0049389A">
        <w:t xml:space="preserve"> the</w:t>
      </w:r>
      <w:r w:rsidR="003F7A6D" w:rsidRPr="0049389A">
        <w:t xml:space="preserve"> ‘NP – nurse practitioner’ prescriber type to the</w:t>
      </w:r>
      <w:r w:rsidR="007F0862" w:rsidRPr="0049389A">
        <w:t>se</w:t>
      </w:r>
      <w:r w:rsidR="003B4EAA" w:rsidRPr="0049389A">
        <w:t xml:space="preserve"> </w:t>
      </w:r>
      <w:r w:rsidRPr="0049389A">
        <w:t>PBS item codes</w:t>
      </w:r>
      <w:r w:rsidR="003F7A6D" w:rsidRPr="0049389A">
        <w:t xml:space="preserve"> as follows</w:t>
      </w:r>
      <w:r w:rsidR="002C4082" w:rsidRPr="0049389A">
        <w:t>, under different treatment criter</w:t>
      </w:r>
      <w:r w:rsidR="0049389A" w:rsidRPr="0049389A">
        <w:t>i</w:t>
      </w:r>
      <w:r w:rsidR="002C4082" w:rsidRPr="0049389A">
        <w:t>a</w:t>
      </w:r>
      <w:r w:rsidR="003F7A6D" w:rsidRPr="0049389A">
        <w:t>:</w:t>
      </w:r>
    </w:p>
    <w:p w14:paraId="7961F511" w14:textId="77777777" w:rsidR="00E333B4" w:rsidRDefault="00E333B4" w:rsidP="003F7A6D">
      <w:pPr>
        <w:pStyle w:val="TableFigureHeading"/>
      </w:pPr>
    </w:p>
    <w:p w14:paraId="53BD91AF" w14:textId="5D364914" w:rsidR="005A7ACE" w:rsidRDefault="00167A6C" w:rsidP="00167A6C">
      <w:pPr>
        <w:pStyle w:val="Caption"/>
        <w:keepNext/>
        <w:ind w:firstLine="709"/>
        <w:jc w:val="left"/>
      </w:pPr>
      <w:r>
        <w:t xml:space="preserve">Table </w:t>
      </w:r>
      <w:fldSimple w:instr=" SEQ Table \* ARABIC ">
        <w:r>
          <w:rPr>
            <w:noProof/>
          </w:rPr>
          <w:t>3</w:t>
        </w:r>
      </w:fldSimple>
      <w:r>
        <w:t>:</w:t>
      </w:r>
      <w:r w:rsidR="005A7ACE">
        <w:t xml:space="preserve"> PBS items</w:t>
      </w:r>
      <w:r w:rsidR="005A7ACE" w:rsidRPr="00145B2A">
        <w:t xml:space="preserve"> </w:t>
      </w:r>
      <w:r w:rsidR="005A7ACE">
        <w:t xml:space="preserve">and treatment phases </w:t>
      </w:r>
      <w:r w:rsidR="005A7ACE" w:rsidRPr="00145B2A">
        <w:t>for which </w:t>
      </w:r>
      <w:r w:rsidR="005A7ACE">
        <w:t>NPs</w:t>
      </w:r>
      <w:r w:rsidR="005A7ACE" w:rsidRPr="00145B2A">
        <w:t xml:space="preserve"> are to be added as a prescriber type</w:t>
      </w:r>
    </w:p>
    <w:tbl>
      <w:tblPr>
        <w:tblStyle w:val="TableGrid"/>
        <w:tblW w:w="8359" w:type="dxa"/>
        <w:tblInd w:w="709" w:type="dxa"/>
        <w:tblLook w:val="04A0" w:firstRow="1" w:lastRow="0" w:firstColumn="1" w:lastColumn="0" w:noHBand="0" w:noVBand="1"/>
        <w:tblCaption w:val="Table 3: PBS items and treatment phases for which NPs are to be added as a prescriber type"/>
      </w:tblPr>
      <w:tblGrid>
        <w:gridCol w:w="1413"/>
        <w:gridCol w:w="1675"/>
        <w:gridCol w:w="1102"/>
        <w:gridCol w:w="1067"/>
        <w:gridCol w:w="3102"/>
      </w:tblGrid>
      <w:tr w:rsidR="005A7ACE" w14:paraId="40ECFE74" w14:textId="77777777" w:rsidTr="00E16E84">
        <w:tc>
          <w:tcPr>
            <w:tcW w:w="1413" w:type="dxa"/>
          </w:tcPr>
          <w:p w14:paraId="25EBFE43" w14:textId="77777777" w:rsidR="005A7ACE" w:rsidRDefault="005A7ACE">
            <w:pPr>
              <w:pStyle w:val="In-tableHeading"/>
            </w:pPr>
            <w:r>
              <w:t>PBS item codes</w:t>
            </w:r>
          </w:p>
        </w:tc>
        <w:tc>
          <w:tcPr>
            <w:tcW w:w="1675" w:type="dxa"/>
          </w:tcPr>
          <w:p w14:paraId="69861B31" w14:textId="77777777" w:rsidR="005A7ACE" w:rsidRDefault="005A7ACE">
            <w:pPr>
              <w:pStyle w:val="In-tableHeading"/>
            </w:pPr>
            <w:r>
              <w:t>Indication</w:t>
            </w:r>
          </w:p>
        </w:tc>
        <w:tc>
          <w:tcPr>
            <w:tcW w:w="1102" w:type="dxa"/>
          </w:tcPr>
          <w:p w14:paraId="58CE123F" w14:textId="77777777" w:rsidR="005A7ACE" w:rsidRDefault="005A7ACE">
            <w:pPr>
              <w:pStyle w:val="In-tableHeading"/>
            </w:pPr>
            <w:r>
              <w:t>Restriction summary</w:t>
            </w:r>
          </w:p>
        </w:tc>
        <w:tc>
          <w:tcPr>
            <w:tcW w:w="1067" w:type="dxa"/>
          </w:tcPr>
          <w:p w14:paraId="749EE6DB" w14:textId="77777777" w:rsidR="005A7ACE" w:rsidRDefault="005A7ACE">
            <w:pPr>
              <w:pStyle w:val="In-tableHeading"/>
            </w:pPr>
            <w:r>
              <w:t>Treatment of concept</w:t>
            </w:r>
          </w:p>
        </w:tc>
        <w:tc>
          <w:tcPr>
            <w:tcW w:w="3102" w:type="dxa"/>
          </w:tcPr>
          <w:p w14:paraId="0F0B55F3" w14:textId="77777777" w:rsidR="005A7ACE" w:rsidRDefault="005A7ACE">
            <w:pPr>
              <w:pStyle w:val="In-tableHeading"/>
            </w:pPr>
            <w:r>
              <w:t>Treatment phase</w:t>
            </w:r>
          </w:p>
        </w:tc>
      </w:tr>
      <w:tr w:rsidR="00F11630" w14:paraId="655B29F6" w14:textId="77777777" w:rsidTr="00E16E84">
        <w:trPr>
          <w:trHeight w:val="70"/>
        </w:trPr>
        <w:tc>
          <w:tcPr>
            <w:tcW w:w="1413" w:type="dxa"/>
            <w:vAlign w:val="center"/>
          </w:tcPr>
          <w:p w14:paraId="534D6D03" w14:textId="77777777" w:rsidR="005A7ACE" w:rsidRPr="004701B4" w:rsidRDefault="005A7ACE">
            <w:pPr>
              <w:pStyle w:val="TableText0"/>
            </w:pPr>
            <w:r w:rsidRPr="004D25DD">
              <w:t>13241X</w:t>
            </w:r>
          </w:p>
        </w:tc>
        <w:tc>
          <w:tcPr>
            <w:tcW w:w="1675" w:type="dxa"/>
            <w:vMerge w:val="restart"/>
            <w:vAlign w:val="center"/>
          </w:tcPr>
          <w:p w14:paraId="5C5BEE3F" w14:textId="77777777" w:rsidR="005A7ACE" w:rsidRDefault="005A7ACE">
            <w:pPr>
              <w:pStyle w:val="TableText0"/>
            </w:pPr>
            <w:r>
              <w:t xml:space="preserve">Moderate to severe </w:t>
            </w:r>
            <w:proofErr w:type="spellStart"/>
            <w:r>
              <w:t>cGVHD</w:t>
            </w:r>
            <w:proofErr w:type="spellEnd"/>
          </w:p>
        </w:tc>
        <w:tc>
          <w:tcPr>
            <w:tcW w:w="1102" w:type="dxa"/>
            <w:vMerge w:val="restart"/>
            <w:vAlign w:val="center"/>
          </w:tcPr>
          <w:p w14:paraId="4DCFBEC7" w14:textId="77777777" w:rsidR="005A7ACE" w:rsidRDefault="005A7ACE">
            <w:pPr>
              <w:pStyle w:val="TableText0"/>
            </w:pPr>
            <w:r w:rsidRPr="009655DE">
              <w:t>13867</w:t>
            </w:r>
          </w:p>
        </w:tc>
        <w:tc>
          <w:tcPr>
            <w:tcW w:w="1067" w:type="dxa"/>
            <w:vMerge w:val="restart"/>
            <w:vAlign w:val="center"/>
          </w:tcPr>
          <w:p w14:paraId="35D6B49B" w14:textId="77777777" w:rsidR="005A7ACE" w:rsidRDefault="005A7ACE">
            <w:pPr>
              <w:pStyle w:val="TableText0"/>
            </w:pPr>
            <w:r w:rsidRPr="009655DE">
              <w:t>13867</w:t>
            </w:r>
          </w:p>
        </w:tc>
        <w:tc>
          <w:tcPr>
            <w:tcW w:w="3102" w:type="dxa"/>
            <w:vMerge w:val="restart"/>
            <w:vAlign w:val="center"/>
          </w:tcPr>
          <w:p w14:paraId="08DB6FC2" w14:textId="77777777" w:rsidR="005A7ACE" w:rsidRDefault="005A7ACE">
            <w:pPr>
              <w:pStyle w:val="TableText0"/>
            </w:pPr>
            <w:r>
              <w:t>Continuing treatment</w:t>
            </w:r>
          </w:p>
        </w:tc>
      </w:tr>
      <w:tr w:rsidR="005A7ACE" w14:paraId="20291B23" w14:textId="77777777" w:rsidTr="00E16E84">
        <w:trPr>
          <w:trHeight w:val="70"/>
        </w:trPr>
        <w:tc>
          <w:tcPr>
            <w:tcW w:w="1413" w:type="dxa"/>
            <w:vAlign w:val="center"/>
          </w:tcPr>
          <w:p w14:paraId="75659CF4" w14:textId="77777777" w:rsidR="005A7ACE" w:rsidRPr="004701B4" w:rsidRDefault="005A7ACE">
            <w:pPr>
              <w:pStyle w:val="TableText0"/>
            </w:pPr>
            <w:r w:rsidRPr="004D25DD">
              <w:t>13235N</w:t>
            </w:r>
          </w:p>
        </w:tc>
        <w:tc>
          <w:tcPr>
            <w:tcW w:w="1675" w:type="dxa"/>
            <w:vMerge/>
          </w:tcPr>
          <w:p w14:paraId="56432DA2" w14:textId="77777777" w:rsidR="005A7ACE" w:rsidRDefault="005A7ACE">
            <w:pPr>
              <w:pStyle w:val="TableText0"/>
            </w:pPr>
          </w:p>
        </w:tc>
        <w:tc>
          <w:tcPr>
            <w:tcW w:w="1102" w:type="dxa"/>
            <w:vMerge/>
          </w:tcPr>
          <w:p w14:paraId="6A3A7664" w14:textId="77777777" w:rsidR="005A7ACE" w:rsidRDefault="005A7ACE">
            <w:pPr>
              <w:pStyle w:val="TableText0"/>
            </w:pPr>
          </w:p>
        </w:tc>
        <w:tc>
          <w:tcPr>
            <w:tcW w:w="1067" w:type="dxa"/>
            <w:vMerge/>
          </w:tcPr>
          <w:p w14:paraId="5FDCD2A9" w14:textId="77777777" w:rsidR="005A7ACE" w:rsidRDefault="005A7ACE">
            <w:pPr>
              <w:pStyle w:val="TableText0"/>
            </w:pPr>
          </w:p>
        </w:tc>
        <w:tc>
          <w:tcPr>
            <w:tcW w:w="3102" w:type="dxa"/>
            <w:vMerge/>
          </w:tcPr>
          <w:p w14:paraId="358A92A9" w14:textId="77777777" w:rsidR="005A7ACE" w:rsidRDefault="005A7ACE">
            <w:pPr>
              <w:pStyle w:val="TableText0"/>
            </w:pPr>
          </w:p>
        </w:tc>
      </w:tr>
      <w:tr w:rsidR="00F11630" w14:paraId="67D6A642" w14:textId="77777777" w:rsidTr="00E16E84">
        <w:trPr>
          <w:trHeight w:val="70"/>
        </w:trPr>
        <w:tc>
          <w:tcPr>
            <w:tcW w:w="1413" w:type="dxa"/>
            <w:vAlign w:val="center"/>
          </w:tcPr>
          <w:p w14:paraId="6BB4315A" w14:textId="287E8651" w:rsidR="00F11630" w:rsidRPr="004701B4" w:rsidRDefault="00F11630" w:rsidP="00F11630">
            <w:pPr>
              <w:pStyle w:val="TableText0"/>
            </w:pPr>
            <w:r w:rsidRPr="00F57BA0">
              <w:t>13238R</w:t>
            </w:r>
            <w:r>
              <w:t>/Public</w:t>
            </w:r>
          </w:p>
        </w:tc>
        <w:tc>
          <w:tcPr>
            <w:tcW w:w="1675" w:type="dxa"/>
            <w:vMerge w:val="restart"/>
          </w:tcPr>
          <w:p w14:paraId="7AD6445A" w14:textId="68CDC452" w:rsidR="00F11630" w:rsidRDefault="00F11630" w:rsidP="00F11630">
            <w:pPr>
              <w:pStyle w:val="TableText0"/>
            </w:pPr>
            <w:r>
              <w:t xml:space="preserve">Grade II to IV </w:t>
            </w:r>
            <w:proofErr w:type="spellStart"/>
            <w:r>
              <w:t>aGVHD</w:t>
            </w:r>
            <w:proofErr w:type="spellEnd"/>
          </w:p>
        </w:tc>
        <w:tc>
          <w:tcPr>
            <w:tcW w:w="1102" w:type="dxa"/>
            <w:vMerge w:val="restart"/>
            <w:vAlign w:val="center"/>
          </w:tcPr>
          <w:p w14:paraId="090917E0" w14:textId="2DA01700" w:rsidR="00F11630" w:rsidRDefault="00F11630" w:rsidP="00F11630">
            <w:pPr>
              <w:pStyle w:val="TableText0"/>
            </w:pPr>
            <w:r w:rsidRPr="009655DE">
              <w:t>138</w:t>
            </w:r>
            <w:r>
              <w:t>92</w:t>
            </w:r>
          </w:p>
        </w:tc>
        <w:tc>
          <w:tcPr>
            <w:tcW w:w="1067" w:type="dxa"/>
            <w:vMerge w:val="restart"/>
            <w:vAlign w:val="center"/>
          </w:tcPr>
          <w:p w14:paraId="3CE5A47F" w14:textId="0EB0B22C" w:rsidR="00F11630" w:rsidRDefault="00F11630" w:rsidP="00F11630">
            <w:pPr>
              <w:pStyle w:val="TableText0"/>
            </w:pPr>
            <w:r>
              <w:t>13892</w:t>
            </w:r>
          </w:p>
        </w:tc>
        <w:tc>
          <w:tcPr>
            <w:tcW w:w="3102" w:type="dxa"/>
            <w:vMerge w:val="restart"/>
            <w:vAlign w:val="center"/>
          </w:tcPr>
          <w:p w14:paraId="50E477D9" w14:textId="77777777" w:rsidR="00F11630" w:rsidRDefault="00F11630" w:rsidP="00F11630">
            <w:pPr>
              <w:pStyle w:val="TableText0"/>
            </w:pPr>
            <w:r>
              <w:t>Continuing treatment</w:t>
            </w:r>
          </w:p>
        </w:tc>
      </w:tr>
      <w:tr w:rsidR="00F11630" w14:paraId="589DE3FD" w14:textId="77777777" w:rsidTr="00C37C43">
        <w:trPr>
          <w:trHeight w:val="245"/>
        </w:trPr>
        <w:tc>
          <w:tcPr>
            <w:tcW w:w="1413" w:type="dxa"/>
            <w:vAlign w:val="center"/>
          </w:tcPr>
          <w:p w14:paraId="30B5176E" w14:textId="55E18E2D" w:rsidR="00F11630" w:rsidRPr="004701B4" w:rsidRDefault="00F11630" w:rsidP="00F11630">
            <w:pPr>
              <w:pStyle w:val="TableText0"/>
            </w:pPr>
            <w:r w:rsidRPr="005D01C4">
              <w:t>13245D</w:t>
            </w:r>
            <w:r>
              <w:t>/Public</w:t>
            </w:r>
          </w:p>
        </w:tc>
        <w:tc>
          <w:tcPr>
            <w:tcW w:w="1675" w:type="dxa"/>
            <w:vMerge/>
          </w:tcPr>
          <w:p w14:paraId="2E50AE8E" w14:textId="77777777" w:rsidR="00F11630" w:rsidRDefault="00F11630" w:rsidP="00F11630">
            <w:pPr>
              <w:pStyle w:val="TableText0"/>
            </w:pPr>
          </w:p>
        </w:tc>
        <w:tc>
          <w:tcPr>
            <w:tcW w:w="1102" w:type="dxa"/>
            <w:vMerge/>
          </w:tcPr>
          <w:p w14:paraId="68453E06" w14:textId="77777777" w:rsidR="00F11630" w:rsidRDefault="00F11630" w:rsidP="00F11630">
            <w:pPr>
              <w:pStyle w:val="TableText0"/>
            </w:pPr>
          </w:p>
        </w:tc>
        <w:tc>
          <w:tcPr>
            <w:tcW w:w="1067" w:type="dxa"/>
            <w:vMerge/>
          </w:tcPr>
          <w:p w14:paraId="43694E1C" w14:textId="77777777" w:rsidR="00F11630" w:rsidRDefault="00F11630" w:rsidP="00F11630">
            <w:pPr>
              <w:pStyle w:val="TableText0"/>
            </w:pPr>
          </w:p>
        </w:tc>
        <w:tc>
          <w:tcPr>
            <w:tcW w:w="3102" w:type="dxa"/>
            <w:vMerge/>
          </w:tcPr>
          <w:p w14:paraId="39E67186" w14:textId="77777777" w:rsidR="00F11630" w:rsidRDefault="00F11630" w:rsidP="00F11630">
            <w:pPr>
              <w:pStyle w:val="TableText0"/>
            </w:pPr>
          </w:p>
        </w:tc>
      </w:tr>
      <w:tr w:rsidR="00C37C43" w14:paraId="3CF445AA" w14:textId="77777777" w:rsidTr="00C37C43">
        <w:trPr>
          <w:trHeight w:val="70"/>
        </w:trPr>
        <w:tc>
          <w:tcPr>
            <w:tcW w:w="1413" w:type="dxa"/>
            <w:vAlign w:val="center"/>
          </w:tcPr>
          <w:p w14:paraId="11D639FB" w14:textId="3D04A499" w:rsidR="00C37C43" w:rsidRPr="004701B4" w:rsidRDefault="00C37C43" w:rsidP="00C37C43">
            <w:pPr>
              <w:pStyle w:val="TableText0"/>
            </w:pPr>
            <w:r w:rsidRPr="00857394">
              <w:t>13244C</w:t>
            </w:r>
            <w:r>
              <w:t>/Private</w:t>
            </w:r>
          </w:p>
        </w:tc>
        <w:tc>
          <w:tcPr>
            <w:tcW w:w="1675" w:type="dxa"/>
            <w:vMerge w:val="restart"/>
          </w:tcPr>
          <w:p w14:paraId="627AFDF1" w14:textId="77777777" w:rsidR="00C37C43" w:rsidRDefault="00C37C43" w:rsidP="00C37C43">
            <w:pPr>
              <w:pStyle w:val="TableText0"/>
            </w:pPr>
            <w:r>
              <w:t xml:space="preserve">Grade II to IV </w:t>
            </w:r>
            <w:proofErr w:type="spellStart"/>
            <w:r>
              <w:t>aGVHD</w:t>
            </w:r>
            <w:proofErr w:type="spellEnd"/>
          </w:p>
        </w:tc>
        <w:tc>
          <w:tcPr>
            <w:tcW w:w="1102" w:type="dxa"/>
            <w:vMerge w:val="restart"/>
            <w:vAlign w:val="center"/>
          </w:tcPr>
          <w:p w14:paraId="236CE364" w14:textId="584E566E" w:rsidR="00C37C43" w:rsidRDefault="00C37C43" w:rsidP="00C37C43">
            <w:pPr>
              <w:pStyle w:val="TableText0"/>
            </w:pPr>
            <w:r w:rsidRPr="009655DE">
              <w:t>13</w:t>
            </w:r>
            <w:r>
              <w:t>908</w:t>
            </w:r>
          </w:p>
        </w:tc>
        <w:tc>
          <w:tcPr>
            <w:tcW w:w="1067" w:type="dxa"/>
            <w:vMerge w:val="restart"/>
            <w:vAlign w:val="center"/>
          </w:tcPr>
          <w:p w14:paraId="235C28D4" w14:textId="2BAC16D5" w:rsidR="00C37C43" w:rsidRDefault="00C37C43" w:rsidP="00C37C43">
            <w:pPr>
              <w:pStyle w:val="TableText0"/>
            </w:pPr>
            <w:r>
              <w:t>13876</w:t>
            </w:r>
          </w:p>
        </w:tc>
        <w:tc>
          <w:tcPr>
            <w:tcW w:w="3102" w:type="dxa"/>
            <w:vMerge w:val="restart"/>
            <w:vAlign w:val="center"/>
          </w:tcPr>
          <w:p w14:paraId="21971B05" w14:textId="77777777" w:rsidR="00C37C43" w:rsidRDefault="00C37C43" w:rsidP="00C37C43">
            <w:pPr>
              <w:pStyle w:val="TableText0"/>
            </w:pPr>
            <w:r>
              <w:t>Continuing treatment</w:t>
            </w:r>
          </w:p>
        </w:tc>
      </w:tr>
      <w:tr w:rsidR="00C37C43" w14:paraId="2B9834F5" w14:textId="77777777" w:rsidTr="00CA4671">
        <w:trPr>
          <w:trHeight w:val="70"/>
        </w:trPr>
        <w:tc>
          <w:tcPr>
            <w:tcW w:w="1413" w:type="dxa"/>
            <w:vAlign w:val="center"/>
          </w:tcPr>
          <w:p w14:paraId="0221631A" w14:textId="7590703C" w:rsidR="00C37C43" w:rsidRPr="004701B4" w:rsidRDefault="00C37C43" w:rsidP="00C37C43">
            <w:pPr>
              <w:pStyle w:val="TableText0"/>
            </w:pPr>
            <w:r w:rsidRPr="00857394">
              <w:t>13231J</w:t>
            </w:r>
            <w:r>
              <w:t>/Private</w:t>
            </w:r>
          </w:p>
        </w:tc>
        <w:tc>
          <w:tcPr>
            <w:tcW w:w="1675" w:type="dxa"/>
            <w:vMerge/>
          </w:tcPr>
          <w:p w14:paraId="55E395D7" w14:textId="77777777" w:rsidR="00C37C43" w:rsidRDefault="00C37C43" w:rsidP="00C37C43">
            <w:pPr>
              <w:pStyle w:val="TableText0"/>
            </w:pPr>
          </w:p>
        </w:tc>
        <w:tc>
          <w:tcPr>
            <w:tcW w:w="1102" w:type="dxa"/>
            <w:vMerge/>
          </w:tcPr>
          <w:p w14:paraId="16F83832" w14:textId="77777777" w:rsidR="00C37C43" w:rsidRDefault="00C37C43" w:rsidP="00C37C43">
            <w:pPr>
              <w:pStyle w:val="TableText0"/>
            </w:pPr>
          </w:p>
        </w:tc>
        <w:tc>
          <w:tcPr>
            <w:tcW w:w="1067" w:type="dxa"/>
            <w:vMerge/>
          </w:tcPr>
          <w:p w14:paraId="4B908D89" w14:textId="77777777" w:rsidR="00C37C43" w:rsidRDefault="00C37C43" w:rsidP="00C37C43">
            <w:pPr>
              <w:pStyle w:val="TableText0"/>
            </w:pPr>
          </w:p>
        </w:tc>
        <w:tc>
          <w:tcPr>
            <w:tcW w:w="3102" w:type="dxa"/>
            <w:vMerge/>
          </w:tcPr>
          <w:p w14:paraId="0392A387" w14:textId="77777777" w:rsidR="00C37C43" w:rsidRDefault="00C37C43" w:rsidP="00C37C43">
            <w:pPr>
              <w:pStyle w:val="TableText0"/>
            </w:pPr>
          </w:p>
        </w:tc>
      </w:tr>
    </w:tbl>
    <w:p w14:paraId="47219C85" w14:textId="4C6B98CA" w:rsidR="00A24B0B" w:rsidRDefault="003F7A6D" w:rsidP="00A24B0B">
      <w:pPr>
        <w:pStyle w:val="3-BodyText"/>
      </w:pPr>
      <w:r>
        <w:t>The Secretariat noted that for</w:t>
      </w:r>
      <w:r w:rsidR="00A31BE4">
        <w:t xml:space="preserve"> the concepts</w:t>
      </w:r>
      <w:r w:rsidR="002C4082">
        <w:t xml:space="preserve"> in Table 3</w:t>
      </w:r>
      <w:r>
        <w:t xml:space="preserve">, the sponsor had not requested changes to the existing treatment criteria. However, this treatment criteria would not allow for the proposed </w:t>
      </w:r>
      <w:r w:rsidR="00F35DE5">
        <w:t>NP prescribing.</w:t>
      </w:r>
    </w:p>
    <w:p w14:paraId="37440786" w14:textId="1CD8C5DC" w:rsidR="0049389A" w:rsidRPr="00C0463E" w:rsidRDefault="003F7A6D" w:rsidP="00C0463E">
      <w:pPr>
        <w:pStyle w:val="3-BodyText"/>
      </w:pPr>
      <w:r>
        <w:t xml:space="preserve">As such, the Secretariat proposed that to </w:t>
      </w:r>
      <w:r w:rsidR="00CC25EE">
        <w:t xml:space="preserve">the following </w:t>
      </w:r>
      <w:r w:rsidR="0057749C">
        <w:t>changes be applied to the PBS restriction criteria pertaining to prescriber types</w:t>
      </w:r>
      <w:r>
        <w:t>:</w:t>
      </w:r>
    </w:p>
    <w:p w14:paraId="7FAD5368" w14:textId="7BEFBD74" w:rsidR="00913C7B" w:rsidRPr="0049389A" w:rsidRDefault="00913C7B" w:rsidP="003F7A6D">
      <w:pPr>
        <w:pStyle w:val="3Bodytext"/>
        <w:ind w:left="720" w:hanging="11"/>
        <w:rPr>
          <w:rFonts w:ascii="Arial Narrow" w:hAnsi="Arial Narrow"/>
          <w:sz w:val="20"/>
          <w:szCs w:val="20"/>
        </w:rPr>
      </w:pPr>
      <w:r w:rsidRPr="0049389A">
        <w:t>Remove:</w:t>
      </w:r>
    </w:p>
    <w:p w14:paraId="1BB9879E" w14:textId="5E3C040B" w:rsidR="003F7A6D" w:rsidRPr="003F7A6D" w:rsidRDefault="006953D1" w:rsidP="003F7A6D">
      <w:pPr>
        <w:pStyle w:val="TableText0"/>
        <w:ind w:firstLine="720"/>
      </w:pPr>
      <w:r>
        <w:rPr>
          <w:b/>
          <w:bCs w:val="0"/>
        </w:rPr>
        <w:lastRenderedPageBreak/>
        <w:t>[283</w:t>
      </w:r>
      <w:r w:rsidR="00B04F86">
        <w:rPr>
          <w:b/>
          <w:bCs w:val="0"/>
        </w:rPr>
        <w:t xml:space="preserve">11] </w:t>
      </w:r>
      <w:r w:rsidR="00E9761E">
        <w:rPr>
          <w:b/>
          <w:bCs w:val="0"/>
        </w:rPr>
        <w:t>Existing t</w:t>
      </w:r>
      <w:r w:rsidR="003F7A6D" w:rsidRPr="003F7A6D">
        <w:rPr>
          <w:b/>
          <w:bCs w:val="0"/>
        </w:rPr>
        <w:t>reatment criteri</w:t>
      </w:r>
      <w:r w:rsidR="00E9761E">
        <w:rPr>
          <w:b/>
          <w:bCs w:val="0"/>
        </w:rPr>
        <w:t>on</w:t>
      </w:r>
      <w:r w:rsidR="003F7A6D" w:rsidRPr="003F7A6D">
        <w:t>:</w:t>
      </w:r>
    </w:p>
    <w:p w14:paraId="7388595B" w14:textId="77777777" w:rsidR="003F7A6D" w:rsidRDefault="003F7A6D" w:rsidP="003F7A6D">
      <w:pPr>
        <w:pStyle w:val="TableText0"/>
      </w:pPr>
    </w:p>
    <w:p w14:paraId="37948640" w14:textId="319F3561" w:rsidR="003F7A6D" w:rsidRDefault="00B04F86" w:rsidP="003F7A6D">
      <w:pPr>
        <w:pStyle w:val="TableText0"/>
        <w:ind w:firstLine="720"/>
      </w:pPr>
      <w:r>
        <w:t xml:space="preserve">[26077] </w:t>
      </w:r>
      <w:r w:rsidR="003F7A6D" w:rsidRPr="003F7A6D">
        <w:t xml:space="preserve">Must be treated by a haematologist; </w:t>
      </w:r>
      <w:r w:rsidR="003F7A6D">
        <w:t>or</w:t>
      </w:r>
    </w:p>
    <w:p w14:paraId="7AFE55AC" w14:textId="77777777" w:rsidR="003F7A6D" w:rsidRPr="003F7A6D" w:rsidRDefault="003F7A6D" w:rsidP="003F7A6D">
      <w:pPr>
        <w:pStyle w:val="TableText0"/>
        <w:ind w:firstLine="720"/>
      </w:pPr>
    </w:p>
    <w:p w14:paraId="57EF1486" w14:textId="3E991514" w:rsidR="003F7A6D" w:rsidRDefault="00B04F86" w:rsidP="003F7A6D">
      <w:pPr>
        <w:pStyle w:val="TableText0"/>
        <w:ind w:firstLine="720"/>
      </w:pPr>
      <w:r>
        <w:t xml:space="preserve">[28309] </w:t>
      </w:r>
      <w:r w:rsidR="003F7A6D" w:rsidRPr="003F7A6D">
        <w:t xml:space="preserve">Must be treated by an oncologist with allogeneic bone marrow transplantation experience; </w:t>
      </w:r>
      <w:r w:rsidR="003F7A6D">
        <w:t xml:space="preserve">or </w:t>
      </w:r>
    </w:p>
    <w:p w14:paraId="11BC40A1" w14:textId="77777777" w:rsidR="003F7A6D" w:rsidRPr="003F7A6D" w:rsidRDefault="003F7A6D" w:rsidP="003F7A6D">
      <w:pPr>
        <w:pStyle w:val="TableText0"/>
        <w:ind w:firstLine="720"/>
      </w:pPr>
    </w:p>
    <w:p w14:paraId="7498D2E9" w14:textId="338C2234" w:rsidR="003F7A6D" w:rsidRPr="00CC25EE" w:rsidRDefault="00B04F86" w:rsidP="003F7A6D">
      <w:pPr>
        <w:pStyle w:val="TableText0"/>
        <w:ind w:left="720"/>
      </w:pPr>
      <w:r>
        <w:t xml:space="preserve">[28310] </w:t>
      </w:r>
      <w:r w:rsidR="003F7A6D" w:rsidRPr="003F7A6D">
        <w:t xml:space="preserve">Must be treated by a medical practitioner working under the direct supervision of one of the </w:t>
      </w:r>
      <w:proofErr w:type="gramStart"/>
      <w:r w:rsidR="003F7A6D" w:rsidRPr="003F7A6D">
        <w:t>above mentioned</w:t>
      </w:r>
      <w:proofErr w:type="gramEnd"/>
      <w:r w:rsidR="003F7A6D" w:rsidRPr="003F7A6D">
        <w:t xml:space="preserve"> specialist types.</w:t>
      </w:r>
    </w:p>
    <w:p w14:paraId="21E042C3" w14:textId="6FABAD70" w:rsidR="00DD7100" w:rsidRPr="0049389A" w:rsidRDefault="00F35DE5" w:rsidP="00DD7100">
      <w:pPr>
        <w:pStyle w:val="3-BodyText"/>
        <w:numPr>
          <w:ilvl w:val="0"/>
          <w:numId w:val="0"/>
        </w:numPr>
        <w:ind w:left="720"/>
      </w:pPr>
      <w:r w:rsidRPr="0049389A">
        <w:t xml:space="preserve">And </w:t>
      </w:r>
      <w:r w:rsidR="00A17976" w:rsidRPr="0049389A">
        <w:t>replace with</w:t>
      </w:r>
      <w:r w:rsidRPr="0049389A">
        <w:t>:</w:t>
      </w:r>
    </w:p>
    <w:p w14:paraId="48C1769A" w14:textId="48059EA0" w:rsidR="00DD7100" w:rsidRPr="00413F90" w:rsidRDefault="00DD7100" w:rsidP="00DD7100">
      <w:pPr>
        <w:pStyle w:val="3Bodytext"/>
        <w:ind w:left="709"/>
        <w:rPr>
          <w:rFonts w:ascii="Arial Narrow" w:hAnsi="Arial Narrow"/>
          <w:b/>
          <w:bCs/>
          <w:sz w:val="20"/>
          <w:szCs w:val="20"/>
        </w:rPr>
      </w:pPr>
      <w:r w:rsidRPr="003B4EAA">
        <w:rPr>
          <w:rFonts w:ascii="Arial Narrow" w:hAnsi="Arial Narrow"/>
          <w:sz w:val="20"/>
          <w:szCs w:val="20"/>
        </w:rPr>
        <w:tab/>
      </w:r>
      <w:r w:rsidR="003A5AB2" w:rsidRPr="003B4EAA">
        <w:rPr>
          <w:rFonts w:ascii="Arial Narrow" w:hAnsi="Arial Narrow"/>
          <w:sz w:val="20"/>
          <w:szCs w:val="20"/>
        </w:rPr>
        <w:t>[New TC1]</w:t>
      </w:r>
      <w:r w:rsidR="003A5AB2">
        <w:t xml:space="preserve"> </w:t>
      </w:r>
      <w:r w:rsidRPr="00413F90">
        <w:rPr>
          <w:rFonts w:ascii="Arial Narrow" w:hAnsi="Arial Narrow"/>
          <w:b/>
          <w:bCs/>
          <w:sz w:val="20"/>
          <w:szCs w:val="20"/>
        </w:rPr>
        <w:t>Treatment criteria:</w:t>
      </w:r>
    </w:p>
    <w:p w14:paraId="40EFC62A" w14:textId="754C4593" w:rsidR="00DD7100" w:rsidRPr="00413F90" w:rsidRDefault="00A17976" w:rsidP="00DD7100">
      <w:pPr>
        <w:pStyle w:val="3Bodytext"/>
        <w:ind w:left="709"/>
        <w:rPr>
          <w:rFonts w:ascii="Arial Narrow" w:hAnsi="Arial Narrow"/>
          <w:sz w:val="20"/>
          <w:szCs w:val="20"/>
        </w:rPr>
      </w:pPr>
      <w:r>
        <w:rPr>
          <w:rFonts w:ascii="Arial Narrow" w:hAnsi="Arial Narrow"/>
          <w:sz w:val="20"/>
          <w:szCs w:val="20"/>
        </w:rPr>
        <w:t>[33255]</w:t>
      </w:r>
      <w:r w:rsidR="003B4EAA">
        <w:rPr>
          <w:rFonts w:ascii="Arial Narrow" w:hAnsi="Arial Narrow"/>
          <w:sz w:val="20"/>
          <w:szCs w:val="20"/>
        </w:rPr>
        <w:t xml:space="preserve"> </w:t>
      </w:r>
      <w:r w:rsidR="00DD7100" w:rsidRPr="00413F90">
        <w:rPr>
          <w:rFonts w:ascii="Arial Narrow" w:hAnsi="Arial Narrow"/>
          <w:sz w:val="20"/>
          <w:szCs w:val="20"/>
        </w:rPr>
        <w:t>Must be treated by a specialist medical practitioner; or</w:t>
      </w:r>
    </w:p>
    <w:p w14:paraId="5794F6CD" w14:textId="54E01192" w:rsidR="00CC25EE" w:rsidRDefault="00A17976" w:rsidP="003F7A6D">
      <w:pPr>
        <w:pStyle w:val="3Bodytext"/>
        <w:ind w:left="709"/>
        <w:rPr>
          <w:rFonts w:ascii="Arial Narrow" w:hAnsi="Arial Narrow"/>
          <w:sz w:val="20"/>
          <w:szCs w:val="20"/>
        </w:rPr>
      </w:pPr>
      <w:r>
        <w:rPr>
          <w:rFonts w:ascii="Arial Narrow" w:hAnsi="Arial Narrow"/>
          <w:sz w:val="20"/>
          <w:szCs w:val="20"/>
        </w:rPr>
        <w:t xml:space="preserve">[New TC1.1] </w:t>
      </w:r>
      <w:r w:rsidR="00DD7100" w:rsidRPr="00413F90">
        <w:rPr>
          <w:rFonts w:ascii="Arial Narrow" w:hAnsi="Arial Narrow"/>
          <w:sz w:val="20"/>
          <w:szCs w:val="20"/>
        </w:rPr>
        <w:t>Must be treated by an authorised prescriber type (non-specialist medical practitioner, nurse practitioner) who is both: (</w:t>
      </w:r>
      <w:proofErr w:type="spellStart"/>
      <w:r w:rsidR="00DD7100" w:rsidRPr="00413F90">
        <w:rPr>
          <w:rFonts w:ascii="Arial Narrow" w:hAnsi="Arial Narrow"/>
          <w:sz w:val="20"/>
          <w:szCs w:val="20"/>
        </w:rPr>
        <w:t>i</w:t>
      </w:r>
      <w:proofErr w:type="spellEnd"/>
      <w:r w:rsidR="00DD7100" w:rsidRPr="00413F90">
        <w:rPr>
          <w:rFonts w:ascii="Arial Narrow" w:hAnsi="Arial Narrow"/>
          <w:sz w:val="20"/>
          <w:szCs w:val="20"/>
        </w:rPr>
        <w:t xml:space="preserve">) continuing existing therapy with this medicine (i.e. not initiating treatment), (ii) has agreement from the treating specialist medical practitioner </w:t>
      </w:r>
    </w:p>
    <w:p w14:paraId="2E811C54" w14:textId="3BC2093B" w:rsidR="00A24B0B" w:rsidRPr="00A24B0B" w:rsidRDefault="00A24B0B" w:rsidP="00A24B0B">
      <w:pPr>
        <w:pStyle w:val="3-BodyText"/>
        <w:rPr>
          <w:lang w:eastAsia="en-US"/>
        </w:rPr>
      </w:pPr>
      <w:r>
        <w:rPr>
          <w:lang w:eastAsia="en-US"/>
        </w:rPr>
        <w:t xml:space="preserve">This is in line with the </w:t>
      </w:r>
      <w:r w:rsidR="00D5489C">
        <w:rPr>
          <w:lang w:eastAsia="en-US"/>
        </w:rPr>
        <w:t xml:space="preserve">July 2025 </w:t>
      </w:r>
      <w:r>
        <w:rPr>
          <w:lang w:eastAsia="en-US"/>
        </w:rPr>
        <w:t xml:space="preserve">advice from PBAC on </w:t>
      </w:r>
      <w:r w:rsidR="00D5489C">
        <w:rPr>
          <w:lang w:eastAsia="en-US"/>
        </w:rPr>
        <w:t xml:space="preserve">the role of nurse practitioners in prescribing </w:t>
      </w:r>
      <w:r>
        <w:rPr>
          <w:lang w:eastAsia="en-US"/>
        </w:rPr>
        <w:t>haematology medicines</w:t>
      </w:r>
      <w:r w:rsidR="00E772AB">
        <w:rPr>
          <w:lang w:eastAsia="en-US"/>
        </w:rPr>
        <w:t xml:space="preserve"> (see paragraph 2.19) </w:t>
      </w:r>
      <w:r w:rsidR="00556B6C">
        <w:rPr>
          <w:lang w:eastAsia="en-US"/>
        </w:rPr>
        <w:t>as applied</w:t>
      </w:r>
      <w:r w:rsidR="00AF104D">
        <w:rPr>
          <w:lang w:eastAsia="en-US"/>
        </w:rPr>
        <w:t xml:space="preserve"> in the context of </w:t>
      </w:r>
      <w:r w:rsidR="006D01BA">
        <w:rPr>
          <w:lang w:eastAsia="en-US"/>
        </w:rPr>
        <w:t xml:space="preserve">the PBAC’s July 2025 </w:t>
      </w:r>
      <w:r w:rsidR="005C2512">
        <w:rPr>
          <w:lang w:eastAsia="en-US"/>
        </w:rPr>
        <w:t xml:space="preserve">recommendations for NP prescribing of </w:t>
      </w:r>
      <w:r w:rsidR="00AF104D">
        <w:rPr>
          <w:lang w:eastAsia="en-US"/>
        </w:rPr>
        <w:t xml:space="preserve">s100 HSD </w:t>
      </w:r>
      <w:proofErr w:type="gramStart"/>
      <w:r w:rsidR="00556B6C">
        <w:rPr>
          <w:lang w:eastAsia="en-US"/>
        </w:rPr>
        <w:t>medicines</w:t>
      </w:r>
      <w:r>
        <w:rPr>
          <w:lang w:eastAsia="en-US"/>
        </w:rPr>
        <w:t>(</w:t>
      </w:r>
      <w:proofErr w:type="gramEnd"/>
      <w:r>
        <w:rPr>
          <w:lang w:eastAsia="en-US"/>
        </w:rPr>
        <w:t>see paragraph 2.22).</w:t>
      </w:r>
    </w:p>
    <w:p w14:paraId="78E818E3" w14:textId="73346307" w:rsidR="003440B0" w:rsidRPr="00A6439B" w:rsidRDefault="003440B0" w:rsidP="00417720">
      <w:pPr>
        <w:pStyle w:val="2-SectionHeading"/>
      </w:pPr>
      <w:r w:rsidRPr="00A6439B">
        <w:t>Consideration of the evidence</w:t>
      </w:r>
    </w:p>
    <w:p w14:paraId="1DCACCE8" w14:textId="450FF20F" w:rsidR="0057364B" w:rsidRDefault="0057364B" w:rsidP="005B6036">
      <w:pPr>
        <w:pStyle w:val="4-SubsectionHeading"/>
        <w:rPr>
          <w:lang w:eastAsia="en-US"/>
        </w:rPr>
      </w:pPr>
      <w:r>
        <w:rPr>
          <w:lang w:eastAsia="en-US"/>
        </w:rPr>
        <w:t>Sponsor hearing</w:t>
      </w:r>
    </w:p>
    <w:p w14:paraId="3A1A23D3" w14:textId="6F8EC6B9" w:rsidR="0057364B" w:rsidRDefault="0057364B" w:rsidP="0057364B">
      <w:pPr>
        <w:pStyle w:val="3-BodyText"/>
        <w:rPr>
          <w:lang w:eastAsia="en-US"/>
        </w:rPr>
      </w:pPr>
      <w:r>
        <w:rPr>
          <w:lang w:eastAsia="en-US"/>
        </w:rPr>
        <w:t>There was no hearing for this item.</w:t>
      </w:r>
    </w:p>
    <w:p w14:paraId="23B1A0C4" w14:textId="610C6E6A" w:rsidR="0057364B" w:rsidRDefault="0057364B" w:rsidP="0057364B">
      <w:pPr>
        <w:pStyle w:val="4-SubsectionHeading"/>
        <w:rPr>
          <w:lang w:eastAsia="en-US"/>
        </w:rPr>
      </w:pPr>
      <w:r w:rsidRPr="0057364B">
        <w:rPr>
          <w:lang w:eastAsia="en-US"/>
        </w:rPr>
        <w:t xml:space="preserve">Consumer </w:t>
      </w:r>
      <w:r w:rsidR="00B5017A">
        <w:rPr>
          <w:lang w:eastAsia="en-US"/>
        </w:rPr>
        <w:t>inputs</w:t>
      </w:r>
    </w:p>
    <w:p w14:paraId="3FED2D64" w14:textId="08821BD9" w:rsidR="0057364B" w:rsidRPr="0057364B" w:rsidRDefault="00B45A2B" w:rsidP="0057364B">
      <w:pPr>
        <w:pStyle w:val="3-BodyText"/>
        <w:rPr>
          <w:lang w:eastAsia="en-US"/>
        </w:rPr>
      </w:pPr>
      <w:r>
        <w:rPr>
          <w:lang w:eastAsia="en-US"/>
        </w:rPr>
        <w:t xml:space="preserve">The </w:t>
      </w:r>
      <w:r w:rsidR="00136B72">
        <w:rPr>
          <w:lang w:eastAsia="en-US"/>
        </w:rPr>
        <w:t xml:space="preserve">PBAC noted and welcomed the input from one </w:t>
      </w:r>
      <w:r w:rsidR="003C02D1">
        <w:rPr>
          <w:lang w:eastAsia="en-US"/>
        </w:rPr>
        <w:t>health professional</w:t>
      </w:r>
      <w:r w:rsidR="00D74F3E">
        <w:rPr>
          <w:lang w:eastAsia="en-US"/>
        </w:rPr>
        <w:t xml:space="preserve"> </w:t>
      </w:r>
      <w:r w:rsidR="00D74F3E" w:rsidRPr="00D74F3E">
        <w:rPr>
          <w:lang w:eastAsia="en-US"/>
        </w:rPr>
        <w:t>via the Office of Health Technology Assessment Consultation Hub</w:t>
      </w:r>
      <w:r w:rsidR="00136B72">
        <w:rPr>
          <w:lang w:eastAsia="en-US"/>
        </w:rPr>
        <w:t xml:space="preserve">. The </w:t>
      </w:r>
      <w:r w:rsidR="00AB778A">
        <w:rPr>
          <w:lang w:eastAsia="en-US"/>
        </w:rPr>
        <w:t>input</w:t>
      </w:r>
      <w:r w:rsidR="00136B72">
        <w:rPr>
          <w:lang w:eastAsia="en-US"/>
        </w:rPr>
        <w:t xml:space="preserve"> </w:t>
      </w:r>
      <w:r w:rsidR="003C02D1">
        <w:rPr>
          <w:lang w:eastAsia="en-US"/>
        </w:rPr>
        <w:t xml:space="preserve">highlighted the role of nurse practitioners in </w:t>
      </w:r>
      <w:r w:rsidR="00C01457">
        <w:rPr>
          <w:lang w:eastAsia="en-US"/>
        </w:rPr>
        <w:t>patient care</w:t>
      </w:r>
      <w:r w:rsidR="00FA59E6">
        <w:rPr>
          <w:lang w:eastAsia="en-US"/>
        </w:rPr>
        <w:t>, and their current inability to provide ongoing pr</w:t>
      </w:r>
      <w:r w:rsidR="00742D6A">
        <w:rPr>
          <w:lang w:eastAsia="en-US"/>
        </w:rPr>
        <w:t>escriptions, when assessed as required within their scope</w:t>
      </w:r>
      <w:r w:rsidR="00C01457">
        <w:rPr>
          <w:lang w:eastAsia="en-US"/>
        </w:rPr>
        <w:t>.</w:t>
      </w:r>
      <w:r w:rsidR="00FA59E6">
        <w:rPr>
          <w:lang w:eastAsia="en-US"/>
        </w:rPr>
        <w:t xml:space="preserve"> It noted t</w:t>
      </w:r>
      <w:r w:rsidR="00C01457">
        <w:rPr>
          <w:lang w:eastAsia="en-US"/>
        </w:rPr>
        <w:t>he potential for them to be able to support clients and reduce demand on colleagues</w:t>
      </w:r>
      <w:r w:rsidR="00742D6A">
        <w:rPr>
          <w:lang w:eastAsia="en-US"/>
        </w:rPr>
        <w:t xml:space="preserve"> if NP prescribing were permitted.</w:t>
      </w:r>
    </w:p>
    <w:p w14:paraId="00F442D4" w14:textId="728CC768" w:rsidR="003440B0" w:rsidRDefault="005B6036" w:rsidP="005B6036">
      <w:pPr>
        <w:pStyle w:val="4-SubsectionHeading"/>
        <w:rPr>
          <w:rFonts w:cstheme="minorHAnsi"/>
        </w:rPr>
      </w:pPr>
      <w:r>
        <w:rPr>
          <w:lang w:eastAsia="en-US"/>
        </w:rPr>
        <w:t>Basis of the request</w:t>
      </w:r>
      <w:r w:rsidR="003440B0" w:rsidRPr="00F26D80">
        <w:rPr>
          <w:rFonts w:cstheme="minorHAnsi"/>
        </w:rPr>
        <w:t xml:space="preserve"> </w:t>
      </w:r>
    </w:p>
    <w:p w14:paraId="085999AC" w14:textId="317C21D5" w:rsidR="0009792E" w:rsidRDefault="00052E6C" w:rsidP="00DD0F37">
      <w:pPr>
        <w:pStyle w:val="3-BodyText"/>
      </w:pPr>
      <w:r>
        <w:t>Th</w:t>
      </w:r>
      <w:r w:rsidR="004426E9">
        <w:t xml:space="preserve">e </w:t>
      </w:r>
      <w:r w:rsidR="00BE4A2E">
        <w:t>submission requested th</w:t>
      </w:r>
      <w:r w:rsidR="00946033">
        <w:t xml:space="preserve">e expansion of prescribing </w:t>
      </w:r>
      <w:r w:rsidR="00512E54">
        <w:t xml:space="preserve">abilities </w:t>
      </w:r>
      <w:r w:rsidR="00946033">
        <w:t>for</w:t>
      </w:r>
      <w:r w:rsidR="00BE4A2E">
        <w:t xml:space="preserve"> </w:t>
      </w:r>
      <w:r w:rsidR="00946033">
        <w:t xml:space="preserve">Nurse Practitioners who specialise </w:t>
      </w:r>
      <w:r w:rsidR="00850B93">
        <w:t xml:space="preserve">in haematological disorders to </w:t>
      </w:r>
      <w:r w:rsidR="00C11132">
        <w:t xml:space="preserve">both </w:t>
      </w:r>
      <w:r w:rsidR="00850B93" w:rsidRPr="005306FC">
        <w:t>initiate and</w:t>
      </w:r>
      <w:r w:rsidR="00AB62A5" w:rsidRPr="005306FC">
        <w:t xml:space="preserve"> </w:t>
      </w:r>
      <w:r w:rsidR="00850B93" w:rsidRPr="005306FC">
        <w:t xml:space="preserve">continue </w:t>
      </w:r>
      <w:r w:rsidR="00AB62A5">
        <w:t xml:space="preserve">ruxolitinib for the treatment of </w:t>
      </w:r>
      <w:r w:rsidR="00FD2127">
        <w:t xml:space="preserve">intermediate 1, 2 and </w:t>
      </w:r>
      <w:proofErr w:type="gramStart"/>
      <w:r w:rsidR="00FD2127">
        <w:t>High Risk</w:t>
      </w:r>
      <w:proofErr w:type="gramEnd"/>
      <w:r w:rsidR="00FD2127">
        <w:t xml:space="preserve"> </w:t>
      </w:r>
      <w:r w:rsidR="00AB62A5">
        <w:t xml:space="preserve">MF, PV, </w:t>
      </w:r>
      <w:proofErr w:type="spellStart"/>
      <w:r w:rsidR="00AB62A5">
        <w:t>aGVHD</w:t>
      </w:r>
      <w:proofErr w:type="spellEnd"/>
      <w:r w:rsidR="00AB62A5">
        <w:t xml:space="preserve"> and </w:t>
      </w:r>
      <w:proofErr w:type="spellStart"/>
      <w:r w:rsidR="00AB62A5">
        <w:t>cGVHD</w:t>
      </w:r>
      <w:proofErr w:type="spellEnd"/>
      <w:r w:rsidR="00AB62A5">
        <w:t xml:space="preserve">. </w:t>
      </w:r>
    </w:p>
    <w:p w14:paraId="76969E4D" w14:textId="3BEE4481" w:rsidR="00DA6474" w:rsidRDefault="00DA6474" w:rsidP="00DA6474">
      <w:pPr>
        <w:pStyle w:val="3-BodyText"/>
        <w:rPr>
          <w:lang w:eastAsia="en-US"/>
        </w:rPr>
      </w:pPr>
      <w:r>
        <w:rPr>
          <w:lang w:eastAsia="en-US"/>
        </w:rPr>
        <w:t xml:space="preserve">The submission presented a narrative of the role of NPs in the clinical management algorithm for the above </w:t>
      </w:r>
      <w:r w:rsidR="00886D18">
        <w:rPr>
          <w:lang w:eastAsia="en-US"/>
        </w:rPr>
        <w:t xml:space="preserve">haematological </w:t>
      </w:r>
      <w:proofErr w:type="gramStart"/>
      <w:r>
        <w:rPr>
          <w:lang w:eastAsia="en-US"/>
        </w:rPr>
        <w:t>conditions, and</w:t>
      </w:r>
      <w:proofErr w:type="gramEnd"/>
      <w:r>
        <w:rPr>
          <w:lang w:eastAsia="en-US"/>
        </w:rPr>
        <w:t xml:space="preserve"> thus proposes a new prescribing model. This was based on anecdotal evidence from the sponsor’s conversations with current haematology NPs. </w:t>
      </w:r>
    </w:p>
    <w:p w14:paraId="76B41BAC" w14:textId="28930A8E" w:rsidR="00DA6474" w:rsidRDefault="00886D18" w:rsidP="00886D18">
      <w:pPr>
        <w:pStyle w:val="3-BodyText"/>
        <w:rPr>
          <w:lang w:eastAsia="en-US"/>
        </w:rPr>
      </w:pPr>
      <w:r>
        <w:rPr>
          <w:lang w:eastAsia="en-US"/>
        </w:rPr>
        <w:t xml:space="preserve">The submission presented NPs as key members of multidisciplinary teams, where treatment decisions are made collaboratively. </w:t>
      </w:r>
      <w:r w:rsidR="00417720">
        <w:rPr>
          <w:lang w:eastAsia="en-US"/>
        </w:rPr>
        <w:t xml:space="preserve">Once </w:t>
      </w:r>
      <w:r>
        <w:rPr>
          <w:lang w:eastAsia="en-US"/>
        </w:rPr>
        <w:t xml:space="preserve">the clinical haematologist </w:t>
      </w:r>
      <w:r w:rsidR="00417720">
        <w:rPr>
          <w:lang w:eastAsia="en-US"/>
        </w:rPr>
        <w:t xml:space="preserve">has </w:t>
      </w:r>
      <w:r w:rsidR="00417720">
        <w:rPr>
          <w:lang w:eastAsia="en-US"/>
        </w:rPr>
        <w:lastRenderedPageBreak/>
        <w:t xml:space="preserve">diagnosed </w:t>
      </w:r>
      <w:r w:rsidR="00251E0C">
        <w:t>and the MDT has agreed on the best treatment, the NP is responsible for most ongoing patient care</w:t>
      </w:r>
      <w:r w:rsidR="00940354">
        <w:rPr>
          <w:lang w:eastAsia="en-US"/>
        </w:rPr>
        <w:t xml:space="preserve">. </w:t>
      </w:r>
      <w:r>
        <w:rPr>
          <w:lang w:eastAsia="en-US"/>
        </w:rPr>
        <w:t>The patient regularly attend</w:t>
      </w:r>
      <w:r w:rsidR="00417720">
        <w:rPr>
          <w:lang w:eastAsia="en-US"/>
        </w:rPr>
        <w:t>s</w:t>
      </w:r>
      <w:r>
        <w:rPr>
          <w:lang w:eastAsia="en-US"/>
        </w:rPr>
        <w:t xml:space="preserve"> follow-up appointments with the NP to monitor disease progression and manage any symptoms resulting from disease or treatment. </w:t>
      </w:r>
    </w:p>
    <w:p w14:paraId="0A61479D" w14:textId="7284A1B5" w:rsidR="00C074DE" w:rsidRDefault="00C074DE" w:rsidP="00C074DE">
      <w:pPr>
        <w:pStyle w:val="3-BodyText"/>
      </w:pPr>
      <w:r>
        <w:t xml:space="preserve">The PBAC previously noted that </w:t>
      </w:r>
      <w:r w:rsidRPr="00041FB3">
        <w:t>Principle 4 of the ‘General guidance principles for PBS prescriber type determination’ asks that consideration be given to the complexity of the condition for which a medicine is being prescribed</w:t>
      </w:r>
      <w:r>
        <w:t>. (Nurse Practitioners, Minutes, July 2025 meeting).</w:t>
      </w:r>
    </w:p>
    <w:p w14:paraId="5104FCBE" w14:textId="756F86E0" w:rsidR="00C074DE" w:rsidRDefault="00C074DE" w:rsidP="00C074DE">
      <w:pPr>
        <w:pStyle w:val="3-BodyText"/>
      </w:pPr>
      <w:r w:rsidRPr="00A6435D">
        <w:rPr>
          <w:szCs w:val="24"/>
        </w:rPr>
        <w:t xml:space="preserve">For oncological or haematological conditions, the PBAC previously considered that the clinical work up required for a diagnosis and differential diagnosis may be complex and likely require that a patient’s care be overseen by an oncologist or haematologist. The PBAC was of the view that it would be reasonable to expect initial treatment for these complex conditions to be authorised by a medical practitioner </w:t>
      </w:r>
      <w:r>
        <w:t>(Nurse Practitioners, Minutes, July 2025 meeting)</w:t>
      </w:r>
      <w:r w:rsidR="004C6CC1">
        <w:t xml:space="preserve"> (also see paragraph 2.10)</w:t>
      </w:r>
      <w:r>
        <w:t xml:space="preserve">. </w:t>
      </w:r>
    </w:p>
    <w:p w14:paraId="57257F2E" w14:textId="27AFBFEB" w:rsidR="001532EE" w:rsidRPr="000830FE" w:rsidRDefault="001532EE" w:rsidP="001532EE">
      <w:pPr>
        <w:pStyle w:val="5-SubsectionSubheading"/>
        <w:rPr>
          <w:lang w:eastAsia="en-US"/>
        </w:rPr>
      </w:pPr>
      <w:r>
        <w:rPr>
          <w:lang w:eastAsia="en-US"/>
        </w:rPr>
        <w:t xml:space="preserve">Basis of request for </w:t>
      </w:r>
      <w:r w:rsidR="007B3B46">
        <w:rPr>
          <w:lang w:eastAsia="en-US"/>
        </w:rPr>
        <w:t>i</w:t>
      </w:r>
      <w:r>
        <w:rPr>
          <w:lang w:eastAsia="en-US"/>
        </w:rPr>
        <w:t xml:space="preserve">nitiation </w:t>
      </w:r>
      <w:r w:rsidR="007B3B46">
        <w:rPr>
          <w:lang w:eastAsia="en-US"/>
        </w:rPr>
        <w:t>p</w:t>
      </w:r>
      <w:r>
        <w:rPr>
          <w:lang w:eastAsia="en-US"/>
        </w:rPr>
        <w:t>hase</w:t>
      </w:r>
    </w:p>
    <w:p w14:paraId="2E9CC432" w14:textId="3F80113B" w:rsidR="005D03A9" w:rsidRDefault="005D03A9" w:rsidP="005D03A9">
      <w:pPr>
        <w:pStyle w:val="3-BodyText"/>
      </w:pPr>
      <w:r>
        <w:t xml:space="preserve">For PV, the submission noted that ruxolitinib is a second-line treatment. NPs are currently able to prescribe continuation of first-line treatment hydroxycarbamide. NPs also can initiate and continue treatment with alternative first-line treatment (peg)interferon. </w:t>
      </w:r>
    </w:p>
    <w:p w14:paraId="4F1F899B" w14:textId="4DC9736B" w:rsidR="005D03A9" w:rsidRDefault="005D03A9" w:rsidP="005D03A9">
      <w:pPr>
        <w:pStyle w:val="3-BodyText"/>
      </w:pPr>
      <w:r>
        <w:rPr>
          <w:lang w:eastAsia="en-US"/>
        </w:rPr>
        <w:t>Therefore, the submission argued that where</w:t>
      </w:r>
      <w:r w:rsidRPr="009B3FAF">
        <w:rPr>
          <w:lang w:eastAsia="en-US"/>
        </w:rPr>
        <w:t xml:space="preserve"> a patient has failed first</w:t>
      </w:r>
      <w:r>
        <w:rPr>
          <w:lang w:eastAsia="en-US"/>
        </w:rPr>
        <w:t xml:space="preserve"> line therapy</w:t>
      </w:r>
      <w:r w:rsidRPr="009B3FAF">
        <w:rPr>
          <w:lang w:eastAsia="en-US"/>
        </w:rPr>
        <w:t>, the NP would have already been extensively involved in their care</w:t>
      </w:r>
      <w:r>
        <w:rPr>
          <w:lang w:eastAsia="en-US"/>
        </w:rPr>
        <w:t>. With this experience and knowledge of the disease, the NP would be able to identify changes in disease progression and the need to initiate ruxolitinib to treat PV.</w:t>
      </w:r>
    </w:p>
    <w:p w14:paraId="05D34789" w14:textId="5043EACD" w:rsidR="00960DB6" w:rsidRDefault="00614BD8" w:rsidP="00417720">
      <w:pPr>
        <w:pStyle w:val="3-BodyText"/>
        <w:rPr>
          <w:lang w:eastAsia="en-US"/>
        </w:rPr>
      </w:pPr>
      <w:r>
        <w:rPr>
          <w:rFonts w:eastAsiaTheme="minorEastAsia" w:cstheme="minorHAnsi"/>
        </w:rPr>
        <w:t xml:space="preserve">The submission argued that for all indications, delays in initiating treatment would result in potential serious harm for the patient. For MF and PV, the submission </w:t>
      </w:r>
      <w:r w:rsidR="005858FD">
        <w:rPr>
          <w:rFonts w:eastAsiaTheme="minorEastAsia" w:cstheme="minorHAnsi"/>
        </w:rPr>
        <w:t xml:space="preserve">claimed </w:t>
      </w:r>
      <w:r>
        <w:rPr>
          <w:rFonts w:eastAsiaTheme="minorEastAsia" w:cstheme="minorHAnsi"/>
        </w:rPr>
        <w:t xml:space="preserve">that delays would result in disease progression and/or cardiovascular related complications. For </w:t>
      </w:r>
      <w:proofErr w:type="spellStart"/>
      <w:r>
        <w:t>aGVHD</w:t>
      </w:r>
      <w:proofErr w:type="spellEnd"/>
      <w:r>
        <w:t xml:space="preserve"> &amp; </w:t>
      </w:r>
      <w:proofErr w:type="spellStart"/>
      <w:r>
        <w:t>cGVHD</w:t>
      </w:r>
      <w:proofErr w:type="spellEnd"/>
      <w:r>
        <w:t xml:space="preserve">, the submission </w:t>
      </w:r>
      <w:r w:rsidR="005858FD">
        <w:t>claimed</w:t>
      </w:r>
      <w:r>
        <w:t xml:space="preserve"> that delays are life threatening due to the high mortality and morbidity of GVHD</w:t>
      </w:r>
      <w:r w:rsidR="008875FE">
        <w:t>.</w:t>
      </w:r>
      <w:r>
        <w:rPr>
          <w:lang w:eastAsia="en-US"/>
        </w:rPr>
        <w:t xml:space="preserve"> The submission argued that such delays would be avoidable if NPs were given the power to initiate prescribing.</w:t>
      </w:r>
      <w:r w:rsidR="00EE1179">
        <w:rPr>
          <w:lang w:eastAsia="en-US"/>
        </w:rPr>
        <w:t xml:space="preserve"> </w:t>
      </w:r>
    </w:p>
    <w:p w14:paraId="2E2AD0B6" w14:textId="2C6D945F" w:rsidR="008C0AD5" w:rsidRDefault="008C0AD5" w:rsidP="008C0AD5">
      <w:pPr>
        <w:pStyle w:val="3-BodyText"/>
        <w:rPr>
          <w:lang w:eastAsia="en-US"/>
        </w:rPr>
      </w:pPr>
      <w:r w:rsidRPr="00F70FF4">
        <w:rPr>
          <w:lang w:eastAsia="en-US"/>
        </w:rPr>
        <w:t>During</w:t>
      </w:r>
      <w:r>
        <w:rPr>
          <w:lang w:eastAsia="en-US"/>
        </w:rPr>
        <w:t xml:space="preserve"> </w:t>
      </w:r>
      <w:r w:rsidR="009975F8">
        <w:rPr>
          <w:lang w:eastAsia="en-US"/>
        </w:rPr>
        <w:t>an</w:t>
      </w:r>
      <w:r w:rsidRPr="00F70FF4">
        <w:rPr>
          <w:lang w:eastAsia="en-US"/>
        </w:rPr>
        <w:t xml:space="preserve"> initial appointment, the NP </w:t>
      </w:r>
      <w:r>
        <w:rPr>
          <w:lang w:eastAsia="en-US"/>
        </w:rPr>
        <w:t>would</w:t>
      </w:r>
      <w:r w:rsidRPr="00F70FF4">
        <w:rPr>
          <w:lang w:eastAsia="en-US"/>
        </w:rPr>
        <w:t xml:space="preserve"> spend time running tests to confirm a diagnosis as well as understand the patient holistically. All results from these tests, as well as any other necessary information w</w:t>
      </w:r>
      <w:r>
        <w:rPr>
          <w:lang w:eastAsia="en-US"/>
        </w:rPr>
        <w:t>ould</w:t>
      </w:r>
      <w:r w:rsidRPr="00F70FF4">
        <w:rPr>
          <w:lang w:eastAsia="en-US"/>
        </w:rPr>
        <w:t xml:space="preserve"> be taken to discussion with the haematologist and other members of the </w:t>
      </w:r>
      <w:r>
        <w:rPr>
          <w:lang w:eastAsia="en-US"/>
        </w:rPr>
        <w:t>multidisciplinary team</w:t>
      </w:r>
      <w:r w:rsidRPr="00F70FF4">
        <w:rPr>
          <w:lang w:eastAsia="en-US"/>
        </w:rPr>
        <w:t xml:space="preserve"> to determine the best treatment for the patient</w:t>
      </w:r>
      <w:r>
        <w:rPr>
          <w:lang w:eastAsia="en-US"/>
        </w:rPr>
        <w:t>.</w:t>
      </w:r>
    </w:p>
    <w:p w14:paraId="30733530" w14:textId="2632BA33" w:rsidR="009975F8" w:rsidRDefault="009975F8" w:rsidP="00417720">
      <w:pPr>
        <w:pStyle w:val="3-BodyText"/>
        <w:rPr>
          <w:lang w:eastAsia="en-US"/>
        </w:rPr>
      </w:pPr>
      <w:r w:rsidRPr="1B234C3C">
        <w:rPr>
          <w:lang w:eastAsia="en-US"/>
        </w:rPr>
        <w:t>As such, the submission argued that allowing haematology NPs to initiate ruxolitinib would not change the current treatment decision processes. Instead, it would</w:t>
      </w:r>
      <w:r w:rsidR="00C6636D" w:rsidRPr="1B234C3C">
        <w:rPr>
          <w:lang w:eastAsia="en-US"/>
        </w:rPr>
        <w:t xml:space="preserve"> </w:t>
      </w:r>
      <w:r w:rsidRPr="1B234C3C">
        <w:rPr>
          <w:lang w:eastAsia="en-US"/>
        </w:rPr>
        <w:t>allow the NP</w:t>
      </w:r>
      <w:r w:rsidR="00C6636D" w:rsidRPr="1B234C3C">
        <w:rPr>
          <w:lang w:eastAsia="en-US"/>
        </w:rPr>
        <w:t xml:space="preserve"> to</w:t>
      </w:r>
      <w:r w:rsidR="00520F6A" w:rsidRPr="1B234C3C">
        <w:rPr>
          <w:lang w:eastAsia="en-US"/>
        </w:rPr>
        <w:t xml:space="preserve"> </w:t>
      </w:r>
      <w:r w:rsidR="000F3B10" w:rsidRPr="1B234C3C">
        <w:rPr>
          <w:lang w:eastAsia="en-US"/>
        </w:rPr>
        <w:t xml:space="preserve">immediately </w:t>
      </w:r>
      <w:r w:rsidR="00C6636D" w:rsidRPr="1B234C3C">
        <w:rPr>
          <w:lang w:eastAsia="en-US"/>
        </w:rPr>
        <w:t>write</w:t>
      </w:r>
      <w:r w:rsidR="000F3B10" w:rsidRPr="1B234C3C">
        <w:rPr>
          <w:lang w:eastAsia="en-US"/>
        </w:rPr>
        <w:t xml:space="preserve"> an initiation script in clinic</w:t>
      </w:r>
      <w:r w:rsidR="00520F6A" w:rsidRPr="1B234C3C">
        <w:rPr>
          <w:lang w:eastAsia="en-US"/>
        </w:rPr>
        <w:t xml:space="preserve"> after the</w:t>
      </w:r>
      <w:r w:rsidR="00C6636D" w:rsidRPr="1B234C3C">
        <w:rPr>
          <w:lang w:eastAsia="en-US"/>
        </w:rPr>
        <w:t xml:space="preserve"> multidisciplinary team decision had been made</w:t>
      </w:r>
      <w:r w:rsidR="000F3B10" w:rsidRPr="1B234C3C">
        <w:rPr>
          <w:lang w:eastAsia="en-US"/>
        </w:rPr>
        <w:t xml:space="preserve">. This would </w:t>
      </w:r>
      <w:r w:rsidRPr="1B234C3C">
        <w:rPr>
          <w:lang w:eastAsia="en-US"/>
        </w:rPr>
        <w:t xml:space="preserve">avoid </w:t>
      </w:r>
      <w:r w:rsidR="00EF4836">
        <w:rPr>
          <w:lang w:eastAsia="en-US"/>
        </w:rPr>
        <w:t xml:space="preserve">the </w:t>
      </w:r>
      <w:r w:rsidR="000F3B10" w:rsidRPr="1B234C3C">
        <w:rPr>
          <w:lang w:eastAsia="en-US"/>
        </w:rPr>
        <w:t>delay</w:t>
      </w:r>
      <w:r w:rsidR="00520F6A" w:rsidRPr="1B234C3C">
        <w:rPr>
          <w:lang w:eastAsia="en-US"/>
        </w:rPr>
        <w:t>s of</w:t>
      </w:r>
      <w:r w:rsidRPr="1B234C3C">
        <w:rPr>
          <w:lang w:eastAsia="en-US"/>
        </w:rPr>
        <w:t xml:space="preserve"> patient back to a </w:t>
      </w:r>
      <w:r w:rsidRPr="1B234C3C">
        <w:rPr>
          <w:lang w:eastAsia="en-US"/>
        </w:rPr>
        <w:lastRenderedPageBreak/>
        <w:t>haematologist for a script</w:t>
      </w:r>
      <w:r w:rsidR="00C6636D" w:rsidRPr="1B234C3C">
        <w:rPr>
          <w:lang w:eastAsia="en-US"/>
        </w:rPr>
        <w:t xml:space="preserve"> </w:t>
      </w:r>
      <w:r w:rsidR="00520F6A" w:rsidRPr="1B234C3C">
        <w:rPr>
          <w:lang w:eastAsia="en-US"/>
        </w:rPr>
        <w:t xml:space="preserve">and save the haematologist time </w:t>
      </w:r>
      <w:r w:rsidRPr="1B234C3C">
        <w:rPr>
          <w:lang w:eastAsia="en-US"/>
        </w:rPr>
        <w:t>(section 1.5.5, ruxolitinib submission).</w:t>
      </w:r>
    </w:p>
    <w:p w14:paraId="5A54EC58" w14:textId="26696E6F" w:rsidR="00B20B74" w:rsidRPr="00B20B74" w:rsidRDefault="001532EE" w:rsidP="00AF1C20">
      <w:pPr>
        <w:pStyle w:val="3-BodyText"/>
        <w:rPr>
          <w:lang w:eastAsia="en-US"/>
        </w:rPr>
      </w:pPr>
      <w:r>
        <w:rPr>
          <w:lang w:eastAsia="en-US"/>
        </w:rPr>
        <w:t>However, t</w:t>
      </w:r>
      <w:r w:rsidRPr="00350661">
        <w:rPr>
          <w:lang w:eastAsia="en-US"/>
        </w:rPr>
        <w:t xml:space="preserve">he proposed NP-initiated, multidisciplinary team treatment decision process may be incongruous with PBAC’s </w:t>
      </w:r>
      <w:r w:rsidR="00807A40">
        <w:rPr>
          <w:lang w:eastAsia="en-US"/>
        </w:rPr>
        <w:t>July 2025 recommendations (see paragraph 2.10</w:t>
      </w:r>
      <w:r w:rsidR="00F56360">
        <w:rPr>
          <w:lang w:eastAsia="en-US"/>
        </w:rPr>
        <w:t xml:space="preserve"> and the complexity of the diseases (see paragraph </w:t>
      </w:r>
      <w:r w:rsidR="00FA3769">
        <w:rPr>
          <w:lang w:eastAsia="en-US"/>
        </w:rPr>
        <w:t>4.5)</w:t>
      </w:r>
      <w:r w:rsidRPr="00350661">
        <w:rPr>
          <w:lang w:eastAsia="en-US"/>
        </w:rPr>
        <w:t>.</w:t>
      </w:r>
      <w:r w:rsidRPr="00AF1C20">
        <w:rPr>
          <w:rFonts w:eastAsiaTheme="minorEastAsia" w:cstheme="minorHAnsi"/>
        </w:rPr>
        <w:t xml:space="preserve"> Additionally, NP</w:t>
      </w:r>
      <w:r w:rsidR="00807A40">
        <w:rPr>
          <w:rFonts w:eastAsiaTheme="minorEastAsia" w:cstheme="minorHAnsi"/>
        </w:rPr>
        <w:t>s</w:t>
      </w:r>
      <w:r w:rsidRPr="00AF1C20">
        <w:rPr>
          <w:rFonts w:eastAsiaTheme="minorEastAsia" w:cstheme="minorHAnsi"/>
        </w:rPr>
        <w:t xml:space="preserve"> may not be an appropriate proxy for the haematologist in prescribing and providing patient advice on the new ruxolitinib treatment.</w:t>
      </w:r>
      <w:r w:rsidR="00AF1C20" w:rsidRPr="00AF1C20">
        <w:rPr>
          <w:rFonts w:eastAsiaTheme="minorEastAsia" w:cstheme="minorHAnsi"/>
        </w:rPr>
        <w:t xml:space="preserve"> </w:t>
      </w:r>
    </w:p>
    <w:p w14:paraId="1FDD273A" w14:textId="0024D979" w:rsidR="003A511C" w:rsidRDefault="003A511C" w:rsidP="00DD0F37">
      <w:pPr>
        <w:pStyle w:val="5-SubsectionSubheading"/>
      </w:pPr>
      <w:r>
        <w:t>Basis of request for the continuation phase</w:t>
      </w:r>
    </w:p>
    <w:p w14:paraId="2783C90F" w14:textId="451B7326" w:rsidR="00A443D2" w:rsidRDefault="00A443D2" w:rsidP="00A443D2">
      <w:pPr>
        <w:pStyle w:val="3-BodyText"/>
        <w:rPr>
          <w:lang w:eastAsia="en-US"/>
        </w:rPr>
      </w:pPr>
      <w:r>
        <w:rPr>
          <w:lang w:eastAsia="en-US"/>
        </w:rPr>
        <w:t>The submission argued that NPs</w:t>
      </w:r>
      <w:r w:rsidRPr="00CF39DD">
        <w:rPr>
          <w:lang w:eastAsia="en-US"/>
        </w:rPr>
        <w:t xml:space="preserve"> already have prescribing power </w:t>
      </w:r>
      <w:r>
        <w:rPr>
          <w:lang w:eastAsia="en-US"/>
        </w:rPr>
        <w:t>for other</w:t>
      </w:r>
      <w:r w:rsidRPr="00CF39DD">
        <w:rPr>
          <w:lang w:eastAsia="en-US"/>
        </w:rPr>
        <w:t xml:space="preserve"> therapies for </w:t>
      </w:r>
      <w:r>
        <w:rPr>
          <w:lang w:eastAsia="en-US"/>
        </w:rPr>
        <w:t xml:space="preserve">all indications, as well as medications to manage </w:t>
      </w:r>
      <w:r w:rsidR="000B38A6">
        <w:rPr>
          <w:lang w:eastAsia="en-US"/>
        </w:rPr>
        <w:t>patients’</w:t>
      </w:r>
      <w:r>
        <w:rPr>
          <w:lang w:eastAsia="en-US"/>
        </w:rPr>
        <w:t xml:space="preserve"> disease, such as anti-nausea, pain and anti-hypertensive</w:t>
      </w:r>
      <w:r w:rsidR="00883B7D">
        <w:rPr>
          <w:lang w:eastAsia="en-US"/>
        </w:rPr>
        <w:t xml:space="preserve"> medications</w:t>
      </w:r>
      <w:r>
        <w:rPr>
          <w:lang w:eastAsia="en-US"/>
        </w:rPr>
        <w:t xml:space="preserve">. The submission argued that prescribing these additional agents requires a high working knowledge of the disease and </w:t>
      </w:r>
      <w:r w:rsidR="00170EBE">
        <w:rPr>
          <w:lang w:eastAsia="en-US"/>
        </w:rPr>
        <w:t xml:space="preserve">ruxolitinib </w:t>
      </w:r>
      <w:r>
        <w:rPr>
          <w:lang w:eastAsia="en-US"/>
        </w:rPr>
        <w:t>to ensure the avoidance of any drug interactions.</w:t>
      </w:r>
    </w:p>
    <w:p w14:paraId="1978A056" w14:textId="498F5755" w:rsidR="000F03EE" w:rsidRPr="003A511C" w:rsidRDefault="00A443D2" w:rsidP="000F03EE">
      <w:pPr>
        <w:pStyle w:val="3-BodyText"/>
        <w:rPr>
          <w:lang w:eastAsia="en-US"/>
        </w:rPr>
      </w:pPr>
      <w:r>
        <w:rPr>
          <w:lang w:eastAsia="en-US"/>
        </w:rPr>
        <w:t xml:space="preserve">It is also in line with the PBAC’s July 2025 decision for similar </w:t>
      </w:r>
      <w:r>
        <w:t>General Schedule oncology and haematology medicines. These were recommended to allow NPs to continue existing therapy, where</w:t>
      </w:r>
      <w:r w:rsidRPr="00FC02FC">
        <w:t xml:space="preserve"> patient care is being shared with a medical practitioner</w:t>
      </w:r>
      <w:r>
        <w:t xml:space="preserve"> (see paragraph 2.1</w:t>
      </w:r>
      <w:r w:rsidR="00861D0A">
        <w:t>6</w:t>
      </w:r>
      <w:r>
        <w:t xml:space="preserve">).  </w:t>
      </w:r>
    </w:p>
    <w:p w14:paraId="35B4793C" w14:textId="1F51E22F" w:rsidR="003440B0" w:rsidRPr="00A6439B" w:rsidRDefault="003440B0" w:rsidP="003440B0">
      <w:pPr>
        <w:pStyle w:val="4-SubsectionHeading"/>
        <w:rPr>
          <w:lang w:eastAsia="en-US"/>
        </w:rPr>
      </w:pPr>
      <w:r w:rsidRPr="00A6439B">
        <w:rPr>
          <w:lang w:eastAsia="en-US"/>
        </w:rPr>
        <w:t>Estimated financial implications</w:t>
      </w:r>
    </w:p>
    <w:p w14:paraId="4FF26660" w14:textId="1DE8F3CD" w:rsidR="005245DC" w:rsidRDefault="02025F40" w:rsidP="00C746CB">
      <w:pPr>
        <w:pStyle w:val="3-BodyText"/>
        <w:rPr>
          <w:lang w:eastAsia="en-US"/>
        </w:rPr>
      </w:pPr>
      <w:r w:rsidRPr="5DC12B40">
        <w:rPr>
          <w:lang w:eastAsia="en-US"/>
        </w:rPr>
        <w:t xml:space="preserve">The submission </w:t>
      </w:r>
      <w:r w:rsidR="0F7687DF" w:rsidRPr="5DC12B40">
        <w:rPr>
          <w:lang w:eastAsia="en-US"/>
        </w:rPr>
        <w:t>stated that it</w:t>
      </w:r>
      <w:r w:rsidR="06C18610" w:rsidRPr="5DC12B40">
        <w:rPr>
          <w:lang w:eastAsia="en-US"/>
        </w:rPr>
        <w:t xml:space="preserve"> is not expected that the requested change will result in an increase in ruxolitinib utilisation</w:t>
      </w:r>
      <w:r w:rsidR="00B80BE7">
        <w:rPr>
          <w:lang w:eastAsia="en-US"/>
        </w:rPr>
        <w:t>.</w:t>
      </w:r>
    </w:p>
    <w:p w14:paraId="59A69144" w14:textId="03BBDC8E" w:rsidR="009F37F8" w:rsidRDefault="00C811B0" w:rsidP="005245DC">
      <w:pPr>
        <w:pStyle w:val="3-BodyText"/>
        <w:numPr>
          <w:ilvl w:val="0"/>
          <w:numId w:val="0"/>
        </w:numPr>
        <w:ind w:left="720"/>
        <w:rPr>
          <w:lang w:eastAsia="en-US"/>
        </w:rPr>
      </w:pPr>
      <w:r w:rsidRPr="00C811B0">
        <w:rPr>
          <w:lang w:eastAsia="en-US"/>
        </w:rPr>
        <w:t>As such, the submission estimated that there will be no additional cost to the PBS</w:t>
      </w:r>
      <w:r w:rsidR="006408B2">
        <w:rPr>
          <w:lang w:eastAsia="en-US"/>
        </w:rPr>
        <w:t xml:space="preserve"> and RPBS</w:t>
      </w:r>
      <w:r w:rsidRPr="00C811B0">
        <w:rPr>
          <w:lang w:eastAsia="en-US"/>
        </w:rPr>
        <w:t>.</w:t>
      </w:r>
    </w:p>
    <w:p w14:paraId="29A30B9E" w14:textId="7425866D" w:rsidR="00AB2038" w:rsidRDefault="00AB2038" w:rsidP="005245DC">
      <w:pPr>
        <w:pStyle w:val="3-BodyText"/>
        <w:numPr>
          <w:ilvl w:val="0"/>
          <w:numId w:val="0"/>
        </w:numPr>
        <w:ind w:left="720"/>
        <w:rPr>
          <w:lang w:eastAsia="en-US"/>
        </w:rPr>
      </w:pPr>
      <w:r>
        <w:rPr>
          <w:lang w:eastAsia="en-US"/>
        </w:rPr>
        <w:t>However, it should be noted that ruxolitinib will be subject to a 19-year anniversary price reduction of 5% on 1 April 2026.</w:t>
      </w:r>
    </w:p>
    <w:p w14:paraId="700323C6" w14:textId="18ACB161" w:rsidR="000D61DE" w:rsidRDefault="000D61DE" w:rsidP="000D61DE">
      <w:pPr>
        <w:pStyle w:val="2-SectionHeading"/>
        <w:numPr>
          <w:ilvl w:val="0"/>
          <w:numId w:val="18"/>
        </w:numPr>
        <w:ind w:left="709" w:hanging="709"/>
      </w:pPr>
      <w:r>
        <w:t>PBAC Outcome</w:t>
      </w:r>
    </w:p>
    <w:p w14:paraId="438045E9" w14:textId="0E2B7D81" w:rsidR="0003556D" w:rsidRDefault="000D61DE" w:rsidP="0003556D">
      <w:pPr>
        <w:pStyle w:val="3-BodyText"/>
        <w:numPr>
          <w:ilvl w:val="1"/>
          <w:numId w:val="18"/>
        </w:numPr>
        <w:ind w:left="709" w:hanging="709"/>
      </w:pPr>
      <w:r>
        <w:t xml:space="preserve">The PBAC recommended listing ruxolitinib for NP prescribing for continuing </w:t>
      </w:r>
      <w:r w:rsidR="00293CC2">
        <w:t>treatment</w:t>
      </w:r>
      <w:r>
        <w:t xml:space="preserve"> only for all indications. The PBAC advised that ruxolitinib would not be suitable for </w:t>
      </w:r>
      <w:r w:rsidR="00BB4AEF">
        <w:t xml:space="preserve">initiation </w:t>
      </w:r>
      <w:r>
        <w:t>by NPs.</w:t>
      </w:r>
    </w:p>
    <w:p w14:paraId="3AF4F3DE" w14:textId="58E23A8C" w:rsidR="006611D5" w:rsidRDefault="000D61DE" w:rsidP="00AA7F59">
      <w:pPr>
        <w:pStyle w:val="3-BodyText"/>
        <w:numPr>
          <w:ilvl w:val="1"/>
          <w:numId w:val="18"/>
        </w:numPr>
        <w:ind w:left="709" w:hanging="709"/>
      </w:pPr>
      <w:r>
        <w:t xml:space="preserve">The PBAC advised that listing for ruxolitinib should follow precedent for other NP prescribing items for </w:t>
      </w:r>
      <w:r w:rsidR="00841EAA">
        <w:t xml:space="preserve">similar haematological drugs. </w:t>
      </w:r>
      <w:r w:rsidR="006611D5" w:rsidRPr="006611D5">
        <w:t xml:space="preserve">The PBAC recalled its July 2025 recommendations with regards to medicines prescribed for haematology indications and considered that limiting NP prescribing of </w:t>
      </w:r>
      <w:proofErr w:type="spellStart"/>
      <w:r w:rsidR="006611D5" w:rsidRPr="006611D5">
        <w:t>ruxolitinb</w:t>
      </w:r>
      <w:proofErr w:type="spellEnd"/>
      <w:r w:rsidR="006611D5" w:rsidRPr="006611D5">
        <w:t xml:space="preserve"> to continuing treatment where patient care is shared would be consistent with the PBAC’s most recent recommendation in the context of haematology medicines. </w:t>
      </w:r>
    </w:p>
    <w:p w14:paraId="16BC8497" w14:textId="7CC23CBA" w:rsidR="00644386" w:rsidRDefault="006611D5" w:rsidP="00E277B6">
      <w:pPr>
        <w:pStyle w:val="3-BodyText"/>
        <w:numPr>
          <w:ilvl w:val="1"/>
          <w:numId w:val="18"/>
        </w:numPr>
        <w:ind w:left="709" w:hanging="709"/>
      </w:pPr>
      <w:r w:rsidRPr="006611D5">
        <w:t xml:space="preserve">The PBAC further recalled its November 2025 consideration of </w:t>
      </w:r>
      <w:proofErr w:type="spellStart"/>
      <w:r w:rsidRPr="006611D5">
        <w:t>fedratinib</w:t>
      </w:r>
      <w:proofErr w:type="spellEnd"/>
      <w:r w:rsidRPr="006611D5">
        <w:t xml:space="preserve"> and its recommendation to permit NP prescribing of continuing treatment </w:t>
      </w:r>
      <w:r w:rsidR="00841EAA">
        <w:t>of</w:t>
      </w:r>
      <w:r w:rsidR="0075143B">
        <w:t xml:space="preserve"> MF</w:t>
      </w:r>
      <w:r w:rsidR="00E277B6">
        <w:t>, which had the flow-on change to ruxolitinib and NP prescribing</w:t>
      </w:r>
      <w:r w:rsidR="0075143B">
        <w:t xml:space="preserve"> (see paragraph 2.7).</w:t>
      </w:r>
      <w:r w:rsidR="00841EAA" w:rsidRPr="0075143B">
        <w:rPr>
          <w:i/>
          <w:iCs/>
        </w:rPr>
        <w:t xml:space="preserve"> </w:t>
      </w:r>
    </w:p>
    <w:p w14:paraId="7DB7D945" w14:textId="09352FD2" w:rsidR="00B84EF6" w:rsidRDefault="00BD796F" w:rsidP="000709C5">
      <w:pPr>
        <w:pStyle w:val="3-BodyText"/>
        <w:numPr>
          <w:ilvl w:val="1"/>
          <w:numId w:val="18"/>
        </w:numPr>
        <w:ind w:left="709" w:hanging="709"/>
      </w:pPr>
      <w:r>
        <w:lastRenderedPageBreak/>
        <w:t xml:space="preserve">For PV, the PBAC advised NP prescribing was suitable for subsequent continuing treatment only. </w:t>
      </w:r>
      <w:r w:rsidR="00B84EF6" w:rsidRPr="00B84EF6">
        <w:t xml:space="preserve">Under </w:t>
      </w:r>
      <w:r w:rsidR="00B84EF6">
        <w:t>G</w:t>
      </w:r>
      <w:r w:rsidR="00B84EF6" w:rsidRPr="00B84EF6">
        <w:t xml:space="preserve">eneral </w:t>
      </w:r>
      <w:r w:rsidR="00B84EF6">
        <w:t>G</w:t>
      </w:r>
      <w:r w:rsidR="00B84EF6" w:rsidRPr="00B84EF6">
        <w:t xml:space="preserve">uidance </w:t>
      </w:r>
      <w:r w:rsidR="00B84EF6">
        <w:t>P</w:t>
      </w:r>
      <w:r w:rsidR="00B84EF6" w:rsidRPr="00B84EF6">
        <w:t xml:space="preserve">rinciple 4, the PBAC considered the complexity of each indication was such that in its view, a nurse practitioner, whether in consultation with a multidisciplinary team or practicing independently, would not ordinarily establish the diagnosis. </w:t>
      </w:r>
    </w:p>
    <w:p w14:paraId="0CEBE464" w14:textId="77777777" w:rsidR="00B84EF6" w:rsidRDefault="00B84EF6" w:rsidP="0003556D">
      <w:pPr>
        <w:pStyle w:val="3-BodyText"/>
        <w:numPr>
          <w:ilvl w:val="1"/>
          <w:numId w:val="18"/>
        </w:numPr>
        <w:ind w:left="709" w:hanging="709"/>
      </w:pPr>
      <w:r w:rsidRPr="00B84EF6">
        <w:t xml:space="preserve">Whilst nurse practitioners are acknowledged to be multidisciplinary team members in some practice settings with important, defined clinical roles, it was the PBAC’s view that the treating haematologist in the multidisciplinary team would be the prescriber with ultimate responsibility and expertise in establishing a diagnosis and declaring compliance with PBS restriction criteria. </w:t>
      </w:r>
    </w:p>
    <w:p w14:paraId="792E1BB6" w14:textId="03DB3E26" w:rsidR="00B84EF6" w:rsidRDefault="00B84EF6" w:rsidP="0003556D">
      <w:pPr>
        <w:pStyle w:val="3-BodyText"/>
        <w:numPr>
          <w:ilvl w:val="1"/>
          <w:numId w:val="18"/>
        </w:numPr>
        <w:ind w:left="709" w:hanging="709"/>
      </w:pPr>
      <w:r w:rsidRPr="00B84EF6">
        <w:t>In PV specifically, the First Continuing treatment restriction requires that a response be achieved and maintained, including palpable splenomegaly being excluded - the PBAC’s view was that the absence of palpable splenomegaly is a clinical finding most accurately made by medical practitioner.</w:t>
      </w:r>
    </w:p>
    <w:p w14:paraId="4A3BBBF5" w14:textId="2CC22AF2" w:rsidR="0003556D" w:rsidRDefault="00E33582" w:rsidP="0003556D">
      <w:pPr>
        <w:pStyle w:val="3-BodyText"/>
        <w:numPr>
          <w:ilvl w:val="1"/>
          <w:numId w:val="18"/>
        </w:numPr>
        <w:ind w:left="709" w:hanging="709"/>
      </w:pPr>
      <w:r w:rsidRPr="00182048">
        <w:t xml:space="preserve">The PBAC noted that amendments to the S100 HSD program legislative instrument would be required to facilitate nurse practitioner prescribing for ruxolitinib for the continuing treatment of </w:t>
      </w:r>
      <w:proofErr w:type="spellStart"/>
      <w:r w:rsidR="00C46E62" w:rsidRPr="00182048">
        <w:t>aGVHD</w:t>
      </w:r>
      <w:proofErr w:type="spellEnd"/>
      <w:r w:rsidRPr="00182048">
        <w:t xml:space="preserve">. </w:t>
      </w:r>
    </w:p>
    <w:p w14:paraId="3FEE0B15" w14:textId="41F1A012" w:rsidR="0003556D" w:rsidRDefault="009435F1" w:rsidP="5966AD63">
      <w:pPr>
        <w:pStyle w:val="3-BodyText"/>
        <w:ind w:left="709" w:hanging="709"/>
      </w:pPr>
      <w:r>
        <w:t>As no changes were requ</w:t>
      </w:r>
      <w:r w:rsidR="00B7305E">
        <w:t>ested to the patient population eligibility requirements t</w:t>
      </w:r>
      <w:r w:rsidR="000D61DE">
        <w:t xml:space="preserve">he PBAC considered that </w:t>
      </w:r>
      <w:r w:rsidR="006F2D5F">
        <w:t>t</w:t>
      </w:r>
      <w:r w:rsidR="00F41B07">
        <w:t xml:space="preserve">his amendment was not anticipated to result in a change in utilisation of </w:t>
      </w:r>
      <w:r w:rsidR="00275179">
        <w:t xml:space="preserve">ruxolitinib and that </w:t>
      </w:r>
      <w:r w:rsidR="000D61DE">
        <w:t xml:space="preserve">there would be no </w:t>
      </w:r>
      <w:r w:rsidR="00074FEF">
        <w:t xml:space="preserve">financial impact </w:t>
      </w:r>
      <w:r w:rsidR="000D61DE">
        <w:t>to the PBS</w:t>
      </w:r>
      <w:r w:rsidR="000A38B8">
        <w:t xml:space="preserve"> and </w:t>
      </w:r>
      <w:r w:rsidR="008E7E58">
        <w:t>RPBS</w:t>
      </w:r>
      <w:r w:rsidR="000D61DE">
        <w:t xml:space="preserve">. </w:t>
      </w:r>
    </w:p>
    <w:p w14:paraId="2A2BF614" w14:textId="77777777" w:rsidR="0003556D" w:rsidRDefault="000D61DE" w:rsidP="0003556D">
      <w:pPr>
        <w:pStyle w:val="3-BodyText"/>
        <w:numPr>
          <w:ilvl w:val="1"/>
          <w:numId w:val="18"/>
        </w:numPr>
        <w:ind w:left="709" w:hanging="709"/>
      </w:pPr>
      <w:r w:rsidRPr="0003556D">
        <w:rPr>
          <w:rFonts w:cstheme="minorHAnsi"/>
        </w:rPr>
        <w:t xml:space="preserve">The PBAC found that the criteria prescribed by the </w:t>
      </w:r>
      <w:r w:rsidRPr="0003556D">
        <w:rPr>
          <w:rFonts w:cstheme="minorHAnsi"/>
          <w:i/>
        </w:rPr>
        <w:t>National Health (Pharmaceuticals and Vaccines – Cost Recovery) Regulations 2022</w:t>
      </w:r>
      <w:r w:rsidRPr="0003556D">
        <w:rPr>
          <w:rFonts w:cstheme="minorHAnsi"/>
        </w:rPr>
        <w:t xml:space="preserve"> for Pricing Pathway A were not met. Specifically, the PBAC found that in the circumstances of its recommendation for amendment to the NP prescribing arrangements, it is not expected to address a high and urgent unmet clinical need.</w:t>
      </w:r>
    </w:p>
    <w:p w14:paraId="738C21BF" w14:textId="77777777" w:rsidR="000D61DE" w:rsidRPr="00A76466" w:rsidRDefault="000D61DE" w:rsidP="0003556D">
      <w:pPr>
        <w:pStyle w:val="3-BodyText"/>
        <w:numPr>
          <w:ilvl w:val="1"/>
          <w:numId w:val="18"/>
        </w:numPr>
        <w:ind w:left="709" w:hanging="709"/>
      </w:pPr>
      <w:r w:rsidRPr="0003556D">
        <w:rPr>
          <w:rFonts w:cs="Arial"/>
          <w:bCs/>
          <w:snapToGrid w:val="0"/>
        </w:rPr>
        <w:t>The PBAC noted that this submission is not eligible for an Independent Review as it received a positive recommendation.</w:t>
      </w:r>
    </w:p>
    <w:p w14:paraId="61F79D56" w14:textId="77777777" w:rsidR="000D61DE" w:rsidRDefault="000D61DE" w:rsidP="000D61DE">
      <w:pPr>
        <w:rPr>
          <w:b/>
          <w:bCs/>
          <w:snapToGrid w:val="0"/>
          <w:lang w:val="en-GB"/>
        </w:rPr>
      </w:pPr>
    </w:p>
    <w:p w14:paraId="735BDD4E" w14:textId="77777777" w:rsidR="000D61DE" w:rsidRPr="00922DB2" w:rsidRDefault="000D61DE" w:rsidP="000D61DE">
      <w:pPr>
        <w:rPr>
          <w:b/>
          <w:bCs/>
          <w:lang w:val="en-GB"/>
        </w:rPr>
      </w:pPr>
      <w:r w:rsidRPr="00922DB2">
        <w:rPr>
          <w:b/>
          <w:bCs/>
          <w:snapToGrid w:val="0"/>
          <w:lang w:val="en-GB"/>
        </w:rPr>
        <w:t>Outcome:</w:t>
      </w:r>
    </w:p>
    <w:p w14:paraId="43E5C7E8" w14:textId="0D5CF1A1" w:rsidR="003D6271" w:rsidRPr="00CD5ED5" w:rsidRDefault="000D61DE" w:rsidP="00CD5ED5">
      <w:pPr>
        <w:rPr>
          <w:b/>
          <w:bCs/>
          <w:lang w:val="en-GB"/>
        </w:rPr>
      </w:pPr>
      <w:r w:rsidRPr="00922DB2">
        <w:rPr>
          <w:bCs/>
          <w:snapToGrid w:val="0"/>
          <w:lang w:val="en-GB"/>
        </w:rPr>
        <w:t>Recommended</w:t>
      </w:r>
    </w:p>
    <w:p w14:paraId="7DE1468D" w14:textId="7F655516" w:rsidR="00FC55CC" w:rsidRDefault="009367FC" w:rsidP="00AD767C">
      <w:pPr>
        <w:pStyle w:val="2-SectionHeading"/>
        <w:numPr>
          <w:ilvl w:val="0"/>
          <w:numId w:val="18"/>
        </w:numPr>
        <w:ind w:left="709" w:hanging="709"/>
      </w:pPr>
      <w:r w:rsidRPr="1B234C3C">
        <w:t>R</w:t>
      </w:r>
      <w:r w:rsidR="002A6CB3">
        <w:t>ecommended</w:t>
      </w:r>
      <w:r w:rsidRPr="1B234C3C">
        <w:t xml:space="preserve"> Listing</w:t>
      </w:r>
    </w:p>
    <w:p w14:paraId="36FCFA74" w14:textId="2CCE5026" w:rsidR="00FC55CC" w:rsidRPr="0097777C" w:rsidRDefault="00123F19" w:rsidP="00123F19">
      <w:pPr>
        <w:pStyle w:val="3Bodytext"/>
        <w:ind w:left="709" w:hanging="709"/>
        <w:rPr>
          <w:b/>
        </w:rPr>
      </w:pPr>
      <w:r w:rsidRPr="00123F19">
        <w:rPr>
          <w:bCs/>
        </w:rPr>
        <w:t>6.1</w:t>
      </w:r>
      <w:r>
        <w:rPr>
          <w:b/>
        </w:rPr>
        <w:tab/>
      </w:r>
      <w:r w:rsidR="00FC55CC">
        <w:t xml:space="preserve">Add </w:t>
      </w:r>
      <w:r w:rsidR="00CB350E">
        <w:t xml:space="preserve">prescriber type ‘nurse practitioner’ </w:t>
      </w:r>
      <w:r w:rsidR="004A107F">
        <w:t xml:space="preserve">and </w:t>
      </w:r>
      <w:r w:rsidR="00385651">
        <w:t xml:space="preserve">treatment criterion </w:t>
      </w:r>
      <w:r w:rsidR="00A02801">
        <w:t>341</w:t>
      </w:r>
      <w:r w:rsidR="00645773">
        <w:t xml:space="preserve">20 to the </w:t>
      </w:r>
      <w:r w:rsidR="003215B6">
        <w:t>restrictions for PV,</w:t>
      </w:r>
      <w:r w:rsidR="0000375B">
        <w:t xml:space="preserve"> MF and flow-on restrictions for </w:t>
      </w:r>
      <w:proofErr w:type="spellStart"/>
      <w:r w:rsidR="0000375B" w:rsidRPr="0000375B">
        <w:t>momelotinib</w:t>
      </w:r>
      <w:proofErr w:type="spellEnd"/>
      <w:r w:rsidR="004A107F">
        <w:t xml:space="preserve"> as follows</w:t>
      </w:r>
      <w:r w:rsidR="0000375B">
        <w:t>. F</w:t>
      </w:r>
      <w:r w:rsidR="004A107F">
        <w:t xml:space="preserve">ull restrictions </w:t>
      </w:r>
      <w:r w:rsidR="0000375B">
        <w:t xml:space="preserve">are </w:t>
      </w:r>
      <w:r w:rsidR="004A107F">
        <w:t xml:space="preserve">not </w:t>
      </w:r>
      <w:proofErr w:type="gramStart"/>
      <w:r w:rsidR="004A107F">
        <w:t>displayed</w:t>
      </w:r>
      <w:proofErr w:type="gramEnd"/>
      <w:r w:rsidR="00FD527A">
        <w:t xml:space="preserve"> and e</w:t>
      </w:r>
      <w:r w:rsidR="0000375B">
        <w:t>xisting eligibility criteria are unchanged</w:t>
      </w:r>
      <w:r w:rsidR="0015526F">
        <w:t>:</w:t>
      </w:r>
    </w:p>
    <w:p w14:paraId="50C6ECEB" w14:textId="77777777" w:rsidR="006D5E23" w:rsidRDefault="006D5E23">
      <w:pPr>
        <w:jc w:val="left"/>
        <w:rPr>
          <w:rFonts w:asciiTheme="minorHAnsi" w:eastAsiaTheme="majorEastAsia" w:hAnsiTheme="minorHAnsi" w:cstheme="majorBidi"/>
          <w:b/>
          <w:color w:val="000000" w:themeColor="text1"/>
        </w:rPr>
      </w:pPr>
      <w:r>
        <w:br w:type="page"/>
      </w:r>
    </w:p>
    <w:p w14:paraId="6C9C359A" w14:textId="616091D1" w:rsidR="009367FC" w:rsidRDefault="009367FC" w:rsidP="009367FC">
      <w:pPr>
        <w:pStyle w:val="5-SubsectionSubheading"/>
      </w:pPr>
      <w:proofErr w:type="spellStart"/>
      <w:r w:rsidRPr="00181804">
        <w:lastRenderedPageBreak/>
        <w:t>Polycythemia</w:t>
      </w:r>
      <w:proofErr w:type="spellEnd"/>
      <w:r w:rsidRPr="00181804">
        <w:t xml:space="preserve"> vera</w:t>
      </w:r>
      <w:r>
        <w:t xml:space="preserve"> </w:t>
      </w: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olycythemia vera "/>
      </w:tblPr>
      <w:tblGrid>
        <w:gridCol w:w="3935"/>
        <w:gridCol w:w="885"/>
        <w:gridCol w:w="738"/>
        <w:gridCol w:w="811"/>
        <w:gridCol w:w="812"/>
        <w:gridCol w:w="1840"/>
      </w:tblGrid>
      <w:tr w:rsidR="009367FC" w14:paraId="07AA96BA" w14:textId="77777777">
        <w:trPr>
          <w:cantSplit/>
          <w:trHeight w:val="20"/>
        </w:trPr>
        <w:tc>
          <w:tcPr>
            <w:tcW w:w="3935" w:type="dxa"/>
            <w:vAlign w:val="center"/>
          </w:tcPr>
          <w:p w14:paraId="3FC13647" w14:textId="77777777" w:rsidR="009367FC" w:rsidRPr="00006812" w:rsidRDefault="009367FC">
            <w:pPr>
              <w:keepLines/>
              <w:rPr>
                <w:rFonts w:ascii="Arial Narrow" w:hAnsi="Arial Narrow"/>
                <w:b/>
                <w:bCs/>
                <w:sz w:val="20"/>
              </w:rPr>
            </w:pPr>
            <w:r w:rsidRPr="00006812">
              <w:rPr>
                <w:rFonts w:ascii="Arial Narrow" w:hAnsi="Arial Narrow"/>
                <w:b/>
                <w:bCs/>
                <w:sz w:val="20"/>
              </w:rPr>
              <w:t>MEDICINAL PRODUCT</w:t>
            </w:r>
          </w:p>
          <w:p w14:paraId="724C19D5" w14:textId="77777777" w:rsidR="009367FC" w:rsidRPr="00006812" w:rsidRDefault="009367FC">
            <w:pPr>
              <w:keepLines/>
              <w:rPr>
                <w:rFonts w:ascii="Arial Narrow" w:hAnsi="Arial Narrow"/>
                <w:b/>
                <w:bCs/>
                <w:sz w:val="20"/>
              </w:rPr>
            </w:pPr>
            <w:r w:rsidRPr="00006812">
              <w:rPr>
                <w:rFonts w:ascii="Arial Narrow" w:hAnsi="Arial Narrow"/>
                <w:b/>
                <w:bCs/>
                <w:sz w:val="20"/>
              </w:rPr>
              <w:t>medicinal product pack</w:t>
            </w:r>
          </w:p>
        </w:tc>
        <w:tc>
          <w:tcPr>
            <w:tcW w:w="885" w:type="dxa"/>
            <w:vAlign w:val="center"/>
          </w:tcPr>
          <w:p w14:paraId="6C87EAA0" w14:textId="77777777" w:rsidR="009367FC" w:rsidRPr="00006812" w:rsidRDefault="009367FC">
            <w:pPr>
              <w:keepLines/>
              <w:jc w:val="center"/>
              <w:rPr>
                <w:rFonts w:ascii="Arial Narrow" w:hAnsi="Arial Narrow"/>
                <w:b/>
                <w:sz w:val="20"/>
              </w:rPr>
            </w:pPr>
            <w:r w:rsidRPr="00006812">
              <w:rPr>
                <w:rFonts w:ascii="Arial Narrow" w:hAnsi="Arial Narrow"/>
                <w:b/>
                <w:sz w:val="20"/>
              </w:rPr>
              <w:t>PBS item code</w:t>
            </w:r>
          </w:p>
        </w:tc>
        <w:tc>
          <w:tcPr>
            <w:tcW w:w="738" w:type="dxa"/>
            <w:vAlign w:val="center"/>
          </w:tcPr>
          <w:p w14:paraId="3540EBD8" w14:textId="77777777" w:rsidR="009367FC" w:rsidRPr="00006812" w:rsidRDefault="009367FC">
            <w:pPr>
              <w:keepLines/>
              <w:jc w:val="center"/>
              <w:rPr>
                <w:rFonts w:ascii="Arial Narrow" w:hAnsi="Arial Narrow"/>
                <w:b/>
                <w:sz w:val="20"/>
              </w:rPr>
            </w:pPr>
            <w:r w:rsidRPr="00006812">
              <w:rPr>
                <w:rFonts w:ascii="Arial Narrow" w:hAnsi="Arial Narrow"/>
                <w:b/>
                <w:sz w:val="20"/>
              </w:rPr>
              <w:t>Max. qty packs</w:t>
            </w:r>
          </w:p>
        </w:tc>
        <w:tc>
          <w:tcPr>
            <w:tcW w:w="811" w:type="dxa"/>
            <w:vAlign w:val="center"/>
          </w:tcPr>
          <w:p w14:paraId="16A490B8" w14:textId="77777777" w:rsidR="009367FC" w:rsidRPr="00006812" w:rsidRDefault="009367FC">
            <w:pPr>
              <w:keepLines/>
              <w:jc w:val="center"/>
              <w:rPr>
                <w:rFonts w:ascii="Arial Narrow" w:hAnsi="Arial Narrow"/>
                <w:b/>
                <w:sz w:val="20"/>
              </w:rPr>
            </w:pPr>
            <w:r w:rsidRPr="00006812">
              <w:rPr>
                <w:rFonts w:ascii="Arial Narrow" w:hAnsi="Arial Narrow"/>
                <w:b/>
                <w:sz w:val="20"/>
              </w:rPr>
              <w:t>Max. qty units</w:t>
            </w:r>
          </w:p>
        </w:tc>
        <w:tc>
          <w:tcPr>
            <w:tcW w:w="812" w:type="dxa"/>
            <w:vAlign w:val="center"/>
          </w:tcPr>
          <w:p w14:paraId="42508EC0" w14:textId="77777777" w:rsidR="009367FC" w:rsidRPr="00006812" w:rsidRDefault="009367FC">
            <w:pPr>
              <w:keepLines/>
              <w:jc w:val="center"/>
              <w:rPr>
                <w:rFonts w:ascii="Arial Narrow" w:hAnsi="Arial Narrow"/>
                <w:b/>
                <w:bCs/>
                <w:sz w:val="20"/>
              </w:rPr>
            </w:pPr>
            <w:proofErr w:type="gramStart"/>
            <w:r w:rsidRPr="00006812">
              <w:rPr>
                <w:rFonts w:ascii="Arial Narrow" w:hAnsi="Arial Narrow"/>
                <w:b/>
                <w:bCs/>
                <w:sz w:val="20"/>
              </w:rPr>
              <w:t>№.of</w:t>
            </w:r>
            <w:proofErr w:type="gramEnd"/>
          </w:p>
          <w:p w14:paraId="27814686" w14:textId="77777777" w:rsidR="009367FC" w:rsidRPr="00006812" w:rsidRDefault="009367FC">
            <w:pPr>
              <w:keepLines/>
              <w:jc w:val="center"/>
              <w:rPr>
                <w:rFonts w:ascii="Arial Narrow" w:hAnsi="Arial Narrow"/>
                <w:b/>
                <w:bCs/>
                <w:sz w:val="20"/>
              </w:rPr>
            </w:pPr>
            <w:proofErr w:type="spellStart"/>
            <w:r w:rsidRPr="00006812">
              <w:rPr>
                <w:rFonts w:ascii="Arial Narrow" w:hAnsi="Arial Narrow"/>
                <w:b/>
                <w:bCs/>
                <w:sz w:val="20"/>
              </w:rPr>
              <w:t>Rpts</w:t>
            </w:r>
            <w:proofErr w:type="spellEnd"/>
          </w:p>
        </w:tc>
        <w:tc>
          <w:tcPr>
            <w:tcW w:w="1840" w:type="dxa"/>
            <w:vAlign w:val="center"/>
          </w:tcPr>
          <w:p w14:paraId="257B564D" w14:textId="77777777" w:rsidR="009367FC" w:rsidRPr="00006812" w:rsidRDefault="009367FC">
            <w:pPr>
              <w:keepLines/>
              <w:rPr>
                <w:rFonts w:ascii="Arial Narrow" w:hAnsi="Arial Narrow"/>
                <w:b/>
                <w:sz w:val="20"/>
              </w:rPr>
            </w:pPr>
            <w:r w:rsidRPr="00006812">
              <w:rPr>
                <w:rFonts w:ascii="Arial Narrow" w:hAnsi="Arial Narrow"/>
                <w:b/>
                <w:sz w:val="20"/>
              </w:rPr>
              <w:t>Available brands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olycythemia vera "/>
      </w:tblPr>
      <w:tblGrid>
        <w:gridCol w:w="1274"/>
        <w:gridCol w:w="2664"/>
        <w:gridCol w:w="872"/>
        <w:gridCol w:w="709"/>
        <w:gridCol w:w="850"/>
        <w:gridCol w:w="851"/>
        <w:gridCol w:w="1786"/>
      </w:tblGrid>
      <w:tr w:rsidR="009367FC" w14:paraId="5DBEF15E" w14:textId="77777777" w:rsidTr="1B234C3C">
        <w:trPr>
          <w:trHeight w:val="15"/>
        </w:trPr>
        <w:tc>
          <w:tcPr>
            <w:tcW w:w="9006" w:type="dxa"/>
            <w:gridSpan w:val="7"/>
            <w:tcMar>
              <w:left w:w="108" w:type="dxa"/>
              <w:right w:w="108" w:type="dxa"/>
            </w:tcMar>
            <w:vAlign w:val="center"/>
          </w:tcPr>
          <w:p w14:paraId="36650D60" w14:textId="77777777" w:rsidR="009367FC" w:rsidRDefault="009367FC">
            <w:pPr>
              <w:rPr>
                <w:rFonts w:ascii="Arial Narrow" w:eastAsia="Arial Narrow" w:hAnsi="Arial Narrow" w:cs="Arial Narrow"/>
                <w:sz w:val="20"/>
                <w:szCs w:val="20"/>
              </w:rPr>
            </w:pPr>
            <w:r w:rsidRPr="00DA359D">
              <w:rPr>
                <w:rFonts w:ascii="Arial Narrow" w:hAnsi="Arial Narrow"/>
                <w:sz w:val="20"/>
              </w:rPr>
              <w:t>RUXOLITINIB</w:t>
            </w:r>
          </w:p>
        </w:tc>
      </w:tr>
      <w:tr w:rsidR="009367FC" w14:paraId="19FC8FE7" w14:textId="77777777" w:rsidTr="1B234C3C">
        <w:trPr>
          <w:trHeight w:val="15"/>
        </w:trPr>
        <w:tc>
          <w:tcPr>
            <w:tcW w:w="3938" w:type="dxa"/>
            <w:gridSpan w:val="2"/>
            <w:tcMar>
              <w:left w:w="108" w:type="dxa"/>
              <w:right w:w="108" w:type="dxa"/>
            </w:tcMar>
            <w:vAlign w:val="center"/>
          </w:tcPr>
          <w:p w14:paraId="013E86A8" w14:textId="77777777" w:rsidR="009367FC" w:rsidRDefault="009367FC">
            <w:pPr>
              <w:rPr>
                <w:rFonts w:ascii="Arial Narrow" w:eastAsia="Arial Narrow" w:hAnsi="Arial Narrow" w:cs="Arial Narrow"/>
                <w:sz w:val="20"/>
                <w:szCs w:val="20"/>
              </w:rPr>
            </w:pPr>
            <w:r w:rsidRPr="00DA359D">
              <w:rPr>
                <w:rFonts w:ascii="Arial Narrow" w:hAnsi="Arial Narrow"/>
                <w:sz w:val="20"/>
              </w:rPr>
              <w:t>ruxolitinib 5mg tablet, 56</w:t>
            </w:r>
          </w:p>
        </w:tc>
        <w:tc>
          <w:tcPr>
            <w:tcW w:w="872" w:type="dxa"/>
            <w:tcMar>
              <w:left w:w="108" w:type="dxa"/>
              <w:right w:w="108" w:type="dxa"/>
            </w:tcMar>
            <w:vAlign w:val="center"/>
          </w:tcPr>
          <w:p w14:paraId="56C096E6" w14:textId="77777777" w:rsidR="009367FC" w:rsidRDefault="009367FC">
            <w:pPr>
              <w:spacing w:line="259" w:lineRule="auto"/>
              <w:jc w:val="center"/>
            </w:pPr>
            <w:r w:rsidRPr="004701B4">
              <w:rPr>
                <w:rFonts w:ascii="Arial Narrow" w:hAnsi="Arial Narrow"/>
                <w:sz w:val="20"/>
              </w:rPr>
              <w:t>14990Y</w:t>
            </w:r>
          </w:p>
        </w:tc>
        <w:tc>
          <w:tcPr>
            <w:tcW w:w="709" w:type="dxa"/>
            <w:tcMar>
              <w:left w:w="108" w:type="dxa"/>
              <w:right w:w="108" w:type="dxa"/>
            </w:tcMar>
            <w:vAlign w:val="center"/>
          </w:tcPr>
          <w:p w14:paraId="3569D46B" w14:textId="77777777" w:rsidR="009367FC" w:rsidRDefault="009367FC">
            <w:pPr>
              <w:jc w:val="center"/>
            </w:pPr>
            <w:r w:rsidRPr="00DA359D">
              <w:rPr>
                <w:rFonts w:ascii="Arial Narrow" w:hAnsi="Arial Narrow"/>
                <w:sz w:val="20"/>
              </w:rPr>
              <w:t>1</w:t>
            </w:r>
          </w:p>
        </w:tc>
        <w:tc>
          <w:tcPr>
            <w:tcW w:w="850" w:type="dxa"/>
            <w:tcMar>
              <w:left w:w="108" w:type="dxa"/>
              <w:right w:w="108" w:type="dxa"/>
            </w:tcMar>
            <w:vAlign w:val="center"/>
          </w:tcPr>
          <w:p w14:paraId="3806CA2A" w14:textId="77777777" w:rsidR="009367FC" w:rsidRDefault="009367FC">
            <w:pPr>
              <w:jc w:val="center"/>
              <w:rPr>
                <w:rFonts w:ascii="Arial Narrow" w:eastAsia="Arial Narrow" w:hAnsi="Arial Narrow" w:cs="Arial Narrow"/>
                <w:sz w:val="20"/>
                <w:szCs w:val="20"/>
              </w:rPr>
            </w:pPr>
            <w:r w:rsidRPr="00DA359D">
              <w:rPr>
                <w:rFonts w:ascii="Arial Narrow" w:hAnsi="Arial Narrow"/>
                <w:sz w:val="20"/>
              </w:rPr>
              <w:t>56</w:t>
            </w:r>
          </w:p>
        </w:tc>
        <w:tc>
          <w:tcPr>
            <w:tcW w:w="851" w:type="dxa"/>
            <w:tcMar>
              <w:left w:w="108" w:type="dxa"/>
              <w:right w:w="108" w:type="dxa"/>
            </w:tcMar>
            <w:vAlign w:val="center"/>
          </w:tcPr>
          <w:p w14:paraId="7786770F" w14:textId="77777777" w:rsidR="009367FC" w:rsidRDefault="009367FC">
            <w:pPr>
              <w:jc w:val="center"/>
            </w:pPr>
            <w:r w:rsidRPr="00DA359D">
              <w:rPr>
                <w:rFonts w:ascii="Arial Narrow" w:hAnsi="Arial Narrow"/>
                <w:sz w:val="20"/>
              </w:rPr>
              <w:t>5</w:t>
            </w:r>
          </w:p>
        </w:tc>
        <w:tc>
          <w:tcPr>
            <w:tcW w:w="1786" w:type="dxa"/>
            <w:tcMar>
              <w:left w:w="108" w:type="dxa"/>
              <w:right w:w="108" w:type="dxa"/>
            </w:tcMar>
            <w:vAlign w:val="center"/>
          </w:tcPr>
          <w:p w14:paraId="7C92776D" w14:textId="237C56F1" w:rsidR="009367FC" w:rsidRDefault="003C41BB">
            <w:pPr>
              <w:rPr>
                <w:rFonts w:ascii="Arial Narrow" w:eastAsia="Arial Narrow" w:hAnsi="Arial Narrow" w:cs="Arial Narrow"/>
                <w:sz w:val="20"/>
                <w:szCs w:val="20"/>
              </w:rPr>
            </w:pPr>
            <w:proofErr w:type="spellStart"/>
            <w:r>
              <w:rPr>
                <w:rFonts w:ascii="Arial Narrow" w:hAnsi="Arial Narrow"/>
                <w:sz w:val="20"/>
              </w:rPr>
              <w:t>Jakavi</w:t>
            </w:r>
            <w:proofErr w:type="spellEnd"/>
          </w:p>
        </w:tc>
      </w:tr>
      <w:tr w:rsidR="009367FC" w14:paraId="1E2FF64E" w14:textId="77777777" w:rsidTr="1B234C3C">
        <w:trPr>
          <w:trHeight w:val="15"/>
        </w:trPr>
        <w:tc>
          <w:tcPr>
            <w:tcW w:w="3938" w:type="dxa"/>
            <w:gridSpan w:val="2"/>
            <w:tcMar>
              <w:left w:w="108" w:type="dxa"/>
              <w:right w:w="108" w:type="dxa"/>
            </w:tcMar>
            <w:vAlign w:val="center"/>
          </w:tcPr>
          <w:p w14:paraId="09295BC6" w14:textId="77777777" w:rsidR="009367FC" w:rsidRDefault="009367FC">
            <w:pPr>
              <w:rPr>
                <w:rFonts w:ascii="Arial Narrow" w:eastAsia="Arial Narrow" w:hAnsi="Arial Narrow" w:cs="Arial Narrow"/>
                <w:sz w:val="20"/>
                <w:szCs w:val="20"/>
              </w:rPr>
            </w:pPr>
            <w:r w:rsidRPr="00DA359D">
              <w:rPr>
                <w:rFonts w:ascii="Arial Narrow" w:hAnsi="Arial Narrow"/>
                <w:sz w:val="20"/>
              </w:rPr>
              <w:t>ruxolitinib 10 mg tablet, 56</w:t>
            </w:r>
          </w:p>
        </w:tc>
        <w:tc>
          <w:tcPr>
            <w:tcW w:w="872" w:type="dxa"/>
            <w:tcMar>
              <w:left w:w="108" w:type="dxa"/>
              <w:right w:w="108" w:type="dxa"/>
            </w:tcMar>
            <w:vAlign w:val="center"/>
          </w:tcPr>
          <w:p w14:paraId="12B28004" w14:textId="77777777" w:rsidR="009367FC" w:rsidRDefault="009367FC">
            <w:pPr>
              <w:jc w:val="center"/>
              <w:rPr>
                <w:rFonts w:ascii="Arial Narrow" w:eastAsia="Arial Narrow" w:hAnsi="Arial Narrow" w:cs="Arial Narrow"/>
                <w:sz w:val="20"/>
                <w:szCs w:val="20"/>
              </w:rPr>
            </w:pPr>
            <w:r w:rsidRPr="004701B4">
              <w:rPr>
                <w:rFonts w:ascii="Arial Narrow" w:hAnsi="Arial Narrow"/>
                <w:sz w:val="20"/>
              </w:rPr>
              <w:t>14991B</w:t>
            </w:r>
          </w:p>
        </w:tc>
        <w:tc>
          <w:tcPr>
            <w:tcW w:w="709" w:type="dxa"/>
            <w:tcMar>
              <w:left w:w="108" w:type="dxa"/>
              <w:right w:w="108" w:type="dxa"/>
            </w:tcMar>
            <w:vAlign w:val="center"/>
          </w:tcPr>
          <w:p w14:paraId="64E5DF0F" w14:textId="77777777" w:rsidR="009367FC" w:rsidRDefault="009367FC">
            <w:pPr>
              <w:jc w:val="center"/>
              <w:rPr>
                <w:rFonts w:ascii="Arial Narrow" w:eastAsia="Arial Narrow" w:hAnsi="Arial Narrow" w:cs="Arial Narrow"/>
                <w:sz w:val="20"/>
                <w:szCs w:val="20"/>
              </w:rPr>
            </w:pPr>
            <w:r w:rsidRPr="00DA359D">
              <w:rPr>
                <w:rFonts w:ascii="Arial Narrow" w:hAnsi="Arial Narrow"/>
                <w:sz w:val="20"/>
              </w:rPr>
              <w:t>1</w:t>
            </w:r>
          </w:p>
        </w:tc>
        <w:tc>
          <w:tcPr>
            <w:tcW w:w="850" w:type="dxa"/>
            <w:tcMar>
              <w:left w:w="108" w:type="dxa"/>
              <w:right w:w="108" w:type="dxa"/>
            </w:tcMar>
            <w:vAlign w:val="center"/>
          </w:tcPr>
          <w:p w14:paraId="61AB38D6" w14:textId="77777777" w:rsidR="009367FC" w:rsidRDefault="009367FC">
            <w:pPr>
              <w:jc w:val="center"/>
              <w:rPr>
                <w:rFonts w:ascii="Arial Narrow" w:eastAsia="Arial Narrow" w:hAnsi="Arial Narrow" w:cs="Arial Narrow"/>
                <w:sz w:val="20"/>
                <w:szCs w:val="20"/>
              </w:rPr>
            </w:pPr>
            <w:r w:rsidRPr="00DA359D">
              <w:rPr>
                <w:rFonts w:ascii="Arial Narrow" w:hAnsi="Arial Narrow"/>
                <w:sz w:val="20"/>
              </w:rPr>
              <w:t>56</w:t>
            </w:r>
          </w:p>
        </w:tc>
        <w:tc>
          <w:tcPr>
            <w:tcW w:w="851" w:type="dxa"/>
            <w:tcMar>
              <w:left w:w="108" w:type="dxa"/>
              <w:right w:w="108" w:type="dxa"/>
            </w:tcMar>
            <w:vAlign w:val="center"/>
          </w:tcPr>
          <w:p w14:paraId="00B04349" w14:textId="77777777" w:rsidR="009367FC" w:rsidRDefault="009367FC">
            <w:pPr>
              <w:jc w:val="center"/>
              <w:rPr>
                <w:rFonts w:ascii="Arial Narrow" w:eastAsia="Arial Narrow" w:hAnsi="Arial Narrow" w:cs="Arial Narrow"/>
                <w:sz w:val="20"/>
                <w:szCs w:val="20"/>
              </w:rPr>
            </w:pPr>
            <w:r w:rsidRPr="00DA359D">
              <w:rPr>
                <w:rFonts w:ascii="Arial Narrow" w:hAnsi="Arial Narrow"/>
                <w:sz w:val="20"/>
              </w:rPr>
              <w:t>5</w:t>
            </w:r>
          </w:p>
        </w:tc>
        <w:tc>
          <w:tcPr>
            <w:tcW w:w="1786" w:type="dxa"/>
            <w:tcMar>
              <w:left w:w="108" w:type="dxa"/>
              <w:right w:w="108" w:type="dxa"/>
            </w:tcMar>
            <w:vAlign w:val="center"/>
          </w:tcPr>
          <w:p w14:paraId="0511FD52" w14:textId="31CEBBC4" w:rsidR="009367FC" w:rsidRDefault="003C41BB">
            <w:pPr>
              <w:spacing w:line="259" w:lineRule="auto"/>
            </w:pPr>
            <w:proofErr w:type="spellStart"/>
            <w:r>
              <w:rPr>
                <w:rFonts w:ascii="Arial Narrow" w:hAnsi="Arial Narrow"/>
                <w:sz w:val="20"/>
              </w:rPr>
              <w:t>Jakavi</w:t>
            </w:r>
            <w:proofErr w:type="spellEnd"/>
          </w:p>
        </w:tc>
      </w:tr>
      <w:tr w:rsidR="009367FC" w14:paraId="470E3195" w14:textId="77777777" w:rsidTr="1B234C3C">
        <w:trPr>
          <w:trHeight w:val="15"/>
        </w:trPr>
        <w:tc>
          <w:tcPr>
            <w:tcW w:w="3938" w:type="dxa"/>
            <w:gridSpan w:val="2"/>
            <w:tcMar>
              <w:left w:w="108" w:type="dxa"/>
              <w:right w:w="108" w:type="dxa"/>
            </w:tcMar>
            <w:vAlign w:val="center"/>
          </w:tcPr>
          <w:p w14:paraId="3108C033" w14:textId="77777777" w:rsidR="009367FC" w:rsidRDefault="009367FC">
            <w:pPr>
              <w:rPr>
                <w:rFonts w:ascii="Arial Narrow" w:eastAsia="Arial Narrow" w:hAnsi="Arial Narrow" w:cs="Arial Narrow"/>
                <w:sz w:val="20"/>
                <w:szCs w:val="20"/>
              </w:rPr>
            </w:pPr>
            <w:r w:rsidRPr="00DA359D">
              <w:rPr>
                <w:rFonts w:ascii="Arial Narrow" w:hAnsi="Arial Narrow"/>
                <w:sz w:val="20"/>
              </w:rPr>
              <w:t>ruxolitinib 15mg tablet, 56</w:t>
            </w:r>
          </w:p>
        </w:tc>
        <w:tc>
          <w:tcPr>
            <w:tcW w:w="872" w:type="dxa"/>
            <w:tcMar>
              <w:left w:w="108" w:type="dxa"/>
              <w:right w:w="108" w:type="dxa"/>
            </w:tcMar>
            <w:vAlign w:val="center"/>
          </w:tcPr>
          <w:p w14:paraId="37C21F02" w14:textId="77777777" w:rsidR="009367FC" w:rsidRPr="00AC7DB5" w:rsidRDefault="009367FC">
            <w:pPr>
              <w:jc w:val="center"/>
              <w:rPr>
                <w:rFonts w:ascii="Arial Narrow" w:eastAsia="Arial Narrow" w:hAnsi="Arial Narrow" w:cs="Arial Narrow"/>
                <w:sz w:val="20"/>
                <w:szCs w:val="20"/>
              </w:rPr>
            </w:pPr>
            <w:r w:rsidRPr="004701B4">
              <w:rPr>
                <w:rFonts w:ascii="Arial Narrow" w:hAnsi="Arial Narrow"/>
                <w:sz w:val="20"/>
              </w:rPr>
              <w:t>15014F</w:t>
            </w:r>
          </w:p>
        </w:tc>
        <w:tc>
          <w:tcPr>
            <w:tcW w:w="709" w:type="dxa"/>
            <w:tcMar>
              <w:left w:w="108" w:type="dxa"/>
              <w:right w:w="108" w:type="dxa"/>
            </w:tcMar>
            <w:vAlign w:val="center"/>
          </w:tcPr>
          <w:p w14:paraId="2D2C73F2" w14:textId="77777777" w:rsidR="009367FC" w:rsidRPr="7093FE7D" w:rsidRDefault="009367FC">
            <w:pPr>
              <w:jc w:val="center"/>
              <w:rPr>
                <w:rFonts w:ascii="Arial Narrow" w:eastAsia="Arial Narrow" w:hAnsi="Arial Narrow" w:cs="Arial Narrow"/>
                <w:sz w:val="20"/>
                <w:szCs w:val="20"/>
              </w:rPr>
            </w:pPr>
            <w:r w:rsidRPr="00DA359D">
              <w:rPr>
                <w:rFonts w:ascii="Arial Narrow" w:hAnsi="Arial Narrow"/>
                <w:sz w:val="20"/>
              </w:rPr>
              <w:t>1</w:t>
            </w:r>
          </w:p>
        </w:tc>
        <w:tc>
          <w:tcPr>
            <w:tcW w:w="850" w:type="dxa"/>
            <w:tcMar>
              <w:left w:w="108" w:type="dxa"/>
              <w:right w:w="108" w:type="dxa"/>
            </w:tcMar>
            <w:vAlign w:val="center"/>
          </w:tcPr>
          <w:p w14:paraId="1D68CF67" w14:textId="77777777" w:rsidR="009367FC" w:rsidRPr="7093FE7D" w:rsidRDefault="009367FC">
            <w:pPr>
              <w:jc w:val="center"/>
              <w:rPr>
                <w:rFonts w:ascii="Arial Narrow" w:eastAsia="Arial Narrow" w:hAnsi="Arial Narrow" w:cs="Arial Narrow"/>
                <w:sz w:val="20"/>
                <w:szCs w:val="20"/>
              </w:rPr>
            </w:pPr>
            <w:r w:rsidRPr="00DA359D">
              <w:rPr>
                <w:rFonts w:ascii="Arial Narrow" w:hAnsi="Arial Narrow"/>
                <w:sz w:val="20"/>
              </w:rPr>
              <w:t>56</w:t>
            </w:r>
          </w:p>
        </w:tc>
        <w:tc>
          <w:tcPr>
            <w:tcW w:w="851" w:type="dxa"/>
            <w:tcMar>
              <w:left w:w="108" w:type="dxa"/>
              <w:right w:w="108" w:type="dxa"/>
            </w:tcMar>
            <w:vAlign w:val="center"/>
          </w:tcPr>
          <w:p w14:paraId="58E956A4" w14:textId="77777777" w:rsidR="009367FC" w:rsidRPr="7093FE7D" w:rsidRDefault="009367FC">
            <w:pPr>
              <w:jc w:val="center"/>
              <w:rPr>
                <w:rFonts w:ascii="Arial Narrow" w:eastAsia="Arial Narrow" w:hAnsi="Arial Narrow" w:cs="Arial Narrow"/>
                <w:sz w:val="20"/>
                <w:szCs w:val="20"/>
              </w:rPr>
            </w:pPr>
            <w:r w:rsidRPr="00DA359D">
              <w:rPr>
                <w:rFonts w:ascii="Arial Narrow" w:hAnsi="Arial Narrow"/>
                <w:sz w:val="20"/>
              </w:rPr>
              <w:t>5</w:t>
            </w:r>
          </w:p>
        </w:tc>
        <w:tc>
          <w:tcPr>
            <w:tcW w:w="1786" w:type="dxa"/>
            <w:tcMar>
              <w:left w:w="108" w:type="dxa"/>
              <w:right w:w="108" w:type="dxa"/>
            </w:tcMar>
            <w:vAlign w:val="center"/>
          </w:tcPr>
          <w:p w14:paraId="0AADC293" w14:textId="0DEAA1A8" w:rsidR="009367FC" w:rsidRPr="7093FE7D" w:rsidRDefault="003C41BB">
            <w:pPr>
              <w:spacing w:line="259" w:lineRule="auto"/>
              <w:rPr>
                <w:rFonts w:ascii="Arial Narrow" w:eastAsia="Arial Narrow" w:hAnsi="Arial Narrow" w:cs="Arial Narrow"/>
                <w:sz w:val="20"/>
                <w:szCs w:val="20"/>
              </w:rPr>
            </w:pPr>
            <w:proofErr w:type="spellStart"/>
            <w:r>
              <w:rPr>
                <w:rFonts w:ascii="Arial Narrow" w:hAnsi="Arial Narrow"/>
                <w:sz w:val="20"/>
              </w:rPr>
              <w:t>Jakavi</w:t>
            </w:r>
            <w:proofErr w:type="spellEnd"/>
          </w:p>
        </w:tc>
      </w:tr>
      <w:tr w:rsidR="009367FC" w14:paraId="61AB36AE" w14:textId="77777777" w:rsidTr="1B234C3C">
        <w:trPr>
          <w:trHeight w:val="15"/>
        </w:trPr>
        <w:tc>
          <w:tcPr>
            <w:tcW w:w="3938" w:type="dxa"/>
            <w:gridSpan w:val="2"/>
            <w:tcMar>
              <w:left w:w="108" w:type="dxa"/>
              <w:right w:w="108" w:type="dxa"/>
            </w:tcMar>
            <w:vAlign w:val="center"/>
          </w:tcPr>
          <w:p w14:paraId="0690F31B" w14:textId="77777777" w:rsidR="009367FC" w:rsidRDefault="009367FC">
            <w:pPr>
              <w:rPr>
                <w:rFonts w:ascii="Arial Narrow" w:eastAsia="Arial Narrow" w:hAnsi="Arial Narrow" w:cs="Arial Narrow"/>
                <w:sz w:val="20"/>
                <w:szCs w:val="20"/>
              </w:rPr>
            </w:pPr>
            <w:r w:rsidRPr="00DA359D">
              <w:rPr>
                <w:rFonts w:ascii="Arial Narrow" w:hAnsi="Arial Narrow"/>
                <w:sz w:val="20"/>
              </w:rPr>
              <w:t>ruxolitinib 20mg tablet, 56</w:t>
            </w:r>
          </w:p>
        </w:tc>
        <w:tc>
          <w:tcPr>
            <w:tcW w:w="872" w:type="dxa"/>
            <w:tcMar>
              <w:left w:w="108" w:type="dxa"/>
              <w:right w:w="108" w:type="dxa"/>
            </w:tcMar>
            <w:vAlign w:val="center"/>
          </w:tcPr>
          <w:p w14:paraId="01CAFB59" w14:textId="77777777" w:rsidR="009367FC" w:rsidRPr="00AC7DB5" w:rsidRDefault="009367FC">
            <w:pPr>
              <w:jc w:val="center"/>
              <w:rPr>
                <w:rFonts w:ascii="Arial Narrow" w:eastAsia="Arial Narrow" w:hAnsi="Arial Narrow" w:cs="Arial Narrow"/>
                <w:sz w:val="20"/>
                <w:szCs w:val="20"/>
              </w:rPr>
            </w:pPr>
            <w:r w:rsidRPr="004701B4">
              <w:rPr>
                <w:rFonts w:ascii="Arial Narrow" w:hAnsi="Arial Narrow"/>
                <w:sz w:val="20"/>
              </w:rPr>
              <w:t>15002N</w:t>
            </w:r>
          </w:p>
        </w:tc>
        <w:tc>
          <w:tcPr>
            <w:tcW w:w="709" w:type="dxa"/>
            <w:tcMar>
              <w:left w:w="108" w:type="dxa"/>
              <w:right w:w="108" w:type="dxa"/>
            </w:tcMar>
            <w:vAlign w:val="center"/>
          </w:tcPr>
          <w:p w14:paraId="63194312" w14:textId="77777777" w:rsidR="009367FC" w:rsidRPr="7093FE7D" w:rsidRDefault="009367FC">
            <w:pPr>
              <w:jc w:val="center"/>
              <w:rPr>
                <w:rFonts w:ascii="Arial Narrow" w:eastAsia="Arial Narrow" w:hAnsi="Arial Narrow" w:cs="Arial Narrow"/>
                <w:sz w:val="20"/>
                <w:szCs w:val="20"/>
              </w:rPr>
            </w:pPr>
            <w:r w:rsidRPr="00DA359D">
              <w:rPr>
                <w:rFonts w:ascii="Arial Narrow" w:hAnsi="Arial Narrow"/>
                <w:sz w:val="20"/>
              </w:rPr>
              <w:t>1</w:t>
            </w:r>
          </w:p>
        </w:tc>
        <w:tc>
          <w:tcPr>
            <w:tcW w:w="850" w:type="dxa"/>
            <w:tcMar>
              <w:left w:w="108" w:type="dxa"/>
              <w:right w:w="108" w:type="dxa"/>
            </w:tcMar>
            <w:vAlign w:val="center"/>
          </w:tcPr>
          <w:p w14:paraId="5B2EFD28" w14:textId="77777777" w:rsidR="009367FC" w:rsidRPr="7093FE7D" w:rsidRDefault="009367FC">
            <w:pPr>
              <w:jc w:val="center"/>
              <w:rPr>
                <w:rFonts w:ascii="Arial Narrow" w:eastAsia="Arial Narrow" w:hAnsi="Arial Narrow" w:cs="Arial Narrow"/>
                <w:sz w:val="20"/>
                <w:szCs w:val="20"/>
              </w:rPr>
            </w:pPr>
            <w:r w:rsidRPr="00DA359D">
              <w:rPr>
                <w:rFonts w:ascii="Arial Narrow" w:hAnsi="Arial Narrow"/>
                <w:sz w:val="20"/>
              </w:rPr>
              <w:t>56</w:t>
            </w:r>
          </w:p>
        </w:tc>
        <w:tc>
          <w:tcPr>
            <w:tcW w:w="851" w:type="dxa"/>
            <w:tcMar>
              <w:left w:w="108" w:type="dxa"/>
              <w:right w:w="108" w:type="dxa"/>
            </w:tcMar>
            <w:vAlign w:val="center"/>
          </w:tcPr>
          <w:p w14:paraId="34B2BC6D" w14:textId="77777777" w:rsidR="009367FC" w:rsidRPr="7093FE7D" w:rsidRDefault="009367FC">
            <w:pPr>
              <w:jc w:val="center"/>
              <w:rPr>
                <w:rFonts w:ascii="Arial Narrow" w:eastAsia="Arial Narrow" w:hAnsi="Arial Narrow" w:cs="Arial Narrow"/>
                <w:sz w:val="20"/>
                <w:szCs w:val="20"/>
              </w:rPr>
            </w:pPr>
            <w:r w:rsidRPr="00DA359D">
              <w:rPr>
                <w:rFonts w:ascii="Arial Narrow" w:hAnsi="Arial Narrow"/>
                <w:sz w:val="20"/>
              </w:rPr>
              <w:t>5</w:t>
            </w:r>
          </w:p>
        </w:tc>
        <w:tc>
          <w:tcPr>
            <w:tcW w:w="1786" w:type="dxa"/>
            <w:tcMar>
              <w:left w:w="108" w:type="dxa"/>
              <w:right w:w="108" w:type="dxa"/>
            </w:tcMar>
            <w:vAlign w:val="center"/>
          </w:tcPr>
          <w:p w14:paraId="47F373B8" w14:textId="43ACD917" w:rsidR="009367FC" w:rsidRPr="7093FE7D" w:rsidRDefault="003C41BB">
            <w:pPr>
              <w:spacing w:line="259" w:lineRule="auto"/>
              <w:rPr>
                <w:rFonts w:ascii="Arial Narrow" w:eastAsia="Arial Narrow" w:hAnsi="Arial Narrow" w:cs="Arial Narrow"/>
                <w:sz w:val="20"/>
                <w:szCs w:val="20"/>
              </w:rPr>
            </w:pPr>
            <w:proofErr w:type="spellStart"/>
            <w:r>
              <w:rPr>
                <w:rFonts w:ascii="Arial Narrow" w:hAnsi="Arial Narrow"/>
                <w:sz w:val="20"/>
              </w:rPr>
              <w:t>Jakavi</w:t>
            </w:r>
            <w:proofErr w:type="spellEnd"/>
          </w:p>
        </w:tc>
      </w:tr>
      <w:tr w:rsidR="009367FC" w14:paraId="1FF9DFE8" w14:textId="77777777" w:rsidTr="1B234C3C">
        <w:trPr>
          <w:trHeight w:val="15"/>
        </w:trPr>
        <w:tc>
          <w:tcPr>
            <w:tcW w:w="9006" w:type="dxa"/>
            <w:gridSpan w:val="7"/>
            <w:tcMar>
              <w:left w:w="108" w:type="dxa"/>
              <w:right w:w="108" w:type="dxa"/>
            </w:tcMar>
            <w:vAlign w:val="center"/>
          </w:tcPr>
          <w:p w14:paraId="005D8D14" w14:textId="77777777" w:rsidR="009367FC" w:rsidRPr="7093FE7D" w:rsidRDefault="009367FC">
            <w:pPr>
              <w:spacing w:line="259" w:lineRule="auto"/>
              <w:rPr>
                <w:rFonts w:ascii="Arial Narrow" w:eastAsia="Arial Narrow" w:hAnsi="Arial Narrow" w:cs="Arial Narrow"/>
                <w:sz w:val="20"/>
                <w:szCs w:val="20"/>
              </w:rPr>
            </w:pPr>
          </w:p>
        </w:tc>
      </w:tr>
      <w:tr w:rsidR="009367FC" w14:paraId="1ADB3007" w14:textId="77777777" w:rsidTr="1B234C3C">
        <w:trPr>
          <w:trHeight w:val="355"/>
        </w:trPr>
        <w:tc>
          <w:tcPr>
            <w:tcW w:w="1274" w:type="dxa"/>
            <w:vMerge w:val="restart"/>
            <w:tcMar>
              <w:top w:w="15" w:type="dxa"/>
              <w:left w:w="108" w:type="dxa"/>
              <w:bottom w:w="15" w:type="dxa"/>
              <w:right w:w="108" w:type="dxa"/>
            </w:tcMar>
          </w:tcPr>
          <w:p w14:paraId="64E3AD71" w14:textId="35DE93F1" w:rsidR="009367FC" w:rsidRDefault="009367FC">
            <w:pPr>
              <w:jc w:val="center"/>
            </w:pPr>
          </w:p>
        </w:tc>
        <w:tc>
          <w:tcPr>
            <w:tcW w:w="7732" w:type="dxa"/>
            <w:gridSpan w:val="6"/>
            <w:tcMar>
              <w:top w:w="15" w:type="dxa"/>
              <w:left w:w="108" w:type="dxa"/>
              <w:bottom w:w="15" w:type="dxa"/>
              <w:right w:w="108" w:type="dxa"/>
            </w:tcMar>
            <w:vAlign w:val="center"/>
          </w:tcPr>
          <w:p w14:paraId="4423575C" w14:textId="5E06B0AF" w:rsidR="009367FC" w:rsidRDefault="009367FC" w:rsidP="00AC64AE">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r w:rsidRPr="7093FE7D">
              <w:rPr>
                <w:rFonts w:ascii="Arial Narrow" w:eastAsia="Arial Narrow" w:hAnsi="Arial Narrow" w:cs="Arial Narrow"/>
                <w:sz w:val="20"/>
                <w:szCs w:val="20"/>
              </w:rPr>
              <w:t xml:space="preserve"> GENERAL - General Schedule (Code GE) </w:t>
            </w:r>
          </w:p>
        </w:tc>
      </w:tr>
      <w:tr w:rsidR="009367FC" w14:paraId="27AF4463" w14:textId="77777777" w:rsidTr="1B234C3C">
        <w:trPr>
          <w:trHeight w:val="15"/>
        </w:trPr>
        <w:tc>
          <w:tcPr>
            <w:tcW w:w="1274" w:type="dxa"/>
            <w:vMerge/>
            <w:vAlign w:val="center"/>
          </w:tcPr>
          <w:p w14:paraId="65CE3A95" w14:textId="77777777" w:rsidR="009367FC" w:rsidRDefault="009367FC"/>
        </w:tc>
        <w:tc>
          <w:tcPr>
            <w:tcW w:w="7732" w:type="dxa"/>
            <w:gridSpan w:val="6"/>
            <w:tcMar>
              <w:top w:w="15" w:type="dxa"/>
              <w:left w:w="108" w:type="dxa"/>
              <w:bottom w:w="15" w:type="dxa"/>
              <w:right w:w="108" w:type="dxa"/>
            </w:tcMar>
            <w:vAlign w:val="center"/>
          </w:tcPr>
          <w:p w14:paraId="33AA4F41" w14:textId="77777777" w:rsidR="009367FC" w:rsidRPr="00A9317D" w:rsidRDefault="009367FC">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Pr>
                <w:rFonts w:ascii="Arial Narrow" w:eastAsia="Arial Narrow" w:hAnsi="Arial Narrow" w:cs="Arial Narrow"/>
                <w:b/>
                <w:bCs/>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Pr>
                <w:rFonts w:ascii="Arial Narrow" w:hAnsi="Arial Narrow" w:cs="Arial"/>
                <w:sz w:val="20"/>
                <w:szCs w:val="20"/>
              </w:rPr>
              <w:t xml:space="preserve"> </w:t>
            </w:r>
            <w:r w:rsidRPr="003E0AB0">
              <w:rPr>
                <w:rFonts w:ascii="Arial Narrow" w:hAnsi="Arial Narrow" w:cs="Arial"/>
                <w:i/>
                <w:iCs/>
                <w:sz w:val="20"/>
                <w:szCs w:val="20"/>
              </w:rPr>
              <w:fldChar w:fldCharType="begin">
                <w:ffData>
                  <w:name w:val=""/>
                  <w:enabled/>
                  <w:calcOnExit w:val="0"/>
                  <w:checkBox>
                    <w:sizeAuto/>
                    <w:default w:val="1"/>
                  </w:checkBox>
                </w:ffData>
              </w:fldChar>
            </w:r>
            <w:r w:rsidRPr="00082D21">
              <w:rPr>
                <w:rFonts w:ascii="Arial Narrow" w:hAnsi="Arial Narrow" w:cs="Arial"/>
                <w:i/>
                <w:iCs/>
                <w:sz w:val="20"/>
                <w:szCs w:val="20"/>
              </w:rPr>
              <w:instrText xml:space="preserve"> FORMCHECKBOX </w:instrText>
            </w:r>
            <w:r w:rsidRPr="003E0AB0">
              <w:rPr>
                <w:rFonts w:ascii="Arial Narrow" w:hAnsi="Arial Narrow" w:cs="Arial"/>
                <w:i/>
                <w:iCs/>
                <w:sz w:val="20"/>
                <w:szCs w:val="20"/>
              </w:rPr>
            </w:r>
            <w:r w:rsidRPr="003E0AB0">
              <w:rPr>
                <w:rFonts w:ascii="Arial Narrow" w:hAnsi="Arial Narrow" w:cs="Arial"/>
                <w:i/>
                <w:iCs/>
                <w:sz w:val="20"/>
                <w:szCs w:val="20"/>
              </w:rPr>
              <w:fldChar w:fldCharType="separate"/>
            </w:r>
            <w:r w:rsidRPr="003E0AB0">
              <w:rPr>
                <w:rFonts w:ascii="Arial Narrow" w:hAnsi="Arial Narrow" w:cs="Arial"/>
                <w:i/>
                <w:iCs/>
                <w:sz w:val="20"/>
                <w:szCs w:val="20"/>
              </w:rPr>
              <w:fldChar w:fldCharType="end"/>
            </w:r>
            <w:r w:rsidRPr="003E0AB0">
              <w:rPr>
                <w:rFonts w:ascii="Arial Narrow" w:hAnsi="Arial Narrow" w:cs="Arial"/>
                <w:i/>
                <w:iCs/>
                <w:sz w:val="20"/>
                <w:szCs w:val="20"/>
              </w:rPr>
              <w:t xml:space="preserve"> </w:t>
            </w:r>
            <w:r w:rsidRPr="003E0AB0">
              <w:rPr>
                <w:rFonts w:ascii="Arial Narrow" w:eastAsia="Arial Narrow" w:hAnsi="Arial Narrow" w:cs="Arial Narrow"/>
                <w:i/>
                <w:iCs/>
                <w:sz w:val="20"/>
                <w:szCs w:val="20"/>
              </w:rPr>
              <w:t>Nurse Practitioners</w:t>
            </w:r>
            <w:r w:rsidRPr="003E0AB0">
              <w:rPr>
                <w:rFonts w:ascii="Arial Narrow" w:eastAsia="Arial Narrow" w:hAnsi="Arial Narrow" w:cs="Arial Narrow"/>
                <w:sz w:val="20"/>
                <w:szCs w:val="20"/>
              </w:rPr>
              <w:t xml:space="preserve"> </w:t>
            </w:r>
          </w:p>
        </w:tc>
      </w:tr>
      <w:tr w:rsidR="009367FC" w14:paraId="513AEF71" w14:textId="77777777" w:rsidTr="1B234C3C">
        <w:trPr>
          <w:trHeight w:val="210"/>
        </w:trPr>
        <w:tc>
          <w:tcPr>
            <w:tcW w:w="1274" w:type="dxa"/>
            <w:vMerge/>
            <w:vAlign w:val="center"/>
          </w:tcPr>
          <w:p w14:paraId="09DF404B" w14:textId="77777777" w:rsidR="009367FC" w:rsidRDefault="009367FC"/>
        </w:tc>
        <w:tc>
          <w:tcPr>
            <w:tcW w:w="7732" w:type="dxa"/>
            <w:gridSpan w:val="6"/>
            <w:tcMar>
              <w:top w:w="15" w:type="dxa"/>
              <w:left w:w="108" w:type="dxa"/>
              <w:bottom w:w="15" w:type="dxa"/>
              <w:right w:w="108" w:type="dxa"/>
            </w:tcMar>
            <w:vAlign w:val="center"/>
          </w:tcPr>
          <w:p w14:paraId="54B224CF" w14:textId="77777777" w:rsidR="009367FC" w:rsidRPr="00B45840" w:rsidRDefault="009367FC">
            <w:pPr>
              <w:rPr>
                <w:rFonts w:ascii="Arial Narrow" w:eastAsia="Arial Narrow" w:hAnsi="Arial Narrow" w:cs="Arial Narrow"/>
                <w:sz w:val="20"/>
                <w:szCs w:val="20"/>
              </w:rPr>
            </w:pPr>
            <w:r w:rsidRPr="7093FE7D">
              <w:rPr>
                <w:rFonts w:ascii="Arial Narrow" w:eastAsia="Arial Narrow" w:hAnsi="Arial Narrow" w:cs="Arial Narrow"/>
                <w:b/>
                <w:bCs/>
                <w:sz w:val="20"/>
                <w:szCs w:val="20"/>
              </w:rPr>
              <w:t>Restriction type:</w:t>
            </w:r>
            <w:r w:rsidRPr="00F16AC1">
              <w:rPr>
                <w:rFonts w:ascii="Arial Narrow" w:eastAsia="Arial Narrow" w:hAnsi="Arial Narrow" w:cs="Arial Narrow"/>
                <w:sz w:val="20"/>
                <w:szCs w:val="20"/>
              </w:rPr>
              <w:t xml:space="preserve"> </w:t>
            </w:r>
            <w:r w:rsidRPr="0039039C">
              <w:rPr>
                <w:rFonts w:ascii="Arial Narrow" w:eastAsia="Arial Narrow" w:hAnsi="Arial Narrow" w:cs="Arial Narrow"/>
                <w:sz w:val="20"/>
                <w:szCs w:val="20"/>
              </w:rPr>
              <w:t>Authority Required (telephone/online PBS Authorities system)</w:t>
            </w:r>
          </w:p>
        </w:tc>
      </w:tr>
      <w:tr w:rsidR="0015526F" w14:paraId="4817328E" w14:textId="77777777" w:rsidTr="1B234C3C">
        <w:trPr>
          <w:trHeight w:val="210"/>
        </w:trPr>
        <w:tc>
          <w:tcPr>
            <w:tcW w:w="1274" w:type="dxa"/>
            <w:vAlign w:val="center"/>
          </w:tcPr>
          <w:p w14:paraId="62BE459A" w14:textId="77777777" w:rsidR="0015526F" w:rsidRDefault="0015526F"/>
        </w:tc>
        <w:tc>
          <w:tcPr>
            <w:tcW w:w="7732" w:type="dxa"/>
            <w:gridSpan w:val="6"/>
            <w:tcMar>
              <w:top w:w="15" w:type="dxa"/>
              <w:left w:w="108" w:type="dxa"/>
              <w:bottom w:w="15" w:type="dxa"/>
              <w:right w:w="108" w:type="dxa"/>
            </w:tcMar>
            <w:vAlign w:val="center"/>
          </w:tcPr>
          <w:p w14:paraId="3881012F" w14:textId="77777777" w:rsidR="0015526F" w:rsidRPr="7093FE7D" w:rsidRDefault="0015526F">
            <w:pPr>
              <w:rPr>
                <w:rFonts w:ascii="Arial Narrow" w:eastAsia="Arial Narrow" w:hAnsi="Arial Narrow" w:cs="Arial Narrow"/>
                <w:b/>
                <w:bCs/>
                <w:sz w:val="20"/>
                <w:szCs w:val="20"/>
              </w:rPr>
            </w:pPr>
          </w:p>
        </w:tc>
      </w:tr>
      <w:tr w:rsidR="009367FC" w14:paraId="2522C111" w14:textId="77777777" w:rsidTr="1B234C3C">
        <w:trPr>
          <w:trHeight w:val="240"/>
        </w:trPr>
        <w:tc>
          <w:tcPr>
            <w:tcW w:w="1274" w:type="dxa"/>
            <w:tcMar>
              <w:top w:w="15" w:type="dxa"/>
              <w:left w:w="108" w:type="dxa"/>
              <w:bottom w:w="15" w:type="dxa"/>
              <w:right w:w="108" w:type="dxa"/>
            </w:tcMar>
            <w:vAlign w:val="center"/>
          </w:tcPr>
          <w:p w14:paraId="5D009E83" w14:textId="36DE673B" w:rsidR="009367FC" w:rsidRPr="004D1863" w:rsidRDefault="009367FC">
            <w:pPr>
              <w:jc w:val="center"/>
            </w:pPr>
          </w:p>
        </w:tc>
        <w:tc>
          <w:tcPr>
            <w:tcW w:w="7732" w:type="dxa"/>
            <w:gridSpan w:val="6"/>
            <w:tcMar>
              <w:top w:w="15" w:type="dxa"/>
              <w:left w:w="108" w:type="dxa"/>
              <w:bottom w:w="15" w:type="dxa"/>
              <w:right w:w="108" w:type="dxa"/>
            </w:tcMar>
            <w:vAlign w:val="center"/>
          </w:tcPr>
          <w:p w14:paraId="7BCDE6F8" w14:textId="77777777" w:rsidR="009367FC" w:rsidRDefault="009367FC">
            <w:pPr>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proofErr w:type="spellStart"/>
            <w:r w:rsidRPr="00DB29C4">
              <w:rPr>
                <w:rFonts w:ascii="Arial Narrow" w:hAnsi="Arial Narrow" w:cstheme="minorBidi"/>
                <w:sz w:val="20"/>
              </w:rPr>
              <w:t>Polycythemia</w:t>
            </w:r>
            <w:proofErr w:type="spellEnd"/>
            <w:r w:rsidRPr="0910F2D2">
              <w:rPr>
                <w:rFonts w:ascii="Arial Narrow" w:hAnsi="Arial Narrow" w:cstheme="minorBidi"/>
                <w:sz w:val="20"/>
              </w:rPr>
              <w:t xml:space="preserve"> vera</w:t>
            </w:r>
          </w:p>
        </w:tc>
      </w:tr>
      <w:tr w:rsidR="0015526F" w14:paraId="4E0D31C6" w14:textId="77777777" w:rsidTr="1B234C3C">
        <w:trPr>
          <w:trHeight w:val="240"/>
        </w:trPr>
        <w:tc>
          <w:tcPr>
            <w:tcW w:w="1274" w:type="dxa"/>
            <w:tcMar>
              <w:top w:w="15" w:type="dxa"/>
              <w:left w:w="108" w:type="dxa"/>
              <w:bottom w:w="15" w:type="dxa"/>
              <w:right w:w="108" w:type="dxa"/>
            </w:tcMar>
            <w:vAlign w:val="center"/>
          </w:tcPr>
          <w:p w14:paraId="58C1D4B2" w14:textId="77777777" w:rsidR="0015526F" w:rsidRPr="00DB29C4" w:rsidRDefault="0015526F">
            <w:pPr>
              <w:jc w:val="center"/>
              <w:rPr>
                <w:rFonts w:ascii="Arial Narrow" w:eastAsia="Arial Narrow" w:hAnsi="Arial Narrow" w:cs="Arial Narrow"/>
                <w:sz w:val="20"/>
                <w:szCs w:val="20"/>
              </w:rPr>
            </w:pPr>
          </w:p>
        </w:tc>
        <w:tc>
          <w:tcPr>
            <w:tcW w:w="7732" w:type="dxa"/>
            <w:gridSpan w:val="6"/>
            <w:tcMar>
              <w:top w:w="15" w:type="dxa"/>
              <w:left w:w="108" w:type="dxa"/>
              <w:bottom w:w="15" w:type="dxa"/>
              <w:right w:w="108" w:type="dxa"/>
            </w:tcMar>
            <w:vAlign w:val="center"/>
          </w:tcPr>
          <w:p w14:paraId="1F0997B1" w14:textId="77777777" w:rsidR="0015526F" w:rsidRPr="7093FE7D" w:rsidRDefault="0015526F">
            <w:pPr>
              <w:rPr>
                <w:rFonts w:ascii="Arial Narrow" w:eastAsia="Arial Narrow" w:hAnsi="Arial Narrow" w:cs="Arial Narrow"/>
                <w:b/>
                <w:bCs/>
                <w:sz w:val="20"/>
                <w:szCs w:val="20"/>
              </w:rPr>
            </w:pPr>
          </w:p>
        </w:tc>
      </w:tr>
      <w:tr w:rsidR="009367FC" w14:paraId="285ADCCF" w14:textId="77777777" w:rsidTr="1B234C3C">
        <w:trPr>
          <w:trHeight w:val="228"/>
        </w:trPr>
        <w:tc>
          <w:tcPr>
            <w:tcW w:w="1274" w:type="dxa"/>
            <w:tcMar>
              <w:top w:w="15" w:type="dxa"/>
              <w:left w:w="108" w:type="dxa"/>
              <w:bottom w:w="15" w:type="dxa"/>
              <w:right w:w="108" w:type="dxa"/>
            </w:tcMar>
            <w:vAlign w:val="center"/>
          </w:tcPr>
          <w:p w14:paraId="41555E26" w14:textId="77777777" w:rsidR="009367FC" w:rsidRDefault="009367FC"/>
        </w:tc>
        <w:tc>
          <w:tcPr>
            <w:tcW w:w="7732" w:type="dxa"/>
            <w:gridSpan w:val="6"/>
            <w:tcMar>
              <w:top w:w="15" w:type="dxa"/>
              <w:left w:w="108" w:type="dxa"/>
              <w:bottom w:w="15" w:type="dxa"/>
              <w:right w:w="108" w:type="dxa"/>
            </w:tcMar>
            <w:vAlign w:val="center"/>
          </w:tcPr>
          <w:p w14:paraId="0309C1C2" w14:textId="079FED14" w:rsidR="009367FC" w:rsidRDefault="009367FC">
            <w:pPr>
              <w:rPr>
                <w:rFonts w:ascii="Arial Narrow" w:eastAsia="Arial Narrow" w:hAnsi="Arial Narrow" w:cs="Arial Narrow"/>
                <w:color w:val="FF0000"/>
                <w:sz w:val="20"/>
                <w:szCs w:val="20"/>
              </w:rPr>
            </w:pPr>
            <w:r w:rsidRPr="1B234C3C">
              <w:rPr>
                <w:rFonts w:ascii="Arial Narrow" w:eastAsia="Arial Narrow" w:hAnsi="Arial Narrow" w:cs="Arial Narrow"/>
                <w:b/>
                <w:bCs/>
                <w:sz w:val="20"/>
                <w:szCs w:val="20"/>
              </w:rPr>
              <w:t>Treatment Phase:</w:t>
            </w:r>
            <w:r w:rsidRPr="1B234C3C">
              <w:rPr>
                <w:rFonts w:ascii="Arial Narrow" w:eastAsia="Arial Narrow" w:hAnsi="Arial Narrow" w:cs="Arial Narrow"/>
                <w:sz w:val="20"/>
                <w:szCs w:val="20"/>
              </w:rPr>
              <w:t xml:space="preserve"> </w:t>
            </w:r>
            <w:r w:rsidRPr="1B234C3C">
              <w:rPr>
                <w:rFonts w:ascii="Arial Narrow" w:hAnsi="Arial Narrow" w:cstheme="minorBidi"/>
                <w:sz w:val="20"/>
                <w:szCs w:val="20"/>
              </w:rPr>
              <w:t>Subsequent continuing treatment</w:t>
            </w:r>
          </w:p>
        </w:tc>
      </w:tr>
      <w:tr w:rsidR="0015526F" w14:paraId="57741C2C" w14:textId="77777777" w:rsidTr="1B234C3C">
        <w:trPr>
          <w:trHeight w:val="228"/>
        </w:trPr>
        <w:tc>
          <w:tcPr>
            <w:tcW w:w="1274" w:type="dxa"/>
            <w:tcMar>
              <w:top w:w="15" w:type="dxa"/>
              <w:left w:w="108" w:type="dxa"/>
              <w:bottom w:w="15" w:type="dxa"/>
              <w:right w:w="108" w:type="dxa"/>
            </w:tcMar>
            <w:vAlign w:val="center"/>
          </w:tcPr>
          <w:p w14:paraId="2690B7D8" w14:textId="77777777" w:rsidR="0015526F" w:rsidRDefault="0015526F"/>
        </w:tc>
        <w:tc>
          <w:tcPr>
            <w:tcW w:w="7732" w:type="dxa"/>
            <w:gridSpan w:val="6"/>
            <w:tcMar>
              <w:top w:w="15" w:type="dxa"/>
              <w:left w:w="108" w:type="dxa"/>
              <w:bottom w:w="15" w:type="dxa"/>
              <w:right w:w="108" w:type="dxa"/>
            </w:tcMar>
            <w:vAlign w:val="center"/>
          </w:tcPr>
          <w:p w14:paraId="18E9ABE5" w14:textId="77777777" w:rsidR="0015526F" w:rsidRPr="1B234C3C" w:rsidRDefault="0015526F">
            <w:pPr>
              <w:rPr>
                <w:rFonts w:ascii="Arial Narrow" w:eastAsia="Arial Narrow" w:hAnsi="Arial Narrow" w:cs="Arial Narrow"/>
                <w:b/>
                <w:bCs/>
                <w:sz w:val="20"/>
                <w:szCs w:val="20"/>
              </w:rPr>
            </w:pPr>
          </w:p>
        </w:tc>
      </w:tr>
      <w:tr w:rsidR="009367FC" w:rsidRPr="000A47DF" w14:paraId="155F120A" w14:textId="77777777" w:rsidTr="1B23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0D5C6EB" w14:textId="0D2B24BE" w:rsidR="009367FC" w:rsidRPr="003E37E0" w:rsidRDefault="009367FC">
            <w:pPr>
              <w:jc w:val="center"/>
              <w:rPr>
                <w:rFonts w:ascii="Arial Narrow" w:hAnsi="Arial Narrow" w:cstheme="minorHAnsi"/>
                <w:sz w:val="20"/>
                <w:szCs w:val="20"/>
              </w:rPr>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643D0E6B" w14:textId="77777777" w:rsidR="009367FC" w:rsidRPr="000A47DF" w:rsidRDefault="009367FC">
            <w:pPr>
              <w:rPr>
                <w:rFonts w:ascii="Arial Narrow" w:eastAsia="Arial Narrow" w:hAnsi="Arial Narrow" w:cs="Arial Narrow"/>
                <w:i/>
                <w:iCs/>
                <w:sz w:val="20"/>
                <w:szCs w:val="20"/>
              </w:rPr>
            </w:pPr>
            <w:r>
              <w:rPr>
                <w:rFonts w:ascii="Arial Narrow" w:eastAsia="Arial Narrow" w:hAnsi="Arial Narrow" w:cs="Arial Narrow"/>
                <w:b/>
                <w:bCs/>
                <w:i/>
                <w:iCs/>
                <w:sz w:val="20"/>
                <w:szCs w:val="20"/>
              </w:rPr>
              <w:t xml:space="preserve">Treatment criteria: </w:t>
            </w:r>
          </w:p>
        </w:tc>
      </w:tr>
      <w:tr w:rsidR="009367FC" w:rsidRPr="00A57753" w14:paraId="541A2BC4" w14:textId="77777777" w:rsidTr="1B23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B43C413" w14:textId="4B2D4C7D" w:rsidR="009367FC" w:rsidRPr="003E37E0" w:rsidRDefault="009367FC">
            <w:pPr>
              <w:jc w:val="center"/>
              <w:rPr>
                <w:rFonts w:ascii="Arial Narrow" w:hAnsi="Arial Narrow" w:cstheme="minorHAnsi"/>
                <w:sz w:val="20"/>
                <w:szCs w:val="20"/>
              </w:rPr>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71C600D0" w14:textId="77777777" w:rsidR="009367FC" w:rsidRPr="00A57753" w:rsidRDefault="009367FC">
            <w:pPr>
              <w:rPr>
                <w:rFonts w:ascii="Arial Narrow" w:eastAsia="Arial Narrow" w:hAnsi="Arial Narrow" w:cs="Arial Narrow"/>
                <w:i/>
                <w:iCs/>
                <w:sz w:val="20"/>
                <w:szCs w:val="20"/>
              </w:rPr>
            </w:pPr>
            <w:r w:rsidRPr="000A47DF">
              <w:rPr>
                <w:rFonts w:ascii="Arial Narrow" w:eastAsia="Arial Narrow" w:hAnsi="Arial Narrow" w:cs="Arial Narrow"/>
                <w:i/>
                <w:iCs/>
                <w:sz w:val="20"/>
                <w:szCs w:val="20"/>
              </w:rPr>
              <w:t>Must be treated by a medical practitioner; or </w:t>
            </w:r>
          </w:p>
        </w:tc>
      </w:tr>
      <w:tr w:rsidR="009367FC" w:rsidRPr="000A47DF" w14:paraId="1DB3A052" w14:textId="77777777" w:rsidTr="1B23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
        </w:trPr>
        <w:tc>
          <w:tcPr>
            <w:tcW w:w="1274"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B0DCFF4" w14:textId="23DC2B7B" w:rsidR="009367FC" w:rsidRPr="003E37E0" w:rsidRDefault="009367FC">
            <w:pPr>
              <w:jc w:val="center"/>
              <w:rPr>
                <w:rFonts w:ascii="Arial Narrow" w:hAnsi="Arial Narrow" w:cstheme="minorHAnsi"/>
                <w:sz w:val="20"/>
                <w:szCs w:val="20"/>
              </w:rPr>
            </w:pPr>
          </w:p>
        </w:tc>
        <w:tc>
          <w:tcPr>
            <w:tcW w:w="7732" w:type="dxa"/>
            <w:gridSpan w:val="6"/>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2BEF7DA3" w14:textId="77777777" w:rsidR="009367FC" w:rsidRPr="000A47DF" w:rsidRDefault="009367FC">
            <w:pPr>
              <w:rPr>
                <w:rFonts w:ascii="Arial Narrow" w:eastAsia="Arial Narrow" w:hAnsi="Arial Narrow" w:cs="Arial Narrow"/>
                <w:i/>
                <w:iCs/>
                <w:sz w:val="20"/>
                <w:szCs w:val="20"/>
              </w:rPr>
            </w:pPr>
            <w:r w:rsidRPr="000A47DF">
              <w:rPr>
                <w:rFonts w:ascii="Arial Narrow" w:eastAsia="Arial Narrow" w:hAnsi="Arial Narrow" w:cs="Arial Narrow"/>
                <w:i/>
                <w:iCs/>
                <w:sz w:val="20"/>
                <w:szCs w:val="20"/>
              </w:rPr>
              <w:t>Must be treated by a nurse practitioner where both of the following are occurring: (</w:t>
            </w:r>
            <w:proofErr w:type="spellStart"/>
            <w:r w:rsidRPr="000A47DF">
              <w:rPr>
                <w:rFonts w:ascii="Arial Narrow" w:eastAsia="Arial Narrow" w:hAnsi="Arial Narrow" w:cs="Arial Narrow"/>
                <w:i/>
                <w:iCs/>
                <w:sz w:val="20"/>
                <w:szCs w:val="20"/>
              </w:rPr>
              <w:t>i</w:t>
            </w:r>
            <w:proofErr w:type="spellEnd"/>
            <w:r w:rsidRPr="000A47DF">
              <w:rPr>
                <w:rFonts w:ascii="Arial Narrow" w:eastAsia="Arial Narrow" w:hAnsi="Arial Narrow" w:cs="Arial Narrow"/>
                <w:i/>
                <w:iCs/>
                <w:sz w:val="20"/>
                <w:szCs w:val="20"/>
              </w:rPr>
              <w:t>) patient care is being shared with a medical practitioner, (ii) the prescription continues existing therapy with this medicine </w:t>
            </w:r>
          </w:p>
        </w:tc>
      </w:tr>
    </w:tbl>
    <w:p w14:paraId="3F185C6C" w14:textId="1399832D" w:rsidR="00BE0851" w:rsidRDefault="00BE0851">
      <w:pPr>
        <w:jc w:val="left"/>
        <w:rPr>
          <w:rFonts w:asciiTheme="minorHAnsi" w:eastAsiaTheme="majorEastAsia" w:hAnsiTheme="minorHAnsi" w:cstheme="majorBidi"/>
          <w:b/>
          <w:color w:val="000000" w:themeColor="text1"/>
        </w:rPr>
      </w:pPr>
    </w:p>
    <w:p w14:paraId="4B037D53" w14:textId="249E7B85" w:rsidR="00BE0851" w:rsidRDefault="00BE0851" w:rsidP="00E54452">
      <w:pPr>
        <w:pStyle w:val="5-SubsectionSubheading"/>
      </w:pPr>
      <w:r>
        <w:lastRenderedPageBreak/>
        <w:t>M</w:t>
      </w:r>
      <w:r w:rsidRPr="00E82B50">
        <w:t>yelofibrosis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Myelofibrosis"/>
      </w:tblPr>
      <w:tblGrid>
        <w:gridCol w:w="1274"/>
        <w:gridCol w:w="3096"/>
        <w:gridCol w:w="1094"/>
        <w:gridCol w:w="765"/>
        <w:gridCol w:w="690"/>
        <w:gridCol w:w="765"/>
        <w:gridCol w:w="1322"/>
      </w:tblGrid>
      <w:tr w:rsidR="00BE0851" w14:paraId="67CE0B18" w14:textId="77777777" w:rsidTr="434C36E0">
        <w:trPr>
          <w:trHeight w:val="15"/>
        </w:trPr>
        <w:tc>
          <w:tcPr>
            <w:tcW w:w="4370" w:type="dxa"/>
            <w:gridSpan w:val="2"/>
            <w:tcMar>
              <w:left w:w="108" w:type="dxa"/>
              <w:right w:w="108" w:type="dxa"/>
            </w:tcMar>
            <w:vAlign w:val="center"/>
          </w:tcPr>
          <w:p w14:paraId="5FEBC2BA" w14:textId="77777777" w:rsidR="00BE0851" w:rsidRPr="0088789D" w:rsidRDefault="00BE0851" w:rsidP="00E54452">
            <w:pPr>
              <w:keepNext/>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MEDICINAL PRODUCT</w:t>
            </w:r>
          </w:p>
          <w:p w14:paraId="729A30C9" w14:textId="77777777" w:rsidR="00BE0851" w:rsidRPr="0088789D" w:rsidRDefault="00BE0851" w:rsidP="00E54452">
            <w:pPr>
              <w:keepNext/>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medicinal product pack</w:t>
            </w:r>
          </w:p>
        </w:tc>
        <w:tc>
          <w:tcPr>
            <w:tcW w:w="1094" w:type="dxa"/>
            <w:tcMar>
              <w:left w:w="108" w:type="dxa"/>
              <w:right w:w="108" w:type="dxa"/>
            </w:tcMar>
            <w:vAlign w:val="center"/>
          </w:tcPr>
          <w:p w14:paraId="204E7958" w14:textId="77777777" w:rsidR="00BE0851" w:rsidRPr="0088789D" w:rsidRDefault="00BE0851" w:rsidP="00E54452">
            <w:pPr>
              <w:keepNext/>
              <w:jc w:val="cente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PBS item code</w:t>
            </w:r>
          </w:p>
        </w:tc>
        <w:tc>
          <w:tcPr>
            <w:tcW w:w="765" w:type="dxa"/>
            <w:tcMar>
              <w:left w:w="108" w:type="dxa"/>
              <w:right w:w="108" w:type="dxa"/>
            </w:tcMar>
            <w:vAlign w:val="center"/>
          </w:tcPr>
          <w:p w14:paraId="7D91F537" w14:textId="77777777" w:rsidR="00BE0851" w:rsidRPr="0088789D" w:rsidRDefault="00BE0851" w:rsidP="00E54452">
            <w:pPr>
              <w:keepNext/>
              <w:jc w:val="cente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Max. qty packs</w:t>
            </w:r>
          </w:p>
        </w:tc>
        <w:tc>
          <w:tcPr>
            <w:tcW w:w="690" w:type="dxa"/>
            <w:tcMar>
              <w:left w:w="108" w:type="dxa"/>
              <w:right w:w="108" w:type="dxa"/>
            </w:tcMar>
            <w:vAlign w:val="center"/>
          </w:tcPr>
          <w:p w14:paraId="63792D6C" w14:textId="77777777" w:rsidR="00BE0851" w:rsidRPr="0088789D" w:rsidRDefault="00BE0851" w:rsidP="00E54452">
            <w:pPr>
              <w:keepNext/>
              <w:jc w:val="cente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Max. qty units</w:t>
            </w:r>
          </w:p>
        </w:tc>
        <w:tc>
          <w:tcPr>
            <w:tcW w:w="765" w:type="dxa"/>
            <w:tcMar>
              <w:left w:w="108" w:type="dxa"/>
              <w:right w:w="108" w:type="dxa"/>
            </w:tcMar>
            <w:vAlign w:val="center"/>
          </w:tcPr>
          <w:p w14:paraId="3AD07E8C" w14:textId="77777777" w:rsidR="00BE0851" w:rsidRPr="0088789D" w:rsidRDefault="00BE0851" w:rsidP="00E54452">
            <w:pPr>
              <w:keepNext/>
              <w:jc w:val="center"/>
              <w:rPr>
                <w:rFonts w:ascii="Arial Narrow" w:eastAsia="Arial Narrow" w:hAnsi="Arial Narrow" w:cs="Arial Narrow"/>
                <w:b/>
                <w:bCs/>
                <w:sz w:val="20"/>
                <w:szCs w:val="20"/>
              </w:rPr>
            </w:pPr>
            <w:proofErr w:type="gramStart"/>
            <w:r w:rsidRPr="7093FE7D">
              <w:rPr>
                <w:rFonts w:ascii="Arial Narrow" w:eastAsia="Arial Narrow" w:hAnsi="Arial Narrow" w:cs="Arial Narrow"/>
                <w:b/>
                <w:bCs/>
                <w:sz w:val="20"/>
                <w:szCs w:val="20"/>
              </w:rPr>
              <w:t>№.of</w:t>
            </w:r>
            <w:proofErr w:type="gramEnd"/>
          </w:p>
          <w:p w14:paraId="6B93936E" w14:textId="77777777" w:rsidR="00BE0851" w:rsidRPr="0088789D" w:rsidRDefault="00BE0851" w:rsidP="00E54452">
            <w:pPr>
              <w:keepNext/>
              <w:jc w:val="center"/>
              <w:rPr>
                <w:rFonts w:ascii="Arial Narrow" w:eastAsia="Arial Narrow" w:hAnsi="Arial Narrow" w:cs="Arial Narrow"/>
                <w:b/>
                <w:bCs/>
                <w:sz w:val="20"/>
                <w:szCs w:val="20"/>
              </w:rPr>
            </w:pPr>
            <w:proofErr w:type="spellStart"/>
            <w:r w:rsidRPr="7093FE7D">
              <w:rPr>
                <w:rFonts w:ascii="Arial Narrow" w:eastAsia="Arial Narrow" w:hAnsi="Arial Narrow" w:cs="Arial Narrow"/>
                <w:b/>
                <w:bCs/>
                <w:sz w:val="20"/>
                <w:szCs w:val="20"/>
              </w:rPr>
              <w:t>Rpts</w:t>
            </w:r>
            <w:proofErr w:type="spellEnd"/>
          </w:p>
        </w:tc>
        <w:tc>
          <w:tcPr>
            <w:tcW w:w="1322" w:type="dxa"/>
            <w:tcMar>
              <w:left w:w="108" w:type="dxa"/>
              <w:right w:w="108" w:type="dxa"/>
            </w:tcMar>
            <w:vAlign w:val="center"/>
          </w:tcPr>
          <w:p w14:paraId="178BC33F" w14:textId="77777777" w:rsidR="00BE0851" w:rsidRPr="0088789D" w:rsidRDefault="00BE0851" w:rsidP="00E54452">
            <w:pPr>
              <w:keepNext/>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Available brands</w:t>
            </w:r>
          </w:p>
        </w:tc>
      </w:tr>
      <w:tr w:rsidR="00BE0851" w14:paraId="3A486EEF" w14:textId="77777777" w:rsidTr="434C36E0">
        <w:trPr>
          <w:trHeight w:val="15"/>
        </w:trPr>
        <w:tc>
          <w:tcPr>
            <w:tcW w:w="9006" w:type="dxa"/>
            <w:gridSpan w:val="7"/>
            <w:tcMar>
              <w:left w:w="108" w:type="dxa"/>
              <w:right w:w="108" w:type="dxa"/>
            </w:tcMar>
            <w:vAlign w:val="center"/>
          </w:tcPr>
          <w:p w14:paraId="668C954C" w14:textId="77777777" w:rsidR="00BE0851" w:rsidRDefault="00BE0851" w:rsidP="00E54452">
            <w:pPr>
              <w:keepNext/>
              <w:rPr>
                <w:rFonts w:ascii="Arial Narrow" w:eastAsia="Arial Narrow" w:hAnsi="Arial Narrow" w:cs="Arial Narrow"/>
                <w:sz w:val="20"/>
                <w:szCs w:val="20"/>
              </w:rPr>
            </w:pPr>
            <w:r w:rsidRPr="00DA359D">
              <w:rPr>
                <w:rFonts w:ascii="Arial Narrow" w:hAnsi="Arial Narrow"/>
                <w:sz w:val="20"/>
              </w:rPr>
              <w:t>RUXOLITINIB</w:t>
            </w:r>
          </w:p>
        </w:tc>
      </w:tr>
      <w:tr w:rsidR="00BE0851" w14:paraId="5B6F015B" w14:textId="77777777" w:rsidTr="434C36E0">
        <w:trPr>
          <w:trHeight w:val="15"/>
        </w:trPr>
        <w:tc>
          <w:tcPr>
            <w:tcW w:w="4370" w:type="dxa"/>
            <w:gridSpan w:val="2"/>
            <w:tcMar>
              <w:left w:w="108" w:type="dxa"/>
              <w:right w:w="108" w:type="dxa"/>
            </w:tcMar>
            <w:vAlign w:val="center"/>
          </w:tcPr>
          <w:p w14:paraId="07D49700" w14:textId="77777777" w:rsidR="00BE0851" w:rsidRDefault="00BE0851" w:rsidP="00E54452">
            <w:pPr>
              <w:keepNext/>
              <w:rPr>
                <w:rFonts w:ascii="Arial Narrow" w:eastAsia="Arial Narrow" w:hAnsi="Arial Narrow" w:cs="Arial Narrow"/>
                <w:sz w:val="20"/>
                <w:szCs w:val="20"/>
              </w:rPr>
            </w:pPr>
            <w:r w:rsidRPr="00DA359D">
              <w:rPr>
                <w:rFonts w:ascii="Arial Narrow" w:hAnsi="Arial Narrow"/>
                <w:sz w:val="20"/>
              </w:rPr>
              <w:t>ruxolitinib 5mg tablet, 56</w:t>
            </w:r>
          </w:p>
        </w:tc>
        <w:tc>
          <w:tcPr>
            <w:tcW w:w="1094" w:type="dxa"/>
            <w:tcMar>
              <w:left w:w="108" w:type="dxa"/>
              <w:right w:w="108" w:type="dxa"/>
            </w:tcMar>
            <w:vAlign w:val="center"/>
          </w:tcPr>
          <w:p w14:paraId="01B19C1E" w14:textId="77777777" w:rsidR="00BE0851" w:rsidRDefault="00BE0851" w:rsidP="00E54452">
            <w:pPr>
              <w:keepNext/>
              <w:spacing w:line="259" w:lineRule="auto"/>
              <w:jc w:val="center"/>
            </w:pPr>
            <w:r w:rsidRPr="004D25DD">
              <w:rPr>
                <w:rFonts w:ascii="Arial Narrow" w:hAnsi="Arial Narrow"/>
                <w:sz w:val="20"/>
              </w:rPr>
              <w:t>10616R</w:t>
            </w:r>
          </w:p>
        </w:tc>
        <w:tc>
          <w:tcPr>
            <w:tcW w:w="765" w:type="dxa"/>
            <w:tcMar>
              <w:left w:w="108" w:type="dxa"/>
              <w:right w:w="108" w:type="dxa"/>
            </w:tcMar>
            <w:vAlign w:val="center"/>
          </w:tcPr>
          <w:p w14:paraId="15BED875" w14:textId="77777777" w:rsidR="00BE0851" w:rsidRDefault="00BE0851" w:rsidP="00E54452">
            <w:pPr>
              <w:keepNext/>
              <w:jc w:val="center"/>
            </w:pPr>
            <w:r>
              <w:rPr>
                <w:rFonts w:ascii="Arial Narrow" w:hAnsi="Arial Narrow"/>
                <w:sz w:val="20"/>
              </w:rPr>
              <w:t>2</w:t>
            </w:r>
          </w:p>
        </w:tc>
        <w:tc>
          <w:tcPr>
            <w:tcW w:w="690" w:type="dxa"/>
            <w:tcMar>
              <w:left w:w="108" w:type="dxa"/>
              <w:right w:w="108" w:type="dxa"/>
            </w:tcMar>
            <w:vAlign w:val="center"/>
          </w:tcPr>
          <w:p w14:paraId="5582C4C4" w14:textId="77777777" w:rsidR="00BE0851" w:rsidRDefault="00BE0851" w:rsidP="00E54452">
            <w:pPr>
              <w:keepNext/>
              <w:jc w:val="center"/>
              <w:rPr>
                <w:rFonts w:ascii="Arial Narrow" w:eastAsia="Arial Narrow" w:hAnsi="Arial Narrow" w:cs="Arial Narrow"/>
                <w:sz w:val="20"/>
                <w:szCs w:val="20"/>
              </w:rPr>
            </w:pPr>
            <w:r>
              <w:rPr>
                <w:rFonts w:ascii="Arial Narrow" w:hAnsi="Arial Narrow"/>
                <w:sz w:val="20"/>
              </w:rPr>
              <w:t>112</w:t>
            </w:r>
          </w:p>
        </w:tc>
        <w:tc>
          <w:tcPr>
            <w:tcW w:w="765" w:type="dxa"/>
            <w:tcMar>
              <w:left w:w="108" w:type="dxa"/>
              <w:right w:w="108" w:type="dxa"/>
            </w:tcMar>
            <w:vAlign w:val="center"/>
          </w:tcPr>
          <w:p w14:paraId="14C36FE4" w14:textId="77777777" w:rsidR="00BE0851" w:rsidRDefault="00BE0851" w:rsidP="00E54452">
            <w:pPr>
              <w:keepNext/>
              <w:jc w:val="center"/>
            </w:pPr>
            <w:r w:rsidRPr="00DA359D">
              <w:rPr>
                <w:rFonts w:ascii="Arial Narrow" w:hAnsi="Arial Narrow"/>
                <w:sz w:val="20"/>
              </w:rPr>
              <w:t>5</w:t>
            </w:r>
          </w:p>
        </w:tc>
        <w:tc>
          <w:tcPr>
            <w:tcW w:w="1322" w:type="dxa"/>
            <w:tcMar>
              <w:left w:w="108" w:type="dxa"/>
              <w:right w:w="108" w:type="dxa"/>
            </w:tcMar>
            <w:vAlign w:val="center"/>
          </w:tcPr>
          <w:p w14:paraId="6653F0DE" w14:textId="0F1D56C6" w:rsidR="00134035" w:rsidRDefault="00134035" w:rsidP="00E54452">
            <w:pPr>
              <w:keepNext/>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7982C5C7" w:rsidRPr="434C36E0">
              <w:rPr>
                <w:rFonts w:eastAsia="Calibri" w:cs="Calibri"/>
                <w:lang w:val="en-GB"/>
              </w:rPr>
              <w:t>®</w:t>
            </w:r>
          </w:p>
          <w:p w14:paraId="28A84BC1" w14:textId="41AC877A" w:rsidR="00BE0851" w:rsidRDefault="00BE0851" w:rsidP="00E54452">
            <w:pPr>
              <w:keepNext/>
              <w:rPr>
                <w:rFonts w:ascii="Arial Narrow" w:eastAsia="Arial Narrow" w:hAnsi="Arial Narrow" w:cs="Arial Narrow"/>
                <w:sz w:val="20"/>
                <w:szCs w:val="20"/>
              </w:rPr>
            </w:pPr>
          </w:p>
        </w:tc>
      </w:tr>
      <w:tr w:rsidR="00BE0851" w14:paraId="17A2751E" w14:textId="77777777" w:rsidTr="434C36E0">
        <w:trPr>
          <w:trHeight w:val="15"/>
        </w:trPr>
        <w:tc>
          <w:tcPr>
            <w:tcW w:w="4370" w:type="dxa"/>
            <w:gridSpan w:val="2"/>
            <w:tcMar>
              <w:left w:w="108" w:type="dxa"/>
              <w:right w:w="108" w:type="dxa"/>
            </w:tcMar>
            <w:vAlign w:val="center"/>
          </w:tcPr>
          <w:p w14:paraId="4C93DC85" w14:textId="77777777" w:rsidR="00BE0851" w:rsidRDefault="00BE0851" w:rsidP="00E54452">
            <w:pPr>
              <w:keepNext/>
              <w:rPr>
                <w:rFonts w:ascii="Arial Narrow" w:eastAsia="Arial Narrow" w:hAnsi="Arial Narrow" w:cs="Arial Narrow"/>
                <w:sz w:val="20"/>
                <w:szCs w:val="20"/>
              </w:rPr>
            </w:pPr>
            <w:r w:rsidRPr="00DA359D">
              <w:rPr>
                <w:rFonts w:ascii="Arial Narrow" w:hAnsi="Arial Narrow"/>
                <w:sz w:val="20"/>
              </w:rPr>
              <w:t>ruxolitinib 10 mg tablet, 56</w:t>
            </w:r>
          </w:p>
        </w:tc>
        <w:tc>
          <w:tcPr>
            <w:tcW w:w="1094" w:type="dxa"/>
            <w:tcMar>
              <w:left w:w="108" w:type="dxa"/>
              <w:right w:w="108" w:type="dxa"/>
            </w:tcMar>
            <w:vAlign w:val="center"/>
          </w:tcPr>
          <w:p w14:paraId="5F7FB9B3" w14:textId="77777777" w:rsidR="00BE0851" w:rsidRDefault="00BE0851" w:rsidP="00E54452">
            <w:pPr>
              <w:keepNext/>
              <w:jc w:val="center"/>
              <w:rPr>
                <w:rFonts w:ascii="Arial Narrow" w:eastAsia="Arial Narrow" w:hAnsi="Arial Narrow" w:cs="Arial Narrow"/>
                <w:sz w:val="20"/>
                <w:szCs w:val="20"/>
              </w:rPr>
            </w:pPr>
            <w:r w:rsidRPr="004D25DD">
              <w:rPr>
                <w:rFonts w:ascii="Arial Narrow" w:hAnsi="Arial Narrow"/>
                <w:sz w:val="20"/>
              </w:rPr>
              <w:t>10927D</w:t>
            </w:r>
          </w:p>
        </w:tc>
        <w:tc>
          <w:tcPr>
            <w:tcW w:w="765" w:type="dxa"/>
            <w:tcMar>
              <w:left w:w="108" w:type="dxa"/>
              <w:right w:w="108" w:type="dxa"/>
            </w:tcMar>
            <w:vAlign w:val="center"/>
          </w:tcPr>
          <w:p w14:paraId="4203EAA2" w14:textId="77777777" w:rsidR="00BE0851"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1</w:t>
            </w:r>
          </w:p>
        </w:tc>
        <w:tc>
          <w:tcPr>
            <w:tcW w:w="690" w:type="dxa"/>
            <w:tcMar>
              <w:left w:w="108" w:type="dxa"/>
              <w:right w:w="108" w:type="dxa"/>
            </w:tcMar>
            <w:vAlign w:val="center"/>
          </w:tcPr>
          <w:p w14:paraId="2B4D2431" w14:textId="77777777" w:rsidR="00BE0851"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56</w:t>
            </w:r>
          </w:p>
        </w:tc>
        <w:tc>
          <w:tcPr>
            <w:tcW w:w="765" w:type="dxa"/>
            <w:tcMar>
              <w:left w:w="108" w:type="dxa"/>
              <w:right w:w="108" w:type="dxa"/>
            </w:tcMar>
            <w:vAlign w:val="center"/>
          </w:tcPr>
          <w:p w14:paraId="49722F63" w14:textId="77777777" w:rsidR="00BE0851"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5</w:t>
            </w:r>
          </w:p>
        </w:tc>
        <w:tc>
          <w:tcPr>
            <w:tcW w:w="1322" w:type="dxa"/>
            <w:tcMar>
              <w:left w:w="108" w:type="dxa"/>
              <w:right w:w="108" w:type="dxa"/>
            </w:tcMar>
            <w:vAlign w:val="center"/>
          </w:tcPr>
          <w:p w14:paraId="2A67B133" w14:textId="78CBE663" w:rsidR="38AD561B" w:rsidRDefault="38AD561B" w:rsidP="00E54452">
            <w:pPr>
              <w:keepNext/>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Pr="434C36E0">
              <w:rPr>
                <w:rFonts w:eastAsia="Calibri" w:cs="Calibri"/>
                <w:lang w:val="en-GB"/>
              </w:rPr>
              <w:t>®</w:t>
            </w:r>
          </w:p>
          <w:p w14:paraId="3C90BCA9" w14:textId="53FA30E2" w:rsidR="00BE0851" w:rsidRDefault="00BE0851" w:rsidP="00E54452">
            <w:pPr>
              <w:keepNext/>
              <w:spacing w:line="259" w:lineRule="auto"/>
            </w:pPr>
          </w:p>
        </w:tc>
      </w:tr>
      <w:tr w:rsidR="00BE0851" w14:paraId="074F7C90" w14:textId="77777777" w:rsidTr="434C36E0">
        <w:trPr>
          <w:trHeight w:val="15"/>
        </w:trPr>
        <w:tc>
          <w:tcPr>
            <w:tcW w:w="4370" w:type="dxa"/>
            <w:gridSpan w:val="2"/>
            <w:tcMar>
              <w:left w:w="108" w:type="dxa"/>
              <w:right w:w="108" w:type="dxa"/>
            </w:tcMar>
            <w:vAlign w:val="center"/>
          </w:tcPr>
          <w:p w14:paraId="4E73AB95" w14:textId="77777777" w:rsidR="00BE0851" w:rsidRDefault="00BE0851" w:rsidP="00E54452">
            <w:pPr>
              <w:keepNext/>
              <w:rPr>
                <w:rFonts w:ascii="Arial Narrow" w:eastAsia="Arial Narrow" w:hAnsi="Arial Narrow" w:cs="Arial Narrow"/>
                <w:sz w:val="20"/>
                <w:szCs w:val="20"/>
              </w:rPr>
            </w:pPr>
            <w:r w:rsidRPr="00DA359D">
              <w:rPr>
                <w:rFonts w:ascii="Arial Narrow" w:hAnsi="Arial Narrow"/>
                <w:sz w:val="20"/>
              </w:rPr>
              <w:t>ruxolitinib 15mg tablet, 56</w:t>
            </w:r>
          </w:p>
        </w:tc>
        <w:tc>
          <w:tcPr>
            <w:tcW w:w="1094" w:type="dxa"/>
            <w:tcMar>
              <w:left w:w="108" w:type="dxa"/>
              <w:right w:w="108" w:type="dxa"/>
            </w:tcMar>
            <w:vAlign w:val="center"/>
          </w:tcPr>
          <w:p w14:paraId="468A48FF" w14:textId="77777777" w:rsidR="00BE0851" w:rsidRPr="00AC7DB5" w:rsidRDefault="00BE0851" w:rsidP="00E54452">
            <w:pPr>
              <w:keepNext/>
              <w:jc w:val="center"/>
              <w:rPr>
                <w:rFonts w:ascii="Arial Narrow" w:eastAsia="Arial Narrow" w:hAnsi="Arial Narrow" w:cs="Arial Narrow"/>
                <w:sz w:val="20"/>
                <w:szCs w:val="20"/>
              </w:rPr>
            </w:pPr>
            <w:r w:rsidRPr="004D25DD">
              <w:rPr>
                <w:rFonts w:ascii="Arial Narrow" w:hAnsi="Arial Narrow"/>
                <w:sz w:val="20"/>
              </w:rPr>
              <w:t>10619X</w:t>
            </w:r>
          </w:p>
        </w:tc>
        <w:tc>
          <w:tcPr>
            <w:tcW w:w="765" w:type="dxa"/>
            <w:tcMar>
              <w:left w:w="108" w:type="dxa"/>
              <w:right w:w="108" w:type="dxa"/>
            </w:tcMar>
            <w:vAlign w:val="center"/>
          </w:tcPr>
          <w:p w14:paraId="421F3E9F" w14:textId="77777777" w:rsidR="00BE0851" w:rsidRPr="7093FE7D"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1</w:t>
            </w:r>
          </w:p>
        </w:tc>
        <w:tc>
          <w:tcPr>
            <w:tcW w:w="690" w:type="dxa"/>
            <w:tcMar>
              <w:left w:w="108" w:type="dxa"/>
              <w:right w:w="108" w:type="dxa"/>
            </w:tcMar>
            <w:vAlign w:val="center"/>
          </w:tcPr>
          <w:p w14:paraId="43B22763" w14:textId="77777777" w:rsidR="00BE0851" w:rsidRPr="7093FE7D"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56</w:t>
            </w:r>
          </w:p>
        </w:tc>
        <w:tc>
          <w:tcPr>
            <w:tcW w:w="765" w:type="dxa"/>
            <w:tcMar>
              <w:left w:w="108" w:type="dxa"/>
              <w:right w:w="108" w:type="dxa"/>
            </w:tcMar>
            <w:vAlign w:val="center"/>
          </w:tcPr>
          <w:p w14:paraId="249DE1B3" w14:textId="77777777" w:rsidR="00BE0851" w:rsidRPr="7093FE7D" w:rsidRDefault="00BE0851" w:rsidP="00E54452">
            <w:pPr>
              <w:keepNext/>
              <w:jc w:val="center"/>
              <w:rPr>
                <w:rFonts w:ascii="Arial Narrow" w:eastAsia="Arial Narrow" w:hAnsi="Arial Narrow" w:cs="Arial Narrow"/>
                <w:sz w:val="20"/>
                <w:szCs w:val="20"/>
              </w:rPr>
            </w:pPr>
            <w:r>
              <w:rPr>
                <w:rFonts w:ascii="Arial Narrow" w:hAnsi="Arial Narrow"/>
                <w:sz w:val="20"/>
              </w:rPr>
              <w:t>0</w:t>
            </w:r>
          </w:p>
        </w:tc>
        <w:tc>
          <w:tcPr>
            <w:tcW w:w="1322" w:type="dxa"/>
            <w:tcMar>
              <w:left w:w="108" w:type="dxa"/>
              <w:right w:w="108" w:type="dxa"/>
            </w:tcMar>
            <w:vAlign w:val="center"/>
          </w:tcPr>
          <w:p w14:paraId="2FCCF9F9" w14:textId="15496089" w:rsidR="00134035" w:rsidRDefault="26B75704" w:rsidP="00E54452">
            <w:pPr>
              <w:keepNext/>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Pr="434C36E0">
              <w:rPr>
                <w:rFonts w:eastAsia="Calibri" w:cs="Calibri"/>
                <w:lang w:val="en-GB"/>
              </w:rPr>
              <w:t>®</w:t>
            </w:r>
          </w:p>
          <w:p w14:paraId="57E8569C" w14:textId="253075FF" w:rsidR="00BE0851" w:rsidRPr="7093FE7D" w:rsidRDefault="00BE0851" w:rsidP="00E54452">
            <w:pPr>
              <w:keepNext/>
              <w:spacing w:line="259" w:lineRule="auto"/>
              <w:rPr>
                <w:rFonts w:ascii="Arial Narrow" w:eastAsia="Arial Narrow" w:hAnsi="Arial Narrow" w:cs="Arial Narrow"/>
                <w:sz w:val="20"/>
                <w:szCs w:val="20"/>
              </w:rPr>
            </w:pPr>
          </w:p>
        </w:tc>
      </w:tr>
      <w:tr w:rsidR="00BE0851" w14:paraId="120C977C" w14:textId="77777777" w:rsidTr="434C36E0">
        <w:trPr>
          <w:trHeight w:val="15"/>
        </w:trPr>
        <w:tc>
          <w:tcPr>
            <w:tcW w:w="4370" w:type="dxa"/>
            <w:gridSpan w:val="2"/>
            <w:tcMar>
              <w:left w:w="108" w:type="dxa"/>
              <w:right w:w="108" w:type="dxa"/>
            </w:tcMar>
            <w:vAlign w:val="center"/>
          </w:tcPr>
          <w:p w14:paraId="0F6A4448" w14:textId="77777777" w:rsidR="00BE0851" w:rsidRDefault="00BE0851" w:rsidP="00E54452">
            <w:pPr>
              <w:keepNext/>
              <w:rPr>
                <w:rFonts w:ascii="Arial Narrow" w:eastAsia="Arial Narrow" w:hAnsi="Arial Narrow" w:cs="Arial Narrow"/>
                <w:sz w:val="20"/>
                <w:szCs w:val="20"/>
              </w:rPr>
            </w:pPr>
            <w:r w:rsidRPr="00DA359D">
              <w:rPr>
                <w:rFonts w:ascii="Arial Narrow" w:hAnsi="Arial Narrow"/>
                <w:sz w:val="20"/>
              </w:rPr>
              <w:t>ruxolitinib 20mg tablet, 56</w:t>
            </w:r>
          </w:p>
        </w:tc>
        <w:tc>
          <w:tcPr>
            <w:tcW w:w="1094" w:type="dxa"/>
            <w:tcMar>
              <w:left w:w="108" w:type="dxa"/>
              <w:right w:w="108" w:type="dxa"/>
            </w:tcMar>
            <w:vAlign w:val="center"/>
          </w:tcPr>
          <w:p w14:paraId="7ACA38D2" w14:textId="77777777" w:rsidR="00BE0851" w:rsidRPr="00AC7DB5" w:rsidRDefault="00BE0851" w:rsidP="00E54452">
            <w:pPr>
              <w:keepNext/>
              <w:jc w:val="center"/>
              <w:rPr>
                <w:rFonts w:ascii="Arial Narrow" w:eastAsia="Arial Narrow" w:hAnsi="Arial Narrow" w:cs="Arial Narrow"/>
                <w:sz w:val="20"/>
                <w:szCs w:val="20"/>
              </w:rPr>
            </w:pPr>
            <w:r w:rsidRPr="004D25DD">
              <w:rPr>
                <w:rFonts w:ascii="Arial Narrow" w:hAnsi="Arial Narrow"/>
                <w:sz w:val="20"/>
              </w:rPr>
              <w:t>10618W</w:t>
            </w:r>
          </w:p>
        </w:tc>
        <w:tc>
          <w:tcPr>
            <w:tcW w:w="765" w:type="dxa"/>
            <w:tcMar>
              <w:left w:w="108" w:type="dxa"/>
              <w:right w:w="108" w:type="dxa"/>
            </w:tcMar>
            <w:vAlign w:val="center"/>
          </w:tcPr>
          <w:p w14:paraId="3AF2D91C" w14:textId="77777777" w:rsidR="00BE0851" w:rsidRPr="7093FE7D"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1</w:t>
            </w:r>
          </w:p>
        </w:tc>
        <w:tc>
          <w:tcPr>
            <w:tcW w:w="690" w:type="dxa"/>
            <w:tcMar>
              <w:left w:w="108" w:type="dxa"/>
              <w:right w:w="108" w:type="dxa"/>
            </w:tcMar>
            <w:vAlign w:val="center"/>
          </w:tcPr>
          <w:p w14:paraId="117FD4BA" w14:textId="77777777" w:rsidR="00BE0851" w:rsidRPr="7093FE7D" w:rsidRDefault="00BE0851" w:rsidP="00E54452">
            <w:pPr>
              <w:keepNext/>
              <w:jc w:val="center"/>
              <w:rPr>
                <w:rFonts w:ascii="Arial Narrow" w:eastAsia="Arial Narrow" w:hAnsi="Arial Narrow" w:cs="Arial Narrow"/>
                <w:sz w:val="20"/>
                <w:szCs w:val="20"/>
              </w:rPr>
            </w:pPr>
            <w:r w:rsidRPr="00DA359D">
              <w:rPr>
                <w:rFonts w:ascii="Arial Narrow" w:hAnsi="Arial Narrow"/>
                <w:sz w:val="20"/>
              </w:rPr>
              <w:t>56</w:t>
            </w:r>
          </w:p>
        </w:tc>
        <w:tc>
          <w:tcPr>
            <w:tcW w:w="765" w:type="dxa"/>
            <w:tcMar>
              <w:left w:w="108" w:type="dxa"/>
              <w:right w:w="108" w:type="dxa"/>
            </w:tcMar>
            <w:vAlign w:val="center"/>
          </w:tcPr>
          <w:p w14:paraId="701096F8" w14:textId="77777777" w:rsidR="00BE0851" w:rsidRPr="7093FE7D" w:rsidRDefault="00BE0851" w:rsidP="00E54452">
            <w:pPr>
              <w:keepNext/>
              <w:jc w:val="center"/>
              <w:rPr>
                <w:rFonts w:ascii="Arial Narrow" w:eastAsia="Arial Narrow" w:hAnsi="Arial Narrow" w:cs="Arial Narrow"/>
                <w:sz w:val="20"/>
                <w:szCs w:val="20"/>
              </w:rPr>
            </w:pPr>
            <w:r>
              <w:rPr>
                <w:rFonts w:ascii="Arial Narrow" w:hAnsi="Arial Narrow"/>
                <w:sz w:val="20"/>
              </w:rPr>
              <w:t>0</w:t>
            </w:r>
          </w:p>
        </w:tc>
        <w:tc>
          <w:tcPr>
            <w:tcW w:w="1322" w:type="dxa"/>
            <w:tcMar>
              <w:left w:w="108" w:type="dxa"/>
              <w:right w:w="108" w:type="dxa"/>
            </w:tcMar>
            <w:vAlign w:val="center"/>
          </w:tcPr>
          <w:p w14:paraId="4457B3E1" w14:textId="1CC5BA76" w:rsidR="00134035" w:rsidRDefault="7B40301C" w:rsidP="00E54452">
            <w:pPr>
              <w:keepNext/>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Pr="434C36E0">
              <w:rPr>
                <w:rFonts w:eastAsia="Calibri" w:cs="Calibri"/>
                <w:lang w:val="en-GB"/>
              </w:rPr>
              <w:t>®</w:t>
            </w:r>
          </w:p>
          <w:p w14:paraId="477C9929" w14:textId="77B9D629" w:rsidR="00BE0851" w:rsidRPr="7093FE7D" w:rsidRDefault="00BE0851" w:rsidP="00E54452">
            <w:pPr>
              <w:keepNext/>
              <w:spacing w:line="259" w:lineRule="auto"/>
              <w:rPr>
                <w:rFonts w:ascii="Arial Narrow" w:eastAsia="Arial Narrow" w:hAnsi="Arial Narrow" w:cs="Arial Narrow"/>
                <w:sz w:val="20"/>
                <w:szCs w:val="20"/>
              </w:rPr>
            </w:pPr>
          </w:p>
        </w:tc>
      </w:tr>
      <w:tr w:rsidR="00BE0851" w14:paraId="39CB0604" w14:textId="77777777" w:rsidTr="434C36E0">
        <w:trPr>
          <w:trHeight w:val="15"/>
        </w:trPr>
        <w:tc>
          <w:tcPr>
            <w:tcW w:w="9006" w:type="dxa"/>
            <w:gridSpan w:val="7"/>
            <w:tcMar>
              <w:left w:w="108" w:type="dxa"/>
              <w:right w:w="108" w:type="dxa"/>
            </w:tcMar>
            <w:vAlign w:val="center"/>
          </w:tcPr>
          <w:p w14:paraId="081C1E82" w14:textId="77777777" w:rsidR="00BE0851" w:rsidRPr="7093FE7D" w:rsidRDefault="00BE0851" w:rsidP="00E54452">
            <w:pPr>
              <w:keepNext/>
              <w:spacing w:line="259" w:lineRule="auto"/>
              <w:rPr>
                <w:rFonts w:ascii="Arial Narrow" w:eastAsia="Arial Narrow" w:hAnsi="Arial Narrow" w:cs="Arial Narrow"/>
                <w:sz w:val="20"/>
                <w:szCs w:val="20"/>
              </w:rPr>
            </w:pPr>
          </w:p>
        </w:tc>
      </w:tr>
      <w:tr w:rsidR="00BE0851" w14:paraId="471B2F8D" w14:textId="77777777" w:rsidTr="434C36E0">
        <w:trPr>
          <w:trHeight w:val="355"/>
        </w:trPr>
        <w:tc>
          <w:tcPr>
            <w:tcW w:w="1274" w:type="dxa"/>
            <w:vMerge w:val="restart"/>
            <w:tcMar>
              <w:top w:w="15" w:type="dxa"/>
              <w:left w:w="108" w:type="dxa"/>
              <w:bottom w:w="15" w:type="dxa"/>
              <w:right w:w="108" w:type="dxa"/>
            </w:tcMar>
          </w:tcPr>
          <w:p w14:paraId="193FDB60" w14:textId="371E6D76" w:rsidR="00BE0851" w:rsidRDefault="00BE0851" w:rsidP="00E54452">
            <w:pPr>
              <w:keepNext/>
              <w:jc w:val="center"/>
            </w:pPr>
          </w:p>
        </w:tc>
        <w:tc>
          <w:tcPr>
            <w:tcW w:w="7732" w:type="dxa"/>
            <w:gridSpan w:val="6"/>
            <w:tcMar>
              <w:top w:w="15" w:type="dxa"/>
              <w:left w:w="108" w:type="dxa"/>
              <w:bottom w:w="15" w:type="dxa"/>
              <w:right w:w="108" w:type="dxa"/>
            </w:tcMar>
            <w:vAlign w:val="center"/>
          </w:tcPr>
          <w:p w14:paraId="41CFBD54" w14:textId="77777777" w:rsidR="00BE0851" w:rsidRDefault="00BE0851" w:rsidP="00E54452">
            <w:pPr>
              <w:keepNext/>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599F15FB" w14:textId="77777777" w:rsidR="00BE0851" w:rsidRDefault="00BE0851" w:rsidP="00E54452">
            <w:pPr>
              <w:keepNext/>
              <w:jc w:val="left"/>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7093FE7D">
              <w:rPr>
                <w:rFonts w:ascii="Arial Narrow" w:eastAsia="Arial Narrow" w:hAnsi="Arial Narrow" w:cs="Arial Narrow"/>
                <w:sz w:val="20"/>
                <w:szCs w:val="20"/>
              </w:rPr>
              <w:t xml:space="preserve">GENERAL - General Schedule (Code GE) </w:t>
            </w:r>
          </w:p>
        </w:tc>
      </w:tr>
      <w:tr w:rsidR="00BE0851" w14:paraId="0505C377" w14:textId="77777777" w:rsidTr="434C36E0">
        <w:trPr>
          <w:trHeight w:val="15"/>
        </w:trPr>
        <w:tc>
          <w:tcPr>
            <w:tcW w:w="1274" w:type="dxa"/>
            <w:vMerge/>
            <w:vAlign w:val="center"/>
          </w:tcPr>
          <w:p w14:paraId="78FC073D" w14:textId="77777777" w:rsidR="00BE0851" w:rsidRDefault="00BE0851" w:rsidP="00E54452">
            <w:pPr>
              <w:keepNext/>
            </w:pPr>
          </w:p>
        </w:tc>
        <w:tc>
          <w:tcPr>
            <w:tcW w:w="7732" w:type="dxa"/>
            <w:gridSpan w:val="6"/>
            <w:tcMar>
              <w:top w:w="15" w:type="dxa"/>
              <w:left w:w="108" w:type="dxa"/>
              <w:bottom w:w="15" w:type="dxa"/>
              <w:right w:w="108" w:type="dxa"/>
            </w:tcMar>
            <w:vAlign w:val="center"/>
          </w:tcPr>
          <w:p w14:paraId="77AEB940" w14:textId="77777777" w:rsidR="00BE0851" w:rsidRPr="0088789D" w:rsidRDefault="00BE0851" w:rsidP="00E54452">
            <w:pPr>
              <w:keepNext/>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Pr>
                <w:rFonts w:ascii="Arial Narrow" w:eastAsia="Arial Narrow" w:hAnsi="Arial Narrow" w:cs="Arial Narrow"/>
                <w:b/>
                <w:bCs/>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sidRPr="00082D21">
              <w:rPr>
                <w:rFonts w:ascii="Arial Narrow" w:hAnsi="Arial Narrow" w:cs="Arial"/>
                <w:i/>
                <w:iCs/>
                <w:sz w:val="20"/>
                <w:szCs w:val="20"/>
              </w:rPr>
              <w:fldChar w:fldCharType="begin">
                <w:ffData>
                  <w:name w:val=""/>
                  <w:enabled/>
                  <w:calcOnExit w:val="0"/>
                  <w:checkBox>
                    <w:sizeAuto/>
                    <w:default w:val="1"/>
                  </w:checkBox>
                </w:ffData>
              </w:fldChar>
            </w:r>
            <w:r w:rsidRPr="00082D21">
              <w:rPr>
                <w:rFonts w:ascii="Arial Narrow" w:hAnsi="Arial Narrow" w:cs="Arial"/>
                <w:i/>
                <w:iCs/>
                <w:sz w:val="20"/>
                <w:szCs w:val="20"/>
              </w:rPr>
              <w:instrText xml:space="preserve"> FORMCHECKBOX </w:instrText>
            </w:r>
            <w:r w:rsidRPr="00082D21">
              <w:rPr>
                <w:rFonts w:ascii="Arial Narrow" w:hAnsi="Arial Narrow" w:cs="Arial"/>
                <w:i/>
                <w:iCs/>
                <w:sz w:val="20"/>
                <w:szCs w:val="20"/>
              </w:rPr>
            </w:r>
            <w:r w:rsidRPr="00082D21">
              <w:rPr>
                <w:rFonts w:ascii="Arial Narrow" w:hAnsi="Arial Narrow" w:cs="Arial"/>
                <w:i/>
                <w:iCs/>
                <w:sz w:val="20"/>
                <w:szCs w:val="20"/>
              </w:rPr>
              <w:fldChar w:fldCharType="separate"/>
            </w:r>
            <w:r w:rsidRPr="00082D21">
              <w:rPr>
                <w:rFonts w:ascii="Arial Narrow" w:hAnsi="Arial Narrow" w:cs="Arial"/>
                <w:i/>
                <w:iCs/>
                <w:sz w:val="20"/>
                <w:szCs w:val="20"/>
              </w:rPr>
              <w:fldChar w:fldCharType="end"/>
            </w:r>
            <w:r w:rsidRPr="00082D21">
              <w:rPr>
                <w:rFonts w:ascii="Arial Narrow" w:hAnsi="Arial Narrow" w:cs="Arial"/>
                <w:i/>
                <w:iCs/>
                <w:sz w:val="20"/>
                <w:szCs w:val="20"/>
              </w:rPr>
              <w:t xml:space="preserve"> </w:t>
            </w:r>
            <w:r w:rsidRPr="00082D21">
              <w:rPr>
                <w:rFonts w:ascii="Arial Narrow" w:eastAsia="Arial Narrow" w:hAnsi="Arial Narrow" w:cs="Arial Narrow"/>
                <w:i/>
                <w:iCs/>
                <w:sz w:val="20"/>
                <w:szCs w:val="20"/>
              </w:rPr>
              <w:t>Nurse Practitioners</w:t>
            </w:r>
            <w:r w:rsidRPr="0088789D">
              <w:rPr>
                <w:rFonts w:ascii="Arial Narrow" w:eastAsia="Arial Narrow" w:hAnsi="Arial Narrow" w:cs="Arial Narrow"/>
                <w:sz w:val="20"/>
                <w:szCs w:val="20"/>
              </w:rPr>
              <w:t xml:space="preserve"> </w:t>
            </w:r>
          </w:p>
        </w:tc>
      </w:tr>
      <w:tr w:rsidR="00BE0851" w14:paraId="4D21AB6D" w14:textId="77777777" w:rsidTr="434C36E0">
        <w:trPr>
          <w:trHeight w:val="15"/>
        </w:trPr>
        <w:tc>
          <w:tcPr>
            <w:tcW w:w="1274" w:type="dxa"/>
            <w:vMerge/>
            <w:vAlign w:val="center"/>
          </w:tcPr>
          <w:p w14:paraId="49285F68" w14:textId="77777777" w:rsidR="00BE0851" w:rsidRDefault="00BE0851" w:rsidP="00E54452">
            <w:pPr>
              <w:keepNext/>
            </w:pPr>
          </w:p>
        </w:tc>
        <w:tc>
          <w:tcPr>
            <w:tcW w:w="7732" w:type="dxa"/>
            <w:gridSpan w:val="6"/>
            <w:tcMar>
              <w:top w:w="15" w:type="dxa"/>
              <w:left w:w="108" w:type="dxa"/>
              <w:bottom w:w="15" w:type="dxa"/>
              <w:right w:w="108" w:type="dxa"/>
            </w:tcMar>
            <w:vAlign w:val="center"/>
          </w:tcPr>
          <w:p w14:paraId="2CE0F4F2" w14:textId="7E0F4BCD" w:rsidR="00BE0851" w:rsidRPr="00B45840" w:rsidRDefault="00BE0851" w:rsidP="00E54452">
            <w:pPr>
              <w:keepNext/>
              <w:rPr>
                <w:rFonts w:ascii="Arial Narrow" w:eastAsia="Arial Narrow" w:hAnsi="Arial Narrow" w:cs="Arial Narrow"/>
                <w:sz w:val="20"/>
                <w:szCs w:val="20"/>
              </w:rPr>
            </w:pPr>
            <w:r w:rsidRPr="7093FE7D">
              <w:rPr>
                <w:rFonts w:ascii="Arial Narrow" w:eastAsia="Arial Narrow" w:hAnsi="Arial Narrow" w:cs="Arial Narrow"/>
                <w:b/>
                <w:bCs/>
                <w:sz w:val="20"/>
                <w:szCs w:val="20"/>
              </w:rPr>
              <w:t xml:space="preserve">Restriction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90600A">
              <w:rPr>
                <w:rFonts w:ascii="Arial Narrow" w:eastAsia="Arial Narrow" w:hAnsi="Arial Narrow" w:cs="Arial Narrow"/>
                <w:sz w:val="20"/>
                <w:szCs w:val="20"/>
              </w:rPr>
              <w:t>Authority Required (STREAMLINED)</w:t>
            </w:r>
          </w:p>
        </w:tc>
      </w:tr>
      <w:tr w:rsidR="00BE0851" w14:paraId="1E726FF3" w14:textId="77777777" w:rsidTr="434C36E0">
        <w:trPr>
          <w:trHeight w:val="15"/>
        </w:trPr>
        <w:tc>
          <w:tcPr>
            <w:tcW w:w="1274" w:type="dxa"/>
            <w:tcMar>
              <w:top w:w="15" w:type="dxa"/>
              <w:left w:w="108" w:type="dxa"/>
              <w:bottom w:w="15" w:type="dxa"/>
              <w:right w:w="108" w:type="dxa"/>
            </w:tcMar>
            <w:vAlign w:val="center"/>
          </w:tcPr>
          <w:p w14:paraId="1FBA4154" w14:textId="255A0B9B" w:rsidR="00BE0851" w:rsidRPr="004D1863" w:rsidRDefault="00BE0851" w:rsidP="00E54452">
            <w:pPr>
              <w:keepNext/>
              <w:jc w:val="center"/>
            </w:pPr>
          </w:p>
        </w:tc>
        <w:tc>
          <w:tcPr>
            <w:tcW w:w="7732" w:type="dxa"/>
            <w:gridSpan w:val="6"/>
            <w:tcMar>
              <w:top w:w="15" w:type="dxa"/>
              <w:left w:w="108" w:type="dxa"/>
              <w:bottom w:w="15" w:type="dxa"/>
              <w:right w:w="108" w:type="dxa"/>
            </w:tcMar>
            <w:vAlign w:val="center"/>
          </w:tcPr>
          <w:p w14:paraId="4768E6FE" w14:textId="77777777" w:rsidR="00BE0851" w:rsidRDefault="00BE0851" w:rsidP="00E54452">
            <w:pPr>
              <w:keepNext/>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sidRPr="00B950E2">
              <w:rPr>
                <w:rFonts w:ascii="Arial Narrow" w:hAnsi="Arial Narrow" w:cstheme="minorBidi"/>
                <w:sz w:val="20"/>
              </w:rPr>
              <w:t>Intermediate-1 risk myelofibrosis</w:t>
            </w:r>
          </w:p>
        </w:tc>
      </w:tr>
      <w:tr w:rsidR="00BE0851" w14:paraId="50A91610" w14:textId="77777777" w:rsidTr="434C36E0">
        <w:trPr>
          <w:trHeight w:val="480"/>
        </w:trPr>
        <w:tc>
          <w:tcPr>
            <w:tcW w:w="1274" w:type="dxa"/>
            <w:tcMar>
              <w:top w:w="15" w:type="dxa"/>
              <w:left w:w="108" w:type="dxa"/>
              <w:bottom w:w="15" w:type="dxa"/>
              <w:right w:w="108" w:type="dxa"/>
            </w:tcMar>
            <w:vAlign w:val="center"/>
          </w:tcPr>
          <w:p w14:paraId="273D704E" w14:textId="77777777" w:rsidR="00BE0851" w:rsidRDefault="00BE0851" w:rsidP="00E54452">
            <w:pPr>
              <w:keepNext/>
            </w:pPr>
          </w:p>
        </w:tc>
        <w:tc>
          <w:tcPr>
            <w:tcW w:w="7732" w:type="dxa"/>
            <w:gridSpan w:val="6"/>
            <w:tcMar>
              <w:top w:w="15" w:type="dxa"/>
              <w:left w:w="108" w:type="dxa"/>
              <w:bottom w:w="15" w:type="dxa"/>
              <w:right w:w="108" w:type="dxa"/>
            </w:tcMar>
            <w:vAlign w:val="center"/>
          </w:tcPr>
          <w:p w14:paraId="7B0A2E8F" w14:textId="77777777" w:rsidR="00BE0851" w:rsidRDefault="00BE0851" w:rsidP="00E54452">
            <w:pPr>
              <w:keepNext/>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Continuing treatment</w:t>
            </w:r>
          </w:p>
        </w:tc>
      </w:tr>
      <w:tr w:rsidR="00BE0851" w14:paraId="3019EC23" w14:textId="77777777" w:rsidTr="434C36E0">
        <w:trPr>
          <w:trHeight w:val="342"/>
        </w:trPr>
        <w:tc>
          <w:tcPr>
            <w:tcW w:w="1274" w:type="dxa"/>
            <w:tcMar>
              <w:top w:w="15" w:type="dxa"/>
              <w:left w:w="108" w:type="dxa"/>
              <w:bottom w:w="15" w:type="dxa"/>
              <w:right w:w="108" w:type="dxa"/>
            </w:tcMar>
            <w:vAlign w:val="center"/>
          </w:tcPr>
          <w:p w14:paraId="01C0563B" w14:textId="0A7BF495" w:rsidR="00BE0851" w:rsidRDefault="00BE0851" w:rsidP="00E54452">
            <w:pPr>
              <w:keepNext/>
              <w:jc w:val="center"/>
            </w:pPr>
            <w:bookmarkStart w:id="3" w:name="_Hlk221193199"/>
          </w:p>
        </w:tc>
        <w:tc>
          <w:tcPr>
            <w:tcW w:w="7732" w:type="dxa"/>
            <w:gridSpan w:val="6"/>
            <w:tcMar>
              <w:top w:w="15" w:type="dxa"/>
              <w:left w:w="108" w:type="dxa"/>
              <w:bottom w:w="15" w:type="dxa"/>
              <w:right w:w="108" w:type="dxa"/>
            </w:tcMar>
            <w:vAlign w:val="center"/>
          </w:tcPr>
          <w:p w14:paraId="4AB8D6EC" w14:textId="77777777" w:rsidR="00BE0851" w:rsidRPr="7093FE7D" w:rsidRDefault="00BE0851" w:rsidP="00E54452">
            <w:pPr>
              <w:keepNext/>
              <w:rPr>
                <w:rFonts w:ascii="Arial Narrow" w:eastAsia="Arial Narrow" w:hAnsi="Arial Narrow" w:cs="Arial Narrow"/>
                <w:b/>
                <w:bCs/>
                <w:sz w:val="20"/>
                <w:szCs w:val="20"/>
              </w:rPr>
            </w:pPr>
            <w:r>
              <w:rPr>
                <w:rFonts w:ascii="Arial Narrow" w:eastAsia="Arial Narrow" w:hAnsi="Arial Narrow" w:cs="Arial Narrow"/>
                <w:b/>
                <w:bCs/>
                <w:i/>
                <w:iCs/>
                <w:sz w:val="20"/>
                <w:szCs w:val="20"/>
              </w:rPr>
              <w:t xml:space="preserve">Treatment criteria: </w:t>
            </w:r>
          </w:p>
        </w:tc>
      </w:tr>
      <w:tr w:rsidR="00BE0851" w14:paraId="79946281" w14:textId="77777777" w:rsidTr="434C36E0">
        <w:trPr>
          <w:trHeight w:val="376"/>
        </w:trPr>
        <w:tc>
          <w:tcPr>
            <w:tcW w:w="1274" w:type="dxa"/>
            <w:tcMar>
              <w:top w:w="15" w:type="dxa"/>
              <w:left w:w="108" w:type="dxa"/>
              <w:bottom w:w="15" w:type="dxa"/>
              <w:right w:w="108" w:type="dxa"/>
            </w:tcMar>
            <w:vAlign w:val="center"/>
          </w:tcPr>
          <w:p w14:paraId="6D84C15F" w14:textId="50629F3E" w:rsidR="00BE0851" w:rsidRDefault="00BE0851" w:rsidP="00E54452">
            <w:pPr>
              <w:keepNext/>
              <w:jc w:val="center"/>
            </w:pPr>
          </w:p>
        </w:tc>
        <w:tc>
          <w:tcPr>
            <w:tcW w:w="7732" w:type="dxa"/>
            <w:gridSpan w:val="6"/>
            <w:tcMar>
              <w:top w:w="15" w:type="dxa"/>
              <w:left w:w="108" w:type="dxa"/>
              <w:bottom w:w="15" w:type="dxa"/>
              <w:right w:w="108" w:type="dxa"/>
            </w:tcMar>
            <w:vAlign w:val="center"/>
          </w:tcPr>
          <w:p w14:paraId="18FB3E5E" w14:textId="77777777" w:rsidR="00BE0851" w:rsidRPr="000D352A" w:rsidRDefault="00BE0851" w:rsidP="00E54452">
            <w:pPr>
              <w:pStyle w:val="3Bodytext"/>
              <w:keepN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medical practitioner; or </w:t>
            </w:r>
          </w:p>
        </w:tc>
      </w:tr>
      <w:tr w:rsidR="00BE0851" w14:paraId="744C7C90" w14:textId="77777777" w:rsidTr="434C36E0">
        <w:trPr>
          <w:trHeight w:val="480"/>
        </w:trPr>
        <w:tc>
          <w:tcPr>
            <w:tcW w:w="1274" w:type="dxa"/>
            <w:tcMar>
              <w:top w:w="15" w:type="dxa"/>
              <w:left w:w="108" w:type="dxa"/>
              <w:bottom w:w="15" w:type="dxa"/>
              <w:right w:w="108" w:type="dxa"/>
            </w:tcMar>
            <w:vAlign w:val="center"/>
          </w:tcPr>
          <w:p w14:paraId="4C93DE35" w14:textId="7283E051" w:rsidR="00BE0851" w:rsidRDefault="00BE0851" w:rsidP="00E54452">
            <w:pPr>
              <w:keepNext/>
              <w:jc w:val="center"/>
            </w:pPr>
          </w:p>
        </w:tc>
        <w:tc>
          <w:tcPr>
            <w:tcW w:w="7732" w:type="dxa"/>
            <w:gridSpan w:val="6"/>
            <w:tcMar>
              <w:top w:w="15" w:type="dxa"/>
              <w:left w:w="108" w:type="dxa"/>
              <w:bottom w:w="15" w:type="dxa"/>
              <w:right w:w="108" w:type="dxa"/>
            </w:tcMar>
            <w:vAlign w:val="center"/>
          </w:tcPr>
          <w:p w14:paraId="5FC06E18" w14:textId="77777777" w:rsidR="00BE0851" w:rsidRPr="000D352A" w:rsidRDefault="00BE0851" w:rsidP="00E54452">
            <w:pPr>
              <w:pStyle w:val="3Bodytext"/>
              <w:keepN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nurse practitioner where both of the following are occurring: (</w:t>
            </w:r>
            <w:proofErr w:type="spellStart"/>
            <w:r w:rsidRPr="000A47DF">
              <w:rPr>
                <w:rFonts w:ascii="Arial Narrow" w:eastAsia="Arial Narrow" w:hAnsi="Arial Narrow" w:cs="Arial Narrow"/>
                <w:i/>
                <w:iCs/>
                <w:sz w:val="20"/>
                <w:szCs w:val="20"/>
              </w:rPr>
              <w:t>i</w:t>
            </w:r>
            <w:proofErr w:type="spellEnd"/>
            <w:r w:rsidRPr="000A47DF">
              <w:rPr>
                <w:rFonts w:ascii="Arial Narrow" w:eastAsia="Arial Narrow" w:hAnsi="Arial Narrow" w:cs="Arial Narrow"/>
                <w:i/>
                <w:iCs/>
                <w:sz w:val="20"/>
                <w:szCs w:val="20"/>
              </w:rPr>
              <w:t>) patient care is being shared with a medical practitioner, (ii) the prescription continues existing therapy with this medicine </w:t>
            </w:r>
          </w:p>
        </w:tc>
      </w:tr>
      <w:bookmarkEnd w:id="3"/>
      <w:tr w:rsidR="00BE0851" w14:paraId="6025A908" w14:textId="77777777" w:rsidTr="434C36E0">
        <w:trPr>
          <w:trHeight w:val="15"/>
        </w:trPr>
        <w:tc>
          <w:tcPr>
            <w:tcW w:w="9006" w:type="dxa"/>
            <w:gridSpan w:val="7"/>
            <w:tcMar>
              <w:top w:w="15" w:type="dxa"/>
              <w:left w:w="108" w:type="dxa"/>
              <w:bottom w:w="15" w:type="dxa"/>
              <w:right w:w="108" w:type="dxa"/>
            </w:tcMar>
            <w:vAlign w:val="center"/>
          </w:tcPr>
          <w:p w14:paraId="35538518" w14:textId="77777777" w:rsidR="00BE0851" w:rsidRPr="7093FE7D" w:rsidRDefault="00BE0851" w:rsidP="00E54452">
            <w:pPr>
              <w:keepNext/>
              <w:rPr>
                <w:rFonts w:ascii="Arial Narrow" w:eastAsia="Arial Narrow" w:hAnsi="Arial Narrow" w:cs="Arial Narrow"/>
                <w:b/>
                <w:bCs/>
                <w:sz w:val="20"/>
                <w:szCs w:val="20"/>
              </w:rPr>
            </w:pPr>
          </w:p>
        </w:tc>
      </w:tr>
      <w:tr w:rsidR="00BE0851" w14:paraId="19009A89" w14:textId="77777777" w:rsidTr="434C36E0">
        <w:trPr>
          <w:trHeight w:val="355"/>
        </w:trPr>
        <w:tc>
          <w:tcPr>
            <w:tcW w:w="1274" w:type="dxa"/>
            <w:vMerge w:val="restart"/>
            <w:tcMar>
              <w:top w:w="15" w:type="dxa"/>
              <w:left w:w="108" w:type="dxa"/>
              <w:bottom w:w="15" w:type="dxa"/>
              <w:right w:w="108" w:type="dxa"/>
            </w:tcMar>
          </w:tcPr>
          <w:p w14:paraId="0B07DD9E" w14:textId="080AE0FA" w:rsidR="00BE0851" w:rsidRDefault="00BE0851" w:rsidP="00E54452">
            <w:pPr>
              <w:keepNext/>
              <w:jc w:val="center"/>
            </w:pPr>
          </w:p>
        </w:tc>
        <w:tc>
          <w:tcPr>
            <w:tcW w:w="7732" w:type="dxa"/>
            <w:gridSpan w:val="6"/>
            <w:tcMar>
              <w:top w:w="15" w:type="dxa"/>
              <w:left w:w="108" w:type="dxa"/>
              <w:bottom w:w="15" w:type="dxa"/>
              <w:right w:w="108" w:type="dxa"/>
            </w:tcMar>
            <w:vAlign w:val="center"/>
          </w:tcPr>
          <w:p w14:paraId="47CDAED2" w14:textId="77777777" w:rsidR="00BE0851" w:rsidRDefault="00BE0851" w:rsidP="00E54452">
            <w:pPr>
              <w:keepNext/>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38B87F83" w14:textId="77777777" w:rsidR="00BE0851" w:rsidRDefault="00BE0851" w:rsidP="00E54452">
            <w:pPr>
              <w:keepNext/>
              <w:jc w:val="left"/>
            </w:pPr>
            <w:r w:rsidRPr="7093FE7D">
              <w:rPr>
                <w:rFonts w:ascii="Arial Narrow" w:eastAsia="Arial Narrow" w:hAnsi="Arial Narrow" w:cs="Arial Narrow"/>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 xml:space="preserve">GENERAL - General Schedule (Code GE) </w:t>
            </w:r>
          </w:p>
        </w:tc>
      </w:tr>
      <w:tr w:rsidR="00BE0851" w14:paraId="601FF934" w14:textId="77777777" w:rsidTr="434C36E0">
        <w:trPr>
          <w:trHeight w:val="15"/>
        </w:trPr>
        <w:tc>
          <w:tcPr>
            <w:tcW w:w="1274" w:type="dxa"/>
            <w:vMerge/>
            <w:vAlign w:val="center"/>
          </w:tcPr>
          <w:p w14:paraId="47353A5C" w14:textId="77777777" w:rsidR="00BE0851" w:rsidRDefault="00BE0851" w:rsidP="00E54452">
            <w:pPr>
              <w:keepNext/>
            </w:pPr>
          </w:p>
        </w:tc>
        <w:tc>
          <w:tcPr>
            <w:tcW w:w="7732" w:type="dxa"/>
            <w:gridSpan w:val="6"/>
            <w:tcMar>
              <w:top w:w="15" w:type="dxa"/>
              <w:left w:w="108" w:type="dxa"/>
              <w:bottom w:w="15" w:type="dxa"/>
              <w:right w:w="108" w:type="dxa"/>
            </w:tcMar>
            <w:vAlign w:val="center"/>
          </w:tcPr>
          <w:p w14:paraId="600CA4ED" w14:textId="77777777" w:rsidR="00BE0851" w:rsidRPr="0088789D" w:rsidRDefault="00BE0851" w:rsidP="00E54452">
            <w:pPr>
              <w:keepNext/>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sidRPr="00082D21">
              <w:rPr>
                <w:rFonts w:ascii="Arial Narrow" w:hAnsi="Arial Narrow" w:cs="Arial"/>
                <w:i/>
                <w:iCs/>
                <w:sz w:val="20"/>
                <w:szCs w:val="20"/>
              </w:rPr>
              <w:fldChar w:fldCharType="begin">
                <w:ffData>
                  <w:name w:val=""/>
                  <w:enabled/>
                  <w:calcOnExit w:val="0"/>
                  <w:checkBox>
                    <w:sizeAuto/>
                    <w:default w:val="1"/>
                  </w:checkBox>
                </w:ffData>
              </w:fldChar>
            </w:r>
            <w:r w:rsidRPr="00082D21">
              <w:rPr>
                <w:rFonts w:ascii="Arial Narrow" w:hAnsi="Arial Narrow" w:cs="Arial"/>
                <w:i/>
                <w:iCs/>
                <w:sz w:val="20"/>
                <w:szCs w:val="20"/>
              </w:rPr>
              <w:instrText xml:space="preserve"> FORMCHECKBOX </w:instrText>
            </w:r>
            <w:r w:rsidRPr="00082D21">
              <w:rPr>
                <w:rFonts w:ascii="Arial Narrow" w:hAnsi="Arial Narrow" w:cs="Arial"/>
                <w:i/>
                <w:iCs/>
                <w:sz w:val="20"/>
                <w:szCs w:val="20"/>
              </w:rPr>
            </w:r>
            <w:r w:rsidRPr="00082D21">
              <w:rPr>
                <w:rFonts w:ascii="Arial Narrow" w:hAnsi="Arial Narrow" w:cs="Arial"/>
                <w:i/>
                <w:iCs/>
                <w:sz w:val="20"/>
                <w:szCs w:val="20"/>
              </w:rPr>
              <w:fldChar w:fldCharType="separate"/>
            </w:r>
            <w:r w:rsidRPr="00082D21">
              <w:rPr>
                <w:rFonts w:ascii="Arial Narrow" w:hAnsi="Arial Narrow" w:cs="Arial"/>
                <w:i/>
                <w:iCs/>
                <w:sz w:val="20"/>
                <w:szCs w:val="20"/>
              </w:rPr>
              <w:fldChar w:fldCharType="end"/>
            </w:r>
            <w:r w:rsidRPr="00082D21">
              <w:rPr>
                <w:rFonts w:ascii="Arial Narrow" w:hAnsi="Arial Narrow" w:cs="Arial"/>
                <w:i/>
                <w:iCs/>
                <w:sz w:val="20"/>
                <w:szCs w:val="20"/>
              </w:rPr>
              <w:t xml:space="preserve"> </w:t>
            </w:r>
            <w:r w:rsidRPr="00082D21">
              <w:rPr>
                <w:rFonts w:ascii="Arial Narrow" w:eastAsia="Arial Narrow" w:hAnsi="Arial Narrow" w:cs="Arial Narrow"/>
                <w:i/>
                <w:iCs/>
                <w:sz w:val="20"/>
                <w:szCs w:val="20"/>
              </w:rPr>
              <w:t>Nurse Practitioners</w:t>
            </w:r>
            <w:r w:rsidRPr="0088789D">
              <w:rPr>
                <w:rFonts w:ascii="Arial Narrow" w:eastAsia="Arial Narrow" w:hAnsi="Arial Narrow" w:cs="Arial Narrow"/>
                <w:sz w:val="20"/>
                <w:szCs w:val="20"/>
              </w:rPr>
              <w:t xml:space="preserve"> </w:t>
            </w:r>
          </w:p>
        </w:tc>
      </w:tr>
      <w:tr w:rsidR="00BE0851" w14:paraId="148AD8F5" w14:textId="77777777" w:rsidTr="434C36E0">
        <w:trPr>
          <w:trHeight w:val="15"/>
        </w:trPr>
        <w:tc>
          <w:tcPr>
            <w:tcW w:w="1274" w:type="dxa"/>
            <w:vMerge/>
            <w:vAlign w:val="center"/>
          </w:tcPr>
          <w:p w14:paraId="45A82951" w14:textId="77777777" w:rsidR="00BE0851" w:rsidRDefault="00BE0851" w:rsidP="00E54452">
            <w:pPr>
              <w:keepNext/>
            </w:pPr>
          </w:p>
        </w:tc>
        <w:tc>
          <w:tcPr>
            <w:tcW w:w="7732" w:type="dxa"/>
            <w:gridSpan w:val="6"/>
            <w:tcMar>
              <w:top w:w="15" w:type="dxa"/>
              <w:left w:w="108" w:type="dxa"/>
              <w:bottom w:w="15" w:type="dxa"/>
              <w:right w:w="108" w:type="dxa"/>
            </w:tcMar>
            <w:vAlign w:val="center"/>
          </w:tcPr>
          <w:p w14:paraId="5F45D1B4" w14:textId="2BDBE578" w:rsidR="00BE0851" w:rsidRPr="00B45840" w:rsidRDefault="00BE0851" w:rsidP="00E54452">
            <w:pPr>
              <w:keepNext/>
              <w:rPr>
                <w:rFonts w:ascii="Arial Narrow" w:eastAsia="Arial Narrow" w:hAnsi="Arial Narrow" w:cs="Arial Narrow"/>
                <w:sz w:val="20"/>
                <w:szCs w:val="20"/>
              </w:rPr>
            </w:pPr>
            <w:r w:rsidRPr="7093FE7D">
              <w:rPr>
                <w:rFonts w:ascii="Arial Narrow" w:eastAsia="Arial Narrow" w:hAnsi="Arial Narrow" w:cs="Arial Narrow"/>
                <w:b/>
                <w:bCs/>
                <w:sz w:val="20"/>
                <w:szCs w:val="20"/>
              </w:rPr>
              <w:t xml:space="preserve">Restriction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90600A">
              <w:rPr>
                <w:rFonts w:ascii="Arial Narrow" w:eastAsia="Arial Narrow" w:hAnsi="Arial Narrow" w:cs="Arial Narrow"/>
                <w:sz w:val="20"/>
                <w:szCs w:val="20"/>
              </w:rPr>
              <w:t>Authority Required (STREAMLINED)</w:t>
            </w:r>
          </w:p>
        </w:tc>
      </w:tr>
      <w:tr w:rsidR="00BE0851" w14:paraId="181177AB" w14:textId="77777777" w:rsidTr="434C36E0">
        <w:trPr>
          <w:trHeight w:val="15"/>
        </w:trPr>
        <w:tc>
          <w:tcPr>
            <w:tcW w:w="1274" w:type="dxa"/>
            <w:tcMar>
              <w:top w:w="15" w:type="dxa"/>
              <w:left w:w="108" w:type="dxa"/>
              <w:bottom w:w="15" w:type="dxa"/>
              <w:right w:w="108" w:type="dxa"/>
            </w:tcMar>
            <w:vAlign w:val="center"/>
          </w:tcPr>
          <w:p w14:paraId="2DB1FE6E" w14:textId="246581AE" w:rsidR="00BE0851" w:rsidRPr="004D1863" w:rsidRDefault="00BE0851" w:rsidP="00E54452">
            <w:pPr>
              <w:keepNext/>
              <w:jc w:val="center"/>
            </w:pPr>
          </w:p>
        </w:tc>
        <w:tc>
          <w:tcPr>
            <w:tcW w:w="7732" w:type="dxa"/>
            <w:gridSpan w:val="6"/>
            <w:tcMar>
              <w:top w:w="15" w:type="dxa"/>
              <w:left w:w="108" w:type="dxa"/>
              <w:bottom w:w="15" w:type="dxa"/>
              <w:right w:w="108" w:type="dxa"/>
            </w:tcMar>
            <w:vAlign w:val="center"/>
          </w:tcPr>
          <w:p w14:paraId="207A8A1E" w14:textId="77777777" w:rsidR="00BE0851" w:rsidRDefault="00BE0851" w:rsidP="00E54452">
            <w:pPr>
              <w:keepNext/>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High-risk and </w:t>
            </w:r>
            <w:r w:rsidRPr="00B950E2">
              <w:rPr>
                <w:rFonts w:ascii="Arial Narrow" w:hAnsi="Arial Narrow" w:cstheme="minorBidi"/>
                <w:sz w:val="20"/>
              </w:rPr>
              <w:t>Intermediate-</w:t>
            </w:r>
            <w:r>
              <w:rPr>
                <w:rFonts w:ascii="Arial Narrow" w:hAnsi="Arial Narrow" w:cstheme="minorBidi"/>
                <w:sz w:val="20"/>
              </w:rPr>
              <w:t>2</w:t>
            </w:r>
            <w:r w:rsidRPr="00B950E2">
              <w:rPr>
                <w:rFonts w:ascii="Arial Narrow" w:hAnsi="Arial Narrow" w:cstheme="minorBidi"/>
                <w:sz w:val="20"/>
              </w:rPr>
              <w:t xml:space="preserve"> risk myelofibrosis</w:t>
            </w:r>
          </w:p>
        </w:tc>
      </w:tr>
      <w:tr w:rsidR="00BE0851" w14:paraId="74F670FA" w14:textId="77777777" w:rsidTr="434C36E0">
        <w:trPr>
          <w:trHeight w:val="480"/>
        </w:trPr>
        <w:tc>
          <w:tcPr>
            <w:tcW w:w="1274" w:type="dxa"/>
            <w:tcMar>
              <w:top w:w="15" w:type="dxa"/>
              <w:left w:w="108" w:type="dxa"/>
              <w:bottom w:w="15" w:type="dxa"/>
              <w:right w:w="108" w:type="dxa"/>
            </w:tcMar>
            <w:vAlign w:val="center"/>
          </w:tcPr>
          <w:p w14:paraId="71289BA2" w14:textId="77777777" w:rsidR="00BE0851" w:rsidRDefault="00BE0851" w:rsidP="00E54452">
            <w:pPr>
              <w:keepNext/>
            </w:pPr>
          </w:p>
        </w:tc>
        <w:tc>
          <w:tcPr>
            <w:tcW w:w="7732" w:type="dxa"/>
            <w:gridSpan w:val="6"/>
            <w:tcMar>
              <w:top w:w="15" w:type="dxa"/>
              <w:left w:w="108" w:type="dxa"/>
              <w:bottom w:w="15" w:type="dxa"/>
              <w:right w:w="108" w:type="dxa"/>
            </w:tcMar>
            <w:vAlign w:val="center"/>
          </w:tcPr>
          <w:p w14:paraId="3DE77EC0" w14:textId="77777777" w:rsidR="00BE0851" w:rsidRDefault="00BE0851" w:rsidP="00E54452">
            <w:pPr>
              <w:keepNext/>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Continuing treatment</w:t>
            </w:r>
          </w:p>
        </w:tc>
      </w:tr>
      <w:tr w:rsidR="00BE0851" w:rsidRPr="7093FE7D" w14:paraId="63258E1C" w14:textId="77777777" w:rsidTr="434C36E0">
        <w:trPr>
          <w:trHeight w:val="342"/>
        </w:trPr>
        <w:tc>
          <w:tcPr>
            <w:tcW w:w="1274" w:type="dxa"/>
            <w:tcMar>
              <w:top w:w="15" w:type="dxa"/>
              <w:left w:w="108" w:type="dxa"/>
              <w:bottom w:w="15" w:type="dxa"/>
              <w:right w:w="108" w:type="dxa"/>
            </w:tcMar>
            <w:vAlign w:val="center"/>
          </w:tcPr>
          <w:p w14:paraId="2D590FDF" w14:textId="652CC627" w:rsidR="00BE0851" w:rsidRDefault="00BE0851" w:rsidP="00E54452">
            <w:pPr>
              <w:keepNext/>
              <w:jc w:val="center"/>
            </w:pPr>
          </w:p>
        </w:tc>
        <w:tc>
          <w:tcPr>
            <w:tcW w:w="7732" w:type="dxa"/>
            <w:gridSpan w:val="6"/>
            <w:tcMar>
              <w:top w:w="15" w:type="dxa"/>
              <w:left w:w="108" w:type="dxa"/>
              <w:bottom w:w="15" w:type="dxa"/>
              <w:right w:w="108" w:type="dxa"/>
            </w:tcMar>
            <w:vAlign w:val="center"/>
          </w:tcPr>
          <w:p w14:paraId="4CC2AAF6" w14:textId="77777777" w:rsidR="00BE0851" w:rsidRPr="7093FE7D" w:rsidRDefault="00BE0851" w:rsidP="00E54452">
            <w:pPr>
              <w:keepNext/>
              <w:rPr>
                <w:rFonts w:ascii="Arial Narrow" w:eastAsia="Arial Narrow" w:hAnsi="Arial Narrow" w:cs="Arial Narrow"/>
                <w:b/>
                <w:bCs/>
                <w:sz w:val="20"/>
                <w:szCs w:val="20"/>
              </w:rPr>
            </w:pPr>
            <w:r>
              <w:rPr>
                <w:rFonts w:ascii="Arial Narrow" w:eastAsia="Arial Narrow" w:hAnsi="Arial Narrow" w:cs="Arial Narrow"/>
                <w:b/>
                <w:bCs/>
                <w:i/>
                <w:iCs/>
                <w:sz w:val="20"/>
                <w:szCs w:val="20"/>
              </w:rPr>
              <w:t xml:space="preserve">Treatment criteria: </w:t>
            </w:r>
          </w:p>
        </w:tc>
      </w:tr>
      <w:tr w:rsidR="00BE0851" w:rsidRPr="000D352A" w14:paraId="07746A36" w14:textId="77777777" w:rsidTr="434C36E0">
        <w:trPr>
          <w:trHeight w:val="376"/>
        </w:trPr>
        <w:tc>
          <w:tcPr>
            <w:tcW w:w="1274" w:type="dxa"/>
            <w:tcMar>
              <w:top w:w="15" w:type="dxa"/>
              <w:left w:w="108" w:type="dxa"/>
              <w:bottom w:w="15" w:type="dxa"/>
              <w:right w:w="108" w:type="dxa"/>
            </w:tcMar>
            <w:vAlign w:val="center"/>
          </w:tcPr>
          <w:p w14:paraId="32C9B3D8" w14:textId="01BAAD20" w:rsidR="00BE0851" w:rsidRDefault="00BE0851" w:rsidP="00E54452">
            <w:pPr>
              <w:keepNext/>
              <w:jc w:val="center"/>
            </w:pPr>
          </w:p>
        </w:tc>
        <w:tc>
          <w:tcPr>
            <w:tcW w:w="7732" w:type="dxa"/>
            <w:gridSpan w:val="6"/>
            <w:tcMar>
              <w:top w:w="15" w:type="dxa"/>
              <w:left w:w="108" w:type="dxa"/>
              <w:bottom w:w="15" w:type="dxa"/>
              <w:right w:w="108" w:type="dxa"/>
            </w:tcMar>
            <w:vAlign w:val="center"/>
          </w:tcPr>
          <w:p w14:paraId="7F053FFB" w14:textId="77777777" w:rsidR="00BE0851" w:rsidRPr="000D352A" w:rsidRDefault="00BE0851" w:rsidP="00E54452">
            <w:pPr>
              <w:pStyle w:val="3Bodytext"/>
              <w:keepN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medical practitioner; or </w:t>
            </w:r>
          </w:p>
        </w:tc>
      </w:tr>
      <w:tr w:rsidR="00BE0851" w:rsidRPr="000D352A" w14:paraId="1363C369" w14:textId="77777777" w:rsidTr="434C36E0">
        <w:trPr>
          <w:trHeight w:val="480"/>
        </w:trPr>
        <w:tc>
          <w:tcPr>
            <w:tcW w:w="1274" w:type="dxa"/>
            <w:tcMar>
              <w:top w:w="15" w:type="dxa"/>
              <w:left w:w="108" w:type="dxa"/>
              <w:bottom w:w="15" w:type="dxa"/>
              <w:right w:w="108" w:type="dxa"/>
            </w:tcMar>
            <w:vAlign w:val="center"/>
          </w:tcPr>
          <w:p w14:paraId="181B4DFF" w14:textId="719047C4" w:rsidR="00BE0851" w:rsidRDefault="00BE0851">
            <w:pPr>
              <w:jc w:val="center"/>
            </w:pPr>
          </w:p>
        </w:tc>
        <w:tc>
          <w:tcPr>
            <w:tcW w:w="7732" w:type="dxa"/>
            <w:gridSpan w:val="6"/>
            <w:tcMar>
              <w:top w:w="15" w:type="dxa"/>
              <w:left w:w="108" w:type="dxa"/>
              <w:bottom w:w="15" w:type="dxa"/>
              <w:right w:w="108" w:type="dxa"/>
            </w:tcMar>
            <w:vAlign w:val="center"/>
          </w:tcPr>
          <w:p w14:paraId="6A8BE1D6" w14:textId="77777777" w:rsidR="00BE0851" w:rsidRPr="000D352A" w:rsidRDefault="00BE0851">
            <w:pPr>
              <w:pStyle w:val="3Bodyt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nurse practitioner where both of the following are occurring: (</w:t>
            </w:r>
            <w:proofErr w:type="spellStart"/>
            <w:r w:rsidRPr="000A47DF">
              <w:rPr>
                <w:rFonts w:ascii="Arial Narrow" w:eastAsia="Arial Narrow" w:hAnsi="Arial Narrow" w:cs="Arial Narrow"/>
                <w:i/>
                <w:iCs/>
                <w:sz w:val="20"/>
                <w:szCs w:val="20"/>
              </w:rPr>
              <w:t>i</w:t>
            </w:r>
            <w:proofErr w:type="spellEnd"/>
            <w:r w:rsidRPr="000A47DF">
              <w:rPr>
                <w:rFonts w:ascii="Arial Narrow" w:eastAsia="Arial Narrow" w:hAnsi="Arial Narrow" w:cs="Arial Narrow"/>
                <w:i/>
                <w:iCs/>
                <w:sz w:val="20"/>
                <w:szCs w:val="20"/>
              </w:rPr>
              <w:t>) patient care is being shared with a medical practitioner, (ii) the prescription continues existing therapy with this medicine </w:t>
            </w:r>
          </w:p>
        </w:tc>
      </w:tr>
    </w:tbl>
    <w:p w14:paraId="650ADBB9" w14:textId="531D8ABA" w:rsidR="00D56E7E" w:rsidRDefault="00D56E7E" w:rsidP="009367FC">
      <w:pPr>
        <w:pStyle w:val="3-BodyText"/>
        <w:numPr>
          <w:ilvl w:val="0"/>
          <w:numId w:val="0"/>
        </w:numPr>
        <w:ind w:left="720" w:hanging="720"/>
        <w:rPr>
          <w:lang w:eastAsia="en-US"/>
        </w:rPr>
      </w:pPr>
    </w:p>
    <w:p w14:paraId="74107E8B" w14:textId="77777777" w:rsidR="0000375B" w:rsidRDefault="0000375B" w:rsidP="009367FC">
      <w:pPr>
        <w:pStyle w:val="3-BodyText"/>
        <w:numPr>
          <w:ilvl w:val="0"/>
          <w:numId w:val="0"/>
        </w:numPr>
        <w:ind w:left="720" w:hanging="72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Myelofibrosis"/>
      </w:tblPr>
      <w:tblGrid>
        <w:gridCol w:w="1274"/>
        <w:gridCol w:w="3096"/>
        <w:gridCol w:w="1094"/>
        <w:gridCol w:w="765"/>
        <w:gridCol w:w="690"/>
        <w:gridCol w:w="765"/>
        <w:gridCol w:w="1322"/>
      </w:tblGrid>
      <w:tr w:rsidR="009F3D69" w14:paraId="06C88084" w14:textId="77777777" w:rsidTr="434C36E0">
        <w:trPr>
          <w:trHeight w:val="15"/>
        </w:trPr>
        <w:tc>
          <w:tcPr>
            <w:tcW w:w="4370" w:type="dxa"/>
            <w:gridSpan w:val="2"/>
            <w:tcMar>
              <w:left w:w="108" w:type="dxa"/>
              <w:right w:w="108" w:type="dxa"/>
            </w:tcMar>
            <w:vAlign w:val="center"/>
          </w:tcPr>
          <w:p w14:paraId="74BAF3AF" w14:textId="77777777" w:rsidR="009F3D69" w:rsidRPr="0088789D" w:rsidRDefault="009F3D69" w:rsidP="00E54452">
            <w:pPr>
              <w:keepNext/>
              <w:rPr>
                <w:rFonts w:ascii="Arial Narrow" w:eastAsia="Arial Narrow" w:hAnsi="Arial Narrow" w:cs="Arial Narrow"/>
                <w:b/>
                <w:bCs/>
                <w:sz w:val="20"/>
                <w:szCs w:val="20"/>
              </w:rPr>
            </w:pPr>
            <w:r w:rsidRPr="7093FE7D">
              <w:rPr>
                <w:rFonts w:ascii="Arial Narrow" w:eastAsia="Arial Narrow" w:hAnsi="Arial Narrow" w:cs="Arial Narrow"/>
                <w:b/>
                <w:bCs/>
                <w:sz w:val="20"/>
                <w:szCs w:val="20"/>
              </w:rPr>
              <w:lastRenderedPageBreak/>
              <w:t>MEDICINAL PRODUCT</w:t>
            </w:r>
          </w:p>
          <w:p w14:paraId="432370D1" w14:textId="77777777" w:rsidR="009F3D69" w:rsidRPr="0088789D" w:rsidRDefault="009F3D69" w:rsidP="00E54452">
            <w:pPr>
              <w:keepNext/>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medicinal product pack</w:t>
            </w:r>
          </w:p>
        </w:tc>
        <w:tc>
          <w:tcPr>
            <w:tcW w:w="1094" w:type="dxa"/>
            <w:tcMar>
              <w:left w:w="108" w:type="dxa"/>
              <w:right w:w="108" w:type="dxa"/>
            </w:tcMar>
            <w:vAlign w:val="center"/>
          </w:tcPr>
          <w:p w14:paraId="41ABDFA9" w14:textId="77777777" w:rsidR="009F3D69" w:rsidRPr="0088789D" w:rsidRDefault="009F3D69">
            <w:pPr>
              <w:jc w:val="cente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PBS item code</w:t>
            </w:r>
          </w:p>
        </w:tc>
        <w:tc>
          <w:tcPr>
            <w:tcW w:w="765" w:type="dxa"/>
            <w:tcMar>
              <w:left w:w="108" w:type="dxa"/>
              <w:right w:w="108" w:type="dxa"/>
            </w:tcMar>
            <w:vAlign w:val="center"/>
          </w:tcPr>
          <w:p w14:paraId="79B03926" w14:textId="77777777" w:rsidR="009F3D69" w:rsidRPr="0088789D" w:rsidRDefault="009F3D69">
            <w:pPr>
              <w:jc w:val="cente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Max. qty packs</w:t>
            </w:r>
          </w:p>
        </w:tc>
        <w:tc>
          <w:tcPr>
            <w:tcW w:w="690" w:type="dxa"/>
            <w:tcMar>
              <w:left w:w="108" w:type="dxa"/>
              <w:right w:w="108" w:type="dxa"/>
            </w:tcMar>
            <w:vAlign w:val="center"/>
          </w:tcPr>
          <w:p w14:paraId="788D5013" w14:textId="77777777" w:rsidR="009F3D69" w:rsidRPr="0088789D" w:rsidRDefault="009F3D69">
            <w:pPr>
              <w:jc w:val="cente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Max. qty units</w:t>
            </w:r>
          </w:p>
        </w:tc>
        <w:tc>
          <w:tcPr>
            <w:tcW w:w="765" w:type="dxa"/>
            <w:tcMar>
              <w:left w:w="108" w:type="dxa"/>
              <w:right w:w="108" w:type="dxa"/>
            </w:tcMar>
            <w:vAlign w:val="center"/>
          </w:tcPr>
          <w:p w14:paraId="6045F10C" w14:textId="77777777" w:rsidR="009F3D69" w:rsidRPr="0088789D" w:rsidRDefault="009F3D69">
            <w:pPr>
              <w:jc w:val="center"/>
              <w:rPr>
                <w:rFonts w:ascii="Arial Narrow" w:eastAsia="Arial Narrow" w:hAnsi="Arial Narrow" w:cs="Arial Narrow"/>
                <w:b/>
                <w:bCs/>
                <w:sz w:val="20"/>
                <w:szCs w:val="20"/>
              </w:rPr>
            </w:pPr>
            <w:proofErr w:type="gramStart"/>
            <w:r w:rsidRPr="7093FE7D">
              <w:rPr>
                <w:rFonts w:ascii="Arial Narrow" w:eastAsia="Arial Narrow" w:hAnsi="Arial Narrow" w:cs="Arial Narrow"/>
                <w:b/>
                <w:bCs/>
                <w:sz w:val="20"/>
                <w:szCs w:val="20"/>
              </w:rPr>
              <w:t>№.of</w:t>
            </w:r>
            <w:proofErr w:type="gramEnd"/>
          </w:p>
          <w:p w14:paraId="763D34D8" w14:textId="77777777" w:rsidR="009F3D69" w:rsidRPr="0088789D" w:rsidRDefault="009F3D69">
            <w:pPr>
              <w:jc w:val="center"/>
              <w:rPr>
                <w:rFonts w:ascii="Arial Narrow" w:eastAsia="Arial Narrow" w:hAnsi="Arial Narrow" w:cs="Arial Narrow"/>
                <w:b/>
                <w:bCs/>
                <w:sz w:val="20"/>
                <w:szCs w:val="20"/>
              </w:rPr>
            </w:pPr>
            <w:proofErr w:type="spellStart"/>
            <w:r w:rsidRPr="7093FE7D">
              <w:rPr>
                <w:rFonts w:ascii="Arial Narrow" w:eastAsia="Arial Narrow" w:hAnsi="Arial Narrow" w:cs="Arial Narrow"/>
                <w:b/>
                <w:bCs/>
                <w:sz w:val="20"/>
                <w:szCs w:val="20"/>
              </w:rPr>
              <w:t>Rpts</w:t>
            </w:r>
            <w:proofErr w:type="spellEnd"/>
          </w:p>
        </w:tc>
        <w:tc>
          <w:tcPr>
            <w:tcW w:w="1322" w:type="dxa"/>
            <w:tcMar>
              <w:left w:w="108" w:type="dxa"/>
              <w:right w:w="108" w:type="dxa"/>
            </w:tcMar>
            <w:vAlign w:val="center"/>
          </w:tcPr>
          <w:p w14:paraId="25213A5B" w14:textId="77777777" w:rsidR="009F3D69" w:rsidRPr="0088789D" w:rsidRDefault="009F3D69">
            <w:pP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Available brands</w:t>
            </w:r>
          </w:p>
        </w:tc>
      </w:tr>
      <w:tr w:rsidR="009F3D69" w14:paraId="21972274" w14:textId="77777777" w:rsidTr="434C36E0">
        <w:trPr>
          <w:trHeight w:val="15"/>
        </w:trPr>
        <w:tc>
          <w:tcPr>
            <w:tcW w:w="9006" w:type="dxa"/>
            <w:gridSpan w:val="7"/>
            <w:tcMar>
              <w:left w:w="108" w:type="dxa"/>
              <w:right w:w="108" w:type="dxa"/>
            </w:tcMar>
            <w:vAlign w:val="center"/>
          </w:tcPr>
          <w:p w14:paraId="54F6F80E" w14:textId="77777777" w:rsidR="009F3D69" w:rsidRDefault="009F3D69" w:rsidP="00E54452">
            <w:pPr>
              <w:keepNext/>
              <w:rPr>
                <w:rFonts w:ascii="Arial Narrow" w:eastAsia="Arial Narrow" w:hAnsi="Arial Narrow" w:cs="Arial Narrow"/>
                <w:sz w:val="20"/>
                <w:szCs w:val="20"/>
              </w:rPr>
            </w:pPr>
            <w:r>
              <w:rPr>
                <w:rFonts w:ascii="Arial Narrow" w:hAnsi="Arial Narrow"/>
                <w:sz w:val="20"/>
              </w:rPr>
              <w:t>MOMELOTINIB</w:t>
            </w:r>
          </w:p>
        </w:tc>
      </w:tr>
      <w:tr w:rsidR="009F3D69" w14:paraId="346D4FB4" w14:textId="77777777" w:rsidTr="434C36E0">
        <w:trPr>
          <w:trHeight w:val="15"/>
        </w:trPr>
        <w:tc>
          <w:tcPr>
            <w:tcW w:w="4370" w:type="dxa"/>
            <w:gridSpan w:val="2"/>
            <w:tcMar>
              <w:left w:w="108" w:type="dxa"/>
              <w:right w:w="108" w:type="dxa"/>
            </w:tcMar>
            <w:vAlign w:val="center"/>
          </w:tcPr>
          <w:p w14:paraId="3E118F29" w14:textId="77777777" w:rsidR="009F3D69" w:rsidRDefault="009F3D69" w:rsidP="00E54452">
            <w:pPr>
              <w:keepNext/>
              <w:rPr>
                <w:rFonts w:ascii="Arial Narrow" w:eastAsia="Arial Narrow" w:hAnsi="Arial Narrow" w:cs="Arial Narrow"/>
                <w:sz w:val="20"/>
                <w:szCs w:val="20"/>
              </w:rPr>
            </w:pPr>
            <w:proofErr w:type="spellStart"/>
            <w:r>
              <w:rPr>
                <w:rFonts w:ascii="Arial Narrow" w:hAnsi="Arial Narrow"/>
                <w:sz w:val="20"/>
              </w:rPr>
              <w:t>momelotinib</w:t>
            </w:r>
            <w:proofErr w:type="spellEnd"/>
            <w:r>
              <w:rPr>
                <w:rFonts w:ascii="Arial Narrow" w:hAnsi="Arial Narrow"/>
                <w:sz w:val="20"/>
              </w:rPr>
              <w:t xml:space="preserve"> 100mg tablet, 30</w:t>
            </w:r>
          </w:p>
        </w:tc>
        <w:tc>
          <w:tcPr>
            <w:tcW w:w="1094" w:type="dxa"/>
            <w:tcMar>
              <w:left w:w="108" w:type="dxa"/>
              <w:right w:w="108" w:type="dxa"/>
            </w:tcMar>
            <w:vAlign w:val="center"/>
          </w:tcPr>
          <w:p w14:paraId="42ADFBA0" w14:textId="77777777" w:rsidR="009F3D69" w:rsidRDefault="009F3D69">
            <w:pPr>
              <w:spacing w:line="259" w:lineRule="auto"/>
              <w:jc w:val="center"/>
            </w:pPr>
            <w:r>
              <w:rPr>
                <w:rFonts w:ascii="Arial Narrow" w:hAnsi="Arial Narrow"/>
                <w:sz w:val="20"/>
              </w:rPr>
              <w:t>14743Y</w:t>
            </w:r>
          </w:p>
        </w:tc>
        <w:tc>
          <w:tcPr>
            <w:tcW w:w="765" w:type="dxa"/>
            <w:tcMar>
              <w:left w:w="108" w:type="dxa"/>
              <w:right w:w="108" w:type="dxa"/>
            </w:tcMar>
            <w:vAlign w:val="center"/>
          </w:tcPr>
          <w:p w14:paraId="279AF9E6" w14:textId="77777777" w:rsidR="009F3D69" w:rsidRPr="008605EF" w:rsidRDefault="009F3D69">
            <w:pPr>
              <w:jc w:val="center"/>
              <w:rPr>
                <w:rFonts w:ascii="Arial Narrow" w:hAnsi="Arial Narrow"/>
                <w:sz w:val="20"/>
                <w:szCs w:val="20"/>
              </w:rPr>
            </w:pPr>
            <w:r w:rsidRPr="008605EF">
              <w:rPr>
                <w:rFonts w:ascii="Arial Narrow" w:hAnsi="Arial Narrow"/>
                <w:sz w:val="20"/>
                <w:szCs w:val="20"/>
              </w:rPr>
              <w:t>1</w:t>
            </w:r>
          </w:p>
        </w:tc>
        <w:tc>
          <w:tcPr>
            <w:tcW w:w="690" w:type="dxa"/>
            <w:tcMar>
              <w:left w:w="108" w:type="dxa"/>
              <w:right w:w="108" w:type="dxa"/>
            </w:tcMar>
            <w:vAlign w:val="center"/>
          </w:tcPr>
          <w:p w14:paraId="7F71BF0C"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30</w:t>
            </w:r>
          </w:p>
        </w:tc>
        <w:tc>
          <w:tcPr>
            <w:tcW w:w="765" w:type="dxa"/>
            <w:tcMar>
              <w:left w:w="108" w:type="dxa"/>
              <w:right w:w="108" w:type="dxa"/>
            </w:tcMar>
            <w:vAlign w:val="center"/>
          </w:tcPr>
          <w:p w14:paraId="49BB2F09" w14:textId="77777777" w:rsidR="009F3D69" w:rsidRPr="008605EF" w:rsidRDefault="009F3D69">
            <w:pPr>
              <w:jc w:val="center"/>
              <w:rPr>
                <w:rFonts w:ascii="Arial Narrow" w:hAnsi="Arial Narrow"/>
                <w:sz w:val="20"/>
                <w:szCs w:val="20"/>
              </w:rPr>
            </w:pPr>
            <w:r w:rsidRPr="008605EF">
              <w:rPr>
                <w:rFonts w:ascii="Arial Narrow" w:hAnsi="Arial Narrow"/>
                <w:sz w:val="20"/>
                <w:szCs w:val="20"/>
              </w:rPr>
              <w:t>5</w:t>
            </w:r>
          </w:p>
        </w:tc>
        <w:tc>
          <w:tcPr>
            <w:tcW w:w="1322" w:type="dxa"/>
            <w:tcMar>
              <w:left w:w="108" w:type="dxa"/>
              <w:right w:w="108" w:type="dxa"/>
            </w:tcMar>
            <w:vAlign w:val="center"/>
          </w:tcPr>
          <w:p w14:paraId="2D0859E4" w14:textId="29347F3A" w:rsidR="009F3D69" w:rsidRPr="008605EF" w:rsidRDefault="71570840" w:rsidP="434C36E0">
            <w:pPr>
              <w:rPr>
                <w:rFonts w:ascii="Arial Narrow" w:eastAsia="Arial Narrow" w:hAnsi="Arial Narrow" w:cs="Arial Narrow"/>
                <w:sz w:val="20"/>
                <w:szCs w:val="20"/>
              </w:rPr>
            </w:pPr>
            <w:proofErr w:type="spellStart"/>
            <w:r w:rsidRPr="434C36E0">
              <w:rPr>
                <w:rFonts w:ascii="Arial Narrow" w:eastAsia="Arial Narrow" w:hAnsi="Arial Narrow" w:cs="Arial Narrow"/>
                <w:sz w:val="20"/>
                <w:szCs w:val="20"/>
              </w:rPr>
              <w:t>omjarra</w:t>
            </w:r>
            <w:proofErr w:type="spellEnd"/>
            <w:r w:rsidR="3A785C08" w:rsidRPr="434C36E0">
              <w:rPr>
                <w:rFonts w:eastAsia="Calibri" w:cs="Calibri"/>
                <w:lang w:val="en-GB"/>
              </w:rPr>
              <w:t>®</w:t>
            </w:r>
          </w:p>
        </w:tc>
      </w:tr>
      <w:tr w:rsidR="009F3D69" w14:paraId="7B7C4A97" w14:textId="77777777" w:rsidTr="434C36E0">
        <w:trPr>
          <w:trHeight w:val="15"/>
        </w:trPr>
        <w:tc>
          <w:tcPr>
            <w:tcW w:w="4370" w:type="dxa"/>
            <w:gridSpan w:val="2"/>
            <w:tcMar>
              <w:left w:w="108" w:type="dxa"/>
              <w:right w:w="108" w:type="dxa"/>
            </w:tcMar>
            <w:vAlign w:val="center"/>
          </w:tcPr>
          <w:p w14:paraId="609777FE" w14:textId="77777777" w:rsidR="009F3D69" w:rsidRDefault="009F3D69" w:rsidP="00E54452">
            <w:pPr>
              <w:keepNext/>
              <w:rPr>
                <w:rFonts w:ascii="Arial Narrow" w:eastAsia="Arial Narrow" w:hAnsi="Arial Narrow" w:cs="Arial Narrow"/>
                <w:sz w:val="20"/>
                <w:szCs w:val="20"/>
              </w:rPr>
            </w:pPr>
            <w:proofErr w:type="spellStart"/>
            <w:r>
              <w:rPr>
                <w:rFonts w:ascii="Arial Narrow" w:hAnsi="Arial Narrow"/>
                <w:sz w:val="20"/>
              </w:rPr>
              <w:t>momelotinib</w:t>
            </w:r>
            <w:proofErr w:type="spellEnd"/>
            <w:r>
              <w:rPr>
                <w:rFonts w:ascii="Arial Narrow" w:hAnsi="Arial Narrow"/>
                <w:sz w:val="20"/>
              </w:rPr>
              <w:t xml:space="preserve"> 150mg tablet, 30</w:t>
            </w:r>
          </w:p>
        </w:tc>
        <w:tc>
          <w:tcPr>
            <w:tcW w:w="1094" w:type="dxa"/>
            <w:tcMar>
              <w:left w:w="108" w:type="dxa"/>
              <w:right w:w="108" w:type="dxa"/>
            </w:tcMar>
            <w:vAlign w:val="center"/>
          </w:tcPr>
          <w:p w14:paraId="2DE32FAE" w14:textId="77777777" w:rsidR="009F3D69" w:rsidRDefault="009F3D69">
            <w:pPr>
              <w:jc w:val="center"/>
              <w:rPr>
                <w:rFonts w:ascii="Arial Narrow" w:eastAsia="Arial Narrow" w:hAnsi="Arial Narrow" w:cs="Arial Narrow"/>
                <w:sz w:val="20"/>
                <w:szCs w:val="20"/>
              </w:rPr>
            </w:pPr>
            <w:r>
              <w:rPr>
                <w:rFonts w:ascii="Arial Narrow" w:hAnsi="Arial Narrow"/>
                <w:sz w:val="20"/>
              </w:rPr>
              <w:t>14744B</w:t>
            </w:r>
          </w:p>
        </w:tc>
        <w:tc>
          <w:tcPr>
            <w:tcW w:w="765" w:type="dxa"/>
            <w:tcMar>
              <w:left w:w="108" w:type="dxa"/>
              <w:right w:w="108" w:type="dxa"/>
            </w:tcMar>
            <w:vAlign w:val="center"/>
          </w:tcPr>
          <w:p w14:paraId="7FA8E8F8"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1</w:t>
            </w:r>
          </w:p>
        </w:tc>
        <w:tc>
          <w:tcPr>
            <w:tcW w:w="690" w:type="dxa"/>
            <w:tcMar>
              <w:left w:w="108" w:type="dxa"/>
              <w:right w:w="108" w:type="dxa"/>
            </w:tcMar>
            <w:vAlign w:val="center"/>
          </w:tcPr>
          <w:p w14:paraId="0DFE6C3B"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30</w:t>
            </w:r>
          </w:p>
        </w:tc>
        <w:tc>
          <w:tcPr>
            <w:tcW w:w="765" w:type="dxa"/>
            <w:tcMar>
              <w:left w:w="108" w:type="dxa"/>
              <w:right w:w="108" w:type="dxa"/>
            </w:tcMar>
            <w:vAlign w:val="center"/>
          </w:tcPr>
          <w:p w14:paraId="748AC9E7"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5</w:t>
            </w:r>
          </w:p>
        </w:tc>
        <w:tc>
          <w:tcPr>
            <w:tcW w:w="1322" w:type="dxa"/>
            <w:tcMar>
              <w:left w:w="108" w:type="dxa"/>
              <w:right w:w="108" w:type="dxa"/>
            </w:tcMar>
            <w:vAlign w:val="center"/>
          </w:tcPr>
          <w:p w14:paraId="0B70A526" w14:textId="16E188CC" w:rsidR="009F3D69" w:rsidRPr="008605EF" w:rsidRDefault="71570840" w:rsidP="434C36E0">
            <w:pPr>
              <w:rPr>
                <w:rFonts w:ascii="Arial Narrow" w:eastAsia="Arial Narrow" w:hAnsi="Arial Narrow" w:cs="Arial Narrow"/>
                <w:sz w:val="20"/>
                <w:szCs w:val="20"/>
              </w:rPr>
            </w:pPr>
            <w:proofErr w:type="spellStart"/>
            <w:r w:rsidRPr="434C36E0">
              <w:rPr>
                <w:rFonts w:ascii="Arial Narrow" w:eastAsia="Arial Narrow" w:hAnsi="Arial Narrow" w:cs="Arial Narrow"/>
                <w:sz w:val="20"/>
                <w:szCs w:val="20"/>
              </w:rPr>
              <w:t>omjarra</w:t>
            </w:r>
            <w:proofErr w:type="spellEnd"/>
            <w:r w:rsidR="0325CCC4" w:rsidRPr="434C36E0">
              <w:rPr>
                <w:rFonts w:eastAsia="Calibri" w:cs="Calibri"/>
                <w:lang w:val="en-GB"/>
              </w:rPr>
              <w:t>®</w:t>
            </w:r>
          </w:p>
        </w:tc>
      </w:tr>
      <w:tr w:rsidR="009F3D69" w14:paraId="59029F1F" w14:textId="77777777" w:rsidTr="434C36E0">
        <w:trPr>
          <w:trHeight w:val="15"/>
        </w:trPr>
        <w:tc>
          <w:tcPr>
            <w:tcW w:w="4370" w:type="dxa"/>
            <w:gridSpan w:val="2"/>
            <w:tcMar>
              <w:left w:w="108" w:type="dxa"/>
              <w:right w:w="108" w:type="dxa"/>
            </w:tcMar>
            <w:vAlign w:val="center"/>
          </w:tcPr>
          <w:p w14:paraId="6A466E00" w14:textId="3E6FF61D" w:rsidR="009F3D69" w:rsidRDefault="009F3D69" w:rsidP="00E54452">
            <w:pPr>
              <w:keepNext/>
              <w:rPr>
                <w:rFonts w:ascii="Arial Narrow" w:eastAsia="Arial Narrow" w:hAnsi="Arial Narrow" w:cs="Arial Narrow"/>
                <w:sz w:val="20"/>
                <w:szCs w:val="20"/>
              </w:rPr>
            </w:pPr>
            <w:proofErr w:type="spellStart"/>
            <w:r>
              <w:rPr>
                <w:rFonts w:ascii="Arial Narrow" w:hAnsi="Arial Narrow"/>
                <w:sz w:val="20"/>
              </w:rPr>
              <w:t>momelotinib</w:t>
            </w:r>
            <w:proofErr w:type="spellEnd"/>
            <w:r>
              <w:rPr>
                <w:rFonts w:ascii="Arial Narrow" w:hAnsi="Arial Narrow"/>
                <w:sz w:val="20"/>
              </w:rPr>
              <w:t xml:space="preserve"> 200mg tablet, 30</w:t>
            </w:r>
          </w:p>
        </w:tc>
        <w:tc>
          <w:tcPr>
            <w:tcW w:w="1094" w:type="dxa"/>
            <w:tcMar>
              <w:left w:w="108" w:type="dxa"/>
              <w:right w:w="108" w:type="dxa"/>
            </w:tcMar>
            <w:vAlign w:val="center"/>
          </w:tcPr>
          <w:p w14:paraId="2AF6EC9D" w14:textId="77777777" w:rsidR="009F3D69" w:rsidRPr="00AC7DB5" w:rsidRDefault="009F3D69">
            <w:pPr>
              <w:jc w:val="center"/>
              <w:rPr>
                <w:rFonts w:ascii="Arial Narrow" w:eastAsia="Arial Narrow" w:hAnsi="Arial Narrow" w:cs="Arial Narrow"/>
                <w:sz w:val="20"/>
                <w:szCs w:val="20"/>
              </w:rPr>
            </w:pPr>
            <w:r>
              <w:rPr>
                <w:rFonts w:ascii="Arial Narrow" w:hAnsi="Arial Narrow"/>
                <w:sz w:val="20"/>
              </w:rPr>
              <w:t>14770J</w:t>
            </w:r>
          </w:p>
        </w:tc>
        <w:tc>
          <w:tcPr>
            <w:tcW w:w="765" w:type="dxa"/>
            <w:tcMar>
              <w:left w:w="108" w:type="dxa"/>
              <w:right w:w="108" w:type="dxa"/>
            </w:tcMar>
            <w:vAlign w:val="center"/>
          </w:tcPr>
          <w:p w14:paraId="5DE00B1D"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1</w:t>
            </w:r>
          </w:p>
        </w:tc>
        <w:tc>
          <w:tcPr>
            <w:tcW w:w="690" w:type="dxa"/>
            <w:tcMar>
              <w:left w:w="108" w:type="dxa"/>
              <w:right w:w="108" w:type="dxa"/>
            </w:tcMar>
            <w:vAlign w:val="center"/>
          </w:tcPr>
          <w:p w14:paraId="77174DB2"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30</w:t>
            </w:r>
          </w:p>
        </w:tc>
        <w:tc>
          <w:tcPr>
            <w:tcW w:w="765" w:type="dxa"/>
            <w:tcMar>
              <w:left w:w="108" w:type="dxa"/>
              <w:right w:w="108" w:type="dxa"/>
            </w:tcMar>
            <w:vAlign w:val="center"/>
          </w:tcPr>
          <w:p w14:paraId="540C90A9" w14:textId="77777777" w:rsidR="009F3D69" w:rsidRPr="008605EF" w:rsidRDefault="009F3D69">
            <w:pPr>
              <w:jc w:val="center"/>
              <w:rPr>
                <w:rFonts w:ascii="Arial Narrow" w:eastAsia="Arial Narrow" w:hAnsi="Arial Narrow" w:cs="Arial Narrow"/>
                <w:sz w:val="20"/>
                <w:szCs w:val="20"/>
              </w:rPr>
            </w:pPr>
            <w:r w:rsidRPr="008605EF">
              <w:rPr>
                <w:rFonts w:ascii="Arial Narrow" w:eastAsia="Arial Narrow" w:hAnsi="Arial Narrow" w:cs="Arial Narrow"/>
                <w:sz w:val="20"/>
                <w:szCs w:val="20"/>
              </w:rPr>
              <w:t>5</w:t>
            </w:r>
          </w:p>
        </w:tc>
        <w:tc>
          <w:tcPr>
            <w:tcW w:w="1322" w:type="dxa"/>
            <w:tcMar>
              <w:left w:w="108" w:type="dxa"/>
              <w:right w:w="108" w:type="dxa"/>
            </w:tcMar>
            <w:vAlign w:val="center"/>
          </w:tcPr>
          <w:p w14:paraId="01168BEC" w14:textId="72B1FF98" w:rsidR="009F3D69" w:rsidRPr="008605EF" w:rsidRDefault="71570840" w:rsidP="434C36E0">
            <w:pPr>
              <w:spacing w:line="259" w:lineRule="auto"/>
              <w:rPr>
                <w:rFonts w:ascii="Arial Narrow" w:eastAsia="Arial Narrow" w:hAnsi="Arial Narrow" w:cs="Arial Narrow"/>
                <w:sz w:val="20"/>
                <w:szCs w:val="20"/>
              </w:rPr>
            </w:pPr>
            <w:proofErr w:type="spellStart"/>
            <w:r w:rsidRPr="434C36E0">
              <w:rPr>
                <w:rFonts w:ascii="Arial Narrow" w:eastAsia="Arial Narrow" w:hAnsi="Arial Narrow" w:cs="Arial Narrow"/>
                <w:sz w:val="20"/>
                <w:szCs w:val="20"/>
              </w:rPr>
              <w:t>omjarra</w:t>
            </w:r>
            <w:proofErr w:type="spellEnd"/>
            <w:r w:rsidR="32A50C26" w:rsidRPr="434C36E0">
              <w:rPr>
                <w:rFonts w:eastAsia="Calibri" w:cs="Calibri"/>
                <w:lang w:val="en-GB"/>
              </w:rPr>
              <w:t>®</w:t>
            </w:r>
          </w:p>
        </w:tc>
      </w:tr>
      <w:tr w:rsidR="009F3D69" w14:paraId="7C5600FA" w14:textId="77777777" w:rsidTr="434C36E0">
        <w:trPr>
          <w:trHeight w:val="15"/>
        </w:trPr>
        <w:tc>
          <w:tcPr>
            <w:tcW w:w="9006" w:type="dxa"/>
            <w:gridSpan w:val="7"/>
            <w:tcMar>
              <w:left w:w="108" w:type="dxa"/>
              <w:right w:w="108" w:type="dxa"/>
            </w:tcMar>
            <w:vAlign w:val="center"/>
          </w:tcPr>
          <w:p w14:paraId="549F3F8E" w14:textId="77777777" w:rsidR="009F3D69" w:rsidRPr="7093FE7D" w:rsidRDefault="009F3D69" w:rsidP="00E54452">
            <w:pPr>
              <w:keepNext/>
              <w:spacing w:line="259" w:lineRule="auto"/>
              <w:rPr>
                <w:rFonts w:ascii="Arial Narrow" w:eastAsia="Arial Narrow" w:hAnsi="Arial Narrow" w:cs="Arial Narrow"/>
                <w:sz w:val="20"/>
                <w:szCs w:val="20"/>
              </w:rPr>
            </w:pPr>
          </w:p>
        </w:tc>
      </w:tr>
      <w:tr w:rsidR="009F3D69" w14:paraId="3EB87FC9" w14:textId="77777777" w:rsidTr="434C36E0">
        <w:trPr>
          <w:trHeight w:val="355"/>
        </w:trPr>
        <w:tc>
          <w:tcPr>
            <w:tcW w:w="1274" w:type="dxa"/>
            <w:vMerge w:val="restart"/>
            <w:tcMar>
              <w:top w:w="15" w:type="dxa"/>
              <w:left w:w="108" w:type="dxa"/>
              <w:bottom w:w="15" w:type="dxa"/>
              <w:right w:w="108" w:type="dxa"/>
            </w:tcMar>
          </w:tcPr>
          <w:p w14:paraId="21711067" w14:textId="4D1821EC" w:rsidR="009F3D69" w:rsidRDefault="009F3D69" w:rsidP="00E54452">
            <w:pPr>
              <w:keepNext/>
              <w:jc w:val="center"/>
            </w:pPr>
          </w:p>
        </w:tc>
        <w:tc>
          <w:tcPr>
            <w:tcW w:w="7732" w:type="dxa"/>
            <w:gridSpan w:val="6"/>
            <w:tcMar>
              <w:top w:w="15" w:type="dxa"/>
              <w:left w:w="108" w:type="dxa"/>
              <w:bottom w:w="15" w:type="dxa"/>
              <w:right w:w="108" w:type="dxa"/>
            </w:tcMar>
            <w:vAlign w:val="center"/>
          </w:tcPr>
          <w:p w14:paraId="098F13B7" w14:textId="77777777" w:rsidR="009F3D69" w:rsidRDefault="009F3D69">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50F41438" w14:textId="77777777" w:rsidR="009F3D69" w:rsidRDefault="009F3D69">
            <w:pPr>
              <w:jc w:val="left"/>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7093FE7D">
              <w:rPr>
                <w:rFonts w:ascii="Arial Narrow" w:eastAsia="Arial Narrow" w:hAnsi="Arial Narrow" w:cs="Arial Narrow"/>
                <w:sz w:val="20"/>
                <w:szCs w:val="20"/>
              </w:rPr>
              <w:t xml:space="preserve">GENERAL - General Schedule (Code GE) </w:t>
            </w:r>
          </w:p>
        </w:tc>
      </w:tr>
      <w:tr w:rsidR="009F3D69" w14:paraId="4CAF7807" w14:textId="77777777" w:rsidTr="434C36E0">
        <w:trPr>
          <w:trHeight w:val="15"/>
        </w:trPr>
        <w:tc>
          <w:tcPr>
            <w:tcW w:w="1274" w:type="dxa"/>
            <w:vMerge/>
            <w:vAlign w:val="center"/>
          </w:tcPr>
          <w:p w14:paraId="470B1AE2" w14:textId="77777777" w:rsidR="009F3D69" w:rsidRDefault="009F3D69" w:rsidP="00E54452">
            <w:pPr>
              <w:keepNext/>
            </w:pPr>
          </w:p>
        </w:tc>
        <w:tc>
          <w:tcPr>
            <w:tcW w:w="7732" w:type="dxa"/>
            <w:gridSpan w:val="6"/>
            <w:tcMar>
              <w:top w:w="15" w:type="dxa"/>
              <w:left w:w="108" w:type="dxa"/>
              <w:bottom w:w="15" w:type="dxa"/>
              <w:right w:w="108" w:type="dxa"/>
            </w:tcMar>
            <w:vAlign w:val="center"/>
          </w:tcPr>
          <w:p w14:paraId="10133A47" w14:textId="77777777" w:rsidR="009F3D69" w:rsidRPr="0088789D" w:rsidRDefault="009F3D69">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Pr>
                <w:rFonts w:ascii="Arial Narrow" w:eastAsia="Arial Narrow" w:hAnsi="Arial Narrow" w:cs="Arial Narrow"/>
                <w:b/>
                <w:bCs/>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sidRPr="00082D21">
              <w:rPr>
                <w:rFonts w:ascii="Arial Narrow" w:hAnsi="Arial Narrow" w:cs="Arial"/>
                <w:i/>
                <w:iCs/>
                <w:sz w:val="20"/>
                <w:szCs w:val="20"/>
              </w:rPr>
              <w:fldChar w:fldCharType="begin">
                <w:ffData>
                  <w:name w:val=""/>
                  <w:enabled/>
                  <w:calcOnExit w:val="0"/>
                  <w:checkBox>
                    <w:sizeAuto/>
                    <w:default w:val="1"/>
                  </w:checkBox>
                </w:ffData>
              </w:fldChar>
            </w:r>
            <w:r w:rsidRPr="00082D21">
              <w:rPr>
                <w:rFonts w:ascii="Arial Narrow" w:hAnsi="Arial Narrow" w:cs="Arial"/>
                <w:i/>
                <w:iCs/>
                <w:sz w:val="20"/>
                <w:szCs w:val="20"/>
              </w:rPr>
              <w:instrText xml:space="preserve"> FORMCHECKBOX </w:instrText>
            </w:r>
            <w:r w:rsidRPr="00082D21">
              <w:rPr>
                <w:rFonts w:ascii="Arial Narrow" w:hAnsi="Arial Narrow" w:cs="Arial"/>
                <w:i/>
                <w:iCs/>
                <w:sz w:val="20"/>
                <w:szCs w:val="20"/>
              </w:rPr>
            </w:r>
            <w:r w:rsidRPr="00082D21">
              <w:rPr>
                <w:rFonts w:ascii="Arial Narrow" w:hAnsi="Arial Narrow" w:cs="Arial"/>
                <w:i/>
                <w:iCs/>
                <w:sz w:val="20"/>
                <w:szCs w:val="20"/>
              </w:rPr>
              <w:fldChar w:fldCharType="separate"/>
            </w:r>
            <w:r w:rsidRPr="00082D21">
              <w:rPr>
                <w:rFonts w:ascii="Arial Narrow" w:hAnsi="Arial Narrow" w:cs="Arial"/>
                <w:i/>
                <w:iCs/>
                <w:sz w:val="20"/>
                <w:szCs w:val="20"/>
              </w:rPr>
              <w:fldChar w:fldCharType="end"/>
            </w:r>
            <w:r w:rsidRPr="00082D21">
              <w:rPr>
                <w:rFonts w:ascii="Arial Narrow" w:hAnsi="Arial Narrow" w:cs="Arial"/>
                <w:i/>
                <w:iCs/>
                <w:sz w:val="20"/>
                <w:szCs w:val="20"/>
              </w:rPr>
              <w:t xml:space="preserve"> </w:t>
            </w:r>
            <w:r w:rsidRPr="00082D21">
              <w:rPr>
                <w:rFonts w:ascii="Arial Narrow" w:eastAsia="Arial Narrow" w:hAnsi="Arial Narrow" w:cs="Arial Narrow"/>
                <w:i/>
                <w:iCs/>
                <w:sz w:val="20"/>
                <w:szCs w:val="20"/>
              </w:rPr>
              <w:t>Nurse Practitioners</w:t>
            </w:r>
            <w:r w:rsidRPr="0088789D">
              <w:rPr>
                <w:rFonts w:ascii="Arial Narrow" w:eastAsia="Arial Narrow" w:hAnsi="Arial Narrow" w:cs="Arial Narrow"/>
                <w:sz w:val="20"/>
                <w:szCs w:val="20"/>
              </w:rPr>
              <w:t xml:space="preserve"> </w:t>
            </w:r>
          </w:p>
        </w:tc>
      </w:tr>
      <w:tr w:rsidR="009F3D69" w14:paraId="6970E9E5" w14:textId="77777777" w:rsidTr="434C36E0">
        <w:trPr>
          <w:trHeight w:val="15"/>
        </w:trPr>
        <w:tc>
          <w:tcPr>
            <w:tcW w:w="1274" w:type="dxa"/>
            <w:vMerge/>
            <w:vAlign w:val="center"/>
          </w:tcPr>
          <w:p w14:paraId="029C9444" w14:textId="77777777" w:rsidR="009F3D69" w:rsidRDefault="009F3D69" w:rsidP="00E54452">
            <w:pPr>
              <w:keepNext/>
            </w:pPr>
          </w:p>
        </w:tc>
        <w:tc>
          <w:tcPr>
            <w:tcW w:w="7732" w:type="dxa"/>
            <w:gridSpan w:val="6"/>
            <w:tcMar>
              <w:top w:w="15" w:type="dxa"/>
              <w:left w:w="108" w:type="dxa"/>
              <w:bottom w:w="15" w:type="dxa"/>
              <w:right w:w="108" w:type="dxa"/>
            </w:tcMar>
            <w:vAlign w:val="center"/>
          </w:tcPr>
          <w:p w14:paraId="4BF0A183" w14:textId="77777777" w:rsidR="009F3D69" w:rsidRPr="00B45840" w:rsidRDefault="009F3D69">
            <w:pPr>
              <w:rPr>
                <w:rFonts w:ascii="Arial Narrow" w:eastAsia="Arial Narrow" w:hAnsi="Arial Narrow" w:cs="Arial Narrow"/>
                <w:sz w:val="20"/>
                <w:szCs w:val="20"/>
              </w:rPr>
            </w:pPr>
            <w:r w:rsidRPr="7093FE7D">
              <w:rPr>
                <w:rFonts w:ascii="Arial Narrow" w:eastAsia="Arial Narrow" w:hAnsi="Arial Narrow" w:cs="Arial Narrow"/>
                <w:b/>
                <w:bCs/>
                <w:sz w:val="20"/>
                <w:szCs w:val="20"/>
              </w:rPr>
              <w:t xml:space="preserve">Restriction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90600A">
              <w:rPr>
                <w:rFonts w:ascii="Arial Narrow" w:eastAsia="Arial Narrow" w:hAnsi="Arial Narrow" w:cs="Arial Narrow"/>
                <w:sz w:val="20"/>
                <w:szCs w:val="20"/>
              </w:rPr>
              <w:t>Authority Required (STREAMLINED)</w:t>
            </w:r>
          </w:p>
        </w:tc>
      </w:tr>
      <w:tr w:rsidR="009F3D69" w14:paraId="50BE3AD8" w14:textId="77777777" w:rsidTr="434C36E0">
        <w:trPr>
          <w:trHeight w:val="15"/>
        </w:trPr>
        <w:tc>
          <w:tcPr>
            <w:tcW w:w="1274" w:type="dxa"/>
            <w:tcMar>
              <w:top w:w="15" w:type="dxa"/>
              <w:left w:w="108" w:type="dxa"/>
              <w:bottom w:w="15" w:type="dxa"/>
              <w:right w:w="108" w:type="dxa"/>
            </w:tcMar>
            <w:vAlign w:val="center"/>
          </w:tcPr>
          <w:p w14:paraId="2BC9D5BA" w14:textId="31DA3EC4" w:rsidR="009F3D69" w:rsidRPr="004D1863" w:rsidRDefault="009F3D69" w:rsidP="00E54452">
            <w:pPr>
              <w:keepNext/>
              <w:jc w:val="center"/>
            </w:pPr>
          </w:p>
        </w:tc>
        <w:tc>
          <w:tcPr>
            <w:tcW w:w="7732" w:type="dxa"/>
            <w:gridSpan w:val="6"/>
            <w:tcMar>
              <w:top w:w="15" w:type="dxa"/>
              <w:left w:w="108" w:type="dxa"/>
              <w:bottom w:w="15" w:type="dxa"/>
              <w:right w:w="108" w:type="dxa"/>
            </w:tcMar>
            <w:vAlign w:val="center"/>
          </w:tcPr>
          <w:p w14:paraId="79190ABF" w14:textId="77777777" w:rsidR="009F3D69" w:rsidRDefault="009F3D69">
            <w:pPr>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sidRPr="00B950E2">
              <w:rPr>
                <w:rFonts w:ascii="Arial Narrow" w:hAnsi="Arial Narrow" w:cstheme="minorBidi"/>
                <w:sz w:val="20"/>
              </w:rPr>
              <w:t>Intermediate-1 risk myelofibrosis</w:t>
            </w:r>
          </w:p>
        </w:tc>
      </w:tr>
      <w:tr w:rsidR="009F3D69" w14:paraId="7609B330" w14:textId="77777777" w:rsidTr="434C36E0">
        <w:trPr>
          <w:trHeight w:val="480"/>
        </w:trPr>
        <w:tc>
          <w:tcPr>
            <w:tcW w:w="1274" w:type="dxa"/>
            <w:tcMar>
              <w:top w:w="15" w:type="dxa"/>
              <w:left w:w="108" w:type="dxa"/>
              <w:bottom w:w="15" w:type="dxa"/>
              <w:right w:w="108" w:type="dxa"/>
            </w:tcMar>
            <w:vAlign w:val="center"/>
          </w:tcPr>
          <w:p w14:paraId="2CE45B3E" w14:textId="77777777" w:rsidR="009F3D69" w:rsidRDefault="009F3D69" w:rsidP="00E54452">
            <w:pPr>
              <w:keepNext/>
            </w:pPr>
          </w:p>
        </w:tc>
        <w:tc>
          <w:tcPr>
            <w:tcW w:w="7732" w:type="dxa"/>
            <w:gridSpan w:val="6"/>
            <w:tcMar>
              <w:top w:w="15" w:type="dxa"/>
              <w:left w:w="108" w:type="dxa"/>
              <w:bottom w:w="15" w:type="dxa"/>
              <w:right w:w="108" w:type="dxa"/>
            </w:tcMar>
            <w:vAlign w:val="center"/>
          </w:tcPr>
          <w:p w14:paraId="4F8D2D25" w14:textId="77777777" w:rsidR="009F3D69" w:rsidRDefault="009F3D69">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Continuing treatment</w:t>
            </w:r>
          </w:p>
        </w:tc>
      </w:tr>
      <w:tr w:rsidR="009F3D69" w14:paraId="0E4594D1" w14:textId="77777777" w:rsidTr="434C36E0">
        <w:trPr>
          <w:trHeight w:val="342"/>
        </w:trPr>
        <w:tc>
          <w:tcPr>
            <w:tcW w:w="1274" w:type="dxa"/>
            <w:tcMar>
              <w:top w:w="15" w:type="dxa"/>
              <w:left w:w="108" w:type="dxa"/>
              <w:bottom w:w="15" w:type="dxa"/>
              <w:right w:w="108" w:type="dxa"/>
            </w:tcMar>
            <w:vAlign w:val="center"/>
          </w:tcPr>
          <w:p w14:paraId="6D2C34F7" w14:textId="1CA6AB7D" w:rsidR="009F3D69" w:rsidRDefault="009F3D69" w:rsidP="00E54452">
            <w:pPr>
              <w:keepNext/>
              <w:jc w:val="center"/>
            </w:pPr>
          </w:p>
        </w:tc>
        <w:tc>
          <w:tcPr>
            <w:tcW w:w="7732" w:type="dxa"/>
            <w:gridSpan w:val="6"/>
            <w:tcMar>
              <w:top w:w="15" w:type="dxa"/>
              <w:left w:w="108" w:type="dxa"/>
              <w:bottom w:w="15" w:type="dxa"/>
              <w:right w:w="108" w:type="dxa"/>
            </w:tcMar>
            <w:vAlign w:val="center"/>
          </w:tcPr>
          <w:p w14:paraId="53F8E3BC" w14:textId="77777777" w:rsidR="009F3D69" w:rsidRPr="7093FE7D" w:rsidRDefault="009F3D69">
            <w:pPr>
              <w:rPr>
                <w:rFonts w:ascii="Arial Narrow" w:eastAsia="Arial Narrow" w:hAnsi="Arial Narrow" w:cs="Arial Narrow"/>
                <w:b/>
                <w:bCs/>
                <w:sz w:val="20"/>
                <w:szCs w:val="20"/>
              </w:rPr>
            </w:pPr>
            <w:r>
              <w:rPr>
                <w:rFonts w:ascii="Arial Narrow" w:eastAsia="Arial Narrow" w:hAnsi="Arial Narrow" w:cs="Arial Narrow"/>
                <w:b/>
                <w:bCs/>
                <w:i/>
                <w:iCs/>
                <w:sz w:val="20"/>
                <w:szCs w:val="20"/>
              </w:rPr>
              <w:t xml:space="preserve">Treatment criteria: </w:t>
            </w:r>
          </w:p>
        </w:tc>
      </w:tr>
      <w:tr w:rsidR="009F3D69" w14:paraId="4158055C" w14:textId="77777777" w:rsidTr="434C36E0">
        <w:trPr>
          <w:trHeight w:val="376"/>
        </w:trPr>
        <w:tc>
          <w:tcPr>
            <w:tcW w:w="1274" w:type="dxa"/>
            <w:tcMar>
              <w:top w:w="15" w:type="dxa"/>
              <w:left w:w="108" w:type="dxa"/>
              <w:bottom w:w="15" w:type="dxa"/>
              <w:right w:w="108" w:type="dxa"/>
            </w:tcMar>
            <w:vAlign w:val="center"/>
          </w:tcPr>
          <w:p w14:paraId="1E6AD086" w14:textId="410D9C6C" w:rsidR="009F3D69" w:rsidRDefault="009F3D69" w:rsidP="00E54452">
            <w:pPr>
              <w:keepNext/>
              <w:jc w:val="center"/>
            </w:pPr>
          </w:p>
        </w:tc>
        <w:tc>
          <w:tcPr>
            <w:tcW w:w="7732" w:type="dxa"/>
            <w:gridSpan w:val="6"/>
            <w:tcMar>
              <w:top w:w="15" w:type="dxa"/>
              <w:left w:w="108" w:type="dxa"/>
              <w:bottom w:w="15" w:type="dxa"/>
              <w:right w:w="108" w:type="dxa"/>
            </w:tcMar>
            <w:vAlign w:val="center"/>
          </w:tcPr>
          <w:p w14:paraId="02CE59CF" w14:textId="77777777" w:rsidR="009F3D69" w:rsidRPr="000D352A" w:rsidRDefault="009F3D69">
            <w:pPr>
              <w:pStyle w:val="3Bodyt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medical practitioner; or </w:t>
            </w:r>
          </w:p>
        </w:tc>
      </w:tr>
      <w:tr w:rsidR="009F3D69" w14:paraId="5E8759C4" w14:textId="77777777" w:rsidTr="434C36E0">
        <w:trPr>
          <w:trHeight w:val="480"/>
        </w:trPr>
        <w:tc>
          <w:tcPr>
            <w:tcW w:w="1274" w:type="dxa"/>
            <w:tcMar>
              <w:top w:w="15" w:type="dxa"/>
              <w:left w:w="108" w:type="dxa"/>
              <w:bottom w:w="15" w:type="dxa"/>
              <w:right w:w="108" w:type="dxa"/>
            </w:tcMar>
            <w:vAlign w:val="center"/>
          </w:tcPr>
          <w:p w14:paraId="68D265E0" w14:textId="4236B60C" w:rsidR="009F3D69" w:rsidRDefault="009F3D69" w:rsidP="00E54452">
            <w:pPr>
              <w:keepNext/>
              <w:jc w:val="center"/>
            </w:pPr>
          </w:p>
        </w:tc>
        <w:tc>
          <w:tcPr>
            <w:tcW w:w="7732" w:type="dxa"/>
            <w:gridSpan w:val="6"/>
            <w:tcMar>
              <w:top w:w="15" w:type="dxa"/>
              <w:left w:w="108" w:type="dxa"/>
              <w:bottom w:w="15" w:type="dxa"/>
              <w:right w:w="108" w:type="dxa"/>
            </w:tcMar>
            <w:vAlign w:val="center"/>
          </w:tcPr>
          <w:p w14:paraId="6A9B2FD8" w14:textId="77777777" w:rsidR="009F3D69" w:rsidRPr="000D352A" w:rsidRDefault="009F3D69">
            <w:pPr>
              <w:pStyle w:val="3Bodyt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nurse practitioner where both of the following are occurring: (</w:t>
            </w:r>
            <w:proofErr w:type="spellStart"/>
            <w:r w:rsidRPr="000A47DF">
              <w:rPr>
                <w:rFonts w:ascii="Arial Narrow" w:eastAsia="Arial Narrow" w:hAnsi="Arial Narrow" w:cs="Arial Narrow"/>
                <w:i/>
                <w:iCs/>
                <w:sz w:val="20"/>
                <w:szCs w:val="20"/>
              </w:rPr>
              <w:t>i</w:t>
            </w:r>
            <w:proofErr w:type="spellEnd"/>
            <w:r w:rsidRPr="000A47DF">
              <w:rPr>
                <w:rFonts w:ascii="Arial Narrow" w:eastAsia="Arial Narrow" w:hAnsi="Arial Narrow" w:cs="Arial Narrow"/>
                <w:i/>
                <w:iCs/>
                <w:sz w:val="20"/>
                <w:szCs w:val="20"/>
              </w:rPr>
              <w:t>) patient care is being shared with a medical practitioner, (ii) the prescription continues existing therapy with this medicine </w:t>
            </w:r>
          </w:p>
        </w:tc>
      </w:tr>
      <w:tr w:rsidR="009F3D69" w14:paraId="4EAED5CC" w14:textId="77777777" w:rsidTr="434C36E0">
        <w:trPr>
          <w:trHeight w:val="15"/>
        </w:trPr>
        <w:tc>
          <w:tcPr>
            <w:tcW w:w="9006" w:type="dxa"/>
            <w:gridSpan w:val="7"/>
            <w:tcMar>
              <w:top w:w="15" w:type="dxa"/>
              <w:left w:w="108" w:type="dxa"/>
              <w:bottom w:w="15" w:type="dxa"/>
              <w:right w:w="108" w:type="dxa"/>
            </w:tcMar>
            <w:vAlign w:val="center"/>
          </w:tcPr>
          <w:p w14:paraId="098BAE6A" w14:textId="77777777" w:rsidR="009F3D69" w:rsidRPr="7093FE7D" w:rsidRDefault="009F3D69" w:rsidP="00E54452">
            <w:pPr>
              <w:keepNext/>
              <w:rPr>
                <w:rFonts w:ascii="Arial Narrow" w:eastAsia="Arial Narrow" w:hAnsi="Arial Narrow" w:cs="Arial Narrow"/>
                <w:b/>
                <w:bCs/>
                <w:sz w:val="20"/>
                <w:szCs w:val="20"/>
              </w:rPr>
            </w:pPr>
          </w:p>
        </w:tc>
      </w:tr>
      <w:tr w:rsidR="009F3D69" w14:paraId="262C0817" w14:textId="77777777" w:rsidTr="434C36E0">
        <w:trPr>
          <w:trHeight w:val="355"/>
        </w:trPr>
        <w:tc>
          <w:tcPr>
            <w:tcW w:w="1274" w:type="dxa"/>
            <w:vMerge w:val="restart"/>
            <w:tcMar>
              <w:top w:w="15" w:type="dxa"/>
              <w:left w:w="108" w:type="dxa"/>
              <w:bottom w:w="15" w:type="dxa"/>
              <w:right w:w="108" w:type="dxa"/>
            </w:tcMar>
          </w:tcPr>
          <w:p w14:paraId="0FB52216" w14:textId="6A16F160" w:rsidR="009F3D69" w:rsidRDefault="009F3D69" w:rsidP="00E54452">
            <w:pPr>
              <w:keepNext/>
              <w:jc w:val="center"/>
            </w:pPr>
          </w:p>
        </w:tc>
        <w:tc>
          <w:tcPr>
            <w:tcW w:w="7732" w:type="dxa"/>
            <w:gridSpan w:val="6"/>
            <w:tcMar>
              <w:top w:w="15" w:type="dxa"/>
              <w:left w:w="108" w:type="dxa"/>
              <w:bottom w:w="15" w:type="dxa"/>
              <w:right w:w="108" w:type="dxa"/>
            </w:tcMar>
            <w:vAlign w:val="center"/>
          </w:tcPr>
          <w:p w14:paraId="32E970C6" w14:textId="77777777" w:rsidR="009F3D69" w:rsidRDefault="009F3D69">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40981A0C" w14:textId="77777777" w:rsidR="009F3D69" w:rsidRDefault="009F3D69">
            <w:pPr>
              <w:jc w:val="left"/>
            </w:pPr>
            <w:r w:rsidRPr="7093FE7D">
              <w:rPr>
                <w:rFonts w:ascii="Arial Narrow" w:eastAsia="Arial Narrow" w:hAnsi="Arial Narrow" w:cs="Arial Narrow"/>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 xml:space="preserve">GENERAL - General Schedule (Code GE) </w:t>
            </w:r>
          </w:p>
        </w:tc>
      </w:tr>
      <w:tr w:rsidR="009F3D69" w14:paraId="18E33102" w14:textId="77777777" w:rsidTr="434C36E0">
        <w:trPr>
          <w:trHeight w:val="15"/>
        </w:trPr>
        <w:tc>
          <w:tcPr>
            <w:tcW w:w="1274" w:type="dxa"/>
            <w:vMerge/>
            <w:vAlign w:val="center"/>
          </w:tcPr>
          <w:p w14:paraId="023F2A02" w14:textId="77777777" w:rsidR="009F3D69" w:rsidRDefault="009F3D69" w:rsidP="00E54452">
            <w:pPr>
              <w:keepNext/>
            </w:pPr>
          </w:p>
        </w:tc>
        <w:tc>
          <w:tcPr>
            <w:tcW w:w="7732" w:type="dxa"/>
            <w:gridSpan w:val="6"/>
            <w:tcMar>
              <w:top w:w="15" w:type="dxa"/>
              <w:left w:w="108" w:type="dxa"/>
              <w:bottom w:w="15" w:type="dxa"/>
              <w:right w:w="108" w:type="dxa"/>
            </w:tcMar>
            <w:vAlign w:val="center"/>
          </w:tcPr>
          <w:p w14:paraId="4C3B456C" w14:textId="77777777" w:rsidR="009F3D69" w:rsidRPr="0088789D" w:rsidRDefault="009F3D69">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sidRPr="00082D21">
              <w:rPr>
                <w:rFonts w:ascii="Arial Narrow" w:hAnsi="Arial Narrow" w:cs="Arial"/>
                <w:i/>
                <w:iCs/>
                <w:sz w:val="20"/>
                <w:szCs w:val="20"/>
              </w:rPr>
              <w:fldChar w:fldCharType="begin">
                <w:ffData>
                  <w:name w:val=""/>
                  <w:enabled/>
                  <w:calcOnExit w:val="0"/>
                  <w:checkBox>
                    <w:sizeAuto/>
                    <w:default w:val="1"/>
                  </w:checkBox>
                </w:ffData>
              </w:fldChar>
            </w:r>
            <w:r w:rsidRPr="00082D21">
              <w:rPr>
                <w:rFonts w:ascii="Arial Narrow" w:hAnsi="Arial Narrow" w:cs="Arial"/>
                <w:i/>
                <w:iCs/>
                <w:sz w:val="20"/>
                <w:szCs w:val="20"/>
              </w:rPr>
              <w:instrText xml:space="preserve"> FORMCHECKBOX </w:instrText>
            </w:r>
            <w:r w:rsidRPr="00082D21">
              <w:rPr>
                <w:rFonts w:ascii="Arial Narrow" w:hAnsi="Arial Narrow" w:cs="Arial"/>
                <w:i/>
                <w:iCs/>
                <w:sz w:val="20"/>
                <w:szCs w:val="20"/>
              </w:rPr>
            </w:r>
            <w:r w:rsidRPr="00082D21">
              <w:rPr>
                <w:rFonts w:ascii="Arial Narrow" w:hAnsi="Arial Narrow" w:cs="Arial"/>
                <w:i/>
                <w:iCs/>
                <w:sz w:val="20"/>
                <w:szCs w:val="20"/>
              </w:rPr>
              <w:fldChar w:fldCharType="separate"/>
            </w:r>
            <w:r w:rsidRPr="00082D21">
              <w:rPr>
                <w:rFonts w:ascii="Arial Narrow" w:hAnsi="Arial Narrow" w:cs="Arial"/>
                <w:i/>
                <w:iCs/>
                <w:sz w:val="20"/>
                <w:szCs w:val="20"/>
              </w:rPr>
              <w:fldChar w:fldCharType="end"/>
            </w:r>
            <w:r w:rsidRPr="00082D21">
              <w:rPr>
                <w:rFonts w:ascii="Arial Narrow" w:hAnsi="Arial Narrow" w:cs="Arial"/>
                <w:i/>
                <w:iCs/>
                <w:sz w:val="20"/>
                <w:szCs w:val="20"/>
              </w:rPr>
              <w:t xml:space="preserve"> </w:t>
            </w:r>
            <w:r w:rsidRPr="00082D21">
              <w:rPr>
                <w:rFonts w:ascii="Arial Narrow" w:eastAsia="Arial Narrow" w:hAnsi="Arial Narrow" w:cs="Arial Narrow"/>
                <w:i/>
                <w:iCs/>
                <w:sz w:val="20"/>
                <w:szCs w:val="20"/>
              </w:rPr>
              <w:t>Nurse Practitioners</w:t>
            </w:r>
            <w:r w:rsidRPr="0088789D">
              <w:rPr>
                <w:rFonts w:ascii="Arial Narrow" w:eastAsia="Arial Narrow" w:hAnsi="Arial Narrow" w:cs="Arial Narrow"/>
                <w:sz w:val="20"/>
                <w:szCs w:val="20"/>
              </w:rPr>
              <w:t xml:space="preserve"> </w:t>
            </w:r>
          </w:p>
        </w:tc>
      </w:tr>
      <w:tr w:rsidR="009F3D69" w14:paraId="504D7073" w14:textId="77777777" w:rsidTr="434C36E0">
        <w:trPr>
          <w:trHeight w:val="15"/>
        </w:trPr>
        <w:tc>
          <w:tcPr>
            <w:tcW w:w="1274" w:type="dxa"/>
            <w:vMerge/>
            <w:vAlign w:val="center"/>
          </w:tcPr>
          <w:p w14:paraId="5EDBCC00" w14:textId="77777777" w:rsidR="009F3D69" w:rsidRDefault="009F3D69" w:rsidP="00E54452">
            <w:pPr>
              <w:keepNext/>
            </w:pPr>
          </w:p>
        </w:tc>
        <w:tc>
          <w:tcPr>
            <w:tcW w:w="7732" w:type="dxa"/>
            <w:gridSpan w:val="6"/>
            <w:tcMar>
              <w:top w:w="15" w:type="dxa"/>
              <w:left w:w="108" w:type="dxa"/>
              <w:bottom w:w="15" w:type="dxa"/>
              <w:right w:w="108" w:type="dxa"/>
            </w:tcMar>
            <w:vAlign w:val="center"/>
          </w:tcPr>
          <w:p w14:paraId="312E17A2" w14:textId="77777777" w:rsidR="009F3D69" w:rsidRPr="00B45840" w:rsidRDefault="009F3D69">
            <w:pPr>
              <w:rPr>
                <w:rFonts w:ascii="Arial Narrow" w:eastAsia="Arial Narrow" w:hAnsi="Arial Narrow" w:cs="Arial Narrow"/>
                <w:sz w:val="20"/>
                <w:szCs w:val="20"/>
              </w:rPr>
            </w:pPr>
            <w:r w:rsidRPr="7093FE7D">
              <w:rPr>
                <w:rFonts w:ascii="Arial Narrow" w:eastAsia="Arial Narrow" w:hAnsi="Arial Narrow" w:cs="Arial Narrow"/>
                <w:b/>
                <w:bCs/>
                <w:sz w:val="20"/>
                <w:szCs w:val="20"/>
              </w:rPr>
              <w:t xml:space="preserve">Restriction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90600A">
              <w:rPr>
                <w:rFonts w:ascii="Arial Narrow" w:eastAsia="Arial Narrow" w:hAnsi="Arial Narrow" w:cs="Arial Narrow"/>
                <w:sz w:val="20"/>
                <w:szCs w:val="20"/>
              </w:rPr>
              <w:t>Authority Required (STREAMLINED)</w:t>
            </w:r>
          </w:p>
        </w:tc>
      </w:tr>
      <w:tr w:rsidR="009F3D69" w14:paraId="407EEFA4" w14:textId="77777777" w:rsidTr="434C36E0">
        <w:trPr>
          <w:trHeight w:val="15"/>
        </w:trPr>
        <w:tc>
          <w:tcPr>
            <w:tcW w:w="1274" w:type="dxa"/>
            <w:tcMar>
              <w:top w:w="15" w:type="dxa"/>
              <w:left w:w="108" w:type="dxa"/>
              <w:bottom w:w="15" w:type="dxa"/>
              <w:right w:w="108" w:type="dxa"/>
            </w:tcMar>
            <w:vAlign w:val="center"/>
          </w:tcPr>
          <w:p w14:paraId="45DFDA5F" w14:textId="0D36E930" w:rsidR="009F3D69" w:rsidRPr="004D1863" w:rsidRDefault="009F3D69" w:rsidP="00E54452">
            <w:pPr>
              <w:keepNext/>
              <w:jc w:val="center"/>
            </w:pPr>
          </w:p>
        </w:tc>
        <w:tc>
          <w:tcPr>
            <w:tcW w:w="7732" w:type="dxa"/>
            <w:gridSpan w:val="6"/>
            <w:tcMar>
              <w:top w:w="15" w:type="dxa"/>
              <w:left w:w="108" w:type="dxa"/>
              <w:bottom w:w="15" w:type="dxa"/>
              <w:right w:w="108" w:type="dxa"/>
            </w:tcMar>
            <w:vAlign w:val="center"/>
          </w:tcPr>
          <w:p w14:paraId="37C94C3F" w14:textId="77777777" w:rsidR="009F3D69" w:rsidRDefault="009F3D69">
            <w:pPr>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High-risk and </w:t>
            </w:r>
            <w:r w:rsidRPr="00B950E2">
              <w:rPr>
                <w:rFonts w:ascii="Arial Narrow" w:hAnsi="Arial Narrow" w:cstheme="minorBidi"/>
                <w:sz w:val="20"/>
              </w:rPr>
              <w:t>Intermediate-</w:t>
            </w:r>
            <w:r>
              <w:rPr>
                <w:rFonts w:ascii="Arial Narrow" w:hAnsi="Arial Narrow" w:cstheme="minorBidi"/>
                <w:sz w:val="20"/>
              </w:rPr>
              <w:t>2</w:t>
            </w:r>
            <w:r w:rsidRPr="00B950E2">
              <w:rPr>
                <w:rFonts w:ascii="Arial Narrow" w:hAnsi="Arial Narrow" w:cstheme="minorBidi"/>
                <w:sz w:val="20"/>
              </w:rPr>
              <w:t xml:space="preserve"> risk myelofibrosis</w:t>
            </w:r>
          </w:p>
        </w:tc>
      </w:tr>
      <w:tr w:rsidR="009F3D69" w14:paraId="28B0555D" w14:textId="77777777" w:rsidTr="434C36E0">
        <w:trPr>
          <w:trHeight w:val="480"/>
        </w:trPr>
        <w:tc>
          <w:tcPr>
            <w:tcW w:w="1274" w:type="dxa"/>
            <w:tcMar>
              <w:top w:w="15" w:type="dxa"/>
              <w:left w:w="108" w:type="dxa"/>
              <w:bottom w:w="15" w:type="dxa"/>
              <w:right w:w="108" w:type="dxa"/>
            </w:tcMar>
            <w:vAlign w:val="center"/>
          </w:tcPr>
          <w:p w14:paraId="60BC4FDA" w14:textId="77777777" w:rsidR="009F3D69" w:rsidRDefault="009F3D69" w:rsidP="00E54452">
            <w:pPr>
              <w:keepNext/>
            </w:pPr>
          </w:p>
        </w:tc>
        <w:tc>
          <w:tcPr>
            <w:tcW w:w="7732" w:type="dxa"/>
            <w:gridSpan w:val="6"/>
            <w:tcMar>
              <w:top w:w="15" w:type="dxa"/>
              <w:left w:w="108" w:type="dxa"/>
              <w:bottom w:w="15" w:type="dxa"/>
              <w:right w:w="108" w:type="dxa"/>
            </w:tcMar>
            <w:vAlign w:val="center"/>
          </w:tcPr>
          <w:p w14:paraId="33503FE7" w14:textId="77777777" w:rsidR="009F3D69" w:rsidRDefault="009F3D69">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Continuing treatment</w:t>
            </w:r>
          </w:p>
        </w:tc>
      </w:tr>
      <w:tr w:rsidR="009F3D69" w:rsidRPr="7093FE7D" w14:paraId="60F602CA" w14:textId="77777777" w:rsidTr="434C36E0">
        <w:trPr>
          <w:trHeight w:val="342"/>
        </w:trPr>
        <w:tc>
          <w:tcPr>
            <w:tcW w:w="1274" w:type="dxa"/>
            <w:tcMar>
              <w:top w:w="15" w:type="dxa"/>
              <w:left w:w="108" w:type="dxa"/>
              <w:bottom w:w="15" w:type="dxa"/>
              <w:right w:w="108" w:type="dxa"/>
            </w:tcMar>
            <w:vAlign w:val="center"/>
          </w:tcPr>
          <w:p w14:paraId="0FC79F77" w14:textId="0E9C8CD7" w:rsidR="009F3D69" w:rsidRDefault="009F3D69" w:rsidP="00E54452">
            <w:pPr>
              <w:keepNext/>
              <w:jc w:val="center"/>
            </w:pPr>
          </w:p>
        </w:tc>
        <w:tc>
          <w:tcPr>
            <w:tcW w:w="7732" w:type="dxa"/>
            <w:gridSpan w:val="6"/>
            <w:tcMar>
              <w:top w:w="15" w:type="dxa"/>
              <w:left w:w="108" w:type="dxa"/>
              <w:bottom w:w="15" w:type="dxa"/>
              <w:right w:w="108" w:type="dxa"/>
            </w:tcMar>
            <w:vAlign w:val="center"/>
          </w:tcPr>
          <w:p w14:paraId="783D4110" w14:textId="77777777" w:rsidR="009F3D69" w:rsidRPr="7093FE7D" w:rsidRDefault="009F3D69">
            <w:pPr>
              <w:rPr>
                <w:rFonts w:ascii="Arial Narrow" w:eastAsia="Arial Narrow" w:hAnsi="Arial Narrow" w:cs="Arial Narrow"/>
                <w:b/>
                <w:bCs/>
                <w:sz w:val="20"/>
                <w:szCs w:val="20"/>
              </w:rPr>
            </w:pPr>
            <w:r>
              <w:rPr>
                <w:rFonts w:ascii="Arial Narrow" w:eastAsia="Arial Narrow" w:hAnsi="Arial Narrow" w:cs="Arial Narrow"/>
                <w:b/>
                <w:bCs/>
                <w:i/>
                <w:iCs/>
                <w:sz w:val="20"/>
                <w:szCs w:val="20"/>
              </w:rPr>
              <w:t xml:space="preserve">Treatment criteria: </w:t>
            </w:r>
          </w:p>
        </w:tc>
      </w:tr>
      <w:tr w:rsidR="009F3D69" w:rsidRPr="000D352A" w14:paraId="0FBD7A13" w14:textId="77777777" w:rsidTr="434C36E0">
        <w:trPr>
          <w:trHeight w:val="376"/>
        </w:trPr>
        <w:tc>
          <w:tcPr>
            <w:tcW w:w="1274" w:type="dxa"/>
            <w:tcMar>
              <w:top w:w="15" w:type="dxa"/>
              <w:left w:w="108" w:type="dxa"/>
              <w:bottom w:w="15" w:type="dxa"/>
              <w:right w:w="108" w:type="dxa"/>
            </w:tcMar>
            <w:vAlign w:val="center"/>
          </w:tcPr>
          <w:p w14:paraId="58D5E283" w14:textId="26D3C2A3" w:rsidR="009F3D69" w:rsidRDefault="009F3D69" w:rsidP="00E54452">
            <w:pPr>
              <w:keepNext/>
              <w:jc w:val="center"/>
            </w:pPr>
          </w:p>
        </w:tc>
        <w:tc>
          <w:tcPr>
            <w:tcW w:w="7732" w:type="dxa"/>
            <w:gridSpan w:val="6"/>
            <w:tcMar>
              <w:top w:w="15" w:type="dxa"/>
              <w:left w:w="108" w:type="dxa"/>
              <w:bottom w:w="15" w:type="dxa"/>
              <w:right w:w="108" w:type="dxa"/>
            </w:tcMar>
            <w:vAlign w:val="center"/>
          </w:tcPr>
          <w:p w14:paraId="205FA158" w14:textId="77777777" w:rsidR="009F3D69" w:rsidRPr="000D352A" w:rsidRDefault="009F3D69">
            <w:pPr>
              <w:pStyle w:val="3Bodyt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medical practitioner; or </w:t>
            </w:r>
          </w:p>
        </w:tc>
      </w:tr>
      <w:tr w:rsidR="009F3D69" w:rsidRPr="000D352A" w14:paraId="5622533F" w14:textId="77777777" w:rsidTr="434C36E0">
        <w:trPr>
          <w:trHeight w:val="480"/>
        </w:trPr>
        <w:tc>
          <w:tcPr>
            <w:tcW w:w="1274" w:type="dxa"/>
            <w:tcMar>
              <w:top w:w="15" w:type="dxa"/>
              <w:left w:w="108" w:type="dxa"/>
              <w:bottom w:w="15" w:type="dxa"/>
              <w:right w:w="108" w:type="dxa"/>
            </w:tcMar>
            <w:vAlign w:val="center"/>
          </w:tcPr>
          <w:p w14:paraId="7300DADB" w14:textId="24DEB957" w:rsidR="009F3D69" w:rsidRDefault="009F3D69">
            <w:pPr>
              <w:jc w:val="center"/>
            </w:pPr>
          </w:p>
        </w:tc>
        <w:tc>
          <w:tcPr>
            <w:tcW w:w="7732" w:type="dxa"/>
            <w:gridSpan w:val="6"/>
            <w:tcMar>
              <w:top w:w="15" w:type="dxa"/>
              <w:left w:w="108" w:type="dxa"/>
              <w:bottom w:w="15" w:type="dxa"/>
              <w:right w:w="108" w:type="dxa"/>
            </w:tcMar>
            <w:vAlign w:val="center"/>
          </w:tcPr>
          <w:p w14:paraId="02D8E6FE" w14:textId="77777777" w:rsidR="009F3D69" w:rsidRPr="000D352A" w:rsidRDefault="009F3D69">
            <w:pPr>
              <w:pStyle w:val="3Bodytext"/>
              <w:spacing w:before="0"/>
              <w:rPr>
                <w:rFonts w:ascii="Arial Narrow" w:hAnsi="Arial Narrow" w:cstheme="minorHAnsi"/>
                <w:b/>
                <w:i/>
                <w:iCs/>
                <w:sz w:val="20"/>
              </w:rPr>
            </w:pPr>
            <w:r w:rsidRPr="000A47DF">
              <w:rPr>
                <w:rFonts w:ascii="Arial Narrow" w:eastAsia="Arial Narrow" w:hAnsi="Arial Narrow" w:cs="Arial Narrow"/>
                <w:i/>
                <w:iCs/>
                <w:sz w:val="20"/>
                <w:szCs w:val="20"/>
              </w:rPr>
              <w:t>Must be treated by a nurse practitioner where both of the following are occurring: (</w:t>
            </w:r>
            <w:proofErr w:type="spellStart"/>
            <w:r w:rsidRPr="000A47DF">
              <w:rPr>
                <w:rFonts w:ascii="Arial Narrow" w:eastAsia="Arial Narrow" w:hAnsi="Arial Narrow" w:cs="Arial Narrow"/>
                <w:i/>
                <w:iCs/>
                <w:sz w:val="20"/>
                <w:szCs w:val="20"/>
              </w:rPr>
              <w:t>i</w:t>
            </w:r>
            <w:proofErr w:type="spellEnd"/>
            <w:r w:rsidRPr="000A47DF">
              <w:rPr>
                <w:rFonts w:ascii="Arial Narrow" w:eastAsia="Arial Narrow" w:hAnsi="Arial Narrow" w:cs="Arial Narrow"/>
                <w:i/>
                <w:iCs/>
                <w:sz w:val="20"/>
                <w:szCs w:val="20"/>
              </w:rPr>
              <w:t>) patient care is being shared with a medical practitioner, (ii) the prescription continues existing therapy with this medicine </w:t>
            </w:r>
          </w:p>
        </w:tc>
      </w:tr>
    </w:tbl>
    <w:p w14:paraId="0241F8DE" w14:textId="78E64657" w:rsidR="00AC64AE" w:rsidRDefault="00D56E7E" w:rsidP="00AC64AE">
      <w:pPr>
        <w:jc w:val="left"/>
      </w:pPr>
      <w:r>
        <w:rPr>
          <w:lang w:eastAsia="en-US"/>
        </w:rPr>
        <w:br w:type="page"/>
      </w:r>
      <w:r w:rsidR="00AC64AE">
        <w:rPr>
          <w:lang w:eastAsia="en-US"/>
        </w:rPr>
        <w:lastRenderedPageBreak/>
        <w:t xml:space="preserve">6.2 </w:t>
      </w:r>
      <w:r w:rsidR="00AC64AE" w:rsidRPr="00AC64AE">
        <w:rPr>
          <w:lang w:eastAsia="en-US"/>
        </w:rPr>
        <w:t>A</w:t>
      </w:r>
      <w:r w:rsidR="00AC64AE" w:rsidRPr="00E35EBE">
        <w:t xml:space="preserve">dd TC1 to </w:t>
      </w:r>
      <w:r w:rsidR="00E35EBE">
        <w:t>the restrictions</w:t>
      </w:r>
      <w:r w:rsidR="005E45B9">
        <w:t xml:space="preserve"> for </w:t>
      </w:r>
      <w:proofErr w:type="spellStart"/>
      <w:r w:rsidR="005E45B9">
        <w:t>cGVHD</w:t>
      </w:r>
      <w:proofErr w:type="spellEnd"/>
      <w:r w:rsidR="005E45B9">
        <w:t xml:space="preserve"> (General Schedule) and </w:t>
      </w:r>
      <w:proofErr w:type="spellStart"/>
      <w:r w:rsidR="005E45B9">
        <w:t>aGVHD</w:t>
      </w:r>
      <w:proofErr w:type="spellEnd"/>
      <w:r w:rsidR="005E45B9">
        <w:t xml:space="preserve"> (S100 HSD Public/Private Hospital)</w:t>
      </w:r>
      <w:r w:rsidR="0000375B">
        <w:t xml:space="preserve"> </w:t>
      </w:r>
      <w:r w:rsidR="0000375B">
        <w:rPr>
          <w:bCs/>
        </w:rPr>
        <w:t xml:space="preserve">(full restrictions not displayed). </w:t>
      </w:r>
      <w:r w:rsidR="0000375B" w:rsidRPr="00FD527A">
        <w:t>Full restrictions are not</w:t>
      </w:r>
      <w:r w:rsidR="0000375B">
        <w:rPr>
          <w:bCs/>
        </w:rPr>
        <w:t xml:space="preserve"> </w:t>
      </w:r>
      <w:proofErr w:type="gramStart"/>
      <w:r w:rsidR="0000375B">
        <w:rPr>
          <w:bCs/>
        </w:rPr>
        <w:t>displayed</w:t>
      </w:r>
      <w:proofErr w:type="gramEnd"/>
      <w:r w:rsidR="00FD527A">
        <w:rPr>
          <w:b/>
          <w:bCs/>
        </w:rPr>
        <w:t xml:space="preserve"> </w:t>
      </w:r>
      <w:r w:rsidR="00FD527A">
        <w:t>and e</w:t>
      </w:r>
      <w:r w:rsidR="0000375B" w:rsidRPr="0000375B">
        <w:t>xisting eligibility criteria are unchanged:</w:t>
      </w:r>
    </w:p>
    <w:p w14:paraId="0AADA59D" w14:textId="4418B0C3" w:rsidR="00D56E7E" w:rsidRPr="004D1863" w:rsidRDefault="00D56E7E" w:rsidP="00D56E7E">
      <w:pPr>
        <w:pStyle w:val="5-SubsectionSubheading"/>
        <w:rPr>
          <w:color w:val="4F81BD" w:themeColor="accent1"/>
        </w:rPr>
      </w:pPr>
      <w:r w:rsidRPr="00115D26">
        <w:t xml:space="preserve">Moderate to severe </w:t>
      </w:r>
      <w:r>
        <w:t>C</w:t>
      </w:r>
      <w:r w:rsidRPr="00115D26">
        <w:t xml:space="preserve">hronic </w:t>
      </w:r>
      <w:r>
        <w:t>G</w:t>
      </w:r>
      <w:r w:rsidRPr="00115D26">
        <w:t xml:space="preserve">raft vs </w:t>
      </w:r>
      <w:r>
        <w:t>H</w:t>
      </w:r>
      <w:r w:rsidRPr="00115D26">
        <w:t xml:space="preserve">ost </w:t>
      </w:r>
      <w:r>
        <w:t>D</w:t>
      </w:r>
      <w:r w:rsidRPr="00115D26">
        <w:t>isease (</w:t>
      </w:r>
      <w:proofErr w:type="spellStart"/>
      <w:r w:rsidRPr="00115D26">
        <w:t>cGVHD</w:t>
      </w:r>
      <w:proofErr w:type="spellEnd"/>
      <w:r w:rsidRPr="00115D26">
        <w:t>)</w:t>
      </w:r>
      <w:r w:rsidRPr="00F81702">
        <w:t xml:space="preserve"> </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oderate to severe Chronic Graft vs Host Disease (cGVHD) "/>
      </w:tblPr>
      <w:tblGrid>
        <w:gridCol w:w="3935"/>
        <w:gridCol w:w="811"/>
        <w:gridCol w:w="812"/>
        <w:gridCol w:w="811"/>
        <w:gridCol w:w="812"/>
        <w:gridCol w:w="1891"/>
      </w:tblGrid>
      <w:tr w:rsidR="00D56E7E" w:rsidRPr="00DA359D" w14:paraId="33ED4F7D" w14:textId="77777777" w:rsidTr="00222AEA">
        <w:trPr>
          <w:cantSplit/>
          <w:trHeight w:val="20"/>
        </w:trPr>
        <w:tc>
          <w:tcPr>
            <w:tcW w:w="3935" w:type="dxa"/>
            <w:vAlign w:val="center"/>
          </w:tcPr>
          <w:p w14:paraId="42B736C0" w14:textId="77777777" w:rsidR="00D56E7E" w:rsidRPr="00DA359D" w:rsidRDefault="00D56E7E">
            <w:pPr>
              <w:keepLines/>
              <w:rPr>
                <w:rFonts w:ascii="Arial Narrow" w:hAnsi="Arial Narrow"/>
                <w:b/>
                <w:bCs/>
                <w:sz w:val="20"/>
              </w:rPr>
            </w:pPr>
            <w:r w:rsidRPr="00DA359D">
              <w:rPr>
                <w:rFonts w:ascii="Arial Narrow" w:hAnsi="Arial Narrow"/>
                <w:b/>
                <w:bCs/>
                <w:sz w:val="20"/>
              </w:rPr>
              <w:t>MEDICINAL PRODUCT</w:t>
            </w:r>
          </w:p>
          <w:p w14:paraId="09BC3EDE" w14:textId="77777777" w:rsidR="00D56E7E" w:rsidRPr="00DA359D" w:rsidRDefault="00D56E7E">
            <w:pPr>
              <w:keepLines/>
              <w:rPr>
                <w:rFonts w:ascii="Arial Narrow" w:hAnsi="Arial Narrow"/>
                <w:b/>
                <w:sz w:val="20"/>
              </w:rPr>
            </w:pPr>
            <w:r w:rsidRPr="00DA359D">
              <w:rPr>
                <w:rFonts w:ascii="Arial Narrow" w:hAnsi="Arial Narrow"/>
                <w:b/>
                <w:bCs/>
                <w:sz w:val="20"/>
              </w:rPr>
              <w:t>medicinal product pack</w:t>
            </w:r>
          </w:p>
        </w:tc>
        <w:tc>
          <w:tcPr>
            <w:tcW w:w="811" w:type="dxa"/>
            <w:vAlign w:val="center"/>
          </w:tcPr>
          <w:p w14:paraId="15C47955" w14:textId="77777777" w:rsidR="00D56E7E" w:rsidRPr="00DA359D" w:rsidRDefault="00D56E7E">
            <w:pPr>
              <w:keepLines/>
              <w:jc w:val="center"/>
              <w:rPr>
                <w:rFonts w:ascii="Arial Narrow" w:hAnsi="Arial Narrow"/>
                <w:b/>
                <w:sz w:val="20"/>
              </w:rPr>
            </w:pPr>
            <w:r w:rsidRPr="00DA359D">
              <w:rPr>
                <w:rFonts w:ascii="Arial Narrow" w:hAnsi="Arial Narrow"/>
                <w:b/>
                <w:sz w:val="20"/>
              </w:rPr>
              <w:t>PBS item code</w:t>
            </w:r>
          </w:p>
        </w:tc>
        <w:tc>
          <w:tcPr>
            <w:tcW w:w="812" w:type="dxa"/>
            <w:vAlign w:val="center"/>
          </w:tcPr>
          <w:p w14:paraId="2D6F6B93" w14:textId="77777777" w:rsidR="00D56E7E" w:rsidRPr="00DA359D" w:rsidRDefault="00D56E7E">
            <w:pPr>
              <w:keepLines/>
              <w:jc w:val="center"/>
              <w:rPr>
                <w:rFonts w:ascii="Arial Narrow" w:hAnsi="Arial Narrow"/>
                <w:b/>
                <w:sz w:val="20"/>
              </w:rPr>
            </w:pPr>
            <w:r w:rsidRPr="00DA359D">
              <w:rPr>
                <w:rFonts w:ascii="Arial Narrow" w:hAnsi="Arial Narrow"/>
                <w:b/>
                <w:sz w:val="20"/>
              </w:rPr>
              <w:t>Max. qty packs</w:t>
            </w:r>
          </w:p>
        </w:tc>
        <w:tc>
          <w:tcPr>
            <w:tcW w:w="811" w:type="dxa"/>
            <w:vAlign w:val="center"/>
          </w:tcPr>
          <w:p w14:paraId="267EBB00" w14:textId="77777777" w:rsidR="00D56E7E" w:rsidRPr="00DA359D" w:rsidRDefault="00D56E7E">
            <w:pPr>
              <w:keepLines/>
              <w:jc w:val="center"/>
              <w:rPr>
                <w:rFonts w:ascii="Arial Narrow" w:hAnsi="Arial Narrow"/>
                <w:b/>
                <w:sz w:val="20"/>
              </w:rPr>
            </w:pPr>
            <w:r w:rsidRPr="00DA359D">
              <w:rPr>
                <w:rFonts w:ascii="Arial Narrow" w:hAnsi="Arial Narrow"/>
                <w:b/>
                <w:sz w:val="20"/>
              </w:rPr>
              <w:t>Max. qty units</w:t>
            </w:r>
          </w:p>
        </w:tc>
        <w:tc>
          <w:tcPr>
            <w:tcW w:w="812" w:type="dxa"/>
            <w:vAlign w:val="center"/>
          </w:tcPr>
          <w:p w14:paraId="66D8A53F" w14:textId="77777777" w:rsidR="00D56E7E" w:rsidRPr="00DA359D" w:rsidRDefault="00D56E7E">
            <w:pPr>
              <w:keepLines/>
              <w:jc w:val="center"/>
              <w:rPr>
                <w:rFonts w:ascii="Arial Narrow" w:hAnsi="Arial Narrow"/>
                <w:b/>
                <w:bCs/>
                <w:sz w:val="20"/>
              </w:rPr>
            </w:pPr>
            <w:proofErr w:type="gramStart"/>
            <w:r w:rsidRPr="00DA359D">
              <w:rPr>
                <w:rFonts w:ascii="Arial Narrow" w:hAnsi="Arial Narrow"/>
                <w:b/>
                <w:bCs/>
                <w:sz w:val="20"/>
              </w:rPr>
              <w:t>№.of</w:t>
            </w:r>
            <w:proofErr w:type="gramEnd"/>
          </w:p>
          <w:p w14:paraId="20484F36" w14:textId="77777777" w:rsidR="00D56E7E" w:rsidRPr="00DA359D" w:rsidRDefault="00D56E7E">
            <w:pPr>
              <w:keepLines/>
              <w:jc w:val="center"/>
              <w:rPr>
                <w:rFonts w:ascii="Arial Narrow" w:hAnsi="Arial Narrow"/>
                <w:b/>
                <w:bCs/>
                <w:sz w:val="20"/>
              </w:rPr>
            </w:pPr>
            <w:proofErr w:type="spellStart"/>
            <w:r w:rsidRPr="00DA359D">
              <w:rPr>
                <w:rFonts w:ascii="Arial Narrow" w:hAnsi="Arial Narrow"/>
                <w:b/>
                <w:bCs/>
                <w:sz w:val="20"/>
              </w:rPr>
              <w:t>Rpts</w:t>
            </w:r>
            <w:proofErr w:type="spellEnd"/>
          </w:p>
        </w:tc>
        <w:tc>
          <w:tcPr>
            <w:tcW w:w="1891" w:type="dxa"/>
            <w:vAlign w:val="center"/>
          </w:tcPr>
          <w:p w14:paraId="11137E9F" w14:textId="77777777" w:rsidR="00D56E7E" w:rsidRPr="00DA359D" w:rsidRDefault="00D56E7E">
            <w:pPr>
              <w:keepLines/>
              <w:rPr>
                <w:rFonts w:ascii="Arial Narrow" w:hAnsi="Arial Narrow"/>
                <w:b/>
                <w:sz w:val="20"/>
                <w:lang w:val="fr-FR"/>
              </w:rPr>
            </w:pPr>
            <w:r w:rsidRPr="00DA359D">
              <w:rPr>
                <w:rFonts w:ascii="Arial Narrow" w:hAnsi="Arial Narrow"/>
                <w:b/>
                <w:sz w:val="20"/>
              </w:rPr>
              <w:t>Available brands</w:t>
            </w:r>
          </w:p>
        </w:tc>
      </w:tr>
      <w:tr w:rsidR="00D56E7E" w:rsidRPr="00DA359D" w14:paraId="0AEFA37E" w14:textId="77777777" w:rsidTr="00222AEA">
        <w:trPr>
          <w:cantSplit/>
          <w:trHeight w:val="20"/>
        </w:trPr>
        <w:tc>
          <w:tcPr>
            <w:tcW w:w="9072" w:type="dxa"/>
            <w:gridSpan w:val="6"/>
            <w:vAlign w:val="center"/>
          </w:tcPr>
          <w:p w14:paraId="320F2AF4" w14:textId="77777777" w:rsidR="00D56E7E" w:rsidRPr="00DA359D" w:rsidRDefault="00D56E7E">
            <w:pPr>
              <w:keepLines/>
              <w:rPr>
                <w:rFonts w:ascii="Arial Narrow" w:hAnsi="Arial Narrow"/>
                <w:sz w:val="20"/>
              </w:rPr>
            </w:pPr>
            <w:r w:rsidRPr="00DA359D">
              <w:rPr>
                <w:rFonts w:ascii="Arial Narrow" w:hAnsi="Arial Narrow"/>
                <w:sz w:val="20"/>
              </w:rPr>
              <w:t>RUXOLITINIB</w:t>
            </w:r>
          </w:p>
        </w:tc>
      </w:tr>
      <w:tr w:rsidR="00D56E7E" w:rsidRPr="00DA359D" w14:paraId="76FA39B8" w14:textId="77777777" w:rsidTr="00222AEA">
        <w:trPr>
          <w:cantSplit/>
          <w:trHeight w:val="20"/>
        </w:trPr>
        <w:tc>
          <w:tcPr>
            <w:tcW w:w="3935" w:type="dxa"/>
            <w:tcBorders>
              <w:bottom w:val="single" w:sz="4" w:space="0" w:color="auto"/>
            </w:tcBorders>
            <w:vAlign w:val="center"/>
          </w:tcPr>
          <w:p w14:paraId="265FCBE0" w14:textId="77777777" w:rsidR="00D56E7E" w:rsidRPr="00DA359D" w:rsidRDefault="00D56E7E">
            <w:pPr>
              <w:keepLines/>
              <w:rPr>
                <w:rFonts w:ascii="Arial Narrow" w:hAnsi="Arial Narrow"/>
                <w:sz w:val="20"/>
              </w:rPr>
            </w:pPr>
            <w:r w:rsidRPr="00DA359D">
              <w:rPr>
                <w:rFonts w:ascii="Arial Narrow" w:hAnsi="Arial Narrow"/>
                <w:sz w:val="20"/>
              </w:rPr>
              <w:t>ruxolitinib 5mg tablet, 56</w:t>
            </w:r>
          </w:p>
        </w:tc>
        <w:tc>
          <w:tcPr>
            <w:tcW w:w="811" w:type="dxa"/>
            <w:tcBorders>
              <w:bottom w:val="single" w:sz="4" w:space="0" w:color="auto"/>
            </w:tcBorders>
            <w:vAlign w:val="center"/>
          </w:tcPr>
          <w:p w14:paraId="441D2592" w14:textId="77777777" w:rsidR="00D56E7E" w:rsidRPr="00F47168" w:rsidRDefault="00D56E7E">
            <w:pPr>
              <w:keepLines/>
              <w:jc w:val="center"/>
              <w:rPr>
                <w:rFonts w:ascii="Arial Narrow" w:hAnsi="Arial Narrow"/>
                <w:sz w:val="20"/>
              </w:rPr>
            </w:pPr>
            <w:r w:rsidRPr="004D25DD">
              <w:rPr>
                <w:rFonts w:ascii="Arial Narrow" w:hAnsi="Arial Narrow"/>
                <w:sz w:val="20"/>
              </w:rPr>
              <w:t>13241X</w:t>
            </w:r>
          </w:p>
        </w:tc>
        <w:tc>
          <w:tcPr>
            <w:tcW w:w="812" w:type="dxa"/>
            <w:tcBorders>
              <w:bottom w:val="single" w:sz="4" w:space="0" w:color="auto"/>
            </w:tcBorders>
            <w:vAlign w:val="center"/>
          </w:tcPr>
          <w:p w14:paraId="2D3719AC" w14:textId="77777777" w:rsidR="00D56E7E" w:rsidRPr="00DA359D" w:rsidRDefault="00D56E7E">
            <w:pPr>
              <w:keepLines/>
              <w:jc w:val="center"/>
              <w:rPr>
                <w:rFonts w:ascii="Arial Narrow" w:hAnsi="Arial Narrow"/>
                <w:sz w:val="20"/>
              </w:rPr>
            </w:pPr>
            <w:r w:rsidRPr="00DA359D">
              <w:rPr>
                <w:rFonts w:ascii="Arial Narrow" w:hAnsi="Arial Narrow"/>
                <w:sz w:val="20"/>
              </w:rPr>
              <w:t>1</w:t>
            </w:r>
          </w:p>
        </w:tc>
        <w:tc>
          <w:tcPr>
            <w:tcW w:w="811" w:type="dxa"/>
            <w:tcBorders>
              <w:bottom w:val="single" w:sz="4" w:space="0" w:color="auto"/>
            </w:tcBorders>
            <w:vAlign w:val="center"/>
          </w:tcPr>
          <w:p w14:paraId="35E0A7D6" w14:textId="77777777" w:rsidR="00D56E7E" w:rsidRPr="00DA359D" w:rsidRDefault="00D56E7E">
            <w:pPr>
              <w:keepLines/>
              <w:jc w:val="center"/>
              <w:rPr>
                <w:rFonts w:ascii="Arial Narrow" w:hAnsi="Arial Narrow"/>
                <w:sz w:val="20"/>
              </w:rPr>
            </w:pPr>
            <w:r w:rsidRPr="00DA359D">
              <w:rPr>
                <w:rFonts w:ascii="Arial Narrow" w:hAnsi="Arial Narrow"/>
                <w:sz w:val="20"/>
              </w:rPr>
              <w:t>56</w:t>
            </w:r>
          </w:p>
        </w:tc>
        <w:tc>
          <w:tcPr>
            <w:tcW w:w="812" w:type="dxa"/>
            <w:tcBorders>
              <w:bottom w:val="single" w:sz="4" w:space="0" w:color="auto"/>
            </w:tcBorders>
            <w:vAlign w:val="center"/>
          </w:tcPr>
          <w:p w14:paraId="06939A1B" w14:textId="77777777" w:rsidR="00D56E7E" w:rsidRPr="00DA359D" w:rsidRDefault="00D56E7E">
            <w:pPr>
              <w:keepLines/>
              <w:jc w:val="center"/>
              <w:rPr>
                <w:rFonts w:ascii="Arial Narrow" w:hAnsi="Arial Narrow"/>
                <w:sz w:val="20"/>
              </w:rPr>
            </w:pPr>
            <w:r w:rsidRPr="00DA359D">
              <w:rPr>
                <w:rFonts w:ascii="Arial Narrow" w:hAnsi="Arial Narrow"/>
                <w:sz w:val="20"/>
              </w:rPr>
              <w:t>5</w:t>
            </w:r>
          </w:p>
        </w:tc>
        <w:tc>
          <w:tcPr>
            <w:tcW w:w="1891" w:type="dxa"/>
            <w:tcBorders>
              <w:bottom w:val="single" w:sz="4" w:space="0" w:color="auto"/>
            </w:tcBorders>
            <w:vAlign w:val="center"/>
          </w:tcPr>
          <w:p w14:paraId="39A24905" w14:textId="11D4D317" w:rsidR="00134035" w:rsidRDefault="00134035" w:rsidP="434C36E0">
            <w:pPr>
              <w:keepLines/>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26266D53" w:rsidRPr="434C36E0">
              <w:rPr>
                <w:rFonts w:eastAsia="Calibri" w:cs="Calibri"/>
                <w:lang w:val="en-GB"/>
              </w:rPr>
              <w:t>®</w:t>
            </w:r>
          </w:p>
          <w:p w14:paraId="678BBDB8" w14:textId="7F38F187" w:rsidR="00D56E7E" w:rsidRPr="00DA359D" w:rsidRDefault="00D56E7E">
            <w:pPr>
              <w:keepLines/>
              <w:rPr>
                <w:rFonts w:ascii="Arial Narrow" w:hAnsi="Arial Narrow"/>
                <w:sz w:val="20"/>
              </w:rPr>
            </w:pPr>
          </w:p>
        </w:tc>
      </w:tr>
      <w:tr w:rsidR="00D56E7E" w:rsidRPr="00DA359D" w14:paraId="7F1FF80C" w14:textId="77777777" w:rsidTr="00222AEA">
        <w:trPr>
          <w:cantSplit/>
          <w:trHeight w:val="20"/>
        </w:trPr>
        <w:tc>
          <w:tcPr>
            <w:tcW w:w="3935" w:type="dxa"/>
            <w:tcBorders>
              <w:bottom w:val="nil"/>
            </w:tcBorders>
            <w:vAlign w:val="center"/>
          </w:tcPr>
          <w:p w14:paraId="78854E0A" w14:textId="77777777" w:rsidR="00D56E7E" w:rsidRPr="00DA359D" w:rsidRDefault="00D56E7E">
            <w:pPr>
              <w:keepLines/>
              <w:rPr>
                <w:rFonts w:ascii="Arial Narrow" w:hAnsi="Arial Narrow"/>
                <w:sz w:val="20"/>
              </w:rPr>
            </w:pPr>
            <w:r w:rsidRPr="00DA359D">
              <w:rPr>
                <w:rFonts w:ascii="Arial Narrow" w:hAnsi="Arial Narrow"/>
                <w:sz w:val="20"/>
              </w:rPr>
              <w:t>ruxolitinib 10 mg tablet, 56</w:t>
            </w:r>
          </w:p>
        </w:tc>
        <w:tc>
          <w:tcPr>
            <w:tcW w:w="811" w:type="dxa"/>
            <w:tcBorders>
              <w:bottom w:val="nil"/>
            </w:tcBorders>
            <w:vAlign w:val="center"/>
          </w:tcPr>
          <w:p w14:paraId="2D0FBBC3" w14:textId="77777777" w:rsidR="00D56E7E" w:rsidRPr="00F47168" w:rsidRDefault="00D56E7E">
            <w:pPr>
              <w:keepLines/>
              <w:jc w:val="center"/>
              <w:rPr>
                <w:rFonts w:ascii="Arial Narrow" w:hAnsi="Arial Narrow"/>
                <w:sz w:val="20"/>
              </w:rPr>
            </w:pPr>
            <w:r w:rsidRPr="004D25DD">
              <w:rPr>
                <w:rFonts w:ascii="Arial Narrow" w:hAnsi="Arial Narrow"/>
                <w:sz w:val="20"/>
              </w:rPr>
              <w:t>13235N</w:t>
            </w:r>
          </w:p>
        </w:tc>
        <w:tc>
          <w:tcPr>
            <w:tcW w:w="812" w:type="dxa"/>
            <w:tcBorders>
              <w:bottom w:val="nil"/>
            </w:tcBorders>
            <w:vAlign w:val="center"/>
          </w:tcPr>
          <w:p w14:paraId="4FA2F17E" w14:textId="77777777" w:rsidR="00D56E7E" w:rsidRPr="00DA359D" w:rsidRDefault="00D56E7E">
            <w:pPr>
              <w:keepLines/>
              <w:jc w:val="center"/>
              <w:rPr>
                <w:rFonts w:ascii="Arial Narrow" w:hAnsi="Arial Narrow"/>
                <w:sz w:val="20"/>
              </w:rPr>
            </w:pPr>
            <w:r w:rsidRPr="00DA359D">
              <w:rPr>
                <w:rFonts w:ascii="Arial Narrow" w:hAnsi="Arial Narrow"/>
                <w:sz w:val="20"/>
              </w:rPr>
              <w:t>1</w:t>
            </w:r>
          </w:p>
        </w:tc>
        <w:tc>
          <w:tcPr>
            <w:tcW w:w="811" w:type="dxa"/>
            <w:tcBorders>
              <w:bottom w:val="nil"/>
            </w:tcBorders>
            <w:vAlign w:val="center"/>
          </w:tcPr>
          <w:p w14:paraId="39175DD1" w14:textId="77777777" w:rsidR="00D56E7E" w:rsidRPr="00DA359D" w:rsidRDefault="00D56E7E">
            <w:pPr>
              <w:keepLines/>
              <w:jc w:val="center"/>
              <w:rPr>
                <w:rFonts w:ascii="Arial Narrow" w:hAnsi="Arial Narrow"/>
                <w:sz w:val="20"/>
              </w:rPr>
            </w:pPr>
            <w:r w:rsidRPr="00DA359D">
              <w:rPr>
                <w:rFonts w:ascii="Arial Narrow" w:hAnsi="Arial Narrow"/>
                <w:sz w:val="20"/>
              </w:rPr>
              <w:t>56</w:t>
            </w:r>
          </w:p>
        </w:tc>
        <w:tc>
          <w:tcPr>
            <w:tcW w:w="812" w:type="dxa"/>
            <w:tcBorders>
              <w:bottom w:val="nil"/>
            </w:tcBorders>
            <w:vAlign w:val="center"/>
          </w:tcPr>
          <w:p w14:paraId="5076FC1B" w14:textId="77777777" w:rsidR="00D56E7E" w:rsidRPr="00DA359D" w:rsidRDefault="00D56E7E">
            <w:pPr>
              <w:keepLines/>
              <w:jc w:val="center"/>
              <w:rPr>
                <w:rFonts w:ascii="Arial Narrow" w:hAnsi="Arial Narrow"/>
                <w:sz w:val="20"/>
              </w:rPr>
            </w:pPr>
            <w:r w:rsidRPr="00DA359D">
              <w:rPr>
                <w:rFonts w:ascii="Arial Narrow" w:hAnsi="Arial Narrow"/>
                <w:sz w:val="20"/>
              </w:rPr>
              <w:t>5</w:t>
            </w:r>
          </w:p>
        </w:tc>
        <w:tc>
          <w:tcPr>
            <w:tcW w:w="1891" w:type="dxa"/>
            <w:tcBorders>
              <w:bottom w:val="nil"/>
            </w:tcBorders>
            <w:vAlign w:val="center"/>
          </w:tcPr>
          <w:p w14:paraId="423DB5E7" w14:textId="1D749548" w:rsidR="00134035" w:rsidRDefault="00134035" w:rsidP="434C36E0">
            <w:pPr>
              <w:keepLines/>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1B89E7A2" w:rsidRPr="434C36E0">
              <w:rPr>
                <w:rFonts w:eastAsia="Calibri" w:cs="Calibri"/>
                <w:lang w:val="en-GB"/>
              </w:rPr>
              <w:t>®</w:t>
            </w:r>
          </w:p>
          <w:p w14:paraId="7FB28833" w14:textId="4F1AC8EB" w:rsidR="00D56E7E" w:rsidRPr="00DA359D" w:rsidRDefault="00D56E7E">
            <w:pPr>
              <w:keepLines/>
              <w:rPr>
                <w:rFonts w:ascii="Arial Narrow" w:hAnsi="Arial Narrow"/>
                <w:sz w:val="20"/>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Moderate to severe Chronic Graft vs Host Disease (cGVHD) "/>
      </w:tblPr>
      <w:tblGrid>
        <w:gridCol w:w="1274"/>
        <w:gridCol w:w="7793"/>
      </w:tblGrid>
      <w:tr w:rsidR="00D56E7E" w:rsidRPr="7093FE7D" w14:paraId="120250D3" w14:textId="77777777">
        <w:trPr>
          <w:trHeight w:val="15"/>
        </w:trPr>
        <w:tc>
          <w:tcPr>
            <w:tcW w:w="9067" w:type="dxa"/>
            <w:gridSpan w:val="2"/>
            <w:tcMar>
              <w:left w:w="108" w:type="dxa"/>
              <w:right w:w="108" w:type="dxa"/>
            </w:tcMar>
            <w:vAlign w:val="center"/>
          </w:tcPr>
          <w:p w14:paraId="087BD761" w14:textId="77777777" w:rsidR="00D56E7E" w:rsidRPr="7093FE7D" w:rsidRDefault="00D56E7E">
            <w:pPr>
              <w:spacing w:line="259" w:lineRule="auto"/>
              <w:rPr>
                <w:rFonts w:ascii="Arial Narrow" w:eastAsia="Arial Narrow" w:hAnsi="Arial Narrow" w:cs="Arial Narrow"/>
                <w:sz w:val="20"/>
                <w:szCs w:val="20"/>
              </w:rPr>
            </w:pPr>
          </w:p>
        </w:tc>
      </w:tr>
      <w:tr w:rsidR="00D56E7E" w14:paraId="6A290405" w14:textId="77777777">
        <w:trPr>
          <w:trHeight w:val="355"/>
        </w:trPr>
        <w:tc>
          <w:tcPr>
            <w:tcW w:w="1274" w:type="dxa"/>
            <w:vMerge w:val="restart"/>
            <w:tcMar>
              <w:top w:w="15" w:type="dxa"/>
              <w:left w:w="108" w:type="dxa"/>
              <w:bottom w:w="15" w:type="dxa"/>
              <w:right w:w="108" w:type="dxa"/>
            </w:tcMar>
          </w:tcPr>
          <w:p w14:paraId="40D9EBEC" w14:textId="382DA38C" w:rsidR="00D56E7E" w:rsidRDefault="00D56E7E">
            <w:pPr>
              <w:jc w:val="center"/>
            </w:pPr>
          </w:p>
        </w:tc>
        <w:tc>
          <w:tcPr>
            <w:tcW w:w="7793" w:type="dxa"/>
            <w:tcMar>
              <w:top w:w="15" w:type="dxa"/>
              <w:left w:w="108" w:type="dxa"/>
              <w:bottom w:w="15" w:type="dxa"/>
              <w:right w:w="108" w:type="dxa"/>
            </w:tcMar>
            <w:vAlign w:val="center"/>
          </w:tcPr>
          <w:p w14:paraId="033C8B1D" w14:textId="77777777" w:rsidR="00D56E7E" w:rsidRDefault="00D56E7E">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44B18ADC" w14:textId="77777777" w:rsidR="00D56E7E" w:rsidRDefault="00D56E7E">
            <w:pPr>
              <w:jc w:val="left"/>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7093FE7D">
              <w:rPr>
                <w:rFonts w:ascii="Arial Narrow" w:eastAsia="Arial Narrow" w:hAnsi="Arial Narrow" w:cs="Arial Narrow"/>
                <w:sz w:val="20"/>
                <w:szCs w:val="20"/>
              </w:rPr>
              <w:t xml:space="preserve"> GENERAL - General Schedule (Code GE) </w:t>
            </w:r>
          </w:p>
        </w:tc>
      </w:tr>
      <w:tr w:rsidR="00D56E7E" w:rsidRPr="00253401" w14:paraId="7F444ED7" w14:textId="77777777">
        <w:trPr>
          <w:trHeight w:val="15"/>
        </w:trPr>
        <w:tc>
          <w:tcPr>
            <w:tcW w:w="1274" w:type="dxa"/>
            <w:vMerge/>
            <w:vAlign w:val="center"/>
          </w:tcPr>
          <w:p w14:paraId="428C2C73" w14:textId="77777777" w:rsidR="00D56E7E" w:rsidRDefault="00D56E7E"/>
        </w:tc>
        <w:tc>
          <w:tcPr>
            <w:tcW w:w="7793" w:type="dxa"/>
            <w:tcMar>
              <w:top w:w="15" w:type="dxa"/>
              <w:left w:w="108" w:type="dxa"/>
              <w:bottom w:w="15" w:type="dxa"/>
              <w:right w:w="108" w:type="dxa"/>
            </w:tcMar>
            <w:vAlign w:val="center"/>
          </w:tcPr>
          <w:p w14:paraId="1692228E" w14:textId="77777777" w:rsidR="00D56E7E" w:rsidRPr="00696F04" w:rsidRDefault="00D56E7E">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Pr>
                <w:rFonts w:ascii="Arial Narrow" w:eastAsia="Arial Narrow" w:hAnsi="Arial Narrow" w:cs="Arial Narrow"/>
                <w:b/>
                <w:bCs/>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sidRPr="00D56E7E">
              <w:rPr>
                <w:rFonts w:ascii="Arial Narrow" w:hAnsi="Arial Narrow" w:cs="Arial"/>
                <w:i/>
                <w:iCs/>
                <w:sz w:val="20"/>
                <w:szCs w:val="20"/>
              </w:rPr>
              <w:fldChar w:fldCharType="begin">
                <w:ffData>
                  <w:name w:val=""/>
                  <w:enabled/>
                  <w:calcOnExit w:val="0"/>
                  <w:checkBox>
                    <w:sizeAuto/>
                    <w:default w:val="1"/>
                  </w:checkBox>
                </w:ffData>
              </w:fldChar>
            </w:r>
            <w:r w:rsidRPr="00082D21">
              <w:rPr>
                <w:rFonts w:ascii="Arial Narrow" w:hAnsi="Arial Narrow" w:cs="Arial"/>
                <w:i/>
                <w:iCs/>
                <w:sz w:val="20"/>
                <w:szCs w:val="20"/>
              </w:rPr>
              <w:instrText xml:space="preserve"> FORMCHECKBOX </w:instrText>
            </w:r>
            <w:r w:rsidRPr="00D56E7E">
              <w:rPr>
                <w:rFonts w:ascii="Arial Narrow" w:hAnsi="Arial Narrow" w:cs="Arial"/>
                <w:i/>
                <w:iCs/>
                <w:sz w:val="20"/>
                <w:szCs w:val="20"/>
              </w:rPr>
            </w:r>
            <w:r w:rsidRPr="00D56E7E">
              <w:rPr>
                <w:rFonts w:ascii="Arial Narrow" w:hAnsi="Arial Narrow" w:cs="Arial"/>
                <w:i/>
                <w:iCs/>
                <w:sz w:val="20"/>
                <w:szCs w:val="20"/>
              </w:rPr>
              <w:fldChar w:fldCharType="separate"/>
            </w:r>
            <w:r w:rsidRPr="00D56E7E">
              <w:rPr>
                <w:rFonts w:ascii="Arial Narrow" w:hAnsi="Arial Narrow" w:cs="Arial"/>
                <w:i/>
                <w:iCs/>
                <w:sz w:val="20"/>
                <w:szCs w:val="20"/>
              </w:rPr>
              <w:fldChar w:fldCharType="end"/>
            </w:r>
            <w:r w:rsidRPr="00D56E7E">
              <w:rPr>
                <w:rFonts w:ascii="Arial Narrow" w:hAnsi="Arial Narrow" w:cs="Arial"/>
                <w:i/>
                <w:iCs/>
                <w:sz w:val="20"/>
                <w:szCs w:val="20"/>
              </w:rPr>
              <w:t xml:space="preserve"> </w:t>
            </w:r>
            <w:r w:rsidRPr="00D56E7E">
              <w:rPr>
                <w:rFonts w:ascii="Arial Narrow" w:eastAsia="Arial Narrow" w:hAnsi="Arial Narrow" w:cs="Arial Narrow"/>
                <w:i/>
                <w:iCs/>
                <w:sz w:val="20"/>
                <w:szCs w:val="20"/>
              </w:rPr>
              <w:t>Nurse Practitioners</w:t>
            </w:r>
            <w:r w:rsidRPr="00696F04">
              <w:rPr>
                <w:rFonts w:ascii="Arial Narrow" w:eastAsia="Arial Narrow" w:hAnsi="Arial Narrow" w:cs="Arial Narrow"/>
                <w:sz w:val="20"/>
                <w:szCs w:val="20"/>
              </w:rPr>
              <w:t xml:space="preserve"> </w:t>
            </w:r>
          </w:p>
        </w:tc>
      </w:tr>
      <w:tr w:rsidR="00D56E7E" w:rsidRPr="00B45840" w14:paraId="7F6C4406" w14:textId="77777777">
        <w:trPr>
          <w:trHeight w:val="15"/>
        </w:trPr>
        <w:tc>
          <w:tcPr>
            <w:tcW w:w="1274" w:type="dxa"/>
            <w:vMerge/>
            <w:vAlign w:val="center"/>
          </w:tcPr>
          <w:p w14:paraId="7A918337" w14:textId="77777777" w:rsidR="00D56E7E" w:rsidRDefault="00D56E7E"/>
        </w:tc>
        <w:tc>
          <w:tcPr>
            <w:tcW w:w="7793" w:type="dxa"/>
            <w:tcMar>
              <w:top w:w="15" w:type="dxa"/>
              <w:left w:w="108" w:type="dxa"/>
              <w:bottom w:w="15" w:type="dxa"/>
              <w:right w:w="108" w:type="dxa"/>
            </w:tcMar>
            <w:vAlign w:val="center"/>
          </w:tcPr>
          <w:p w14:paraId="3B63D196" w14:textId="11857945" w:rsidR="00D56E7E" w:rsidRPr="00B45840" w:rsidRDefault="00D56E7E">
            <w:pPr>
              <w:rPr>
                <w:rFonts w:ascii="Arial Narrow" w:eastAsia="Arial Narrow" w:hAnsi="Arial Narrow" w:cs="Arial Narrow"/>
                <w:sz w:val="20"/>
                <w:szCs w:val="20"/>
              </w:rPr>
            </w:pPr>
            <w:r w:rsidRPr="7093FE7D">
              <w:rPr>
                <w:rFonts w:ascii="Arial Narrow" w:eastAsia="Arial Narrow" w:hAnsi="Arial Narrow" w:cs="Arial Narrow"/>
                <w:b/>
                <w:bCs/>
                <w:sz w:val="20"/>
                <w:szCs w:val="20"/>
              </w:rPr>
              <w:t xml:space="preserve">Restriction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1428E9">
              <w:rPr>
                <w:rFonts w:ascii="Arial Narrow" w:eastAsia="Calibri" w:hAnsi="Arial Narrow" w:cs="Arial"/>
                <w:sz w:val="20"/>
                <w:szCs w:val="20"/>
              </w:rPr>
              <w:t>Authority Required (STREAMLINED)</w:t>
            </w:r>
          </w:p>
        </w:tc>
      </w:tr>
      <w:tr w:rsidR="00D56E7E" w14:paraId="3224F161" w14:textId="77777777">
        <w:trPr>
          <w:trHeight w:val="15"/>
        </w:trPr>
        <w:tc>
          <w:tcPr>
            <w:tcW w:w="1274" w:type="dxa"/>
            <w:tcMar>
              <w:top w:w="15" w:type="dxa"/>
              <w:left w:w="108" w:type="dxa"/>
              <w:bottom w:w="15" w:type="dxa"/>
              <w:right w:w="108" w:type="dxa"/>
            </w:tcMar>
            <w:vAlign w:val="center"/>
          </w:tcPr>
          <w:p w14:paraId="777AA6E4" w14:textId="49E7F3F2" w:rsidR="00D56E7E" w:rsidRDefault="00D56E7E">
            <w:pPr>
              <w:jc w:val="center"/>
            </w:pPr>
          </w:p>
        </w:tc>
        <w:tc>
          <w:tcPr>
            <w:tcW w:w="7793" w:type="dxa"/>
            <w:tcMar>
              <w:top w:w="15" w:type="dxa"/>
              <w:left w:w="108" w:type="dxa"/>
              <w:bottom w:w="15" w:type="dxa"/>
              <w:right w:w="108" w:type="dxa"/>
            </w:tcMar>
            <w:vAlign w:val="center"/>
          </w:tcPr>
          <w:p w14:paraId="37617DD4" w14:textId="77777777" w:rsidR="00D56E7E" w:rsidRDefault="00D56E7E">
            <w:pPr>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sidRPr="005525F1">
              <w:rPr>
                <w:rFonts w:ascii="Arial Narrow" w:hAnsi="Arial Narrow" w:cstheme="minorBidi"/>
                <w:sz w:val="20"/>
              </w:rPr>
              <w:t>Moderate to severe chronic graft versus host disease (</w:t>
            </w:r>
            <w:proofErr w:type="spellStart"/>
            <w:r w:rsidRPr="005525F1">
              <w:rPr>
                <w:rFonts w:ascii="Arial Narrow" w:hAnsi="Arial Narrow" w:cstheme="minorBidi"/>
                <w:sz w:val="20"/>
              </w:rPr>
              <w:t>cGVHD</w:t>
            </w:r>
            <w:proofErr w:type="spellEnd"/>
            <w:r w:rsidRPr="005525F1">
              <w:rPr>
                <w:rFonts w:ascii="Arial Narrow" w:hAnsi="Arial Narrow" w:cstheme="minorBidi"/>
                <w:sz w:val="20"/>
              </w:rPr>
              <w:t>)</w:t>
            </w:r>
          </w:p>
        </w:tc>
      </w:tr>
      <w:tr w:rsidR="00D56E7E" w14:paraId="1F1C7E0D" w14:textId="77777777">
        <w:trPr>
          <w:trHeight w:val="480"/>
        </w:trPr>
        <w:tc>
          <w:tcPr>
            <w:tcW w:w="1274" w:type="dxa"/>
            <w:tcBorders>
              <w:left w:val="single" w:sz="4" w:space="0" w:color="auto"/>
              <w:bottom w:val="single" w:sz="4" w:space="0" w:color="auto"/>
              <w:right w:val="single" w:sz="4" w:space="0" w:color="auto"/>
            </w:tcBorders>
            <w:tcMar>
              <w:top w:w="15" w:type="dxa"/>
              <w:left w:w="108" w:type="dxa"/>
              <w:bottom w:w="15" w:type="dxa"/>
              <w:right w:w="108" w:type="dxa"/>
            </w:tcMar>
          </w:tcPr>
          <w:p w14:paraId="4E4CD507" w14:textId="62866CB2" w:rsidR="00D56E7E" w:rsidRDefault="00D56E7E">
            <w:pPr>
              <w:jc w:val="center"/>
            </w:pPr>
          </w:p>
        </w:tc>
        <w:tc>
          <w:tcPr>
            <w:tcW w:w="7793" w:type="dxa"/>
            <w:tcMar>
              <w:top w:w="15" w:type="dxa"/>
              <w:left w:w="108" w:type="dxa"/>
              <w:bottom w:w="15" w:type="dxa"/>
              <w:right w:w="108" w:type="dxa"/>
            </w:tcMar>
            <w:vAlign w:val="center"/>
          </w:tcPr>
          <w:p w14:paraId="74954F9F" w14:textId="77777777" w:rsidR="00D56E7E" w:rsidRDefault="00D56E7E">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sidRPr="00B56B34">
              <w:rPr>
                <w:rFonts w:ascii="Arial Narrow" w:hAnsi="Arial Narrow" w:cstheme="minorHAnsi"/>
                <w:sz w:val="20"/>
              </w:rPr>
              <w:t>Continuing treatment</w:t>
            </w:r>
          </w:p>
        </w:tc>
      </w:tr>
      <w:tr w:rsidR="00D56E7E" w14:paraId="693B31CE" w14:textId="77777777">
        <w:trPr>
          <w:trHeight w:val="647"/>
        </w:trPr>
        <w:tc>
          <w:tcPr>
            <w:tcW w:w="1274" w:type="dxa"/>
            <w:tcBorders>
              <w:left w:val="single" w:sz="4" w:space="0" w:color="auto"/>
              <w:bottom w:val="single" w:sz="4" w:space="0" w:color="auto"/>
              <w:right w:val="single" w:sz="4" w:space="0" w:color="auto"/>
            </w:tcBorders>
            <w:tcMar>
              <w:top w:w="15" w:type="dxa"/>
              <w:left w:w="108" w:type="dxa"/>
              <w:bottom w:w="15" w:type="dxa"/>
              <w:right w:w="108" w:type="dxa"/>
            </w:tcMar>
          </w:tcPr>
          <w:p w14:paraId="156CA6D2" w14:textId="77777777" w:rsidR="00D56E7E" w:rsidRPr="00F47168" w:rsidRDefault="00D56E7E">
            <w:pPr>
              <w:jc w:val="center"/>
              <w:rPr>
                <w:rFonts w:ascii="Arial Narrow" w:hAnsi="Arial Narrow"/>
                <w:strike/>
                <w:sz w:val="20"/>
                <w:szCs w:val="20"/>
              </w:rPr>
            </w:pPr>
          </w:p>
        </w:tc>
        <w:tc>
          <w:tcPr>
            <w:tcW w:w="7793" w:type="dxa"/>
            <w:tcMar>
              <w:top w:w="15" w:type="dxa"/>
              <w:left w:w="108" w:type="dxa"/>
              <w:bottom w:w="15" w:type="dxa"/>
              <w:right w:w="108" w:type="dxa"/>
            </w:tcMar>
            <w:vAlign w:val="center"/>
          </w:tcPr>
          <w:p w14:paraId="04488E4D" w14:textId="77777777" w:rsidR="00D56E7E" w:rsidRPr="00373502" w:rsidRDefault="00D56E7E">
            <w:pPr>
              <w:keepNext/>
              <w:snapToGrid w:val="0"/>
              <w:jc w:val="left"/>
              <w:rPr>
                <w:rFonts w:ascii="Arial Narrow" w:hAnsi="Arial Narrow" w:cstheme="minorHAnsi"/>
                <w:b/>
                <w:strike/>
                <w:sz w:val="20"/>
              </w:rPr>
            </w:pPr>
            <w:r w:rsidRPr="00373502">
              <w:rPr>
                <w:rFonts w:ascii="Arial Narrow" w:hAnsi="Arial Narrow" w:cstheme="minorHAnsi"/>
                <w:b/>
                <w:strike/>
                <w:sz w:val="20"/>
              </w:rPr>
              <w:t>Treatment criteria:</w:t>
            </w:r>
          </w:p>
          <w:p w14:paraId="6E87C270" w14:textId="77777777" w:rsidR="00D56E7E" w:rsidRPr="00373502" w:rsidRDefault="00D56E7E">
            <w:pPr>
              <w:keepNext/>
              <w:snapToGrid w:val="0"/>
              <w:jc w:val="left"/>
              <w:rPr>
                <w:rFonts w:ascii="Arial Narrow" w:hAnsi="Arial Narrow" w:cstheme="minorHAnsi"/>
                <w:iCs/>
                <w:strike/>
                <w:sz w:val="20"/>
              </w:rPr>
            </w:pPr>
            <w:r w:rsidRPr="00373502">
              <w:rPr>
                <w:rFonts w:ascii="Arial Narrow" w:hAnsi="Arial Narrow" w:cstheme="minorHAnsi"/>
                <w:iCs/>
                <w:strike/>
                <w:sz w:val="20"/>
              </w:rPr>
              <w:t>Must be treated by a haematologist; OR</w:t>
            </w:r>
          </w:p>
        </w:tc>
      </w:tr>
      <w:tr w:rsidR="00D56E7E" w14:paraId="00D2A5B8" w14:textId="77777777">
        <w:trPr>
          <w:trHeight w:val="204"/>
        </w:trPr>
        <w:tc>
          <w:tcPr>
            <w:tcW w:w="1274" w:type="dxa"/>
            <w:tcBorders>
              <w:left w:val="single" w:sz="4" w:space="0" w:color="auto"/>
              <w:bottom w:val="single" w:sz="4" w:space="0" w:color="auto"/>
              <w:right w:val="single" w:sz="4" w:space="0" w:color="auto"/>
            </w:tcBorders>
            <w:tcMar>
              <w:top w:w="15" w:type="dxa"/>
              <w:left w:w="108" w:type="dxa"/>
              <w:bottom w:w="15" w:type="dxa"/>
              <w:right w:w="108" w:type="dxa"/>
            </w:tcMar>
          </w:tcPr>
          <w:p w14:paraId="1EF29410" w14:textId="363030DD" w:rsidR="00D56E7E" w:rsidRPr="00F47168" w:rsidRDefault="00D56E7E">
            <w:pPr>
              <w:jc w:val="center"/>
              <w:rPr>
                <w:rFonts w:ascii="Arial Narrow" w:hAnsi="Arial Narrow" w:cstheme="minorHAnsi"/>
                <w:strike/>
                <w:sz w:val="20"/>
              </w:rPr>
            </w:pPr>
          </w:p>
        </w:tc>
        <w:tc>
          <w:tcPr>
            <w:tcW w:w="7793" w:type="dxa"/>
            <w:tcMar>
              <w:top w:w="15" w:type="dxa"/>
              <w:left w:w="108" w:type="dxa"/>
              <w:bottom w:w="15" w:type="dxa"/>
              <w:right w:w="108" w:type="dxa"/>
            </w:tcMar>
            <w:vAlign w:val="center"/>
          </w:tcPr>
          <w:p w14:paraId="5B26F6B0" w14:textId="77777777" w:rsidR="00D56E7E" w:rsidRPr="00373502" w:rsidRDefault="00D56E7E">
            <w:pPr>
              <w:keepNext/>
              <w:snapToGrid w:val="0"/>
              <w:jc w:val="left"/>
              <w:rPr>
                <w:rFonts w:ascii="Arial Narrow" w:hAnsi="Arial Narrow" w:cstheme="minorHAnsi"/>
                <w:iCs/>
                <w:strike/>
                <w:sz w:val="20"/>
              </w:rPr>
            </w:pPr>
            <w:r w:rsidRPr="00373502">
              <w:rPr>
                <w:rFonts w:ascii="Arial Narrow" w:hAnsi="Arial Narrow" w:cstheme="minorHAnsi"/>
                <w:iCs/>
                <w:strike/>
                <w:sz w:val="20"/>
              </w:rPr>
              <w:t>Must be treated by an oncologist with allogeneic bone marrow transplantation experience; OR</w:t>
            </w:r>
          </w:p>
        </w:tc>
      </w:tr>
      <w:tr w:rsidR="00D56E7E" w14:paraId="3354FBB4" w14:textId="77777777">
        <w:trPr>
          <w:trHeight w:val="565"/>
        </w:trPr>
        <w:tc>
          <w:tcPr>
            <w:tcW w:w="1274" w:type="dxa"/>
            <w:tcBorders>
              <w:left w:val="single" w:sz="4" w:space="0" w:color="auto"/>
              <w:bottom w:val="single" w:sz="4" w:space="0" w:color="auto"/>
              <w:right w:val="single" w:sz="4" w:space="0" w:color="auto"/>
            </w:tcBorders>
            <w:tcMar>
              <w:top w:w="15" w:type="dxa"/>
              <w:left w:w="108" w:type="dxa"/>
              <w:bottom w:w="15" w:type="dxa"/>
              <w:right w:w="108" w:type="dxa"/>
            </w:tcMar>
          </w:tcPr>
          <w:p w14:paraId="2C2C26E9" w14:textId="71CF6460" w:rsidR="00D56E7E" w:rsidRPr="00F47168" w:rsidRDefault="00D56E7E">
            <w:pPr>
              <w:jc w:val="center"/>
              <w:rPr>
                <w:rFonts w:ascii="Arial Narrow" w:hAnsi="Arial Narrow" w:cstheme="minorHAnsi"/>
                <w:strike/>
                <w:sz w:val="20"/>
              </w:rPr>
            </w:pPr>
          </w:p>
        </w:tc>
        <w:tc>
          <w:tcPr>
            <w:tcW w:w="7793" w:type="dxa"/>
            <w:tcMar>
              <w:top w:w="15" w:type="dxa"/>
              <w:left w:w="108" w:type="dxa"/>
              <w:bottom w:w="15" w:type="dxa"/>
              <w:right w:w="108" w:type="dxa"/>
            </w:tcMar>
            <w:vAlign w:val="center"/>
          </w:tcPr>
          <w:p w14:paraId="34DD92C9" w14:textId="77777777" w:rsidR="00D56E7E" w:rsidRPr="00373502" w:rsidRDefault="00D56E7E">
            <w:pPr>
              <w:keepNext/>
              <w:snapToGrid w:val="0"/>
              <w:jc w:val="left"/>
              <w:rPr>
                <w:rFonts w:ascii="Arial Narrow" w:hAnsi="Arial Narrow" w:cstheme="minorHAnsi"/>
                <w:iCs/>
                <w:strike/>
                <w:sz w:val="20"/>
              </w:rPr>
            </w:pPr>
            <w:r w:rsidRPr="00373502">
              <w:rPr>
                <w:rFonts w:ascii="Arial Narrow" w:hAnsi="Arial Narrow" w:cstheme="minorHAnsi"/>
                <w:iCs/>
                <w:strike/>
                <w:sz w:val="20"/>
              </w:rPr>
              <w:t xml:space="preserve">Must be treated by a medical practitioner working under the direct supervision of one of the </w:t>
            </w:r>
            <w:proofErr w:type="gramStart"/>
            <w:r w:rsidRPr="00373502">
              <w:rPr>
                <w:rFonts w:ascii="Arial Narrow" w:hAnsi="Arial Narrow" w:cstheme="minorHAnsi"/>
                <w:iCs/>
                <w:strike/>
                <w:sz w:val="20"/>
              </w:rPr>
              <w:t>above mentioned</w:t>
            </w:r>
            <w:proofErr w:type="gramEnd"/>
            <w:r w:rsidRPr="00373502">
              <w:rPr>
                <w:rFonts w:ascii="Arial Narrow" w:hAnsi="Arial Narrow" w:cstheme="minorHAnsi"/>
                <w:iCs/>
                <w:strike/>
                <w:sz w:val="20"/>
              </w:rPr>
              <w:t xml:space="preserve"> specialist types.</w:t>
            </w:r>
          </w:p>
        </w:tc>
      </w:tr>
      <w:tr w:rsidR="00D56E7E" w:rsidRPr="00373502" w14:paraId="716E3E7E" w14:textId="77777777">
        <w:trPr>
          <w:trHeight w:val="264"/>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48FFF1" w14:textId="3C4AABC4" w:rsidR="00D56E7E" w:rsidRDefault="00D56E7E">
            <w:pPr>
              <w:jc w:val="center"/>
              <w:rPr>
                <w:rFonts w:ascii="Arial Narrow" w:hAnsi="Arial Narrow" w:cstheme="minorHAnsi"/>
                <w:bCs/>
                <w:i/>
                <w:iCs/>
                <w:sz w:val="20"/>
              </w:rPr>
            </w:pPr>
          </w:p>
        </w:tc>
        <w:tc>
          <w:tcPr>
            <w:tcW w:w="779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8FB70D" w14:textId="77777777" w:rsidR="00D56E7E" w:rsidRPr="00373502" w:rsidRDefault="00D56E7E">
            <w:pPr>
              <w:keepNext/>
              <w:snapToGrid w:val="0"/>
              <w:jc w:val="left"/>
              <w:rPr>
                <w:rFonts w:ascii="Arial Narrow" w:hAnsi="Arial Narrow" w:cstheme="minorHAnsi"/>
                <w:i/>
                <w:iCs/>
                <w:sz w:val="20"/>
              </w:rPr>
            </w:pPr>
            <w:r w:rsidRPr="00373502">
              <w:rPr>
                <w:rFonts w:ascii="Arial Narrow" w:hAnsi="Arial Narrow" w:cstheme="minorHAnsi"/>
                <w:i/>
                <w:iCs/>
                <w:sz w:val="20"/>
              </w:rPr>
              <w:t>Treatment criteria:</w:t>
            </w:r>
          </w:p>
        </w:tc>
      </w:tr>
      <w:tr w:rsidR="00D56E7E" w:rsidRPr="00373502" w14:paraId="61DE18BF" w14:textId="77777777">
        <w:trPr>
          <w:trHeight w:val="565"/>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6060A2" w14:textId="17AC3F78" w:rsidR="00D56E7E" w:rsidRPr="00373502" w:rsidRDefault="00D56E7E">
            <w:pPr>
              <w:jc w:val="center"/>
              <w:rPr>
                <w:rFonts w:ascii="Arial Narrow" w:hAnsi="Arial Narrow" w:cstheme="minorHAnsi"/>
                <w:bCs/>
                <w:i/>
                <w:iCs/>
                <w:sz w:val="20"/>
              </w:rPr>
            </w:pPr>
          </w:p>
        </w:tc>
        <w:tc>
          <w:tcPr>
            <w:tcW w:w="779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68003D" w14:textId="77777777" w:rsidR="00D56E7E" w:rsidRPr="00373502" w:rsidRDefault="00D56E7E">
            <w:pPr>
              <w:keepNext/>
              <w:snapToGrid w:val="0"/>
              <w:jc w:val="left"/>
              <w:rPr>
                <w:rFonts w:ascii="Arial Narrow" w:hAnsi="Arial Narrow" w:cstheme="minorHAnsi"/>
                <w:i/>
                <w:iCs/>
                <w:sz w:val="20"/>
              </w:rPr>
            </w:pPr>
            <w:r w:rsidRPr="00373502">
              <w:rPr>
                <w:rFonts w:ascii="Arial Narrow" w:hAnsi="Arial Narrow" w:cstheme="minorHAnsi"/>
                <w:i/>
                <w:iCs/>
                <w:sz w:val="20"/>
              </w:rPr>
              <w:t xml:space="preserve">Must be treated by a </w:t>
            </w:r>
            <w:r w:rsidRPr="00373502">
              <w:rPr>
                <w:rFonts w:ascii="Arial Narrow" w:hAnsi="Arial Narrow"/>
                <w:i/>
                <w:iCs/>
                <w:sz w:val="20"/>
                <w:szCs w:val="20"/>
              </w:rPr>
              <w:t>specialist medical practitioner</w:t>
            </w:r>
            <w:r w:rsidRPr="00373502">
              <w:rPr>
                <w:rFonts w:ascii="Arial Narrow" w:hAnsi="Arial Narrow" w:cstheme="minorHAnsi"/>
                <w:i/>
                <w:iCs/>
                <w:sz w:val="20"/>
              </w:rPr>
              <w:t>; OR</w:t>
            </w:r>
          </w:p>
        </w:tc>
      </w:tr>
      <w:tr w:rsidR="00D56E7E" w:rsidRPr="00373502" w14:paraId="215F09FD" w14:textId="77777777">
        <w:trPr>
          <w:trHeight w:val="905"/>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0684981" w14:textId="460B9A16" w:rsidR="00D56E7E" w:rsidRPr="00373502" w:rsidRDefault="00D56E7E">
            <w:pPr>
              <w:jc w:val="center"/>
              <w:rPr>
                <w:rFonts w:ascii="Arial Narrow" w:hAnsi="Arial Narrow" w:cstheme="minorHAnsi"/>
                <w:bCs/>
                <w:i/>
                <w:iCs/>
                <w:sz w:val="20"/>
              </w:rPr>
            </w:pPr>
          </w:p>
        </w:tc>
        <w:tc>
          <w:tcPr>
            <w:tcW w:w="779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D8A5D7" w14:textId="77777777" w:rsidR="00D56E7E" w:rsidRPr="00E73BD3" w:rsidRDefault="00D56E7E">
            <w:pPr>
              <w:pStyle w:val="3Bodytext"/>
              <w:rPr>
                <w:rFonts w:ascii="Arial Narrow" w:hAnsi="Arial Narrow"/>
                <w:i/>
                <w:iCs/>
                <w:sz w:val="20"/>
                <w:szCs w:val="20"/>
              </w:rPr>
            </w:pPr>
            <w:r w:rsidRPr="00E73BD3">
              <w:rPr>
                <w:rFonts w:ascii="Arial Narrow" w:hAnsi="Arial Narrow"/>
                <w:i/>
                <w:iCs/>
                <w:sz w:val="20"/>
                <w:szCs w:val="20"/>
              </w:rPr>
              <w:t>Must be treated by an authorised prescriber type (non-specialist medical practitioner, nurse practitioner) who is both: (</w:t>
            </w:r>
            <w:proofErr w:type="spellStart"/>
            <w:r w:rsidRPr="00E73BD3">
              <w:rPr>
                <w:rFonts w:ascii="Arial Narrow" w:hAnsi="Arial Narrow"/>
                <w:i/>
                <w:iCs/>
                <w:sz w:val="20"/>
                <w:szCs w:val="20"/>
              </w:rPr>
              <w:t>i</w:t>
            </w:r>
            <w:proofErr w:type="spellEnd"/>
            <w:r w:rsidRPr="00E73BD3">
              <w:rPr>
                <w:rFonts w:ascii="Arial Narrow" w:hAnsi="Arial Narrow"/>
                <w:i/>
                <w:iCs/>
                <w:sz w:val="20"/>
                <w:szCs w:val="20"/>
              </w:rPr>
              <w:t xml:space="preserve">) continuing existing therapy with this medicine (i.e. not initiating treatment), (ii) has agreement from the treating specialist medical practitioner </w:t>
            </w:r>
          </w:p>
        </w:tc>
      </w:tr>
    </w:tbl>
    <w:p w14:paraId="560F036E" w14:textId="77777777" w:rsidR="00D56E7E" w:rsidRDefault="00D56E7E" w:rsidP="00D56E7E">
      <w:pPr>
        <w:spacing w:after="120"/>
        <w:rPr>
          <w:rFonts w:asciiTheme="minorHAnsi" w:hAnsiTheme="minorHAnsi" w:cstheme="minorHAnsi"/>
          <w:iCs/>
        </w:rPr>
      </w:pPr>
    </w:p>
    <w:p w14:paraId="4625075F" w14:textId="77777777" w:rsidR="00DC2D6E" w:rsidRDefault="00DC2D6E">
      <w:pPr>
        <w:jc w:val="left"/>
        <w:rPr>
          <w:rFonts w:asciiTheme="minorHAnsi" w:eastAsiaTheme="majorEastAsia" w:hAnsiTheme="minorHAnsi" w:cstheme="majorBidi"/>
          <w:b/>
          <w:color w:val="000000" w:themeColor="text1"/>
        </w:rPr>
      </w:pPr>
      <w:r>
        <w:br w:type="page"/>
      </w:r>
    </w:p>
    <w:p w14:paraId="288A2ECE" w14:textId="47B6AD59" w:rsidR="00DC2D6E" w:rsidRPr="00DC2D6E" w:rsidRDefault="000A734B" w:rsidP="00DC2D6E">
      <w:pPr>
        <w:pStyle w:val="5-SubsectionSubheading"/>
      </w:pPr>
      <w:r w:rsidRPr="000A734B">
        <w:lastRenderedPageBreak/>
        <w:t>Acute Graft vs Host Disease, S100 HSD Public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ute Graft vs Host Disease, S100 HSD Public"/>
      </w:tblPr>
      <w:tblGrid>
        <w:gridCol w:w="3932"/>
        <w:gridCol w:w="810"/>
        <w:gridCol w:w="812"/>
        <w:gridCol w:w="811"/>
        <w:gridCol w:w="812"/>
        <w:gridCol w:w="1839"/>
      </w:tblGrid>
      <w:tr w:rsidR="00DC2D6E" w:rsidRPr="00DA359D" w14:paraId="30386067" w14:textId="77777777" w:rsidTr="434C36E0">
        <w:trPr>
          <w:cantSplit/>
          <w:trHeight w:val="20"/>
        </w:trPr>
        <w:tc>
          <w:tcPr>
            <w:tcW w:w="3932" w:type="dxa"/>
            <w:tcBorders>
              <w:top w:val="single" w:sz="4" w:space="0" w:color="auto"/>
              <w:left w:val="single" w:sz="4" w:space="0" w:color="auto"/>
              <w:bottom w:val="single" w:sz="4" w:space="0" w:color="auto"/>
              <w:right w:val="single" w:sz="4" w:space="0" w:color="auto"/>
            </w:tcBorders>
            <w:vAlign w:val="center"/>
          </w:tcPr>
          <w:p w14:paraId="6DE0EC7B" w14:textId="77777777" w:rsidR="00DC2D6E" w:rsidRPr="00DC2D6E" w:rsidRDefault="00DC2D6E">
            <w:pPr>
              <w:keepLines/>
              <w:rPr>
                <w:rFonts w:ascii="Arial Narrow" w:hAnsi="Arial Narrow"/>
                <w:sz w:val="20"/>
              </w:rPr>
            </w:pPr>
            <w:r w:rsidRPr="00DC2D6E">
              <w:rPr>
                <w:rFonts w:ascii="Arial Narrow" w:hAnsi="Arial Narrow"/>
                <w:sz w:val="20"/>
              </w:rPr>
              <w:t>MEDICINAL PRODUCT</w:t>
            </w:r>
          </w:p>
          <w:p w14:paraId="68DD105C" w14:textId="77777777" w:rsidR="00DC2D6E" w:rsidRPr="00DC2D6E" w:rsidRDefault="00DC2D6E">
            <w:pPr>
              <w:keepLines/>
              <w:rPr>
                <w:rFonts w:ascii="Arial Narrow" w:hAnsi="Arial Narrow"/>
                <w:sz w:val="20"/>
              </w:rPr>
            </w:pPr>
            <w:r w:rsidRPr="00DC2D6E">
              <w:rPr>
                <w:rFonts w:ascii="Arial Narrow" w:hAnsi="Arial Narrow"/>
                <w:sz w:val="20"/>
              </w:rPr>
              <w:t>medicinal product pack</w:t>
            </w:r>
          </w:p>
        </w:tc>
        <w:tc>
          <w:tcPr>
            <w:tcW w:w="810" w:type="dxa"/>
            <w:tcBorders>
              <w:top w:val="single" w:sz="4" w:space="0" w:color="auto"/>
              <w:left w:val="single" w:sz="4" w:space="0" w:color="auto"/>
              <w:bottom w:val="single" w:sz="4" w:space="0" w:color="auto"/>
              <w:right w:val="single" w:sz="4" w:space="0" w:color="auto"/>
            </w:tcBorders>
            <w:vAlign w:val="center"/>
          </w:tcPr>
          <w:p w14:paraId="03C985FF" w14:textId="77777777" w:rsidR="00DC2D6E" w:rsidRPr="00DC2D6E" w:rsidRDefault="00DC2D6E">
            <w:pPr>
              <w:keepLines/>
              <w:jc w:val="center"/>
              <w:rPr>
                <w:rFonts w:ascii="Arial Narrow" w:hAnsi="Arial Narrow"/>
                <w:sz w:val="20"/>
              </w:rPr>
            </w:pPr>
            <w:r w:rsidRPr="00DC2D6E">
              <w:rPr>
                <w:rFonts w:ascii="Arial Narrow" w:hAnsi="Arial Narrow"/>
                <w:sz w:val="20"/>
              </w:rPr>
              <w:t>PBS item code</w:t>
            </w:r>
          </w:p>
        </w:tc>
        <w:tc>
          <w:tcPr>
            <w:tcW w:w="812" w:type="dxa"/>
            <w:tcBorders>
              <w:top w:val="single" w:sz="4" w:space="0" w:color="auto"/>
              <w:left w:val="single" w:sz="4" w:space="0" w:color="auto"/>
              <w:bottom w:val="single" w:sz="4" w:space="0" w:color="auto"/>
              <w:right w:val="single" w:sz="4" w:space="0" w:color="auto"/>
            </w:tcBorders>
            <w:vAlign w:val="center"/>
          </w:tcPr>
          <w:p w14:paraId="652642AE" w14:textId="77777777" w:rsidR="00DC2D6E" w:rsidRPr="00DC2D6E" w:rsidRDefault="00DC2D6E">
            <w:pPr>
              <w:keepLines/>
              <w:jc w:val="center"/>
              <w:rPr>
                <w:rFonts w:ascii="Arial Narrow" w:hAnsi="Arial Narrow"/>
                <w:sz w:val="20"/>
              </w:rPr>
            </w:pPr>
            <w:r w:rsidRPr="00DC2D6E">
              <w:rPr>
                <w:rFonts w:ascii="Arial Narrow" w:hAnsi="Arial Narrow"/>
                <w:sz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07D8EC26" w14:textId="77777777" w:rsidR="00DC2D6E" w:rsidRPr="00DC2D6E" w:rsidRDefault="00DC2D6E">
            <w:pPr>
              <w:keepLines/>
              <w:jc w:val="center"/>
              <w:rPr>
                <w:rFonts w:ascii="Arial Narrow" w:hAnsi="Arial Narrow"/>
                <w:sz w:val="20"/>
              </w:rPr>
            </w:pPr>
            <w:r w:rsidRPr="00DC2D6E">
              <w:rPr>
                <w:rFonts w:ascii="Arial Narrow" w:hAnsi="Arial Narrow"/>
                <w:sz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27E8269A" w14:textId="77777777" w:rsidR="00DC2D6E" w:rsidRPr="00DC2D6E" w:rsidRDefault="00DC2D6E">
            <w:pPr>
              <w:keepLines/>
              <w:jc w:val="center"/>
              <w:rPr>
                <w:rFonts w:ascii="Arial Narrow" w:hAnsi="Arial Narrow"/>
                <w:sz w:val="20"/>
              </w:rPr>
            </w:pPr>
            <w:proofErr w:type="gramStart"/>
            <w:r w:rsidRPr="00DC2D6E">
              <w:rPr>
                <w:rFonts w:ascii="Arial Narrow" w:hAnsi="Arial Narrow"/>
                <w:sz w:val="20"/>
              </w:rPr>
              <w:t>№.of</w:t>
            </w:r>
            <w:proofErr w:type="gramEnd"/>
          </w:p>
          <w:p w14:paraId="101DAFA6" w14:textId="77777777" w:rsidR="00DC2D6E" w:rsidRPr="00DC2D6E" w:rsidRDefault="00DC2D6E">
            <w:pPr>
              <w:keepLines/>
              <w:jc w:val="center"/>
              <w:rPr>
                <w:rFonts w:ascii="Arial Narrow" w:hAnsi="Arial Narrow"/>
                <w:sz w:val="20"/>
              </w:rPr>
            </w:pPr>
            <w:proofErr w:type="spellStart"/>
            <w:r w:rsidRPr="00DC2D6E">
              <w:rPr>
                <w:rFonts w:ascii="Arial Narrow" w:hAnsi="Arial Narrow"/>
                <w:sz w:val="20"/>
              </w:rPr>
              <w:t>Rpts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5DE834A4" w14:textId="77777777" w:rsidR="00DC2D6E" w:rsidRPr="00DC2D6E" w:rsidRDefault="00DC2D6E">
            <w:pPr>
              <w:keepLines/>
              <w:rPr>
                <w:rFonts w:ascii="Arial Narrow" w:hAnsi="Arial Narrow"/>
                <w:sz w:val="20"/>
              </w:rPr>
            </w:pPr>
            <w:r w:rsidRPr="00DC2D6E">
              <w:rPr>
                <w:rFonts w:ascii="Arial Narrow" w:hAnsi="Arial Narrow"/>
                <w:sz w:val="20"/>
              </w:rPr>
              <w:t>Available brands</w:t>
            </w:r>
          </w:p>
        </w:tc>
      </w:tr>
      <w:tr w:rsidR="00DC2D6E" w:rsidRPr="00DA359D" w14:paraId="43003305" w14:textId="77777777" w:rsidTr="434C36E0">
        <w:trPr>
          <w:cantSplit/>
          <w:trHeight w:val="20"/>
        </w:trPr>
        <w:tc>
          <w:tcPr>
            <w:tcW w:w="9016" w:type="dxa"/>
            <w:gridSpan w:val="6"/>
            <w:vAlign w:val="center"/>
          </w:tcPr>
          <w:p w14:paraId="7DD72DAD" w14:textId="77777777" w:rsidR="00DC2D6E" w:rsidRPr="00DA359D" w:rsidRDefault="00DC2D6E">
            <w:pPr>
              <w:keepLines/>
              <w:rPr>
                <w:rFonts w:ascii="Arial Narrow" w:hAnsi="Arial Narrow"/>
                <w:sz w:val="20"/>
              </w:rPr>
            </w:pPr>
            <w:r w:rsidRPr="00DA359D">
              <w:rPr>
                <w:rFonts w:ascii="Arial Narrow" w:hAnsi="Arial Narrow"/>
                <w:sz w:val="20"/>
              </w:rPr>
              <w:t>RUXOLITINIB</w:t>
            </w:r>
          </w:p>
        </w:tc>
      </w:tr>
      <w:tr w:rsidR="00B171DE" w:rsidRPr="00DA359D" w14:paraId="5316CDE7" w14:textId="77777777" w:rsidTr="434C36E0">
        <w:trPr>
          <w:cantSplit/>
          <w:trHeight w:val="20"/>
        </w:trPr>
        <w:tc>
          <w:tcPr>
            <w:tcW w:w="3932" w:type="dxa"/>
            <w:vAlign w:val="center"/>
          </w:tcPr>
          <w:p w14:paraId="0D83CB92" w14:textId="77777777" w:rsidR="00B171DE" w:rsidRPr="00DA359D" w:rsidRDefault="00B171DE">
            <w:pPr>
              <w:keepLines/>
              <w:rPr>
                <w:rFonts w:ascii="Arial Narrow" w:hAnsi="Arial Narrow"/>
                <w:sz w:val="20"/>
              </w:rPr>
            </w:pPr>
            <w:r w:rsidRPr="00DA359D">
              <w:rPr>
                <w:rFonts w:ascii="Arial Narrow" w:hAnsi="Arial Narrow"/>
                <w:sz w:val="20"/>
              </w:rPr>
              <w:t>ruxolitinib 5mg tablet, 56</w:t>
            </w:r>
          </w:p>
        </w:tc>
        <w:tc>
          <w:tcPr>
            <w:tcW w:w="810" w:type="dxa"/>
            <w:vAlign w:val="center"/>
          </w:tcPr>
          <w:p w14:paraId="1425687F" w14:textId="77777777" w:rsidR="00B171DE" w:rsidRPr="00E73B09" w:rsidRDefault="00B171DE">
            <w:pPr>
              <w:keepLines/>
              <w:jc w:val="center"/>
              <w:rPr>
                <w:rFonts w:ascii="Arial Narrow" w:hAnsi="Arial Narrow"/>
                <w:sz w:val="20"/>
                <w:highlight w:val="yellow"/>
              </w:rPr>
            </w:pPr>
            <w:r w:rsidRPr="00F57BA0">
              <w:rPr>
                <w:rFonts w:ascii="Arial Narrow" w:hAnsi="Arial Narrow"/>
                <w:sz w:val="20"/>
              </w:rPr>
              <w:t>13238R</w:t>
            </w:r>
            <w:r>
              <w:rPr>
                <w:rFonts w:ascii="Arial Narrow" w:hAnsi="Arial Narrow"/>
                <w:sz w:val="20"/>
              </w:rPr>
              <w:t>/Public</w:t>
            </w:r>
          </w:p>
        </w:tc>
        <w:tc>
          <w:tcPr>
            <w:tcW w:w="812" w:type="dxa"/>
            <w:vAlign w:val="center"/>
          </w:tcPr>
          <w:p w14:paraId="7A269C69" w14:textId="77777777" w:rsidR="00B171DE" w:rsidRPr="00DA359D" w:rsidRDefault="00B171DE">
            <w:pPr>
              <w:keepLines/>
              <w:jc w:val="center"/>
              <w:rPr>
                <w:rFonts w:ascii="Arial Narrow" w:hAnsi="Arial Narrow"/>
                <w:sz w:val="20"/>
              </w:rPr>
            </w:pPr>
            <w:r>
              <w:rPr>
                <w:rFonts w:ascii="Arial Narrow" w:hAnsi="Arial Narrow"/>
                <w:sz w:val="20"/>
              </w:rPr>
              <w:t>1</w:t>
            </w:r>
          </w:p>
        </w:tc>
        <w:tc>
          <w:tcPr>
            <w:tcW w:w="811" w:type="dxa"/>
            <w:vAlign w:val="center"/>
          </w:tcPr>
          <w:p w14:paraId="364B64E7" w14:textId="77777777" w:rsidR="00B171DE" w:rsidRPr="00DA359D" w:rsidRDefault="00B171DE">
            <w:pPr>
              <w:keepLines/>
              <w:jc w:val="center"/>
              <w:rPr>
                <w:rFonts w:ascii="Arial Narrow" w:hAnsi="Arial Narrow"/>
                <w:sz w:val="20"/>
              </w:rPr>
            </w:pPr>
            <w:r>
              <w:rPr>
                <w:rFonts w:ascii="Arial Narrow" w:hAnsi="Arial Narrow"/>
                <w:sz w:val="20"/>
              </w:rPr>
              <w:t>56</w:t>
            </w:r>
          </w:p>
        </w:tc>
        <w:tc>
          <w:tcPr>
            <w:tcW w:w="812" w:type="dxa"/>
            <w:vAlign w:val="center"/>
          </w:tcPr>
          <w:p w14:paraId="056AB608" w14:textId="77777777" w:rsidR="00B171DE" w:rsidRPr="00DA359D" w:rsidRDefault="00B171DE">
            <w:pPr>
              <w:keepLines/>
              <w:jc w:val="center"/>
              <w:rPr>
                <w:rFonts w:ascii="Arial Narrow" w:hAnsi="Arial Narrow"/>
                <w:sz w:val="20"/>
              </w:rPr>
            </w:pPr>
            <w:r>
              <w:rPr>
                <w:rFonts w:ascii="Arial Narrow" w:hAnsi="Arial Narrow"/>
                <w:sz w:val="20"/>
              </w:rPr>
              <w:t>5</w:t>
            </w:r>
          </w:p>
        </w:tc>
        <w:tc>
          <w:tcPr>
            <w:tcW w:w="1839" w:type="dxa"/>
            <w:vAlign w:val="center"/>
          </w:tcPr>
          <w:p w14:paraId="64220B03" w14:textId="488DD3E8" w:rsidR="5C384A41" w:rsidRDefault="5C384A41" w:rsidP="434C36E0">
            <w:pPr>
              <w:keepLines/>
              <w:rPr>
                <w:rFonts w:ascii="Arial Narrow" w:eastAsia="Arial Narrow" w:hAnsi="Arial Narrow" w:cs="Arial Narrow"/>
                <w:sz w:val="20"/>
                <w:szCs w:val="20"/>
              </w:rPr>
            </w:pPr>
            <w:proofErr w:type="spellStart"/>
            <w:r w:rsidRPr="434C36E0">
              <w:rPr>
                <w:rFonts w:ascii="Arial Narrow" w:hAnsi="Arial Narrow"/>
                <w:sz w:val="20"/>
                <w:szCs w:val="20"/>
              </w:rPr>
              <w:t>Jakavi</w:t>
            </w:r>
            <w:proofErr w:type="spellEnd"/>
            <w:r w:rsidRPr="434C36E0">
              <w:rPr>
                <w:rFonts w:eastAsia="Calibri" w:cs="Calibri"/>
                <w:lang w:val="en-GB"/>
              </w:rPr>
              <w:t>®</w:t>
            </w:r>
          </w:p>
          <w:p w14:paraId="69D608A7" w14:textId="2357638A" w:rsidR="00B171DE" w:rsidRPr="00DA359D" w:rsidRDefault="00B171DE" w:rsidP="434C36E0">
            <w:pPr>
              <w:keepLines/>
              <w:rPr>
                <w:rFonts w:ascii="Arial Narrow" w:hAnsi="Arial Narrow"/>
                <w:sz w:val="20"/>
                <w:szCs w:val="20"/>
              </w:rPr>
            </w:pPr>
          </w:p>
        </w:tc>
      </w:tr>
      <w:tr w:rsidR="00B171DE" w:rsidRPr="00DA359D" w14:paraId="621D2046" w14:textId="77777777" w:rsidTr="434C36E0">
        <w:trPr>
          <w:cantSplit/>
          <w:trHeight w:val="20"/>
        </w:trPr>
        <w:tc>
          <w:tcPr>
            <w:tcW w:w="3932" w:type="dxa"/>
            <w:vAlign w:val="center"/>
          </w:tcPr>
          <w:p w14:paraId="2CE5EB97" w14:textId="77777777" w:rsidR="00B171DE" w:rsidRPr="00DA359D" w:rsidRDefault="00B171DE">
            <w:pPr>
              <w:keepLines/>
              <w:rPr>
                <w:rFonts w:ascii="Arial Narrow" w:hAnsi="Arial Narrow"/>
                <w:sz w:val="20"/>
              </w:rPr>
            </w:pPr>
            <w:r w:rsidRPr="00DA359D">
              <w:rPr>
                <w:rFonts w:ascii="Arial Narrow" w:hAnsi="Arial Narrow"/>
                <w:sz w:val="20"/>
              </w:rPr>
              <w:t>ruxolitinib 10 mg tablet, 56</w:t>
            </w:r>
          </w:p>
        </w:tc>
        <w:tc>
          <w:tcPr>
            <w:tcW w:w="810" w:type="dxa"/>
            <w:vAlign w:val="center"/>
          </w:tcPr>
          <w:p w14:paraId="0B8BBD13" w14:textId="77777777" w:rsidR="00B171DE" w:rsidRPr="00E73B09" w:rsidRDefault="00B171DE">
            <w:pPr>
              <w:keepLines/>
              <w:jc w:val="center"/>
              <w:rPr>
                <w:rFonts w:ascii="Arial Narrow" w:hAnsi="Arial Narrow"/>
                <w:sz w:val="20"/>
                <w:highlight w:val="yellow"/>
              </w:rPr>
            </w:pPr>
            <w:r w:rsidRPr="005D01C4">
              <w:rPr>
                <w:rFonts w:ascii="Arial Narrow" w:hAnsi="Arial Narrow"/>
                <w:sz w:val="20"/>
              </w:rPr>
              <w:t>13245D</w:t>
            </w:r>
            <w:r>
              <w:rPr>
                <w:rFonts w:ascii="Arial Narrow" w:hAnsi="Arial Narrow"/>
                <w:sz w:val="20"/>
              </w:rPr>
              <w:t>/Public</w:t>
            </w:r>
          </w:p>
        </w:tc>
        <w:tc>
          <w:tcPr>
            <w:tcW w:w="812" w:type="dxa"/>
            <w:vAlign w:val="center"/>
          </w:tcPr>
          <w:p w14:paraId="0AE144BE" w14:textId="77777777" w:rsidR="00B171DE" w:rsidRPr="00DA359D" w:rsidRDefault="00B171DE">
            <w:pPr>
              <w:keepLines/>
              <w:jc w:val="center"/>
              <w:rPr>
                <w:rFonts w:ascii="Arial Narrow" w:hAnsi="Arial Narrow"/>
                <w:sz w:val="20"/>
              </w:rPr>
            </w:pPr>
            <w:r>
              <w:rPr>
                <w:rFonts w:ascii="Arial Narrow" w:hAnsi="Arial Narrow"/>
                <w:sz w:val="20"/>
              </w:rPr>
              <w:t>1</w:t>
            </w:r>
          </w:p>
        </w:tc>
        <w:tc>
          <w:tcPr>
            <w:tcW w:w="811" w:type="dxa"/>
            <w:vAlign w:val="center"/>
          </w:tcPr>
          <w:p w14:paraId="7F16E165" w14:textId="77777777" w:rsidR="00B171DE" w:rsidRPr="00DA359D" w:rsidRDefault="00B171DE">
            <w:pPr>
              <w:keepLines/>
              <w:jc w:val="center"/>
              <w:rPr>
                <w:rFonts w:ascii="Arial Narrow" w:hAnsi="Arial Narrow"/>
                <w:sz w:val="20"/>
              </w:rPr>
            </w:pPr>
            <w:r>
              <w:rPr>
                <w:rFonts w:ascii="Arial Narrow" w:hAnsi="Arial Narrow"/>
                <w:sz w:val="20"/>
              </w:rPr>
              <w:t>56</w:t>
            </w:r>
          </w:p>
        </w:tc>
        <w:tc>
          <w:tcPr>
            <w:tcW w:w="812" w:type="dxa"/>
            <w:vAlign w:val="center"/>
          </w:tcPr>
          <w:p w14:paraId="2BD1DE9F" w14:textId="77777777" w:rsidR="00B171DE" w:rsidRPr="00DA359D" w:rsidRDefault="00B171DE">
            <w:pPr>
              <w:keepLines/>
              <w:jc w:val="center"/>
              <w:rPr>
                <w:rFonts w:ascii="Arial Narrow" w:hAnsi="Arial Narrow"/>
                <w:sz w:val="20"/>
              </w:rPr>
            </w:pPr>
            <w:r>
              <w:rPr>
                <w:rFonts w:ascii="Arial Narrow" w:hAnsi="Arial Narrow"/>
                <w:sz w:val="20"/>
              </w:rPr>
              <w:t>5</w:t>
            </w:r>
          </w:p>
        </w:tc>
        <w:tc>
          <w:tcPr>
            <w:tcW w:w="1839" w:type="dxa"/>
            <w:vAlign w:val="center"/>
          </w:tcPr>
          <w:p w14:paraId="5FD5AA66" w14:textId="2C4A7624" w:rsidR="00B171DE" w:rsidRPr="00DA359D" w:rsidRDefault="73848666" w:rsidP="434C36E0">
            <w:pPr>
              <w:keepLines/>
              <w:rPr>
                <w:rFonts w:ascii="Arial Narrow" w:hAnsi="Arial Narrow"/>
                <w:sz w:val="20"/>
                <w:szCs w:val="20"/>
              </w:rPr>
            </w:pPr>
            <w:proofErr w:type="spellStart"/>
            <w:r w:rsidRPr="434C36E0">
              <w:rPr>
                <w:rFonts w:ascii="Arial Narrow" w:hAnsi="Arial Narrow"/>
                <w:sz w:val="20"/>
                <w:szCs w:val="20"/>
              </w:rPr>
              <w:t>Jakavi</w:t>
            </w:r>
            <w:proofErr w:type="spellEnd"/>
            <w:r w:rsidRPr="434C36E0">
              <w:rPr>
                <w:rFonts w:eastAsia="Calibri" w:cs="Calibri"/>
                <w:lang w:val="en-GB"/>
              </w:rPr>
              <w:t>®</w:t>
            </w:r>
            <w:r w:rsidRPr="434C36E0">
              <w:rPr>
                <w:rFonts w:ascii="Arial Narrow" w:hAnsi="Arial Narrow"/>
                <w:sz w:val="20"/>
                <w:szCs w:val="20"/>
              </w:rPr>
              <w:t xml:space="preserve"> </w:t>
            </w:r>
          </w:p>
          <w:p w14:paraId="2D564837" w14:textId="5AB6CCE5" w:rsidR="00B171DE" w:rsidRPr="00DA359D" w:rsidRDefault="00B171DE" w:rsidP="434C36E0">
            <w:pPr>
              <w:keepLines/>
              <w:rPr>
                <w:rFonts w:ascii="Arial Narrow" w:hAnsi="Arial Narrow"/>
                <w:sz w:val="20"/>
                <w:szCs w:val="20"/>
              </w:rPr>
            </w:pPr>
          </w:p>
        </w:tc>
      </w:tr>
    </w:tbl>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cute Graft vs Host Disease, S100 HSD Public"/>
      </w:tblPr>
      <w:tblGrid>
        <w:gridCol w:w="1284"/>
        <w:gridCol w:w="7732"/>
      </w:tblGrid>
      <w:tr w:rsidR="00B171DE" w:rsidRPr="7093FE7D" w14:paraId="54CB8EC9" w14:textId="77777777">
        <w:trPr>
          <w:trHeight w:val="15"/>
        </w:trPr>
        <w:tc>
          <w:tcPr>
            <w:tcW w:w="9016" w:type="dxa"/>
            <w:gridSpan w:val="2"/>
            <w:tcMar>
              <w:left w:w="108" w:type="dxa"/>
              <w:right w:w="108" w:type="dxa"/>
            </w:tcMar>
            <w:vAlign w:val="center"/>
          </w:tcPr>
          <w:p w14:paraId="126C0369" w14:textId="77777777" w:rsidR="00B171DE" w:rsidRPr="7093FE7D" w:rsidRDefault="00B171DE">
            <w:pPr>
              <w:spacing w:line="259" w:lineRule="auto"/>
              <w:rPr>
                <w:rFonts w:ascii="Arial Narrow" w:eastAsia="Arial Narrow" w:hAnsi="Arial Narrow" w:cs="Arial Narrow"/>
                <w:sz w:val="20"/>
                <w:szCs w:val="20"/>
              </w:rPr>
            </w:pPr>
          </w:p>
        </w:tc>
      </w:tr>
      <w:tr w:rsidR="00B171DE" w14:paraId="5D852E9B" w14:textId="77777777">
        <w:trPr>
          <w:trHeight w:val="355"/>
        </w:trPr>
        <w:tc>
          <w:tcPr>
            <w:tcW w:w="1284" w:type="dxa"/>
            <w:vMerge w:val="restart"/>
            <w:tcMar>
              <w:top w:w="15" w:type="dxa"/>
              <w:left w:w="108" w:type="dxa"/>
              <w:bottom w:w="15" w:type="dxa"/>
              <w:right w:w="108" w:type="dxa"/>
            </w:tcMar>
          </w:tcPr>
          <w:p w14:paraId="4FDE3ACE" w14:textId="48286202" w:rsidR="00B171DE" w:rsidRDefault="00B171DE">
            <w:pPr>
              <w:jc w:val="center"/>
            </w:pPr>
          </w:p>
        </w:tc>
        <w:tc>
          <w:tcPr>
            <w:tcW w:w="7732" w:type="dxa"/>
            <w:tcMar>
              <w:top w:w="15" w:type="dxa"/>
              <w:left w:w="108" w:type="dxa"/>
              <w:bottom w:w="15" w:type="dxa"/>
              <w:right w:w="108" w:type="dxa"/>
            </w:tcMar>
            <w:vAlign w:val="center"/>
          </w:tcPr>
          <w:p w14:paraId="1B82E2BB" w14:textId="77777777" w:rsidR="00B171DE" w:rsidRDefault="00B171DE">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0740D702" w14:textId="77777777" w:rsidR="00B171DE" w:rsidRDefault="00B171DE">
            <w:pPr>
              <w:jc w:val="left"/>
            </w:pPr>
            <w:r w:rsidRPr="7093FE7D">
              <w:rPr>
                <w:rFonts w:ascii="Arial Narrow" w:eastAsia="Arial Narrow" w:hAnsi="Arial Narrow" w:cs="Arial Narrow"/>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 xml:space="preserve">GENERAL </w:t>
            </w:r>
            <w:r w:rsidRPr="00F92E7E">
              <w:rPr>
                <w:rFonts w:ascii="Arial Narrow" w:hAnsi="Arial Narrow" w:cstheme="minorHAnsi"/>
                <w:sz w:val="20"/>
              </w:rPr>
              <w:t xml:space="preserve">- </w:t>
            </w:r>
            <w:r w:rsidRPr="00A910A5">
              <w:rPr>
                <w:rFonts w:ascii="Arial Narrow" w:hAnsi="Arial Narrow" w:cstheme="minorHAnsi"/>
                <w:sz w:val="20"/>
              </w:rPr>
              <w:t>Section 100 – Highly Specialised Drugs Program</w:t>
            </w:r>
            <w:r>
              <w:rPr>
                <w:rFonts w:ascii="Arial Narrow" w:hAnsi="Arial Narrow" w:cstheme="minorHAnsi"/>
                <w:sz w:val="20"/>
              </w:rPr>
              <w:t xml:space="preserve"> Public</w:t>
            </w:r>
          </w:p>
        </w:tc>
      </w:tr>
      <w:tr w:rsidR="00B171DE" w:rsidRPr="00253401" w14:paraId="59188822" w14:textId="77777777">
        <w:trPr>
          <w:trHeight w:val="15"/>
        </w:trPr>
        <w:tc>
          <w:tcPr>
            <w:tcW w:w="1284" w:type="dxa"/>
            <w:vMerge/>
            <w:vAlign w:val="center"/>
          </w:tcPr>
          <w:p w14:paraId="5959EA11" w14:textId="77777777" w:rsidR="00B171DE" w:rsidRDefault="00B171DE"/>
        </w:tc>
        <w:tc>
          <w:tcPr>
            <w:tcW w:w="7732" w:type="dxa"/>
            <w:tcMar>
              <w:top w:w="15" w:type="dxa"/>
              <w:left w:w="108" w:type="dxa"/>
              <w:bottom w:w="15" w:type="dxa"/>
              <w:right w:w="108" w:type="dxa"/>
            </w:tcMar>
            <w:vAlign w:val="center"/>
          </w:tcPr>
          <w:p w14:paraId="69756E62" w14:textId="77777777" w:rsidR="00B171DE" w:rsidRPr="00D14ADF" w:rsidRDefault="00B171DE">
            <w:pPr>
              <w:rPr>
                <w:rFonts w:ascii="Arial Narrow" w:eastAsia="Arial Narrow" w:hAnsi="Arial Narrow" w:cs="Arial Narrow"/>
                <w:sz w:val="20"/>
                <w:szCs w:val="20"/>
              </w:rPr>
            </w:pPr>
            <w:r w:rsidRPr="7093FE7D">
              <w:rPr>
                <w:rFonts w:ascii="Arial Narrow" w:eastAsia="Arial Narrow" w:hAnsi="Arial Narrow" w:cs="Arial Narrow"/>
                <w:b/>
                <w:bCs/>
                <w:sz w:val="20"/>
                <w:szCs w:val="20"/>
              </w:rPr>
              <w:t>Prescriber type:</w:t>
            </w:r>
            <w:r>
              <w:rPr>
                <w:rFonts w:ascii="Arial Narrow" w:eastAsia="Arial Narrow" w:hAnsi="Arial Narrow" w:cs="Arial Narrow"/>
                <w:b/>
                <w:bCs/>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7093FE7D">
              <w:rPr>
                <w:rFonts w:ascii="Arial Narrow" w:eastAsia="Arial Narrow" w:hAnsi="Arial Narrow" w:cs="Arial Narrow"/>
                <w:sz w:val="20"/>
                <w:szCs w:val="20"/>
              </w:rPr>
              <w:t>Medical</w:t>
            </w:r>
            <w:r>
              <w:rPr>
                <w:rFonts w:ascii="Arial Narrow" w:eastAsia="Arial Narrow" w:hAnsi="Arial Narrow" w:cs="Arial Narrow"/>
                <w:sz w:val="20"/>
                <w:szCs w:val="20"/>
              </w:rPr>
              <w:t xml:space="preserve"> </w:t>
            </w:r>
            <w:r w:rsidRPr="7093FE7D">
              <w:rPr>
                <w:rFonts w:ascii="Arial Narrow" w:eastAsia="Arial Narrow" w:hAnsi="Arial Narrow" w:cs="Arial Narrow"/>
                <w:sz w:val="20"/>
                <w:szCs w:val="20"/>
              </w:rPr>
              <w:t xml:space="preserve">Practitioners </w:t>
            </w:r>
            <w:r w:rsidRPr="005E2048">
              <w:rPr>
                <w:rFonts w:ascii="Arial Narrow" w:hAnsi="Arial Narrow" w:cs="Arial"/>
                <w:i/>
                <w:iCs/>
                <w:sz w:val="20"/>
                <w:szCs w:val="20"/>
              </w:rPr>
              <w:fldChar w:fldCharType="begin">
                <w:ffData>
                  <w:name w:val=""/>
                  <w:enabled/>
                  <w:calcOnExit w:val="0"/>
                  <w:checkBox>
                    <w:sizeAuto/>
                    <w:default w:val="1"/>
                  </w:checkBox>
                </w:ffData>
              </w:fldChar>
            </w:r>
            <w:r w:rsidRPr="005E2048">
              <w:rPr>
                <w:rFonts w:ascii="Arial Narrow" w:hAnsi="Arial Narrow" w:cs="Arial"/>
                <w:i/>
                <w:iCs/>
                <w:sz w:val="20"/>
                <w:szCs w:val="20"/>
              </w:rPr>
              <w:instrText xml:space="preserve"> FORMCHECKBOX </w:instrText>
            </w:r>
            <w:r w:rsidRPr="005E2048">
              <w:rPr>
                <w:rFonts w:ascii="Arial Narrow" w:hAnsi="Arial Narrow" w:cs="Arial"/>
                <w:i/>
                <w:iCs/>
                <w:sz w:val="20"/>
                <w:szCs w:val="20"/>
              </w:rPr>
            </w:r>
            <w:r w:rsidRPr="005E2048">
              <w:rPr>
                <w:rFonts w:ascii="Arial Narrow" w:hAnsi="Arial Narrow" w:cs="Arial"/>
                <w:i/>
                <w:iCs/>
                <w:sz w:val="20"/>
                <w:szCs w:val="20"/>
              </w:rPr>
              <w:fldChar w:fldCharType="separate"/>
            </w:r>
            <w:r w:rsidRPr="005E2048">
              <w:rPr>
                <w:rFonts w:ascii="Arial Narrow" w:hAnsi="Arial Narrow" w:cs="Arial"/>
                <w:i/>
                <w:iCs/>
                <w:sz w:val="20"/>
                <w:szCs w:val="20"/>
              </w:rPr>
              <w:fldChar w:fldCharType="end"/>
            </w:r>
            <w:r w:rsidRPr="005E2048">
              <w:rPr>
                <w:rFonts w:ascii="Arial Narrow" w:hAnsi="Arial Narrow" w:cs="Arial"/>
                <w:i/>
                <w:iCs/>
                <w:sz w:val="20"/>
                <w:szCs w:val="20"/>
              </w:rPr>
              <w:t xml:space="preserve"> </w:t>
            </w:r>
            <w:r w:rsidRPr="005E2048">
              <w:rPr>
                <w:rFonts w:ascii="Arial Narrow" w:eastAsia="Arial Narrow" w:hAnsi="Arial Narrow" w:cs="Arial Narrow"/>
                <w:i/>
                <w:iCs/>
                <w:sz w:val="20"/>
                <w:szCs w:val="20"/>
              </w:rPr>
              <w:t>Nurse Practitioners</w:t>
            </w:r>
            <w:r w:rsidRPr="00842E25">
              <w:rPr>
                <w:rFonts w:ascii="Arial Narrow" w:eastAsia="Arial Narrow" w:hAnsi="Arial Narrow" w:cs="Arial Narrow"/>
                <w:sz w:val="20"/>
                <w:szCs w:val="20"/>
              </w:rPr>
              <w:t xml:space="preserve"> </w:t>
            </w:r>
          </w:p>
        </w:tc>
      </w:tr>
      <w:tr w:rsidR="00B171DE" w:rsidRPr="00B45840" w14:paraId="0BEF5855" w14:textId="77777777">
        <w:trPr>
          <w:trHeight w:val="15"/>
        </w:trPr>
        <w:tc>
          <w:tcPr>
            <w:tcW w:w="1284" w:type="dxa"/>
            <w:vMerge/>
            <w:vAlign w:val="center"/>
          </w:tcPr>
          <w:p w14:paraId="1D2B54B9" w14:textId="77777777" w:rsidR="00B171DE" w:rsidRDefault="00B171DE"/>
        </w:tc>
        <w:tc>
          <w:tcPr>
            <w:tcW w:w="7732" w:type="dxa"/>
            <w:tcMar>
              <w:top w:w="15" w:type="dxa"/>
              <w:left w:w="108" w:type="dxa"/>
              <w:bottom w:w="15" w:type="dxa"/>
              <w:right w:w="108" w:type="dxa"/>
            </w:tcMar>
            <w:vAlign w:val="center"/>
          </w:tcPr>
          <w:p w14:paraId="225E04EA" w14:textId="77777777" w:rsidR="00B171DE" w:rsidRPr="00B45840" w:rsidRDefault="00B171DE">
            <w:pPr>
              <w:rPr>
                <w:rFonts w:ascii="Arial Narrow" w:eastAsia="Arial Narrow" w:hAnsi="Arial Narrow" w:cs="Arial Narrow"/>
                <w:sz w:val="20"/>
                <w:szCs w:val="20"/>
              </w:rPr>
            </w:pPr>
            <w:r w:rsidRPr="7093FE7D">
              <w:rPr>
                <w:rFonts w:ascii="Arial Narrow" w:eastAsia="Arial Narrow" w:hAnsi="Arial Narrow" w:cs="Arial Narrow"/>
                <w:b/>
                <w:bCs/>
                <w:sz w:val="20"/>
                <w:szCs w:val="20"/>
              </w:rPr>
              <w:t xml:space="preserve">Restriction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Pr="0090600A">
              <w:rPr>
                <w:rFonts w:ascii="Arial Narrow" w:eastAsia="Arial Narrow" w:hAnsi="Arial Narrow" w:cs="Arial Narrow"/>
                <w:sz w:val="20"/>
                <w:szCs w:val="20"/>
              </w:rPr>
              <w:t>Authority Required (STREAMLINED)</w:t>
            </w:r>
          </w:p>
        </w:tc>
      </w:tr>
      <w:tr w:rsidR="00B171DE" w14:paraId="4DDF5C59" w14:textId="77777777">
        <w:trPr>
          <w:trHeight w:val="15"/>
        </w:trPr>
        <w:tc>
          <w:tcPr>
            <w:tcW w:w="1284" w:type="dxa"/>
            <w:tcMar>
              <w:top w:w="15" w:type="dxa"/>
              <w:left w:w="108" w:type="dxa"/>
              <w:bottom w:w="15" w:type="dxa"/>
              <w:right w:w="108" w:type="dxa"/>
            </w:tcMar>
            <w:vAlign w:val="center"/>
          </w:tcPr>
          <w:p w14:paraId="781C67C1" w14:textId="5044B3C1" w:rsidR="00B171DE" w:rsidRPr="004D1863" w:rsidRDefault="00B171DE">
            <w:pPr>
              <w:jc w:val="center"/>
            </w:pPr>
          </w:p>
        </w:tc>
        <w:tc>
          <w:tcPr>
            <w:tcW w:w="7732" w:type="dxa"/>
            <w:tcMar>
              <w:top w:w="15" w:type="dxa"/>
              <w:left w:w="108" w:type="dxa"/>
              <w:bottom w:w="15" w:type="dxa"/>
              <w:right w:w="108" w:type="dxa"/>
            </w:tcMar>
            <w:vAlign w:val="center"/>
          </w:tcPr>
          <w:p w14:paraId="74C53DC3" w14:textId="77777777" w:rsidR="00B171DE" w:rsidRDefault="00B171DE">
            <w:pPr>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sidRPr="00A910A5">
              <w:rPr>
                <w:rFonts w:ascii="Arial Narrow" w:hAnsi="Arial Narrow" w:cstheme="minorBidi"/>
                <w:sz w:val="20"/>
              </w:rPr>
              <w:t>Grade II to IV acute graft versus host disease</w:t>
            </w:r>
            <w:r>
              <w:rPr>
                <w:rFonts w:ascii="Arial Narrow" w:hAnsi="Arial Narrow" w:cstheme="minorBidi"/>
                <w:sz w:val="20"/>
              </w:rPr>
              <w:t xml:space="preserve"> (</w:t>
            </w:r>
            <w:proofErr w:type="spellStart"/>
            <w:r>
              <w:rPr>
                <w:rFonts w:ascii="Arial Narrow" w:hAnsi="Arial Narrow" w:cstheme="minorBidi"/>
                <w:sz w:val="20"/>
              </w:rPr>
              <w:t>aGVHD</w:t>
            </w:r>
            <w:proofErr w:type="spellEnd"/>
            <w:r>
              <w:rPr>
                <w:rFonts w:ascii="Arial Narrow" w:hAnsi="Arial Narrow" w:cstheme="minorBidi"/>
                <w:sz w:val="20"/>
              </w:rPr>
              <w:t xml:space="preserve">) </w:t>
            </w:r>
          </w:p>
        </w:tc>
      </w:tr>
      <w:tr w:rsidR="00B171DE" w14:paraId="26D2584C" w14:textId="77777777">
        <w:trPr>
          <w:trHeight w:val="480"/>
        </w:trPr>
        <w:tc>
          <w:tcPr>
            <w:tcW w:w="1284" w:type="dxa"/>
            <w:tcMar>
              <w:top w:w="15" w:type="dxa"/>
              <w:left w:w="108" w:type="dxa"/>
              <w:bottom w:w="15" w:type="dxa"/>
              <w:right w:w="108" w:type="dxa"/>
            </w:tcMar>
            <w:vAlign w:val="center"/>
          </w:tcPr>
          <w:p w14:paraId="0CE69B93" w14:textId="77777777" w:rsidR="00B171DE" w:rsidRDefault="00B171DE"/>
        </w:tc>
        <w:tc>
          <w:tcPr>
            <w:tcW w:w="7732" w:type="dxa"/>
            <w:tcMar>
              <w:top w:w="15" w:type="dxa"/>
              <w:left w:w="108" w:type="dxa"/>
              <w:bottom w:w="15" w:type="dxa"/>
              <w:right w:w="108" w:type="dxa"/>
            </w:tcMar>
            <w:vAlign w:val="center"/>
          </w:tcPr>
          <w:p w14:paraId="05EB16B2" w14:textId="77777777" w:rsidR="00B171DE" w:rsidRDefault="00B171DE">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Continuing</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treatment</w:t>
            </w:r>
          </w:p>
        </w:tc>
      </w:tr>
    </w:tbl>
    <w:tbl>
      <w:tblPr>
        <w:tblpPr w:leftFromText="180" w:rightFromText="180" w:vertAnchor="text" w:tblpY="1"/>
        <w:tblOverlap w:val="never"/>
        <w:tblW w:w="5000" w:type="pct"/>
        <w:tblLook w:val="04A0" w:firstRow="1" w:lastRow="0" w:firstColumn="1" w:lastColumn="0" w:noHBand="0" w:noVBand="1"/>
        <w:tblCaption w:val="Acute Graft vs Host Disease, S100 HSD Public"/>
      </w:tblPr>
      <w:tblGrid>
        <w:gridCol w:w="1271"/>
        <w:gridCol w:w="7745"/>
      </w:tblGrid>
      <w:tr w:rsidR="00B171DE" w:rsidRPr="00F92E7E" w14:paraId="2774E741" w14:textId="77777777">
        <w:trPr>
          <w:trHeight w:val="142"/>
        </w:trPr>
        <w:tc>
          <w:tcPr>
            <w:tcW w:w="705" w:type="pct"/>
            <w:tcBorders>
              <w:left w:val="single" w:sz="4" w:space="0" w:color="auto"/>
              <w:bottom w:val="single" w:sz="4" w:space="0" w:color="auto"/>
              <w:right w:val="single" w:sz="4" w:space="0" w:color="auto"/>
            </w:tcBorders>
          </w:tcPr>
          <w:p w14:paraId="6E9226D6" w14:textId="76B0C276" w:rsidR="00B171DE" w:rsidRPr="004D1863" w:rsidRDefault="00B171DE">
            <w:pPr>
              <w:jc w:val="center"/>
              <w:rPr>
                <w:rFonts w:ascii="Arial Narrow" w:hAnsi="Arial Narrow" w:cstheme="minorHAnsi"/>
                <w:b/>
                <w:strike/>
                <w:sz w:val="20"/>
              </w:rPr>
            </w:pPr>
          </w:p>
        </w:tc>
        <w:tc>
          <w:tcPr>
            <w:tcW w:w="4295" w:type="pct"/>
            <w:tcBorders>
              <w:left w:val="single" w:sz="4" w:space="0" w:color="auto"/>
              <w:bottom w:val="single" w:sz="4" w:space="0" w:color="auto"/>
              <w:right w:val="single" w:sz="4" w:space="0" w:color="auto"/>
            </w:tcBorders>
          </w:tcPr>
          <w:p w14:paraId="77E8C7AA" w14:textId="77777777" w:rsidR="00B171DE" w:rsidRPr="00E74BD8" w:rsidRDefault="00B171DE">
            <w:pPr>
              <w:keepNext/>
              <w:snapToGrid w:val="0"/>
              <w:rPr>
                <w:rFonts w:ascii="Arial Narrow" w:hAnsi="Arial Narrow" w:cstheme="minorHAnsi"/>
                <w:b/>
                <w:strike/>
                <w:sz w:val="20"/>
              </w:rPr>
            </w:pPr>
            <w:r w:rsidRPr="00E74BD8">
              <w:rPr>
                <w:rFonts w:ascii="Arial Narrow" w:hAnsi="Arial Narrow" w:cstheme="minorHAnsi"/>
                <w:b/>
                <w:strike/>
                <w:sz w:val="20"/>
              </w:rPr>
              <w:t>Treatment criteria:</w:t>
            </w:r>
          </w:p>
          <w:p w14:paraId="3840C290" w14:textId="77777777" w:rsidR="00B171DE" w:rsidRPr="00E74BD8" w:rsidRDefault="00B171DE">
            <w:pPr>
              <w:keepNext/>
              <w:snapToGrid w:val="0"/>
              <w:rPr>
                <w:rFonts w:ascii="Arial Narrow" w:hAnsi="Arial Narrow" w:cstheme="minorHAnsi"/>
                <w:b/>
                <w:strike/>
                <w:sz w:val="20"/>
              </w:rPr>
            </w:pPr>
          </w:p>
        </w:tc>
      </w:tr>
      <w:tr w:rsidR="00B171DE" w:rsidRPr="00F92E7E" w14:paraId="0BCA6250" w14:textId="77777777">
        <w:trPr>
          <w:trHeight w:val="238"/>
        </w:trPr>
        <w:tc>
          <w:tcPr>
            <w:tcW w:w="705" w:type="pct"/>
            <w:tcBorders>
              <w:left w:val="single" w:sz="4" w:space="0" w:color="auto"/>
              <w:bottom w:val="single" w:sz="4" w:space="0" w:color="auto"/>
              <w:right w:val="single" w:sz="4" w:space="0" w:color="auto"/>
            </w:tcBorders>
          </w:tcPr>
          <w:p w14:paraId="6CCFA7CE" w14:textId="77777777" w:rsidR="00B171DE" w:rsidRPr="004D1863" w:rsidRDefault="00B171DE">
            <w:pPr>
              <w:jc w:val="center"/>
              <w:rPr>
                <w:rFonts w:ascii="Arial Narrow" w:hAnsi="Arial Narrow" w:cstheme="minorHAnsi"/>
                <w:strike/>
                <w:sz w:val="20"/>
              </w:rPr>
            </w:pPr>
          </w:p>
        </w:tc>
        <w:tc>
          <w:tcPr>
            <w:tcW w:w="4295" w:type="pct"/>
            <w:tcBorders>
              <w:left w:val="single" w:sz="4" w:space="0" w:color="auto"/>
              <w:bottom w:val="single" w:sz="4" w:space="0" w:color="auto"/>
              <w:right w:val="single" w:sz="4" w:space="0" w:color="auto"/>
            </w:tcBorders>
          </w:tcPr>
          <w:p w14:paraId="756579ED" w14:textId="77777777" w:rsidR="00B171DE" w:rsidRPr="00E74BD8" w:rsidRDefault="00B171DE">
            <w:pPr>
              <w:keepNext/>
              <w:snapToGrid w:val="0"/>
              <w:rPr>
                <w:rFonts w:ascii="Arial Narrow" w:hAnsi="Arial Narrow" w:cstheme="minorHAnsi"/>
                <w:iCs/>
                <w:strike/>
                <w:sz w:val="20"/>
              </w:rPr>
            </w:pPr>
            <w:r w:rsidRPr="00E74BD8">
              <w:rPr>
                <w:rFonts w:ascii="Arial Narrow" w:hAnsi="Arial Narrow" w:cstheme="minorHAnsi"/>
                <w:iCs/>
                <w:strike/>
                <w:sz w:val="20"/>
              </w:rPr>
              <w:t xml:space="preserve">Must be treated by a haematologist; </w:t>
            </w:r>
          </w:p>
          <w:p w14:paraId="51036F1C" w14:textId="77777777" w:rsidR="00B171DE" w:rsidRPr="00E74BD8" w:rsidRDefault="00B171DE">
            <w:pPr>
              <w:keepNext/>
              <w:snapToGrid w:val="0"/>
              <w:rPr>
                <w:rFonts w:ascii="Arial Narrow" w:hAnsi="Arial Narrow" w:cstheme="minorHAnsi"/>
                <w:iCs/>
                <w:strike/>
                <w:sz w:val="20"/>
              </w:rPr>
            </w:pPr>
            <w:r w:rsidRPr="00E74BD8">
              <w:rPr>
                <w:rFonts w:ascii="Arial Narrow" w:hAnsi="Arial Narrow" w:cstheme="minorHAnsi"/>
                <w:iCs/>
                <w:strike/>
                <w:sz w:val="20"/>
              </w:rPr>
              <w:t>OR</w:t>
            </w:r>
          </w:p>
        </w:tc>
      </w:tr>
      <w:tr w:rsidR="00B171DE" w:rsidRPr="00F92E7E" w14:paraId="7A4DF940" w14:textId="77777777">
        <w:trPr>
          <w:trHeight w:val="553"/>
        </w:trPr>
        <w:tc>
          <w:tcPr>
            <w:tcW w:w="705" w:type="pct"/>
            <w:tcBorders>
              <w:left w:val="single" w:sz="4" w:space="0" w:color="auto"/>
              <w:bottom w:val="single" w:sz="4" w:space="0" w:color="auto"/>
              <w:right w:val="single" w:sz="4" w:space="0" w:color="auto"/>
            </w:tcBorders>
          </w:tcPr>
          <w:p w14:paraId="6E2A4212" w14:textId="5725BFCB" w:rsidR="00B171DE" w:rsidRPr="004D1863" w:rsidRDefault="00B171DE">
            <w:pPr>
              <w:jc w:val="center"/>
              <w:rPr>
                <w:rFonts w:ascii="Arial Narrow" w:hAnsi="Arial Narrow" w:cstheme="minorHAnsi"/>
                <w:b/>
                <w:strike/>
                <w:sz w:val="20"/>
              </w:rPr>
            </w:pPr>
          </w:p>
        </w:tc>
        <w:tc>
          <w:tcPr>
            <w:tcW w:w="4295" w:type="pct"/>
            <w:tcBorders>
              <w:left w:val="single" w:sz="4" w:space="0" w:color="auto"/>
              <w:bottom w:val="single" w:sz="4" w:space="0" w:color="auto"/>
              <w:right w:val="single" w:sz="4" w:space="0" w:color="auto"/>
            </w:tcBorders>
          </w:tcPr>
          <w:p w14:paraId="6635906B" w14:textId="77777777" w:rsidR="00B171DE" w:rsidRPr="00E74BD8" w:rsidRDefault="00B171DE">
            <w:pPr>
              <w:keepNext/>
              <w:snapToGrid w:val="0"/>
              <w:rPr>
                <w:rFonts w:ascii="Arial Narrow" w:hAnsi="Arial Narrow" w:cstheme="minorHAnsi"/>
                <w:iCs/>
                <w:strike/>
                <w:sz w:val="20"/>
              </w:rPr>
            </w:pPr>
            <w:r w:rsidRPr="00E74BD8">
              <w:rPr>
                <w:rFonts w:ascii="Arial Narrow" w:hAnsi="Arial Narrow" w:cstheme="minorHAnsi"/>
                <w:iCs/>
                <w:strike/>
                <w:sz w:val="20"/>
              </w:rPr>
              <w:t xml:space="preserve">Must be treated by an oncologist with allogeneic bone marrow transplantation experience; </w:t>
            </w:r>
          </w:p>
          <w:p w14:paraId="2FF237A8" w14:textId="77777777" w:rsidR="00B171DE" w:rsidRPr="00D14ADF" w:rsidRDefault="00B171DE">
            <w:pPr>
              <w:keepNext/>
              <w:snapToGrid w:val="0"/>
              <w:rPr>
                <w:rFonts w:ascii="Arial Narrow" w:hAnsi="Arial Narrow" w:cstheme="minorHAnsi"/>
                <w:iCs/>
                <w:strike/>
                <w:sz w:val="20"/>
              </w:rPr>
            </w:pPr>
            <w:r w:rsidRPr="00E74BD8">
              <w:rPr>
                <w:rFonts w:ascii="Arial Narrow" w:hAnsi="Arial Narrow" w:cstheme="minorHAnsi"/>
                <w:iCs/>
                <w:strike/>
                <w:sz w:val="20"/>
              </w:rPr>
              <w:t>OR</w:t>
            </w:r>
          </w:p>
        </w:tc>
      </w:tr>
      <w:tr w:rsidR="00B171DE" w:rsidRPr="00F92E7E" w14:paraId="2EB15582" w14:textId="77777777">
        <w:trPr>
          <w:trHeight w:val="510"/>
        </w:trPr>
        <w:tc>
          <w:tcPr>
            <w:tcW w:w="705" w:type="pct"/>
            <w:tcBorders>
              <w:left w:val="single" w:sz="4" w:space="0" w:color="auto"/>
              <w:bottom w:val="single" w:sz="4" w:space="0" w:color="auto"/>
              <w:right w:val="single" w:sz="4" w:space="0" w:color="auto"/>
            </w:tcBorders>
          </w:tcPr>
          <w:p w14:paraId="1C60088F" w14:textId="5E3BB9F8" w:rsidR="00B171DE" w:rsidRPr="004D1863" w:rsidRDefault="00B171DE">
            <w:pPr>
              <w:jc w:val="center"/>
              <w:rPr>
                <w:rFonts w:ascii="Arial Narrow" w:hAnsi="Arial Narrow" w:cstheme="minorHAnsi"/>
                <w:b/>
                <w:strike/>
                <w:sz w:val="20"/>
              </w:rPr>
            </w:pPr>
          </w:p>
        </w:tc>
        <w:tc>
          <w:tcPr>
            <w:tcW w:w="4295" w:type="pct"/>
            <w:tcBorders>
              <w:left w:val="single" w:sz="4" w:space="0" w:color="auto"/>
              <w:bottom w:val="single" w:sz="4" w:space="0" w:color="auto"/>
              <w:right w:val="single" w:sz="4" w:space="0" w:color="auto"/>
            </w:tcBorders>
          </w:tcPr>
          <w:p w14:paraId="2B35169D" w14:textId="77777777" w:rsidR="00B171DE" w:rsidRPr="00E74BD8" w:rsidRDefault="00B171DE">
            <w:pPr>
              <w:keepNext/>
              <w:snapToGrid w:val="0"/>
              <w:rPr>
                <w:rFonts w:ascii="Arial Narrow" w:hAnsi="Arial Narrow" w:cstheme="minorHAnsi"/>
                <w:b/>
                <w:strike/>
                <w:sz w:val="20"/>
              </w:rPr>
            </w:pPr>
            <w:r w:rsidRPr="00E74BD8">
              <w:rPr>
                <w:rFonts w:ascii="Arial Narrow" w:hAnsi="Arial Narrow" w:cstheme="minorHAnsi"/>
                <w:iCs/>
                <w:strike/>
                <w:sz w:val="20"/>
              </w:rPr>
              <w:t xml:space="preserve">Must be treated by a medical practitioner working under the direct supervision of one of the </w:t>
            </w:r>
            <w:proofErr w:type="gramStart"/>
            <w:r w:rsidRPr="00E74BD8">
              <w:rPr>
                <w:rFonts w:ascii="Arial Narrow" w:hAnsi="Arial Narrow" w:cstheme="minorHAnsi"/>
                <w:iCs/>
                <w:strike/>
                <w:sz w:val="20"/>
              </w:rPr>
              <w:t>above mentioned</w:t>
            </w:r>
            <w:proofErr w:type="gramEnd"/>
            <w:r w:rsidRPr="00E74BD8">
              <w:rPr>
                <w:rFonts w:ascii="Arial Narrow" w:hAnsi="Arial Narrow" w:cstheme="minorHAnsi"/>
                <w:iCs/>
                <w:strike/>
                <w:sz w:val="20"/>
              </w:rPr>
              <w:t xml:space="preserve"> specialist types.</w:t>
            </w:r>
          </w:p>
        </w:tc>
      </w:tr>
      <w:tr w:rsidR="00B171DE" w:rsidRPr="00F92E7E" w14:paraId="681FECA1" w14:textId="77777777">
        <w:trPr>
          <w:trHeight w:val="324"/>
        </w:trPr>
        <w:tc>
          <w:tcPr>
            <w:tcW w:w="705" w:type="pct"/>
            <w:tcBorders>
              <w:top w:val="single" w:sz="4" w:space="0" w:color="auto"/>
              <w:left w:val="single" w:sz="4" w:space="0" w:color="auto"/>
              <w:bottom w:val="single" w:sz="4" w:space="0" w:color="auto"/>
              <w:right w:val="single" w:sz="4" w:space="0" w:color="auto"/>
            </w:tcBorders>
            <w:vAlign w:val="center"/>
          </w:tcPr>
          <w:p w14:paraId="642A3936" w14:textId="345A3629" w:rsidR="00B171DE" w:rsidRPr="00D14ADF" w:rsidRDefault="00B171DE">
            <w:pPr>
              <w:jc w:val="center"/>
              <w:rPr>
                <w:rFonts w:ascii="Arial Narrow" w:hAnsi="Arial Narrow" w:cstheme="minorHAnsi"/>
                <w:i/>
                <w:iCs/>
                <w:strike/>
                <w:sz w:val="20"/>
              </w:rPr>
            </w:pPr>
          </w:p>
        </w:tc>
        <w:tc>
          <w:tcPr>
            <w:tcW w:w="4295" w:type="pct"/>
            <w:tcBorders>
              <w:top w:val="single" w:sz="4" w:space="0" w:color="auto"/>
              <w:left w:val="single" w:sz="4" w:space="0" w:color="auto"/>
              <w:bottom w:val="single" w:sz="4" w:space="0" w:color="auto"/>
              <w:right w:val="single" w:sz="4" w:space="0" w:color="auto"/>
            </w:tcBorders>
          </w:tcPr>
          <w:p w14:paraId="42E1B66B" w14:textId="77777777" w:rsidR="00B171DE" w:rsidRPr="00D14ADF" w:rsidRDefault="00B171DE">
            <w:pPr>
              <w:pStyle w:val="3Bodytext"/>
              <w:rPr>
                <w:rFonts w:ascii="Arial Narrow" w:hAnsi="Arial Narrow"/>
                <w:i/>
                <w:iCs/>
                <w:sz w:val="20"/>
                <w:szCs w:val="20"/>
              </w:rPr>
            </w:pPr>
            <w:r w:rsidRPr="00E74BD8">
              <w:rPr>
                <w:rFonts w:ascii="Arial Narrow" w:hAnsi="Arial Narrow"/>
                <w:b/>
                <w:bCs/>
                <w:i/>
                <w:iCs/>
                <w:sz w:val="20"/>
                <w:szCs w:val="20"/>
              </w:rPr>
              <w:t>Treatment criteria:</w:t>
            </w:r>
          </w:p>
        </w:tc>
      </w:tr>
      <w:tr w:rsidR="00B171DE" w:rsidRPr="00F92E7E" w14:paraId="097978D1" w14:textId="77777777">
        <w:trPr>
          <w:trHeight w:val="194"/>
        </w:trPr>
        <w:tc>
          <w:tcPr>
            <w:tcW w:w="705" w:type="pct"/>
            <w:tcBorders>
              <w:top w:val="single" w:sz="4" w:space="0" w:color="auto"/>
              <w:left w:val="single" w:sz="4" w:space="0" w:color="auto"/>
              <w:bottom w:val="single" w:sz="4" w:space="0" w:color="auto"/>
              <w:right w:val="single" w:sz="4" w:space="0" w:color="auto"/>
            </w:tcBorders>
            <w:vAlign w:val="center"/>
          </w:tcPr>
          <w:p w14:paraId="2BC5BA73" w14:textId="03DC9F49" w:rsidR="00B171DE" w:rsidRPr="00E74BD8" w:rsidRDefault="00B171DE">
            <w:pPr>
              <w:jc w:val="center"/>
              <w:rPr>
                <w:rFonts w:ascii="Arial Narrow" w:hAnsi="Arial Narrow"/>
                <w:b/>
                <w:bCs/>
                <w:i/>
                <w:iCs/>
                <w:sz w:val="20"/>
                <w:szCs w:val="20"/>
              </w:rPr>
            </w:pPr>
          </w:p>
        </w:tc>
        <w:tc>
          <w:tcPr>
            <w:tcW w:w="4295" w:type="pct"/>
            <w:tcBorders>
              <w:top w:val="single" w:sz="4" w:space="0" w:color="auto"/>
              <w:left w:val="single" w:sz="4" w:space="0" w:color="auto"/>
              <w:bottom w:val="single" w:sz="4" w:space="0" w:color="auto"/>
              <w:right w:val="single" w:sz="4" w:space="0" w:color="auto"/>
            </w:tcBorders>
          </w:tcPr>
          <w:p w14:paraId="5B8E9F13" w14:textId="77777777" w:rsidR="00B171DE" w:rsidRPr="00E74BD8" w:rsidRDefault="00B171DE">
            <w:pPr>
              <w:pStyle w:val="3Bodytext"/>
              <w:rPr>
                <w:rFonts w:ascii="Arial Narrow" w:hAnsi="Arial Narrow"/>
                <w:b/>
                <w:bCs/>
                <w:i/>
                <w:iCs/>
                <w:sz w:val="20"/>
                <w:szCs w:val="20"/>
              </w:rPr>
            </w:pPr>
            <w:r w:rsidRPr="006476C9">
              <w:rPr>
                <w:rFonts w:ascii="Arial Narrow" w:hAnsi="Arial Narrow"/>
                <w:i/>
                <w:iCs/>
                <w:sz w:val="20"/>
                <w:szCs w:val="20"/>
              </w:rPr>
              <w:t>Must be treated by a specialist medical practitioner; or</w:t>
            </w:r>
          </w:p>
        </w:tc>
      </w:tr>
      <w:tr w:rsidR="00B171DE" w:rsidRPr="00F92E7E" w14:paraId="645BD09F" w14:textId="77777777">
        <w:trPr>
          <w:trHeight w:val="1076"/>
        </w:trPr>
        <w:tc>
          <w:tcPr>
            <w:tcW w:w="705" w:type="pct"/>
            <w:tcBorders>
              <w:top w:val="single" w:sz="4" w:space="0" w:color="auto"/>
              <w:left w:val="single" w:sz="4" w:space="0" w:color="auto"/>
              <w:bottom w:val="single" w:sz="4" w:space="0" w:color="auto"/>
              <w:right w:val="single" w:sz="4" w:space="0" w:color="auto"/>
            </w:tcBorders>
            <w:vAlign w:val="center"/>
          </w:tcPr>
          <w:p w14:paraId="141CA665" w14:textId="7080CF7F" w:rsidR="00B171DE" w:rsidRPr="00E74BD8" w:rsidRDefault="00B171DE">
            <w:pPr>
              <w:jc w:val="center"/>
              <w:rPr>
                <w:rFonts w:ascii="Arial Narrow" w:hAnsi="Arial Narrow"/>
                <w:b/>
                <w:bCs/>
                <w:i/>
                <w:iCs/>
                <w:sz w:val="20"/>
                <w:szCs w:val="20"/>
              </w:rPr>
            </w:pPr>
          </w:p>
        </w:tc>
        <w:tc>
          <w:tcPr>
            <w:tcW w:w="4295" w:type="pct"/>
            <w:tcBorders>
              <w:top w:val="single" w:sz="4" w:space="0" w:color="auto"/>
              <w:left w:val="single" w:sz="4" w:space="0" w:color="auto"/>
              <w:bottom w:val="single" w:sz="4" w:space="0" w:color="auto"/>
              <w:right w:val="single" w:sz="4" w:space="0" w:color="auto"/>
            </w:tcBorders>
          </w:tcPr>
          <w:p w14:paraId="2A283A93" w14:textId="77777777" w:rsidR="00B171DE" w:rsidRPr="004B4BE9" w:rsidRDefault="00B171DE">
            <w:pPr>
              <w:pStyle w:val="3Bodytext"/>
              <w:rPr>
                <w:rFonts w:ascii="Arial Narrow" w:hAnsi="Arial Narrow"/>
                <w:i/>
                <w:iCs/>
                <w:sz w:val="20"/>
                <w:szCs w:val="20"/>
              </w:rPr>
            </w:pPr>
            <w:r w:rsidRPr="00E74BD8">
              <w:rPr>
                <w:rFonts w:ascii="Arial Narrow" w:hAnsi="Arial Narrow"/>
                <w:i/>
                <w:iCs/>
                <w:sz w:val="20"/>
                <w:szCs w:val="20"/>
              </w:rPr>
              <w:t>Must be treated by an authorised prescriber type (non-specialist medical practitioner, nurse practitioner) who is both: (</w:t>
            </w:r>
            <w:proofErr w:type="spellStart"/>
            <w:r w:rsidRPr="00E74BD8">
              <w:rPr>
                <w:rFonts w:ascii="Arial Narrow" w:hAnsi="Arial Narrow"/>
                <w:i/>
                <w:iCs/>
                <w:sz w:val="20"/>
                <w:szCs w:val="20"/>
              </w:rPr>
              <w:t>i</w:t>
            </w:r>
            <w:proofErr w:type="spellEnd"/>
            <w:r w:rsidRPr="00E74BD8">
              <w:rPr>
                <w:rFonts w:ascii="Arial Narrow" w:hAnsi="Arial Narrow"/>
                <w:i/>
                <w:iCs/>
                <w:sz w:val="20"/>
                <w:szCs w:val="20"/>
              </w:rPr>
              <w:t xml:space="preserve">) continuing existing therapy with this medicine (i.e. not initiating treatment), (ii) has agreement from the treating specialist medical practitioner </w:t>
            </w:r>
          </w:p>
        </w:tc>
      </w:tr>
    </w:tbl>
    <w:p w14:paraId="7C93F4A6" w14:textId="1EF2AA35" w:rsidR="00082D21" w:rsidRDefault="00082D21" w:rsidP="009367FC">
      <w:pPr>
        <w:pStyle w:val="3-BodyText"/>
        <w:numPr>
          <w:ilvl w:val="0"/>
          <w:numId w:val="0"/>
        </w:numPr>
        <w:ind w:left="720" w:hanging="720"/>
        <w:rPr>
          <w:lang w:eastAsia="en-US"/>
        </w:rPr>
      </w:pPr>
    </w:p>
    <w:p w14:paraId="5E7888AC" w14:textId="77777777" w:rsidR="00082D21" w:rsidRDefault="00082D21">
      <w:pPr>
        <w:jc w:val="left"/>
        <w:rPr>
          <w:rFonts w:asciiTheme="minorHAnsi" w:eastAsiaTheme="minorHAnsi" w:hAnsiTheme="minorHAnsi" w:cstheme="minorBidi"/>
          <w:szCs w:val="22"/>
          <w:lang w:eastAsia="en-US"/>
        </w:rPr>
      </w:pPr>
      <w:r>
        <w:rPr>
          <w:lang w:eastAsia="en-US"/>
        </w:rPr>
        <w:br w:type="page"/>
      </w:r>
    </w:p>
    <w:p w14:paraId="51200B05" w14:textId="32DD1494" w:rsidR="00082D21" w:rsidRDefault="00082D21" w:rsidP="00082D21">
      <w:pPr>
        <w:pStyle w:val="5-SubsectionSubheading"/>
      </w:pPr>
      <w:r w:rsidRPr="00115D26">
        <w:lastRenderedPageBreak/>
        <w:t xml:space="preserve">Acute </w:t>
      </w:r>
      <w:r>
        <w:t>G</w:t>
      </w:r>
      <w:r w:rsidRPr="00115D26">
        <w:t xml:space="preserve">raft vs </w:t>
      </w:r>
      <w:r>
        <w:t>H</w:t>
      </w:r>
      <w:r w:rsidRPr="00115D26">
        <w:t xml:space="preserve">ost </w:t>
      </w:r>
      <w:r>
        <w:t>D</w:t>
      </w:r>
      <w:r w:rsidRPr="00115D26">
        <w:t>isease</w:t>
      </w:r>
      <w:r>
        <w:t xml:space="preserve">, S100 HSD Private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ute Graft vs Host Disease, S100 HSD Private "/>
      </w:tblPr>
      <w:tblGrid>
        <w:gridCol w:w="3935"/>
        <w:gridCol w:w="811"/>
        <w:gridCol w:w="812"/>
        <w:gridCol w:w="811"/>
        <w:gridCol w:w="812"/>
        <w:gridCol w:w="1840"/>
      </w:tblGrid>
      <w:tr w:rsidR="00082D21" w:rsidRPr="00DA359D" w14:paraId="6F6D6E51" w14:textId="77777777" w:rsidTr="434C36E0">
        <w:trPr>
          <w:cantSplit/>
          <w:trHeight w:val="20"/>
        </w:trPr>
        <w:tc>
          <w:tcPr>
            <w:tcW w:w="3935" w:type="dxa"/>
            <w:vAlign w:val="center"/>
          </w:tcPr>
          <w:p w14:paraId="5553A52B" w14:textId="77777777" w:rsidR="00082D21" w:rsidRPr="00DA359D" w:rsidRDefault="00082D21">
            <w:pPr>
              <w:keepLines/>
              <w:rPr>
                <w:rFonts w:ascii="Arial Narrow" w:hAnsi="Arial Narrow"/>
                <w:b/>
                <w:bCs/>
                <w:sz w:val="20"/>
              </w:rPr>
            </w:pPr>
            <w:r w:rsidRPr="00DA359D">
              <w:rPr>
                <w:rFonts w:ascii="Arial Narrow" w:hAnsi="Arial Narrow"/>
                <w:b/>
                <w:bCs/>
                <w:sz w:val="20"/>
              </w:rPr>
              <w:t>MEDICINAL PRODUCT</w:t>
            </w:r>
          </w:p>
          <w:p w14:paraId="04F4411C" w14:textId="77777777" w:rsidR="00082D21" w:rsidRPr="00DA359D" w:rsidRDefault="00082D21">
            <w:pPr>
              <w:keepLines/>
              <w:rPr>
                <w:rFonts w:ascii="Arial Narrow" w:hAnsi="Arial Narrow"/>
                <w:b/>
                <w:sz w:val="20"/>
              </w:rPr>
            </w:pPr>
            <w:r w:rsidRPr="00DA359D">
              <w:rPr>
                <w:rFonts w:ascii="Arial Narrow" w:hAnsi="Arial Narrow"/>
                <w:b/>
                <w:bCs/>
                <w:sz w:val="20"/>
              </w:rPr>
              <w:t>medicinal product pack</w:t>
            </w:r>
          </w:p>
        </w:tc>
        <w:tc>
          <w:tcPr>
            <w:tcW w:w="811" w:type="dxa"/>
            <w:vAlign w:val="center"/>
          </w:tcPr>
          <w:p w14:paraId="29728486" w14:textId="77777777" w:rsidR="00082D21" w:rsidRPr="00DA359D" w:rsidRDefault="00082D21">
            <w:pPr>
              <w:keepLines/>
              <w:jc w:val="center"/>
              <w:rPr>
                <w:rFonts w:ascii="Arial Narrow" w:hAnsi="Arial Narrow"/>
                <w:b/>
                <w:sz w:val="20"/>
              </w:rPr>
            </w:pPr>
            <w:r w:rsidRPr="00DA359D">
              <w:rPr>
                <w:rFonts w:ascii="Arial Narrow" w:hAnsi="Arial Narrow"/>
                <w:b/>
                <w:sz w:val="20"/>
              </w:rPr>
              <w:t>PBS item code</w:t>
            </w:r>
          </w:p>
        </w:tc>
        <w:tc>
          <w:tcPr>
            <w:tcW w:w="812" w:type="dxa"/>
            <w:vAlign w:val="center"/>
          </w:tcPr>
          <w:p w14:paraId="2952C8BF" w14:textId="77777777" w:rsidR="00082D21" w:rsidRPr="00DA359D" w:rsidRDefault="00082D21">
            <w:pPr>
              <w:keepLines/>
              <w:jc w:val="center"/>
              <w:rPr>
                <w:rFonts w:ascii="Arial Narrow" w:hAnsi="Arial Narrow"/>
                <w:b/>
                <w:sz w:val="20"/>
              </w:rPr>
            </w:pPr>
            <w:r w:rsidRPr="00DA359D">
              <w:rPr>
                <w:rFonts w:ascii="Arial Narrow" w:hAnsi="Arial Narrow"/>
                <w:b/>
                <w:sz w:val="20"/>
              </w:rPr>
              <w:t>Max. qty packs</w:t>
            </w:r>
          </w:p>
        </w:tc>
        <w:tc>
          <w:tcPr>
            <w:tcW w:w="811" w:type="dxa"/>
            <w:vAlign w:val="center"/>
          </w:tcPr>
          <w:p w14:paraId="67EC0679" w14:textId="77777777" w:rsidR="00082D21" w:rsidRPr="00DA359D" w:rsidRDefault="00082D21">
            <w:pPr>
              <w:keepLines/>
              <w:jc w:val="center"/>
              <w:rPr>
                <w:rFonts w:ascii="Arial Narrow" w:hAnsi="Arial Narrow"/>
                <w:b/>
                <w:sz w:val="20"/>
              </w:rPr>
            </w:pPr>
            <w:r w:rsidRPr="00DA359D">
              <w:rPr>
                <w:rFonts w:ascii="Arial Narrow" w:hAnsi="Arial Narrow"/>
                <w:b/>
                <w:sz w:val="20"/>
              </w:rPr>
              <w:t>Max. qty units</w:t>
            </w:r>
          </w:p>
        </w:tc>
        <w:tc>
          <w:tcPr>
            <w:tcW w:w="812" w:type="dxa"/>
            <w:vAlign w:val="center"/>
          </w:tcPr>
          <w:p w14:paraId="64C14DE9" w14:textId="77777777" w:rsidR="00082D21" w:rsidRPr="00DA359D" w:rsidRDefault="00082D21">
            <w:pPr>
              <w:keepLines/>
              <w:jc w:val="center"/>
              <w:rPr>
                <w:rFonts w:ascii="Arial Narrow" w:hAnsi="Arial Narrow"/>
                <w:b/>
                <w:bCs/>
                <w:sz w:val="20"/>
              </w:rPr>
            </w:pPr>
            <w:proofErr w:type="gramStart"/>
            <w:r w:rsidRPr="00DA359D">
              <w:rPr>
                <w:rFonts w:ascii="Arial Narrow" w:hAnsi="Arial Narrow"/>
                <w:b/>
                <w:bCs/>
                <w:sz w:val="20"/>
              </w:rPr>
              <w:t>№.of</w:t>
            </w:r>
            <w:proofErr w:type="gramEnd"/>
          </w:p>
          <w:p w14:paraId="66D6CA72" w14:textId="77777777" w:rsidR="00082D21" w:rsidRPr="00DA359D" w:rsidRDefault="00082D21">
            <w:pPr>
              <w:keepLines/>
              <w:jc w:val="center"/>
              <w:rPr>
                <w:rFonts w:ascii="Arial Narrow" w:hAnsi="Arial Narrow"/>
                <w:b/>
                <w:bCs/>
                <w:sz w:val="20"/>
              </w:rPr>
            </w:pPr>
            <w:proofErr w:type="spellStart"/>
            <w:r w:rsidRPr="00DA359D">
              <w:rPr>
                <w:rFonts w:ascii="Arial Narrow" w:hAnsi="Arial Narrow"/>
                <w:b/>
                <w:bCs/>
                <w:sz w:val="20"/>
              </w:rPr>
              <w:t>Rpts</w:t>
            </w:r>
            <w:proofErr w:type="spellEnd"/>
          </w:p>
        </w:tc>
        <w:tc>
          <w:tcPr>
            <w:tcW w:w="1840" w:type="dxa"/>
            <w:vAlign w:val="center"/>
          </w:tcPr>
          <w:p w14:paraId="59215958" w14:textId="77777777" w:rsidR="00082D21" w:rsidRPr="00DA359D" w:rsidRDefault="00082D21">
            <w:pPr>
              <w:keepLines/>
              <w:rPr>
                <w:rFonts w:ascii="Arial Narrow" w:hAnsi="Arial Narrow"/>
                <w:b/>
                <w:sz w:val="20"/>
                <w:lang w:val="fr-FR"/>
              </w:rPr>
            </w:pPr>
            <w:r w:rsidRPr="00DA359D">
              <w:rPr>
                <w:rFonts w:ascii="Arial Narrow" w:hAnsi="Arial Narrow"/>
                <w:b/>
                <w:sz w:val="20"/>
              </w:rPr>
              <w:t>Available brands</w:t>
            </w:r>
          </w:p>
        </w:tc>
      </w:tr>
      <w:tr w:rsidR="00082D21" w:rsidRPr="00DA359D" w14:paraId="04136FD9" w14:textId="77777777" w:rsidTr="434C36E0">
        <w:trPr>
          <w:cantSplit/>
          <w:trHeight w:val="20"/>
        </w:trPr>
        <w:tc>
          <w:tcPr>
            <w:tcW w:w="9021" w:type="dxa"/>
            <w:gridSpan w:val="6"/>
            <w:vAlign w:val="center"/>
          </w:tcPr>
          <w:p w14:paraId="542E021A" w14:textId="77777777" w:rsidR="00082D21" w:rsidRPr="00222AEA" w:rsidRDefault="00082D21" w:rsidP="434C36E0">
            <w:pPr>
              <w:keepLines/>
              <w:rPr>
                <w:rFonts w:ascii="Arial Narrow" w:eastAsia="Arial Narrow" w:hAnsi="Arial Narrow" w:cs="Arial Narrow"/>
                <w:sz w:val="20"/>
                <w:szCs w:val="20"/>
              </w:rPr>
            </w:pPr>
            <w:r w:rsidRPr="00222AEA">
              <w:rPr>
                <w:rFonts w:ascii="Arial Narrow" w:eastAsia="Arial Narrow" w:hAnsi="Arial Narrow" w:cs="Arial Narrow"/>
                <w:sz w:val="20"/>
                <w:szCs w:val="20"/>
              </w:rPr>
              <w:t>RUXOLITINIB</w:t>
            </w:r>
          </w:p>
        </w:tc>
      </w:tr>
      <w:tr w:rsidR="00082D21" w:rsidRPr="00DA359D" w14:paraId="1C606274" w14:textId="77777777" w:rsidTr="434C36E0">
        <w:trPr>
          <w:cantSplit/>
          <w:trHeight w:val="20"/>
        </w:trPr>
        <w:tc>
          <w:tcPr>
            <w:tcW w:w="3935" w:type="dxa"/>
            <w:vAlign w:val="center"/>
          </w:tcPr>
          <w:p w14:paraId="78B6877C" w14:textId="77777777" w:rsidR="00082D21" w:rsidRPr="00222AEA" w:rsidRDefault="00082D21" w:rsidP="434C36E0">
            <w:pPr>
              <w:keepLines/>
              <w:rPr>
                <w:rFonts w:ascii="Arial Narrow" w:eastAsia="Arial Narrow" w:hAnsi="Arial Narrow" w:cs="Arial Narrow"/>
                <w:sz w:val="20"/>
                <w:szCs w:val="20"/>
              </w:rPr>
            </w:pPr>
            <w:r w:rsidRPr="00222AEA">
              <w:rPr>
                <w:rFonts w:ascii="Arial Narrow" w:eastAsia="Arial Narrow" w:hAnsi="Arial Narrow" w:cs="Arial Narrow"/>
                <w:sz w:val="20"/>
                <w:szCs w:val="20"/>
              </w:rPr>
              <w:t>ruxolitinib 5mg tablet, 56</w:t>
            </w:r>
          </w:p>
        </w:tc>
        <w:tc>
          <w:tcPr>
            <w:tcW w:w="811" w:type="dxa"/>
            <w:vAlign w:val="center"/>
          </w:tcPr>
          <w:p w14:paraId="0D788DF8" w14:textId="77777777" w:rsidR="00082D21" w:rsidRPr="00222AEA" w:rsidRDefault="00082D21" w:rsidP="434C36E0">
            <w:pPr>
              <w:keepLines/>
              <w:jc w:val="center"/>
              <w:rPr>
                <w:rFonts w:ascii="Arial Narrow" w:eastAsia="Arial Narrow" w:hAnsi="Arial Narrow" w:cs="Arial Narrow"/>
                <w:sz w:val="20"/>
                <w:szCs w:val="20"/>
                <w:highlight w:val="yellow"/>
              </w:rPr>
            </w:pPr>
            <w:r w:rsidRPr="00222AEA">
              <w:rPr>
                <w:rFonts w:ascii="Arial Narrow" w:eastAsia="Arial Narrow" w:hAnsi="Arial Narrow" w:cs="Arial Narrow"/>
                <w:sz w:val="20"/>
                <w:szCs w:val="20"/>
              </w:rPr>
              <w:t>13244C/Private</w:t>
            </w:r>
          </w:p>
        </w:tc>
        <w:tc>
          <w:tcPr>
            <w:tcW w:w="812" w:type="dxa"/>
            <w:vAlign w:val="center"/>
          </w:tcPr>
          <w:p w14:paraId="64EB288D" w14:textId="77777777" w:rsidR="00082D21" w:rsidRPr="00222AEA" w:rsidRDefault="00082D21" w:rsidP="434C36E0">
            <w:pPr>
              <w:keepLines/>
              <w:jc w:val="center"/>
              <w:rPr>
                <w:rFonts w:ascii="Arial Narrow" w:eastAsia="Arial Narrow" w:hAnsi="Arial Narrow" w:cs="Arial Narrow"/>
                <w:sz w:val="20"/>
                <w:szCs w:val="20"/>
              </w:rPr>
            </w:pPr>
            <w:r w:rsidRPr="00222AEA">
              <w:rPr>
                <w:rFonts w:ascii="Arial Narrow" w:eastAsia="Arial Narrow" w:hAnsi="Arial Narrow" w:cs="Arial Narrow"/>
                <w:sz w:val="20"/>
                <w:szCs w:val="20"/>
              </w:rPr>
              <w:t>1</w:t>
            </w:r>
          </w:p>
        </w:tc>
        <w:tc>
          <w:tcPr>
            <w:tcW w:w="811" w:type="dxa"/>
            <w:vAlign w:val="center"/>
          </w:tcPr>
          <w:p w14:paraId="2C7F91AD" w14:textId="77777777" w:rsidR="00082D21" w:rsidRPr="00222AEA" w:rsidRDefault="00082D21" w:rsidP="434C36E0">
            <w:pPr>
              <w:keepLines/>
              <w:jc w:val="center"/>
              <w:rPr>
                <w:rFonts w:ascii="Arial Narrow" w:eastAsia="Arial Narrow" w:hAnsi="Arial Narrow" w:cs="Arial Narrow"/>
                <w:sz w:val="20"/>
                <w:szCs w:val="20"/>
              </w:rPr>
            </w:pPr>
            <w:r w:rsidRPr="00222AEA">
              <w:rPr>
                <w:rFonts w:ascii="Arial Narrow" w:eastAsia="Arial Narrow" w:hAnsi="Arial Narrow" w:cs="Arial Narrow"/>
                <w:sz w:val="20"/>
                <w:szCs w:val="20"/>
              </w:rPr>
              <w:t>56</w:t>
            </w:r>
          </w:p>
        </w:tc>
        <w:tc>
          <w:tcPr>
            <w:tcW w:w="812" w:type="dxa"/>
            <w:vAlign w:val="center"/>
          </w:tcPr>
          <w:p w14:paraId="35045544" w14:textId="77777777" w:rsidR="00082D21" w:rsidRPr="00222AEA" w:rsidRDefault="00082D21" w:rsidP="434C36E0">
            <w:pPr>
              <w:keepLines/>
              <w:jc w:val="center"/>
              <w:rPr>
                <w:rFonts w:ascii="Arial Narrow" w:eastAsia="Arial Narrow" w:hAnsi="Arial Narrow" w:cs="Arial Narrow"/>
                <w:sz w:val="20"/>
                <w:szCs w:val="20"/>
              </w:rPr>
            </w:pPr>
            <w:r w:rsidRPr="00222AEA">
              <w:rPr>
                <w:rFonts w:ascii="Arial Narrow" w:eastAsia="Arial Narrow" w:hAnsi="Arial Narrow" w:cs="Arial Narrow"/>
                <w:sz w:val="20"/>
                <w:szCs w:val="20"/>
              </w:rPr>
              <w:t>5</w:t>
            </w:r>
          </w:p>
        </w:tc>
        <w:tc>
          <w:tcPr>
            <w:tcW w:w="1840" w:type="dxa"/>
            <w:vAlign w:val="center"/>
          </w:tcPr>
          <w:p w14:paraId="53D86CD7" w14:textId="45D88528" w:rsidR="47014109" w:rsidRDefault="47014109" w:rsidP="434C36E0">
            <w:pPr>
              <w:keepLines/>
              <w:rPr>
                <w:rFonts w:ascii="Arial Narrow" w:eastAsia="Arial Narrow" w:hAnsi="Arial Narrow" w:cs="Arial Narrow"/>
                <w:sz w:val="20"/>
                <w:szCs w:val="20"/>
              </w:rPr>
            </w:pPr>
            <w:proofErr w:type="spellStart"/>
            <w:r w:rsidRPr="00222AEA">
              <w:rPr>
                <w:rFonts w:ascii="Arial Narrow" w:eastAsia="Arial Narrow" w:hAnsi="Arial Narrow" w:cs="Arial Narrow"/>
                <w:sz w:val="20"/>
                <w:szCs w:val="20"/>
              </w:rPr>
              <w:t>Jakavi</w:t>
            </w:r>
            <w:proofErr w:type="spellEnd"/>
            <w:r w:rsidRPr="00222AEA">
              <w:rPr>
                <w:rFonts w:ascii="Arial Narrow" w:eastAsia="Arial Narrow" w:hAnsi="Arial Narrow" w:cs="Arial Narrow"/>
                <w:sz w:val="20"/>
                <w:szCs w:val="20"/>
                <w:lang w:val="en-GB"/>
              </w:rPr>
              <w:t>®</w:t>
            </w:r>
          </w:p>
          <w:p w14:paraId="0247ED1F" w14:textId="4E84EB18" w:rsidR="00082D21" w:rsidRPr="00222AEA" w:rsidRDefault="00082D21" w:rsidP="434C36E0">
            <w:pPr>
              <w:keepLines/>
              <w:rPr>
                <w:rFonts w:ascii="Arial Narrow" w:eastAsia="Arial Narrow" w:hAnsi="Arial Narrow" w:cs="Arial Narrow"/>
                <w:sz w:val="20"/>
                <w:szCs w:val="20"/>
              </w:rPr>
            </w:pPr>
          </w:p>
        </w:tc>
      </w:tr>
      <w:tr w:rsidR="00082D21" w:rsidRPr="00DA359D" w14:paraId="19E39514" w14:textId="77777777" w:rsidTr="434C36E0">
        <w:trPr>
          <w:cantSplit/>
          <w:trHeight w:val="20"/>
        </w:trPr>
        <w:tc>
          <w:tcPr>
            <w:tcW w:w="3935" w:type="dxa"/>
            <w:vAlign w:val="center"/>
          </w:tcPr>
          <w:p w14:paraId="38ADCBB8" w14:textId="77777777" w:rsidR="00082D21" w:rsidRPr="00222AEA" w:rsidRDefault="00082D21" w:rsidP="434C36E0">
            <w:pPr>
              <w:keepLines/>
              <w:rPr>
                <w:rFonts w:ascii="Arial Narrow" w:eastAsia="Arial Narrow" w:hAnsi="Arial Narrow" w:cs="Arial Narrow"/>
                <w:sz w:val="20"/>
                <w:szCs w:val="20"/>
              </w:rPr>
            </w:pPr>
            <w:r w:rsidRPr="00222AEA">
              <w:rPr>
                <w:rFonts w:ascii="Arial Narrow" w:eastAsia="Arial Narrow" w:hAnsi="Arial Narrow" w:cs="Arial Narrow"/>
                <w:sz w:val="20"/>
                <w:szCs w:val="20"/>
              </w:rPr>
              <w:t>ruxolitinib 10 mg tablet, 56</w:t>
            </w:r>
          </w:p>
        </w:tc>
        <w:tc>
          <w:tcPr>
            <w:tcW w:w="811" w:type="dxa"/>
            <w:vAlign w:val="center"/>
          </w:tcPr>
          <w:p w14:paraId="7E6D1893" w14:textId="77777777" w:rsidR="00082D21" w:rsidRPr="00222AEA" w:rsidRDefault="00082D21" w:rsidP="434C36E0">
            <w:pPr>
              <w:keepLines/>
              <w:jc w:val="center"/>
              <w:rPr>
                <w:rFonts w:ascii="Arial Narrow" w:eastAsia="Arial Narrow" w:hAnsi="Arial Narrow" w:cs="Arial Narrow"/>
                <w:sz w:val="20"/>
                <w:szCs w:val="20"/>
                <w:highlight w:val="yellow"/>
              </w:rPr>
            </w:pPr>
            <w:r w:rsidRPr="00222AEA">
              <w:rPr>
                <w:rFonts w:ascii="Arial Narrow" w:eastAsia="Arial Narrow" w:hAnsi="Arial Narrow" w:cs="Arial Narrow"/>
                <w:sz w:val="20"/>
                <w:szCs w:val="20"/>
              </w:rPr>
              <w:t>13231J/Private</w:t>
            </w:r>
          </w:p>
        </w:tc>
        <w:tc>
          <w:tcPr>
            <w:tcW w:w="812" w:type="dxa"/>
            <w:vAlign w:val="center"/>
          </w:tcPr>
          <w:p w14:paraId="3A54AB3A" w14:textId="77777777" w:rsidR="00082D21" w:rsidRPr="00222AEA" w:rsidRDefault="00082D21" w:rsidP="434C36E0">
            <w:pPr>
              <w:keepLines/>
              <w:jc w:val="center"/>
              <w:rPr>
                <w:rFonts w:ascii="Arial Narrow" w:eastAsia="Arial Narrow" w:hAnsi="Arial Narrow" w:cs="Arial Narrow"/>
                <w:sz w:val="20"/>
                <w:szCs w:val="20"/>
              </w:rPr>
            </w:pPr>
            <w:r w:rsidRPr="00222AEA">
              <w:rPr>
                <w:rFonts w:ascii="Arial Narrow" w:eastAsia="Arial Narrow" w:hAnsi="Arial Narrow" w:cs="Arial Narrow"/>
                <w:sz w:val="20"/>
                <w:szCs w:val="20"/>
              </w:rPr>
              <w:t>1</w:t>
            </w:r>
          </w:p>
        </w:tc>
        <w:tc>
          <w:tcPr>
            <w:tcW w:w="811" w:type="dxa"/>
            <w:vAlign w:val="center"/>
          </w:tcPr>
          <w:p w14:paraId="5D39923B" w14:textId="77777777" w:rsidR="00082D21" w:rsidRPr="00222AEA" w:rsidRDefault="00082D21" w:rsidP="434C36E0">
            <w:pPr>
              <w:keepLines/>
              <w:jc w:val="center"/>
              <w:rPr>
                <w:rFonts w:ascii="Arial Narrow" w:eastAsia="Arial Narrow" w:hAnsi="Arial Narrow" w:cs="Arial Narrow"/>
                <w:sz w:val="20"/>
                <w:szCs w:val="20"/>
              </w:rPr>
            </w:pPr>
            <w:r w:rsidRPr="00222AEA">
              <w:rPr>
                <w:rFonts w:ascii="Arial Narrow" w:eastAsia="Arial Narrow" w:hAnsi="Arial Narrow" w:cs="Arial Narrow"/>
                <w:sz w:val="20"/>
                <w:szCs w:val="20"/>
              </w:rPr>
              <w:t>56</w:t>
            </w:r>
          </w:p>
        </w:tc>
        <w:tc>
          <w:tcPr>
            <w:tcW w:w="812" w:type="dxa"/>
            <w:vAlign w:val="center"/>
          </w:tcPr>
          <w:p w14:paraId="04ABCA30" w14:textId="77777777" w:rsidR="00082D21" w:rsidRPr="00222AEA" w:rsidRDefault="00082D21" w:rsidP="434C36E0">
            <w:pPr>
              <w:keepLines/>
              <w:jc w:val="center"/>
              <w:rPr>
                <w:rFonts w:ascii="Arial Narrow" w:eastAsia="Arial Narrow" w:hAnsi="Arial Narrow" w:cs="Arial Narrow"/>
                <w:sz w:val="20"/>
                <w:szCs w:val="20"/>
              </w:rPr>
            </w:pPr>
            <w:r w:rsidRPr="00222AEA">
              <w:rPr>
                <w:rFonts w:ascii="Arial Narrow" w:eastAsia="Arial Narrow" w:hAnsi="Arial Narrow" w:cs="Arial Narrow"/>
                <w:sz w:val="20"/>
                <w:szCs w:val="20"/>
              </w:rPr>
              <w:t>5</w:t>
            </w:r>
          </w:p>
        </w:tc>
        <w:tc>
          <w:tcPr>
            <w:tcW w:w="1840" w:type="dxa"/>
            <w:vAlign w:val="center"/>
          </w:tcPr>
          <w:p w14:paraId="373EE850" w14:textId="151FF869" w:rsidR="57879CAA" w:rsidRDefault="57879CAA" w:rsidP="434C36E0">
            <w:pPr>
              <w:keepLines/>
              <w:rPr>
                <w:rFonts w:ascii="Arial Narrow" w:eastAsia="Arial Narrow" w:hAnsi="Arial Narrow" w:cs="Arial Narrow"/>
                <w:sz w:val="20"/>
                <w:szCs w:val="20"/>
              </w:rPr>
            </w:pPr>
            <w:proofErr w:type="spellStart"/>
            <w:r w:rsidRPr="00222AEA">
              <w:rPr>
                <w:rFonts w:ascii="Arial Narrow" w:eastAsia="Arial Narrow" w:hAnsi="Arial Narrow" w:cs="Arial Narrow"/>
                <w:sz w:val="20"/>
                <w:szCs w:val="20"/>
                <w:lang w:val="en-GB"/>
              </w:rPr>
              <w:t>Jakavi</w:t>
            </w:r>
            <w:proofErr w:type="spellEnd"/>
            <w:r w:rsidRPr="00222AEA">
              <w:rPr>
                <w:rFonts w:ascii="Arial Narrow" w:eastAsia="Arial Narrow" w:hAnsi="Arial Narrow" w:cs="Arial Narrow"/>
                <w:sz w:val="20"/>
                <w:szCs w:val="20"/>
                <w:lang w:val="en-GB"/>
              </w:rPr>
              <w:t>®</w:t>
            </w:r>
          </w:p>
          <w:p w14:paraId="4D78445D" w14:textId="59A0E46D" w:rsidR="00082D21" w:rsidRPr="00222AEA" w:rsidRDefault="00082D21" w:rsidP="434C36E0">
            <w:pPr>
              <w:keepLines/>
              <w:rPr>
                <w:rFonts w:ascii="Arial Narrow" w:eastAsia="Arial Narrow" w:hAnsi="Arial Narrow" w:cs="Arial Narrow"/>
                <w:sz w:val="20"/>
                <w:szCs w:val="20"/>
              </w:rPr>
            </w:pPr>
          </w:p>
        </w:tc>
      </w:tr>
    </w:tbl>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cute Graft vs Host Disease, S100 HSD Private "/>
      </w:tblPr>
      <w:tblGrid>
        <w:gridCol w:w="1284"/>
        <w:gridCol w:w="7732"/>
      </w:tblGrid>
      <w:tr w:rsidR="00082D21" w:rsidRPr="7093FE7D" w14:paraId="4BA8C747" w14:textId="77777777">
        <w:trPr>
          <w:trHeight w:val="15"/>
        </w:trPr>
        <w:tc>
          <w:tcPr>
            <w:tcW w:w="9016" w:type="dxa"/>
            <w:gridSpan w:val="2"/>
            <w:tcMar>
              <w:left w:w="108" w:type="dxa"/>
              <w:right w:w="108" w:type="dxa"/>
            </w:tcMar>
            <w:vAlign w:val="center"/>
          </w:tcPr>
          <w:p w14:paraId="4ADAEC51" w14:textId="77777777" w:rsidR="00082D21" w:rsidRPr="7093FE7D" w:rsidRDefault="00082D21">
            <w:pPr>
              <w:spacing w:line="259" w:lineRule="auto"/>
              <w:rPr>
                <w:rFonts w:ascii="Arial Narrow" w:eastAsia="Arial Narrow" w:hAnsi="Arial Narrow" w:cs="Arial Narrow"/>
                <w:sz w:val="20"/>
                <w:szCs w:val="20"/>
              </w:rPr>
            </w:pPr>
          </w:p>
        </w:tc>
      </w:tr>
      <w:tr w:rsidR="00082D21" w14:paraId="7E567C82" w14:textId="77777777">
        <w:trPr>
          <w:trHeight w:val="355"/>
        </w:trPr>
        <w:tc>
          <w:tcPr>
            <w:tcW w:w="1284" w:type="dxa"/>
            <w:vMerge w:val="restart"/>
            <w:tcMar>
              <w:top w:w="15" w:type="dxa"/>
              <w:left w:w="108" w:type="dxa"/>
              <w:bottom w:w="15" w:type="dxa"/>
              <w:right w:w="108" w:type="dxa"/>
            </w:tcMar>
          </w:tcPr>
          <w:p w14:paraId="6D008FD8" w14:textId="3CB36281" w:rsidR="00082D21" w:rsidRDefault="00082D21">
            <w:pPr>
              <w:jc w:val="center"/>
            </w:pPr>
          </w:p>
        </w:tc>
        <w:tc>
          <w:tcPr>
            <w:tcW w:w="7732" w:type="dxa"/>
            <w:tcMar>
              <w:top w:w="15" w:type="dxa"/>
              <w:left w:w="108" w:type="dxa"/>
              <w:bottom w:w="15" w:type="dxa"/>
              <w:right w:w="108" w:type="dxa"/>
            </w:tcMar>
            <w:vAlign w:val="center"/>
          </w:tcPr>
          <w:p w14:paraId="499B3D37" w14:textId="77777777" w:rsidR="00082D21" w:rsidRDefault="00082D21">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Category / Program:</w:t>
            </w:r>
            <w:r w:rsidRPr="7093FE7D">
              <w:rPr>
                <w:rFonts w:ascii="Arial Narrow" w:eastAsia="Arial Narrow" w:hAnsi="Arial Narrow" w:cs="Arial Narrow"/>
                <w:color w:val="FF0000"/>
                <w:sz w:val="20"/>
                <w:szCs w:val="20"/>
              </w:rPr>
              <w:t xml:space="preserve"> </w:t>
            </w:r>
          </w:p>
          <w:p w14:paraId="6388489C" w14:textId="77777777" w:rsidR="00082D21" w:rsidRDefault="00082D21">
            <w:pPr>
              <w:jc w:val="left"/>
            </w:pPr>
            <w:r w:rsidRPr="7093FE7D">
              <w:rPr>
                <w:rFonts w:ascii="Arial Narrow" w:eastAsia="Arial Narrow" w:hAnsi="Arial Narrow" w:cs="Arial Narrow"/>
                <w:sz w:val="20"/>
                <w:szCs w:val="20"/>
              </w:rPr>
              <w:t xml:space="preserve">GENERAL </w:t>
            </w:r>
            <w:r w:rsidRPr="00A910A5">
              <w:rPr>
                <w:rFonts w:ascii="Arial Narrow" w:hAnsi="Arial Narrow" w:cstheme="minorHAnsi"/>
                <w:sz w:val="20"/>
              </w:rPr>
              <w:t>– Section 100 – Highly Specialised Drugs Program</w:t>
            </w:r>
            <w:r>
              <w:rPr>
                <w:rFonts w:ascii="Arial Narrow" w:hAnsi="Arial Narrow" w:cstheme="minorHAnsi"/>
                <w:sz w:val="20"/>
              </w:rPr>
              <w:t xml:space="preserve"> Private</w:t>
            </w:r>
          </w:p>
        </w:tc>
      </w:tr>
      <w:tr w:rsidR="00082D21" w:rsidRPr="00253401" w14:paraId="4AA7C794" w14:textId="77777777">
        <w:trPr>
          <w:trHeight w:val="15"/>
        </w:trPr>
        <w:tc>
          <w:tcPr>
            <w:tcW w:w="1284" w:type="dxa"/>
            <w:vMerge/>
            <w:vAlign w:val="center"/>
          </w:tcPr>
          <w:p w14:paraId="56F38062" w14:textId="77777777" w:rsidR="00082D21" w:rsidRDefault="00082D21"/>
        </w:tc>
        <w:tc>
          <w:tcPr>
            <w:tcW w:w="7732" w:type="dxa"/>
            <w:tcMar>
              <w:top w:w="15" w:type="dxa"/>
              <w:left w:w="108" w:type="dxa"/>
              <w:bottom w:w="15" w:type="dxa"/>
              <w:right w:w="108" w:type="dxa"/>
            </w:tcMar>
            <w:vAlign w:val="center"/>
          </w:tcPr>
          <w:p w14:paraId="569124DD" w14:textId="77777777" w:rsidR="00082D21" w:rsidRDefault="00082D21">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Prescriber type:</w:t>
            </w:r>
            <w:r w:rsidRPr="004B6B4C">
              <w:rPr>
                <w:rFonts w:ascii="Arial Narrow" w:hAnsi="Arial Narrow" w:cs="Arial"/>
                <w:sz w:val="20"/>
                <w:szCs w:val="20"/>
              </w:rPr>
              <w:t xml:space="preserve"> </w:t>
            </w:r>
            <w:r w:rsidRPr="004B6B4C">
              <w:rPr>
                <w:rFonts w:ascii="Arial Narrow" w:eastAsia="Arial Narrow" w:hAnsi="Arial Narrow" w:cs="Arial Narrow"/>
                <w:b/>
                <w:bCs/>
                <w:sz w:val="20"/>
                <w:szCs w:val="20"/>
              </w:rPr>
              <w:fldChar w:fldCharType="begin">
                <w:ffData>
                  <w:name w:val=""/>
                  <w:enabled/>
                  <w:calcOnExit w:val="0"/>
                  <w:checkBox>
                    <w:sizeAuto/>
                    <w:default w:val="1"/>
                  </w:checkBox>
                </w:ffData>
              </w:fldChar>
            </w:r>
            <w:r w:rsidRPr="004B6B4C">
              <w:rPr>
                <w:rFonts w:ascii="Arial Narrow" w:eastAsia="Arial Narrow" w:hAnsi="Arial Narrow" w:cs="Arial Narrow"/>
                <w:b/>
                <w:bCs/>
                <w:sz w:val="20"/>
                <w:szCs w:val="20"/>
              </w:rPr>
              <w:instrText xml:space="preserve"> FORMCHECKBOX </w:instrText>
            </w:r>
            <w:r w:rsidRPr="004B6B4C">
              <w:rPr>
                <w:rFonts w:ascii="Arial Narrow" w:eastAsia="Arial Narrow" w:hAnsi="Arial Narrow" w:cs="Arial Narrow"/>
                <w:b/>
                <w:bCs/>
                <w:sz w:val="20"/>
                <w:szCs w:val="20"/>
              </w:rPr>
            </w:r>
            <w:r w:rsidRPr="004B6B4C">
              <w:rPr>
                <w:rFonts w:ascii="Arial Narrow" w:eastAsia="Arial Narrow" w:hAnsi="Arial Narrow" w:cs="Arial Narrow"/>
                <w:b/>
                <w:bCs/>
                <w:sz w:val="20"/>
                <w:szCs w:val="20"/>
              </w:rPr>
              <w:fldChar w:fldCharType="separate"/>
            </w:r>
            <w:r w:rsidRPr="004B6B4C">
              <w:rPr>
                <w:rFonts w:ascii="Arial Narrow" w:eastAsia="Arial Narrow" w:hAnsi="Arial Narrow" w:cs="Arial Narrow"/>
                <w:b/>
                <w:bCs/>
                <w:sz w:val="20"/>
                <w:szCs w:val="20"/>
              </w:rPr>
              <w:fldChar w:fldCharType="end"/>
            </w:r>
            <w:r w:rsidRPr="004B6B4C">
              <w:rPr>
                <w:rFonts w:ascii="Arial Narrow" w:eastAsia="Arial Narrow" w:hAnsi="Arial Narrow" w:cs="Arial Narrow"/>
                <w:b/>
                <w:bCs/>
                <w:sz w:val="20"/>
                <w:szCs w:val="20"/>
              </w:rPr>
              <w:t xml:space="preserve"> </w:t>
            </w:r>
            <w:r w:rsidRPr="005E2048">
              <w:rPr>
                <w:rFonts w:ascii="Arial Narrow" w:eastAsia="Arial Narrow" w:hAnsi="Arial Narrow" w:cs="Arial Narrow"/>
                <w:sz w:val="20"/>
                <w:szCs w:val="20"/>
              </w:rPr>
              <w:t xml:space="preserve">Medical Practitioners </w:t>
            </w:r>
            <w:r w:rsidRPr="005E2048">
              <w:rPr>
                <w:rFonts w:ascii="Arial Narrow" w:eastAsia="Arial Narrow" w:hAnsi="Arial Narrow" w:cs="Arial Narrow"/>
                <w:i/>
                <w:iCs/>
                <w:sz w:val="20"/>
                <w:szCs w:val="20"/>
              </w:rPr>
              <w:fldChar w:fldCharType="begin">
                <w:ffData>
                  <w:name w:val=""/>
                  <w:enabled/>
                  <w:calcOnExit w:val="0"/>
                  <w:checkBox>
                    <w:sizeAuto/>
                    <w:default w:val="1"/>
                  </w:checkBox>
                </w:ffData>
              </w:fldChar>
            </w:r>
            <w:r w:rsidRPr="005E2048">
              <w:rPr>
                <w:rFonts w:ascii="Arial Narrow" w:eastAsia="Arial Narrow" w:hAnsi="Arial Narrow" w:cs="Arial Narrow"/>
                <w:i/>
                <w:iCs/>
                <w:sz w:val="20"/>
                <w:szCs w:val="20"/>
              </w:rPr>
              <w:instrText xml:space="preserve"> FORMCHECKBOX </w:instrText>
            </w:r>
            <w:r w:rsidRPr="005E2048">
              <w:rPr>
                <w:rFonts w:ascii="Arial Narrow" w:eastAsia="Arial Narrow" w:hAnsi="Arial Narrow" w:cs="Arial Narrow"/>
                <w:i/>
                <w:iCs/>
                <w:sz w:val="20"/>
                <w:szCs w:val="20"/>
              </w:rPr>
            </w:r>
            <w:r w:rsidRPr="005E2048">
              <w:rPr>
                <w:rFonts w:ascii="Arial Narrow" w:eastAsia="Arial Narrow" w:hAnsi="Arial Narrow" w:cs="Arial Narrow"/>
                <w:i/>
                <w:iCs/>
                <w:sz w:val="20"/>
                <w:szCs w:val="20"/>
              </w:rPr>
              <w:fldChar w:fldCharType="separate"/>
            </w:r>
            <w:r w:rsidRPr="005E2048">
              <w:rPr>
                <w:rFonts w:ascii="Arial Narrow" w:eastAsia="Arial Narrow" w:hAnsi="Arial Narrow" w:cs="Arial Narrow"/>
                <w:sz w:val="20"/>
                <w:szCs w:val="20"/>
              </w:rPr>
              <w:fldChar w:fldCharType="end"/>
            </w:r>
            <w:r w:rsidRPr="005E2048">
              <w:rPr>
                <w:rFonts w:ascii="Arial Narrow" w:eastAsia="Arial Narrow" w:hAnsi="Arial Narrow" w:cs="Arial Narrow"/>
                <w:i/>
                <w:iCs/>
                <w:sz w:val="20"/>
                <w:szCs w:val="20"/>
              </w:rPr>
              <w:t xml:space="preserve"> Nurse Practitioners</w:t>
            </w:r>
          </w:p>
          <w:p w14:paraId="19401664" w14:textId="77777777" w:rsidR="00082D21" w:rsidRPr="0006247C" w:rsidRDefault="00082D21">
            <w:pPr>
              <w:rPr>
                <w:rFonts w:ascii="Arial Narrow" w:eastAsia="Arial Narrow" w:hAnsi="Arial Narrow" w:cs="Arial Narrow"/>
                <w:color w:val="FF0000"/>
                <w:sz w:val="20"/>
                <w:szCs w:val="20"/>
              </w:rPr>
            </w:pPr>
            <w:r w:rsidRPr="0006247C">
              <w:rPr>
                <w:rFonts w:ascii="Arial Narrow" w:eastAsia="Arial Narrow" w:hAnsi="Arial Narrow" w:cs="Arial Narrow"/>
                <w:sz w:val="20"/>
                <w:szCs w:val="20"/>
              </w:rPr>
              <w:t xml:space="preserve"> </w:t>
            </w:r>
          </w:p>
        </w:tc>
      </w:tr>
      <w:tr w:rsidR="00082D21" w:rsidRPr="00B45840" w14:paraId="63087CCF" w14:textId="77777777">
        <w:trPr>
          <w:trHeight w:val="15"/>
        </w:trPr>
        <w:tc>
          <w:tcPr>
            <w:tcW w:w="1284" w:type="dxa"/>
            <w:vMerge/>
            <w:vAlign w:val="center"/>
          </w:tcPr>
          <w:p w14:paraId="21A05D06" w14:textId="77777777" w:rsidR="00082D21" w:rsidRDefault="00082D21"/>
        </w:tc>
        <w:tc>
          <w:tcPr>
            <w:tcW w:w="7732" w:type="dxa"/>
            <w:tcMar>
              <w:top w:w="15" w:type="dxa"/>
              <w:left w:w="108" w:type="dxa"/>
              <w:bottom w:w="15" w:type="dxa"/>
              <w:right w:w="108" w:type="dxa"/>
            </w:tcMar>
            <w:vAlign w:val="center"/>
          </w:tcPr>
          <w:p w14:paraId="201D6402" w14:textId="77777777" w:rsidR="00082D21" w:rsidRDefault="00082D21">
            <w:pPr>
              <w:rPr>
                <w:rFonts w:ascii="Arial Narrow" w:eastAsia="Arial Narrow" w:hAnsi="Arial Narrow" w:cs="Arial Narrow"/>
                <w:b/>
                <w:bCs/>
                <w:sz w:val="20"/>
                <w:szCs w:val="20"/>
              </w:rPr>
            </w:pPr>
            <w:r w:rsidRPr="7093FE7D">
              <w:rPr>
                <w:rFonts w:ascii="Arial Narrow" w:eastAsia="Arial Narrow" w:hAnsi="Arial Narrow" w:cs="Arial Narrow"/>
                <w:b/>
                <w:bCs/>
                <w:sz w:val="20"/>
                <w:szCs w:val="20"/>
              </w:rPr>
              <w:t xml:space="preserve">Restriction type: </w:t>
            </w:r>
            <w:r w:rsidRPr="005E2048" w:rsidDel="000222E3">
              <w:rPr>
                <w:rFonts w:ascii="Arial Narrow" w:eastAsia="Arial Narrow" w:hAnsi="Arial Narrow" w:cs="Arial Narrow"/>
                <w:sz w:val="20"/>
                <w:szCs w:val="20"/>
              </w:rPr>
              <w:fldChar w:fldCharType="begin">
                <w:ffData>
                  <w:name w:val=""/>
                  <w:enabled/>
                  <w:calcOnExit w:val="0"/>
                  <w:checkBox>
                    <w:sizeAuto/>
                    <w:default w:val="1"/>
                  </w:checkBox>
                </w:ffData>
              </w:fldChar>
            </w:r>
            <w:r w:rsidRPr="005E2048" w:rsidDel="000222E3">
              <w:rPr>
                <w:rFonts w:ascii="Arial Narrow" w:eastAsia="Arial Narrow" w:hAnsi="Arial Narrow" w:cs="Arial Narrow"/>
                <w:sz w:val="20"/>
                <w:szCs w:val="20"/>
              </w:rPr>
              <w:instrText xml:space="preserve"> FORMCHECKBOX </w:instrText>
            </w:r>
            <w:r w:rsidRPr="005E2048" w:rsidDel="000222E3">
              <w:rPr>
                <w:rFonts w:ascii="Arial Narrow" w:eastAsia="Arial Narrow" w:hAnsi="Arial Narrow" w:cs="Arial Narrow"/>
                <w:sz w:val="20"/>
                <w:szCs w:val="20"/>
              </w:rPr>
            </w:r>
            <w:r w:rsidRPr="005E2048" w:rsidDel="000222E3">
              <w:rPr>
                <w:rFonts w:ascii="Arial Narrow" w:eastAsia="Arial Narrow" w:hAnsi="Arial Narrow" w:cs="Arial Narrow"/>
                <w:sz w:val="20"/>
                <w:szCs w:val="20"/>
              </w:rPr>
              <w:fldChar w:fldCharType="separate"/>
            </w:r>
            <w:r w:rsidRPr="005E2048" w:rsidDel="000222E3">
              <w:rPr>
                <w:rFonts w:ascii="Arial Narrow" w:eastAsia="Arial Narrow" w:hAnsi="Arial Narrow" w:cs="Arial Narrow"/>
                <w:sz w:val="20"/>
                <w:szCs w:val="20"/>
              </w:rPr>
              <w:fldChar w:fldCharType="end"/>
            </w:r>
            <w:r w:rsidRPr="005E2048" w:rsidDel="000222E3">
              <w:rPr>
                <w:rFonts w:ascii="Arial Narrow" w:eastAsia="Arial Narrow" w:hAnsi="Arial Narrow" w:cs="Arial Narrow"/>
                <w:sz w:val="20"/>
                <w:szCs w:val="20"/>
              </w:rPr>
              <w:t xml:space="preserve"> </w:t>
            </w:r>
            <w:r w:rsidRPr="005E2048">
              <w:rPr>
                <w:rFonts w:ascii="Arial Narrow" w:eastAsia="Arial Narrow" w:hAnsi="Arial Narrow" w:cs="Arial Narrow"/>
                <w:sz w:val="20"/>
                <w:szCs w:val="20"/>
              </w:rPr>
              <w:t>Authority Required (STREAMLINED)</w:t>
            </w:r>
          </w:p>
          <w:p w14:paraId="22925661" w14:textId="77777777" w:rsidR="00082D21" w:rsidRPr="00B45840" w:rsidRDefault="00082D21">
            <w:pPr>
              <w:rPr>
                <w:rFonts w:ascii="Arial Narrow" w:eastAsia="Arial Narrow" w:hAnsi="Arial Narrow" w:cs="Arial Narrow"/>
                <w:sz w:val="20"/>
                <w:szCs w:val="20"/>
              </w:rPr>
            </w:pPr>
          </w:p>
        </w:tc>
      </w:tr>
      <w:tr w:rsidR="00082D21" w14:paraId="7A645ED9" w14:textId="77777777">
        <w:trPr>
          <w:trHeight w:val="35"/>
        </w:trPr>
        <w:tc>
          <w:tcPr>
            <w:tcW w:w="1284" w:type="dxa"/>
            <w:tcMar>
              <w:top w:w="15" w:type="dxa"/>
              <w:left w:w="108" w:type="dxa"/>
              <w:bottom w:w="15" w:type="dxa"/>
              <w:right w:w="108" w:type="dxa"/>
            </w:tcMar>
            <w:vAlign w:val="center"/>
          </w:tcPr>
          <w:p w14:paraId="57A90C88" w14:textId="48D6BB11" w:rsidR="00082D21" w:rsidRPr="004B4BE9" w:rsidRDefault="00082D21">
            <w:pPr>
              <w:jc w:val="center"/>
            </w:pPr>
          </w:p>
        </w:tc>
        <w:tc>
          <w:tcPr>
            <w:tcW w:w="7732" w:type="dxa"/>
            <w:tcMar>
              <w:top w:w="15" w:type="dxa"/>
              <w:left w:w="108" w:type="dxa"/>
              <w:bottom w:w="15" w:type="dxa"/>
              <w:right w:w="108" w:type="dxa"/>
            </w:tcMar>
            <w:vAlign w:val="center"/>
          </w:tcPr>
          <w:p w14:paraId="0B529680" w14:textId="77777777" w:rsidR="00082D21" w:rsidRDefault="00082D21">
            <w:pPr>
              <w:rPr>
                <w:rFonts w:ascii="Arial Narrow" w:eastAsia="Arial Narrow" w:hAnsi="Arial Narrow" w:cs="Arial Narrow"/>
                <w:sz w:val="20"/>
                <w:szCs w:val="20"/>
              </w:rPr>
            </w:pPr>
            <w:r w:rsidRPr="7093FE7D">
              <w:rPr>
                <w:rFonts w:ascii="Arial Narrow" w:eastAsia="Arial Narrow" w:hAnsi="Arial Narrow" w:cs="Arial Narrow"/>
                <w:b/>
                <w:bCs/>
                <w:sz w:val="20"/>
                <w:szCs w:val="20"/>
              </w:rPr>
              <w:t>Indication:</w:t>
            </w:r>
            <w:r w:rsidRPr="7093FE7D">
              <w:rPr>
                <w:rFonts w:ascii="Arial Narrow" w:eastAsia="Arial Narrow" w:hAnsi="Arial Narrow" w:cs="Arial Narrow"/>
                <w:sz w:val="20"/>
                <w:szCs w:val="20"/>
              </w:rPr>
              <w:t xml:space="preserve"> </w:t>
            </w:r>
            <w:r w:rsidRPr="00A910A5">
              <w:rPr>
                <w:rFonts w:ascii="Arial Narrow" w:hAnsi="Arial Narrow" w:cstheme="minorBidi"/>
                <w:sz w:val="20"/>
              </w:rPr>
              <w:t>Grade II to IV acute graft versus host disease</w:t>
            </w:r>
            <w:r>
              <w:rPr>
                <w:rFonts w:ascii="Arial Narrow" w:hAnsi="Arial Narrow" w:cstheme="minorBidi"/>
                <w:sz w:val="20"/>
              </w:rPr>
              <w:t xml:space="preserve"> (</w:t>
            </w:r>
            <w:proofErr w:type="spellStart"/>
            <w:r>
              <w:rPr>
                <w:rFonts w:ascii="Arial Narrow" w:hAnsi="Arial Narrow" w:cstheme="minorBidi"/>
                <w:sz w:val="20"/>
              </w:rPr>
              <w:t>aGVHD</w:t>
            </w:r>
            <w:proofErr w:type="spellEnd"/>
            <w:r>
              <w:rPr>
                <w:rFonts w:ascii="Arial Narrow" w:hAnsi="Arial Narrow" w:cstheme="minorBidi"/>
                <w:sz w:val="20"/>
              </w:rPr>
              <w:t>)</w:t>
            </w:r>
          </w:p>
        </w:tc>
      </w:tr>
      <w:tr w:rsidR="00082D21" w14:paraId="46B69863" w14:textId="77777777">
        <w:trPr>
          <w:trHeight w:val="333"/>
        </w:trPr>
        <w:tc>
          <w:tcPr>
            <w:tcW w:w="1284" w:type="dxa"/>
            <w:tcMar>
              <w:top w:w="15" w:type="dxa"/>
              <w:left w:w="108" w:type="dxa"/>
              <w:bottom w:w="15" w:type="dxa"/>
              <w:right w:w="108" w:type="dxa"/>
            </w:tcMar>
            <w:vAlign w:val="center"/>
          </w:tcPr>
          <w:p w14:paraId="7797AD6E" w14:textId="77777777" w:rsidR="00082D21" w:rsidRDefault="00082D21"/>
        </w:tc>
        <w:tc>
          <w:tcPr>
            <w:tcW w:w="7732" w:type="dxa"/>
            <w:tcMar>
              <w:top w:w="15" w:type="dxa"/>
              <w:left w:w="108" w:type="dxa"/>
              <w:bottom w:w="15" w:type="dxa"/>
              <w:right w:w="108" w:type="dxa"/>
            </w:tcMar>
            <w:vAlign w:val="center"/>
          </w:tcPr>
          <w:p w14:paraId="10E545E2" w14:textId="77777777" w:rsidR="00082D21" w:rsidRDefault="00082D21">
            <w:pPr>
              <w:rPr>
                <w:rFonts w:ascii="Arial Narrow" w:eastAsia="Arial Narrow" w:hAnsi="Arial Narrow" w:cs="Arial Narrow"/>
                <w:color w:val="FF0000"/>
                <w:sz w:val="20"/>
                <w:szCs w:val="20"/>
              </w:rPr>
            </w:pPr>
            <w:r w:rsidRPr="7093FE7D">
              <w:rPr>
                <w:rFonts w:ascii="Arial Narrow" w:eastAsia="Arial Narrow" w:hAnsi="Arial Narrow" w:cs="Arial Narrow"/>
                <w:b/>
                <w:bCs/>
                <w:sz w:val="20"/>
                <w:szCs w:val="20"/>
              </w:rPr>
              <w:t>Treatment Phase:</w:t>
            </w:r>
            <w:r w:rsidRPr="7093FE7D">
              <w:rPr>
                <w:rFonts w:ascii="Arial Narrow" w:eastAsia="Arial Narrow" w:hAnsi="Arial Narrow" w:cs="Arial Narrow"/>
                <w:sz w:val="20"/>
                <w:szCs w:val="20"/>
              </w:rPr>
              <w:t xml:space="preserve"> </w:t>
            </w:r>
            <w:r>
              <w:rPr>
                <w:rFonts w:ascii="Arial Narrow" w:eastAsia="Arial Narrow" w:hAnsi="Arial Narrow" w:cs="Arial Narrow"/>
                <w:sz w:val="20"/>
                <w:szCs w:val="20"/>
              </w:rPr>
              <w:t>Continuing treatment</w:t>
            </w:r>
          </w:p>
        </w:tc>
      </w:tr>
      <w:tr w:rsidR="00082D21" w14:paraId="16336CEB" w14:textId="77777777">
        <w:trPr>
          <w:trHeight w:val="333"/>
        </w:trPr>
        <w:tc>
          <w:tcPr>
            <w:tcW w:w="1284" w:type="dxa"/>
            <w:tcMar>
              <w:top w:w="15" w:type="dxa"/>
              <w:left w:w="108" w:type="dxa"/>
              <w:bottom w:w="15" w:type="dxa"/>
              <w:right w:w="108" w:type="dxa"/>
            </w:tcMar>
          </w:tcPr>
          <w:p w14:paraId="6600EB06" w14:textId="70D34A99" w:rsidR="00082D21" w:rsidRPr="00E74BD8" w:rsidRDefault="00082D21">
            <w:pPr>
              <w:jc w:val="center"/>
              <w:rPr>
                <w:strike/>
              </w:rPr>
            </w:pPr>
          </w:p>
        </w:tc>
        <w:tc>
          <w:tcPr>
            <w:tcW w:w="7732" w:type="dxa"/>
            <w:tcMar>
              <w:top w:w="15" w:type="dxa"/>
              <w:left w:w="108" w:type="dxa"/>
              <w:bottom w:w="15" w:type="dxa"/>
              <w:right w:w="108" w:type="dxa"/>
            </w:tcMar>
          </w:tcPr>
          <w:p w14:paraId="4C4535F2" w14:textId="77777777" w:rsidR="00082D21" w:rsidRPr="004B4BE9" w:rsidRDefault="00082D21">
            <w:pPr>
              <w:keepNext/>
              <w:snapToGrid w:val="0"/>
              <w:rPr>
                <w:rFonts w:ascii="Arial Narrow" w:hAnsi="Arial Narrow" w:cstheme="minorHAnsi"/>
                <w:b/>
                <w:strike/>
                <w:sz w:val="20"/>
              </w:rPr>
            </w:pPr>
            <w:r w:rsidRPr="00E74BD8">
              <w:rPr>
                <w:rFonts w:ascii="Arial Narrow" w:hAnsi="Arial Narrow" w:cstheme="minorHAnsi"/>
                <w:b/>
                <w:strike/>
                <w:sz w:val="20"/>
              </w:rPr>
              <w:t>Treatment Criteria:</w:t>
            </w:r>
          </w:p>
        </w:tc>
      </w:tr>
      <w:tr w:rsidR="00082D21" w14:paraId="7B9F13B0" w14:textId="77777777">
        <w:trPr>
          <w:trHeight w:val="333"/>
        </w:trPr>
        <w:tc>
          <w:tcPr>
            <w:tcW w:w="1284" w:type="dxa"/>
            <w:tcMar>
              <w:top w:w="15" w:type="dxa"/>
              <w:left w:w="108" w:type="dxa"/>
              <w:bottom w:w="15" w:type="dxa"/>
              <w:right w:w="108" w:type="dxa"/>
            </w:tcMar>
          </w:tcPr>
          <w:p w14:paraId="4DE62B58" w14:textId="74E1BE19" w:rsidR="00082D21" w:rsidRPr="00E74BD8" w:rsidRDefault="00082D21">
            <w:pPr>
              <w:jc w:val="center"/>
              <w:rPr>
                <w:rFonts w:ascii="Arial Narrow" w:hAnsi="Arial Narrow" w:cstheme="minorHAnsi"/>
                <w:b/>
                <w:strike/>
                <w:sz w:val="20"/>
              </w:rPr>
            </w:pPr>
          </w:p>
        </w:tc>
        <w:tc>
          <w:tcPr>
            <w:tcW w:w="7732" w:type="dxa"/>
            <w:tcMar>
              <w:top w:w="15" w:type="dxa"/>
              <w:left w:w="108" w:type="dxa"/>
              <w:bottom w:w="15" w:type="dxa"/>
              <w:right w:w="108" w:type="dxa"/>
            </w:tcMar>
          </w:tcPr>
          <w:p w14:paraId="12199CBF" w14:textId="77777777" w:rsidR="00082D21" w:rsidRPr="004B4BE9" w:rsidRDefault="00082D21">
            <w:pPr>
              <w:keepNext/>
              <w:snapToGrid w:val="0"/>
              <w:rPr>
                <w:rFonts w:ascii="Arial Narrow" w:hAnsi="Arial Narrow" w:cstheme="minorHAnsi"/>
                <w:iCs/>
                <w:strike/>
                <w:sz w:val="20"/>
              </w:rPr>
            </w:pPr>
            <w:r w:rsidRPr="00E74BD8">
              <w:rPr>
                <w:rFonts w:ascii="Arial Narrow" w:hAnsi="Arial Narrow" w:cstheme="minorHAnsi"/>
                <w:iCs/>
                <w:strike/>
                <w:sz w:val="20"/>
              </w:rPr>
              <w:t>Must be treated by a haematologist; OR</w:t>
            </w:r>
          </w:p>
        </w:tc>
      </w:tr>
      <w:tr w:rsidR="00082D21" w14:paraId="786AF648" w14:textId="77777777">
        <w:trPr>
          <w:trHeight w:val="333"/>
        </w:trPr>
        <w:tc>
          <w:tcPr>
            <w:tcW w:w="1284" w:type="dxa"/>
            <w:tcMar>
              <w:top w:w="15" w:type="dxa"/>
              <w:left w:w="108" w:type="dxa"/>
              <w:bottom w:w="15" w:type="dxa"/>
              <w:right w:w="108" w:type="dxa"/>
            </w:tcMar>
          </w:tcPr>
          <w:p w14:paraId="20C35202" w14:textId="1346C24A" w:rsidR="00082D21" w:rsidRPr="00E74BD8" w:rsidRDefault="00082D21">
            <w:pPr>
              <w:jc w:val="center"/>
              <w:rPr>
                <w:rFonts w:ascii="Arial Narrow" w:hAnsi="Arial Narrow" w:cstheme="minorHAnsi"/>
                <w:b/>
                <w:strike/>
                <w:sz w:val="20"/>
              </w:rPr>
            </w:pPr>
          </w:p>
        </w:tc>
        <w:tc>
          <w:tcPr>
            <w:tcW w:w="7732" w:type="dxa"/>
            <w:tcMar>
              <w:top w:w="15" w:type="dxa"/>
              <w:left w:w="108" w:type="dxa"/>
              <w:bottom w:w="15" w:type="dxa"/>
              <w:right w:w="108" w:type="dxa"/>
            </w:tcMar>
          </w:tcPr>
          <w:p w14:paraId="002DCF00" w14:textId="77777777" w:rsidR="00082D21" w:rsidRPr="004B4BE9" w:rsidRDefault="00082D21">
            <w:pPr>
              <w:keepNext/>
              <w:snapToGrid w:val="0"/>
              <w:rPr>
                <w:rFonts w:ascii="Arial Narrow" w:hAnsi="Arial Narrow" w:cstheme="minorHAnsi"/>
                <w:iCs/>
                <w:strike/>
                <w:sz w:val="20"/>
              </w:rPr>
            </w:pPr>
            <w:r w:rsidRPr="00E74BD8">
              <w:rPr>
                <w:rFonts w:ascii="Arial Narrow" w:hAnsi="Arial Narrow" w:cstheme="minorHAnsi"/>
                <w:iCs/>
                <w:strike/>
                <w:sz w:val="20"/>
              </w:rPr>
              <w:t>Must be treated by an oncologist with allogeneic bone marrow transplantation experience; OR</w:t>
            </w:r>
          </w:p>
        </w:tc>
      </w:tr>
      <w:tr w:rsidR="00082D21" w14:paraId="1CF1EDCF" w14:textId="77777777">
        <w:trPr>
          <w:trHeight w:val="333"/>
        </w:trPr>
        <w:tc>
          <w:tcPr>
            <w:tcW w:w="1284" w:type="dxa"/>
            <w:tcMar>
              <w:top w:w="15" w:type="dxa"/>
              <w:left w:w="108" w:type="dxa"/>
              <w:bottom w:w="15" w:type="dxa"/>
              <w:right w:w="108" w:type="dxa"/>
            </w:tcMar>
          </w:tcPr>
          <w:p w14:paraId="3A772CB5" w14:textId="1C985871" w:rsidR="00082D21" w:rsidRPr="00E74BD8" w:rsidRDefault="00082D21">
            <w:pPr>
              <w:jc w:val="center"/>
              <w:rPr>
                <w:rFonts w:ascii="Arial Narrow" w:hAnsi="Arial Narrow" w:cstheme="minorHAnsi"/>
                <w:b/>
                <w:strike/>
                <w:sz w:val="20"/>
              </w:rPr>
            </w:pPr>
          </w:p>
        </w:tc>
        <w:tc>
          <w:tcPr>
            <w:tcW w:w="7732" w:type="dxa"/>
            <w:tcMar>
              <w:top w:w="15" w:type="dxa"/>
              <w:left w:w="108" w:type="dxa"/>
              <w:bottom w:w="15" w:type="dxa"/>
              <w:right w:w="108" w:type="dxa"/>
            </w:tcMar>
          </w:tcPr>
          <w:p w14:paraId="08FAEA0F" w14:textId="77777777" w:rsidR="00082D21" w:rsidRPr="00E74BD8" w:rsidRDefault="00082D21">
            <w:pPr>
              <w:keepNext/>
              <w:snapToGrid w:val="0"/>
              <w:rPr>
                <w:rFonts w:ascii="Arial Narrow" w:hAnsi="Arial Narrow" w:cstheme="minorHAnsi"/>
                <w:b/>
                <w:strike/>
                <w:sz w:val="20"/>
              </w:rPr>
            </w:pPr>
            <w:r w:rsidRPr="00E74BD8">
              <w:rPr>
                <w:rFonts w:ascii="Arial Narrow" w:hAnsi="Arial Narrow" w:cstheme="minorHAnsi"/>
                <w:iCs/>
                <w:strike/>
                <w:sz w:val="20"/>
              </w:rPr>
              <w:t xml:space="preserve">Must be treated by a medical practitioner working under the direct supervision of one of the </w:t>
            </w:r>
            <w:proofErr w:type="gramStart"/>
            <w:r w:rsidRPr="00E74BD8">
              <w:rPr>
                <w:rFonts w:ascii="Arial Narrow" w:hAnsi="Arial Narrow" w:cstheme="minorHAnsi"/>
                <w:iCs/>
                <w:strike/>
                <w:sz w:val="20"/>
              </w:rPr>
              <w:t>above mentioned</w:t>
            </w:r>
            <w:proofErr w:type="gramEnd"/>
            <w:r w:rsidRPr="00E74BD8">
              <w:rPr>
                <w:rFonts w:ascii="Arial Narrow" w:hAnsi="Arial Narrow" w:cstheme="minorHAnsi"/>
                <w:iCs/>
                <w:strike/>
                <w:sz w:val="20"/>
              </w:rPr>
              <w:t xml:space="preserve"> specialist types.</w:t>
            </w:r>
          </w:p>
        </w:tc>
      </w:tr>
      <w:tr w:rsidR="00082D21" w14:paraId="304568F8" w14:textId="77777777">
        <w:trPr>
          <w:trHeight w:val="333"/>
        </w:trPr>
        <w:tc>
          <w:tcPr>
            <w:tcW w:w="1284" w:type="dxa"/>
            <w:tcMar>
              <w:top w:w="15" w:type="dxa"/>
              <w:left w:w="108" w:type="dxa"/>
              <w:bottom w:w="15" w:type="dxa"/>
              <w:right w:w="108" w:type="dxa"/>
            </w:tcMar>
            <w:vAlign w:val="center"/>
          </w:tcPr>
          <w:p w14:paraId="083CE60F" w14:textId="1B85AC70" w:rsidR="00082D21" w:rsidRPr="00E74BD8" w:rsidRDefault="00082D21">
            <w:pPr>
              <w:jc w:val="center"/>
              <w:rPr>
                <w:rFonts w:ascii="Arial Narrow" w:hAnsi="Arial Narrow"/>
                <w:b/>
                <w:bCs/>
                <w:i/>
                <w:iCs/>
                <w:sz w:val="20"/>
                <w:szCs w:val="20"/>
              </w:rPr>
            </w:pPr>
          </w:p>
        </w:tc>
        <w:tc>
          <w:tcPr>
            <w:tcW w:w="7732" w:type="dxa"/>
            <w:tcMar>
              <w:top w:w="15" w:type="dxa"/>
              <w:left w:w="108" w:type="dxa"/>
              <w:bottom w:w="15" w:type="dxa"/>
              <w:right w:w="108" w:type="dxa"/>
            </w:tcMar>
          </w:tcPr>
          <w:p w14:paraId="23528858" w14:textId="77777777" w:rsidR="00082D21" w:rsidRPr="00E74BD8" w:rsidRDefault="00082D21">
            <w:pPr>
              <w:pStyle w:val="3Bodytext"/>
              <w:rPr>
                <w:rFonts w:ascii="Arial Narrow" w:hAnsi="Arial Narrow"/>
                <w:b/>
                <w:bCs/>
                <w:i/>
                <w:iCs/>
                <w:sz w:val="20"/>
                <w:szCs w:val="20"/>
              </w:rPr>
            </w:pPr>
            <w:r w:rsidRPr="00E74BD8">
              <w:rPr>
                <w:rFonts w:ascii="Arial Narrow" w:hAnsi="Arial Narrow"/>
                <w:b/>
                <w:bCs/>
                <w:i/>
                <w:iCs/>
                <w:sz w:val="20"/>
                <w:szCs w:val="20"/>
              </w:rPr>
              <w:t>Treatment criteria:</w:t>
            </w:r>
          </w:p>
        </w:tc>
      </w:tr>
      <w:tr w:rsidR="00082D21" w14:paraId="04E234CC" w14:textId="77777777">
        <w:trPr>
          <w:trHeight w:val="333"/>
        </w:trPr>
        <w:tc>
          <w:tcPr>
            <w:tcW w:w="1284" w:type="dxa"/>
            <w:tcMar>
              <w:top w:w="15" w:type="dxa"/>
              <w:left w:w="108" w:type="dxa"/>
              <w:bottom w:w="15" w:type="dxa"/>
              <w:right w:w="108" w:type="dxa"/>
            </w:tcMar>
            <w:vAlign w:val="center"/>
          </w:tcPr>
          <w:p w14:paraId="71D8B321" w14:textId="7234FFCE" w:rsidR="00082D21" w:rsidRPr="00D14ADF" w:rsidRDefault="00082D21">
            <w:pPr>
              <w:jc w:val="center"/>
              <w:rPr>
                <w:rFonts w:ascii="Arial Narrow" w:hAnsi="Arial Narrow"/>
                <w:i/>
                <w:iCs/>
                <w:sz w:val="20"/>
                <w:szCs w:val="20"/>
                <w:highlight w:val="yellow"/>
              </w:rPr>
            </w:pPr>
          </w:p>
        </w:tc>
        <w:tc>
          <w:tcPr>
            <w:tcW w:w="7732" w:type="dxa"/>
            <w:tcMar>
              <w:top w:w="15" w:type="dxa"/>
              <w:left w:w="108" w:type="dxa"/>
              <w:bottom w:w="15" w:type="dxa"/>
              <w:right w:w="108" w:type="dxa"/>
            </w:tcMar>
          </w:tcPr>
          <w:p w14:paraId="215CEC4E" w14:textId="77777777" w:rsidR="00082D21" w:rsidRPr="00E74BD8" w:rsidRDefault="00082D21">
            <w:pPr>
              <w:pStyle w:val="3Bodytext"/>
              <w:rPr>
                <w:rFonts w:ascii="Arial Narrow" w:hAnsi="Arial Narrow"/>
                <w:b/>
                <w:bCs/>
                <w:i/>
                <w:iCs/>
                <w:sz w:val="20"/>
                <w:szCs w:val="20"/>
              </w:rPr>
            </w:pPr>
            <w:r w:rsidRPr="006476C9">
              <w:rPr>
                <w:rFonts w:ascii="Arial Narrow" w:hAnsi="Arial Narrow"/>
                <w:i/>
                <w:iCs/>
                <w:sz w:val="20"/>
                <w:szCs w:val="20"/>
              </w:rPr>
              <w:t>Must be treated by a specialist medical practitioner; or</w:t>
            </w:r>
          </w:p>
        </w:tc>
      </w:tr>
      <w:tr w:rsidR="00082D21" w14:paraId="39AB66B3" w14:textId="77777777" w:rsidTr="00082D21">
        <w:trPr>
          <w:trHeight w:val="1001"/>
        </w:trPr>
        <w:tc>
          <w:tcPr>
            <w:tcW w:w="1284" w:type="dxa"/>
            <w:tcMar>
              <w:top w:w="15" w:type="dxa"/>
              <w:left w:w="108" w:type="dxa"/>
              <w:bottom w:w="15" w:type="dxa"/>
              <w:right w:w="108" w:type="dxa"/>
            </w:tcMar>
            <w:vAlign w:val="center"/>
          </w:tcPr>
          <w:p w14:paraId="75101C05" w14:textId="764667BC" w:rsidR="00082D21" w:rsidRPr="006476C9" w:rsidRDefault="00082D21">
            <w:pPr>
              <w:jc w:val="center"/>
              <w:rPr>
                <w:rFonts w:ascii="Arial Narrow" w:hAnsi="Arial Narrow"/>
                <w:i/>
                <w:iCs/>
                <w:sz w:val="20"/>
                <w:szCs w:val="20"/>
              </w:rPr>
            </w:pPr>
          </w:p>
        </w:tc>
        <w:tc>
          <w:tcPr>
            <w:tcW w:w="7732" w:type="dxa"/>
            <w:tcMar>
              <w:top w:w="15" w:type="dxa"/>
              <w:left w:w="108" w:type="dxa"/>
              <w:bottom w:w="15" w:type="dxa"/>
              <w:right w:w="108" w:type="dxa"/>
            </w:tcMar>
          </w:tcPr>
          <w:p w14:paraId="2B5A1384" w14:textId="4D86EAC2" w:rsidR="00082D21" w:rsidRPr="006476C9" w:rsidRDefault="00082D21">
            <w:pPr>
              <w:pStyle w:val="3Bodytext"/>
              <w:rPr>
                <w:rFonts w:ascii="Arial Narrow" w:hAnsi="Arial Narrow"/>
                <w:i/>
                <w:iCs/>
                <w:sz w:val="20"/>
                <w:szCs w:val="20"/>
              </w:rPr>
            </w:pPr>
            <w:r w:rsidRPr="658D1AD8">
              <w:rPr>
                <w:rFonts w:ascii="Arial Narrow" w:hAnsi="Arial Narrow"/>
                <w:i/>
                <w:iCs/>
                <w:sz w:val="20"/>
                <w:szCs w:val="20"/>
              </w:rPr>
              <w:t>Must be treated by an authorised prescriber type (non-specialist medical practitioner, nurse practitioner) who is both: (</w:t>
            </w:r>
            <w:proofErr w:type="spellStart"/>
            <w:r w:rsidRPr="658D1AD8">
              <w:rPr>
                <w:rFonts w:ascii="Arial Narrow" w:hAnsi="Arial Narrow"/>
                <w:i/>
                <w:iCs/>
                <w:sz w:val="20"/>
                <w:szCs w:val="20"/>
              </w:rPr>
              <w:t>i</w:t>
            </w:r>
            <w:proofErr w:type="spellEnd"/>
            <w:r w:rsidRPr="658D1AD8">
              <w:rPr>
                <w:rFonts w:ascii="Arial Narrow" w:hAnsi="Arial Narrow"/>
                <w:i/>
                <w:iCs/>
                <w:sz w:val="20"/>
                <w:szCs w:val="20"/>
              </w:rPr>
              <w:t xml:space="preserve">) continuing existing therapy with this medicine (i.e. not initiating treatment), (ii) has agreement from the treating specialist medical practitioner </w:t>
            </w:r>
          </w:p>
        </w:tc>
      </w:tr>
    </w:tbl>
    <w:p w14:paraId="2548BE33" w14:textId="760906E5" w:rsidR="00874E4B" w:rsidRDefault="00874E4B" w:rsidP="00874E4B">
      <w:pPr>
        <w:pStyle w:val="3-BodyText"/>
        <w:numPr>
          <w:ilvl w:val="0"/>
          <w:numId w:val="0"/>
        </w:numPr>
        <w:rPr>
          <w:b/>
          <w:bCs/>
          <w:i/>
          <w:iCs/>
        </w:rPr>
      </w:pPr>
      <w:r w:rsidRPr="002A4002">
        <w:rPr>
          <w:b/>
          <w:bCs/>
          <w:i/>
          <w:iCs/>
        </w:rPr>
        <w:t>These restrictions may be subject to further review. Should there be any changes made to</w:t>
      </w:r>
      <w:r>
        <w:rPr>
          <w:b/>
          <w:bCs/>
          <w:i/>
          <w:iCs/>
        </w:rPr>
        <w:t xml:space="preserve"> </w:t>
      </w:r>
      <w:r w:rsidRPr="002A4002">
        <w:rPr>
          <w:b/>
          <w:bCs/>
          <w:i/>
          <w:iCs/>
        </w:rPr>
        <w:t>the restriction the sponsor will be informed.</w:t>
      </w:r>
    </w:p>
    <w:p w14:paraId="3F34B50D" w14:textId="671D0568" w:rsidR="00874E4B" w:rsidRDefault="00874E4B" w:rsidP="00B84EF6">
      <w:pPr>
        <w:tabs>
          <w:tab w:val="left" w:pos="1080"/>
        </w:tabs>
        <w:autoSpaceDE w:val="0"/>
        <w:autoSpaceDN w:val="0"/>
        <w:adjustRightInd w:val="0"/>
        <w:spacing w:after="120"/>
        <w:jc w:val="left"/>
        <w:rPr>
          <w:rFonts w:cs="Calibri"/>
          <w:lang w:eastAsia="en-US"/>
        </w:rPr>
      </w:pPr>
    </w:p>
    <w:p w14:paraId="6BA51DF7" w14:textId="38640DDD" w:rsidR="0094677A" w:rsidRPr="0094677A" w:rsidRDefault="0094677A" w:rsidP="0094677A">
      <w:pPr>
        <w:pStyle w:val="2-SectionHeading"/>
        <w:numPr>
          <w:ilvl w:val="0"/>
          <w:numId w:val="18"/>
        </w:numPr>
        <w:ind w:left="709" w:hanging="709"/>
      </w:pPr>
      <w:r w:rsidRPr="0094677A">
        <w:t>Context for Decision</w:t>
      </w:r>
    </w:p>
    <w:p w14:paraId="387B8358" w14:textId="77777777" w:rsidR="0094677A" w:rsidRPr="0094677A" w:rsidRDefault="0094677A" w:rsidP="0094677A">
      <w:pPr>
        <w:tabs>
          <w:tab w:val="left" w:pos="1080"/>
        </w:tabs>
        <w:autoSpaceDE w:val="0"/>
        <w:autoSpaceDN w:val="0"/>
        <w:adjustRightInd w:val="0"/>
        <w:spacing w:after="120"/>
        <w:jc w:val="left"/>
        <w:rPr>
          <w:rFonts w:cs="Calibri"/>
          <w:lang w:val="en-GB" w:eastAsia="en-US"/>
        </w:rPr>
      </w:pPr>
      <w:r w:rsidRPr="0094677A">
        <w:rPr>
          <w:rFonts w:cs="Calibri"/>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6A8F1F" w14:textId="1F055091" w:rsidR="0094677A" w:rsidRPr="0094677A" w:rsidRDefault="0094677A" w:rsidP="0094677A">
      <w:pPr>
        <w:pStyle w:val="2-SectionHeading"/>
        <w:numPr>
          <w:ilvl w:val="0"/>
          <w:numId w:val="18"/>
        </w:numPr>
        <w:ind w:left="709" w:hanging="709"/>
      </w:pPr>
      <w:r w:rsidRPr="0094677A">
        <w:lastRenderedPageBreak/>
        <w:t>Sponsor’s Comment</w:t>
      </w:r>
    </w:p>
    <w:p w14:paraId="1BCD045B" w14:textId="77777777" w:rsidR="0094677A" w:rsidRPr="0094677A" w:rsidRDefault="0094677A" w:rsidP="0094677A">
      <w:pPr>
        <w:tabs>
          <w:tab w:val="left" w:pos="1080"/>
        </w:tabs>
        <w:autoSpaceDE w:val="0"/>
        <w:autoSpaceDN w:val="0"/>
        <w:adjustRightInd w:val="0"/>
        <w:spacing w:after="120"/>
        <w:jc w:val="left"/>
        <w:rPr>
          <w:rFonts w:cs="Calibri"/>
          <w:lang w:eastAsia="en-US"/>
        </w:rPr>
      </w:pPr>
      <w:r w:rsidRPr="0094677A">
        <w:rPr>
          <w:rFonts w:cs="Calibri"/>
          <w:lang w:eastAsia="en-US"/>
        </w:rPr>
        <w:t>The sponsor had no comment.</w:t>
      </w:r>
    </w:p>
    <w:p w14:paraId="7B538CE2" w14:textId="77777777" w:rsidR="006E6EA1" w:rsidRPr="00B84EF6" w:rsidRDefault="006E6EA1" w:rsidP="00B84EF6">
      <w:pPr>
        <w:tabs>
          <w:tab w:val="left" w:pos="1080"/>
        </w:tabs>
        <w:autoSpaceDE w:val="0"/>
        <w:autoSpaceDN w:val="0"/>
        <w:adjustRightInd w:val="0"/>
        <w:spacing w:after="120"/>
        <w:jc w:val="left"/>
        <w:rPr>
          <w:rFonts w:cs="Calibri"/>
          <w:lang w:eastAsia="en-US"/>
        </w:rPr>
      </w:pPr>
    </w:p>
    <w:sectPr w:rsidR="006E6EA1" w:rsidRPr="00B84EF6"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90CB" w14:textId="77777777" w:rsidR="00A57678" w:rsidRDefault="00A57678">
      <w:r>
        <w:separator/>
      </w:r>
    </w:p>
    <w:p w14:paraId="2F3E9D61" w14:textId="77777777" w:rsidR="00A57678" w:rsidRDefault="00A57678"/>
  </w:endnote>
  <w:endnote w:type="continuationSeparator" w:id="0">
    <w:p w14:paraId="77ECC246" w14:textId="77777777" w:rsidR="00A57678" w:rsidRDefault="00A57678">
      <w:r>
        <w:continuationSeparator/>
      </w:r>
    </w:p>
    <w:p w14:paraId="50E5EC9E" w14:textId="77777777" w:rsidR="00A57678" w:rsidRDefault="00A57678"/>
  </w:endnote>
  <w:endnote w:type="continuationNotice" w:id="1">
    <w:p w14:paraId="3BA5C724" w14:textId="77777777" w:rsidR="00A57678" w:rsidRDefault="00A57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3E22167E" w:rsidR="009C26AA" w:rsidRPr="005A3173" w:rsidRDefault="004B7539"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3CC5A2AF" wp14:editId="08A3C4DD">
                    <wp:simplePos x="635" y="635"/>
                    <wp:positionH relativeFrom="page">
                      <wp:align>center</wp:align>
                    </wp:positionH>
                    <wp:positionV relativeFrom="page">
                      <wp:align>bottom</wp:align>
                    </wp:positionV>
                    <wp:extent cx="622300" cy="376555"/>
                    <wp:effectExtent l="0" t="0" r="6350" b="0"/>
                    <wp:wrapNone/>
                    <wp:docPr id="3063750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149F9A" w14:textId="663BA59E"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5A2A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4149F9A" w14:textId="663BA59E"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58DCAF5" w:rsidR="009C26AA" w:rsidRPr="00D429EC" w:rsidRDefault="004B7539"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9" behindDoc="0" locked="0" layoutInCell="1" allowOverlap="1" wp14:anchorId="1BAFFBFD" wp14:editId="7C0C1FF4">
              <wp:simplePos x="635" y="635"/>
              <wp:positionH relativeFrom="page">
                <wp:align>center</wp:align>
              </wp:positionH>
              <wp:positionV relativeFrom="page">
                <wp:align>bottom</wp:align>
              </wp:positionV>
              <wp:extent cx="622300" cy="376555"/>
              <wp:effectExtent l="0" t="0" r="6350" b="0"/>
              <wp:wrapNone/>
              <wp:docPr id="14536322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FA2720" w14:textId="30BBF28F"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FFBFD"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DFA2720" w14:textId="30BBF28F"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60B4" w14:textId="795FC625" w:rsidR="005462DC" w:rsidRDefault="004B7539">
    <w:pPr>
      <w:pStyle w:val="Footer"/>
    </w:pPr>
    <w:r>
      <w:rPr>
        <w:noProof/>
      </w:rPr>
      <mc:AlternateContent>
        <mc:Choice Requires="wps">
          <w:drawing>
            <wp:anchor distT="0" distB="0" distL="0" distR="0" simplePos="0" relativeHeight="251662341" behindDoc="0" locked="0" layoutInCell="1" allowOverlap="1" wp14:anchorId="6A41682F" wp14:editId="30D742F0">
              <wp:simplePos x="635" y="635"/>
              <wp:positionH relativeFrom="page">
                <wp:align>center</wp:align>
              </wp:positionH>
              <wp:positionV relativeFrom="page">
                <wp:align>bottom</wp:align>
              </wp:positionV>
              <wp:extent cx="622300" cy="376555"/>
              <wp:effectExtent l="0" t="0" r="6350" b="0"/>
              <wp:wrapNone/>
              <wp:docPr id="2065010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163FA4" w14:textId="6B94585B"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41682F"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7163FA4" w14:textId="6B94585B"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B74F" w14:textId="77777777" w:rsidR="00A57678" w:rsidRDefault="00A57678">
      <w:r>
        <w:separator/>
      </w:r>
    </w:p>
    <w:p w14:paraId="385E112A" w14:textId="77777777" w:rsidR="00A57678" w:rsidRDefault="00A57678"/>
  </w:footnote>
  <w:footnote w:type="continuationSeparator" w:id="0">
    <w:p w14:paraId="2B0E04B7" w14:textId="77777777" w:rsidR="00A57678" w:rsidRDefault="00A57678">
      <w:r>
        <w:continuationSeparator/>
      </w:r>
    </w:p>
    <w:p w14:paraId="53D79DEC" w14:textId="77777777" w:rsidR="00A57678" w:rsidRDefault="00A57678"/>
  </w:footnote>
  <w:footnote w:type="continuationNotice" w:id="1">
    <w:p w14:paraId="49B39CB2" w14:textId="77777777" w:rsidR="00A57678" w:rsidRDefault="00A57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21EC0098" w:rsidR="009C26AA" w:rsidRPr="00A06225" w:rsidRDefault="004B7539">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75DF791E" wp14:editId="3AE5ABE6">
                    <wp:simplePos x="635" y="635"/>
                    <wp:positionH relativeFrom="page">
                      <wp:align>center</wp:align>
                    </wp:positionH>
                    <wp:positionV relativeFrom="page">
                      <wp:align>top</wp:align>
                    </wp:positionV>
                    <wp:extent cx="622300" cy="376555"/>
                    <wp:effectExtent l="0" t="0" r="6350" b="4445"/>
                    <wp:wrapNone/>
                    <wp:docPr id="3293584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E89D00" w14:textId="6EDBFCB0"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F791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8E89D00" w14:textId="6EDBFCB0"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015626A7" w:rsidR="00C56D78" w:rsidRPr="00C56D78" w:rsidRDefault="004B7539"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1317" behindDoc="0" locked="0" layoutInCell="1" allowOverlap="1" wp14:anchorId="3BEEFC99" wp14:editId="2927EFD8">
              <wp:simplePos x="635" y="635"/>
              <wp:positionH relativeFrom="page">
                <wp:align>center</wp:align>
              </wp:positionH>
              <wp:positionV relativeFrom="page">
                <wp:align>top</wp:align>
              </wp:positionV>
              <wp:extent cx="622300" cy="376555"/>
              <wp:effectExtent l="0" t="0" r="6350" b="4445"/>
              <wp:wrapNone/>
              <wp:docPr id="219388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DDC45C" w14:textId="44C2C8BA"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EFC9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6DDC45C" w14:textId="44C2C8BA"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v:textbox>
              <w10:wrap anchorx="page" anchory="page"/>
            </v:shape>
          </w:pict>
        </mc:Fallback>
      </mc:AlternateContent>
    </w:r>
    <w:r w:rsidR="006E6EA1">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w:t>
    </w:r>
    <w:r w:rsidR="00226B72">
      <w:rPr>
        <w:rFonts w:asciiTheme="minorHAnsi" w:eastAsiaTheme="minorEastAsia" w:hAnsiTheme="minorHAnsi" w:cstheme="minorHAnsi"/>
        <w:i/>
        <w:color w:val="808080"/>
      </w:rPr>
      <w:t xml:space="preserve"> March 2026</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084D" w14:textId="38F75F8D" w:rsidR="005462DC" w:rsidRDefault="004B7539">
    <w:pPr>
      <w:pStyle w:val="Header"/>
    </w:pPr>
    <w:r>
      <w:rPr>
        <w:noProof/>
      </w:rPr>
      <mc:AlternateContent>
        <mc:Choice Requires="wps">
          <w:drawing>
            <wp:anchor distT="0" distB="0" distL="0" distR="0" simplePos="0" relativeHeight="251659269" behindDoc="0" locked="0" layoutInCell="1" allowOverlap="1" wp14:anchorId="0519754D" wp14:editId="5B747162">
              <wp:simplePos x="635" y="635"/>
              <wp:positionH relativeFrom="page">
                <wp:align>center</wp:align>
              </wp:positionH>
              <wp:positionV relativeFrom="page">
                <wp:align>top</wp:align>
              </wp:positionV>
              <wp:extent cx="622300" cy="376555"/>
              <wp:effectExtent l="0" t="0" r="6350" b="4445"/>
              <wp:wrapNone/>
              <wp:docPr id="17730781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ABF23B" w14:textId="7F788A2F"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9754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0ABF23B" w14:textId="7F788A2F" w:rsidR="004B7539" w:rsidRPr="004B7539" w:rsidRDefault="004B7539" w:rsidP="004B7539">
                    <w:pPr>
                      <w:rPr>
                        <w:rFonts w:ascii="Aptos" w:eastAsia="Aptos" w:hAnsi="Aptos" w:cs="Aptos"/>
                        <w:noProof/>
                        <w:color w:val="FF0000"/>
                      </w:rPr>
                    </w:pPr>
                    <w:r w:rsidRPr="004B753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821B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C7EA4"/>
    <w:multiLevelType w:val="hybridMultilevel"/>
    <w:tmpl w:val="07022646"/>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B7042B"/>
    <w:multiLevelType w:val="hybridMultilevel"/>
    <w:tmpl w:val="AF222DF8"/>
    <w:lvl w:ilvl="0" w:tplc="0C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7C11AF5"/>
    <w:multiLevelType w:val="multilevel"/>
    <w:tmpl w:val="D076B8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465E4D28"/>
    <w:multiLevelType w:val="multilevel"/>
    <w:tmpl w:val="E4A4EC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6A4A63"/>
    <w:multiLevelType w:val="hybridMultilevel"/>
    <w:tmpl w:val="DDFCA16A"/>
    <w:lvl w:ilvl="0" w:tplc="0C090001">
      <w:start w:val="1"/>
      <w:numFmt w:val="bullet"/>
      <w:lvlText w:val=""/>
      <w:lvlJc w:val="left"/>
      <w:pPr>
        <w:ind w:left="720" w:hanging="360"/>
      </w:pPr>
      <w:rPr>
        <w:rFonts w:ascii="Symbol" w:hAnsi="Symbol" w:hint="default"/>
      </w:rPr>
    </w:lvl>
    <w:lvl w:ilvl="1" w:tplc="69404BD2">
      <w:start w:val="1"/>
      <w:numFmt w:val="lowerLetter"/>
      <w:lvlText w:val="%2."/>
      <w:lvlJc w:val="left"/>
      <w:pPr>
        <w:ind w:left="1440" w:hanging="360"/>
      </w:pPr>
      <w:rPr>
        <w:color w:val="auto"/>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023CDF"/>
    <w:multiLevelType w:val="hybridMultilevel"/>
    <w:tmpl w:val="FEF49146"/>
    <w:lvl w:ilvl="0" w:tplc="9954C8F6">
      <w:start w:val="3"/>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2FD46B7"/>
    <w:multiLevelType w:val="multilevel"/>
    <w:tmpl w:val="6820EAF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84D033C"/>
    <w:multiLevelType w:val="multilevel"/>
    <w:tmpl w:val="B52CE3C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5"/>
  </w:num>
  <w:num w:numId="2" w16cid:durableId="957570559">
    <w:abstractNumId w:val="16"/>
  </w:num>
  <w:num w:numId="3" w16cid:durableId="1159004663">
    <w:abstractNumId w:val="12"/>
  </w:num>
  <w:num w:numId="4" w16cid:durableId="418600173">
    <w:abstractNumId w:val="17"/>
  </w:num>
  <w:num w:numId="5" w16cid:durableId="34236669">
    <w:abstractNumId w:val="15"/>
  </w:num>
  <w:num w:numId="6" w16cid:durableId="1279799443">
    <w:abstractNumId w:val="10"/>
  </w:num>
  <w:num w:numId="7" w16cid:durableId="495537779">
    <w:abstractNumId w:val="7"/>
  </w:num>
  <w:num w:numId="8" w16cid:durableId="1468400811">
    <w:abstractNumId w:val="0"/>
  </w:num>
  <w:num w:numId="9" w16cid:durableId="1915313393">
    <w:abstractNumId w:val="14"/>
  </w:num>
  <w:num w:numId="10" w16cid:durableId="1662348298">
    <w:abstractNumId w:val="9"/>
  </w:num>
  <w:num w:numId="11" w16cid:durableId="1103570019">
    <w:abstractNumId w:val="3"/>
  </w:num>
  <w:num w:numId="12" w16cid:durableId="2041346921">
    <w:abstractNumId w:val="16"/>
  </w:num>
  <w:num w:numId="13" w16cid:durableId="192349913">
    <w:abstractNumId w:val="4"/>
  </w:num>
  <w:num w:numId="14" w16cid:durableId="646131043">
    <w:abstractNumId w:val="11"/>
  </w:num>
  <w:num w:numId="15" w16cid:durableId="985089713">
    <w:abstractNumId w:val="2"/>
  </w:num>
  <w:num w:numId="16" w16cid:durableId="1572235149">
    <w:abstractNumId w:val="13"/>
  </w:num>
  <w:num w:numId="17" w16cid:durableId="1295330284">
    <w:abstractNumId w:val="6"/>
  </w:num>
  <w:num w:numId="18" w16cid:durableId="352269590">
    <w:abstractNumId w:val="8"/>
  </w:num>
  <w:num w:numId="19" w16cid:durableId="81341802">
    <w:abstractNumId w:val="1"/>
  </w:num>
  <w:num w:numId="20" w16cid:durableId="527068705">
    <w:abstractNumId w:val="16"/>
  </w:num>
  <w:num w:numId="21" w16cid:durableId="52972519">
    <w:abstractNumId w:val="16"/>
  </w:num>
  <w:num w:numId="22" w16cid:durableId="160472714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D5"/>
    <w:rsid w:val="0000080A"/>
    <w:rsid w:val="0000096D"/>
    <w:rsid w:val="00001663"/>
    <w:rsid w:val="0000231E"/>
    <w:rsid w:val="0000237E"/>
    <w:rsid w:val="000025AD"/>
    <w:rsid w:val="0000272F"/>
    <w:rsid w:val="0000335D"/>
    <w:rsid w:val="0000375B"/>
    <w:rsid w:val="00003D98"/>
    <w:rsid w:val="00003EC5"/>
    <w:rsid w:val="0000455A"/>
    <w:rsid w:val="00004C37"/>
    <w:rsid w:val="00004DE9"/>
    <w:rsid w:val="00005D27"/>
    <w:rsid w:val="00006782"/>
    <w:rsid w:val="00006812"/>
    <w:rsid w:val="0001179A"/>
    <w:rsid w:val="00011A59"/>
    <w:rsid w:val="00013A59"/>
    <w:rsid w:val="0001409D"/>
    <w:rsid w:val="00014CE9"/>
    <w:rsid w:val="00014D69"/>
    <w:rsid w:val="000152C8"/>
    <w:rsid w:val="0001573A"/>
    <w:rsid w:val="0001601B"/>
    <w:rsid w:val="00016A41"/>
    <w:rsid w:val="00020157"/>
    <w:rsid w:val="000201BF"/>
    <w:rsid w:val="00020E32"/>
    <w:rsid w:val="000214D1"/>
    <w:rsid w:val="00021F20"/>
    <w:rsid w:val="000222E3"/>
    <w:rsid w:val="000240A7"/>
    <w:rsid w:val="0002464A"/>
    <w:rsid w:val="00025A04"/>
    <w:rsid w:val="00025B4D"/>
    <w:rsid w:val="00025F0A"/>
    <w:rsid w:val="0002693D"/>
    <w:rsid w:val="000269FC"/>
    <w:rsid w:val="000278EC"/>
    <w:rsid w:val="00027A58"/>
    <w:rsid w:val="0003050E"/>
    <w:rsid w:val="0003106B"/>
    <w:rsid w:val="00031E1E"/>
    <w:rsid w:val="0003352E"/>
    <w:rsid w:val="000335B9"/>
    <w:rsid w:val="000335C3"/>
    <w:rsid w:val="00034905"/>
    <w:rsid w:val="0003556D"/>
    <w:rsid w:val="000363C0"/>
    <w:rsid w:val="00036E9D"/>
    <w:rsid w:val="000371E9"/>
    <w:rsid w:val="00037765"/>
    <w:rsid w:val="00037906"/>
    <w:rsid w:val="00040A30"/>
    <w:rsid w:val="000414C9"/>
    <w:rsid w:val="00041BF1"/>
    <w:rsid w:val="00041FB3"/>
    <w:rsid w:val="000421A1"/>
    <w:rsid w:val="0004240E"/>
    <w:rsid w:val="000425A2"/>
    <w:rsid w:val="0004366F"/>
    <w:rsid w:val="00044A45"/>
    <w:rsid w:val="00044BBD"/>
    <w:rsid w:val="00044E52"/>
    <w:rsid w:val="00044EC4"/>
    <w:rsid w:val="00044F87"/>
    <w:rsid w:val="00045E26"/>
    <w:rsid w:val="00046903"/>
    <w:rsid w:val="00047247"/>
    <w:rsid w:val="00047ABD"/>
    <w:rsid w:val="000514B5"/>
    <w:rsid w:val="000521ED"/>
    <w:rsid w:val="00052A0F"/>
    <w:rsid w:val="00052E6C"/>
    <w:rsid w:val="0005322E"/>
    <w:rsid w:val="000546CF"/>
    <w:rsid w:val="00054E2B"/>
    <w:rsid w:val="00055026"/>
    <w:rsid w:val="0005568B"/>
    <w:rsid w:val="00055A8E"/>
    <w:rsid w:val="00056382"/>
    <w:rsid w:val="000570B2"/>
    <w:rsid w:val="000571B7"/>
    <w:rsid w:val="00057B56"/>
    <w:rsid w:val="00057FD5"/>
    <w:rsid w:val="00060E64"/>
    <w:rsid w:val="000621AB"/>
    <w:rsid w:val="0006247C"/>
    <w:rsid w:val="0006271E"/>
    <w:rsid w:val="00062C03"/>
    <w:rsid w:val="00062E88"/>
    <w:rsid w:val="00064C5B"/>
    <w:rsid w:val="000654AD"/>
    <w:rsid w:val="00066193"/>
    <w:rsid w:val="00066755"/>
    <w:rsid w:val="00071A5B"/>
    <w:rsid w:val="000723E5"/>
    <w:rsid w:val="00072730"/>
    <w:rsid w:val="0007337F"/>
    <w:rsid w:val="000734FE"/>
    <w:rsid w:val="000741A5"/>
    <w:rsid w:val="00074320"/>
    <w:rsid w:val="00074926"/>
    <w:rsid w:val="00074FEF"/>
    <w:rsid w:val="000763D5"/>
    <w:rsid w:val="00076C38"/>
    <w:rsid w:val="00077143"/>
    <w:rsid w:val="00077DF7"/>
    <w:rsid w:val="00080211"/>
    <w:rsid w:val="00080317"/>
    <w:rsid w:val="0008050C"/>
    <w:rsid w:val="000805CC"/>
    <w:rsid w:val="000808A5"/>
    <w:rsid w:val="00080B32"/>
    <w:rsid w:val="00080E21"/>
    <w:rsid w:val="00080FE7"/>
    <w:rsid w:val="00082169"/>
    <w:rsid w:val="00082D21"/>
    <w:rsid w:val="000834BE"/>
    <w:rsid w:val="00083F01"/>
    <w:rsid w:val="0008539E"/>
    <w:rsid w:val="0008554E"/>
    <w:rsid w:val="0008685D"/>
    <w:rsid w:val="000870F3"/>
    <w:rsid w:val="00087C4C"/>
    <w:rsid w:val="00087E15"/>
    <w:rsid w:val="000918CB"/>
    <w:rsid w:val="000919A0"/>
    <w:rsid w:val="00091B06"/>
    <w:rsid w:val="00092E58"/>
    <w:rsid w:val="00094C9A"/>
    <w:rsid w:val="000951C4"/>
    <w:rsid w:val="00095ADA"/>
    <w:rsid w:val="00095F3A"/>
    <w:rsid w:val="000969AD"/>
    <w:rsid w:val="000975FB"/>
    <w:rsid w:val="0009792E"/>
    <w:rsid w:val="00097CFA"/>
    <w:rsid w:val="000A02F8"/>
    <w:rsid w:val="000A079B"/>
    <w:rsid w:val="000A0C96"/>
    <w:rsid w:val="000A153A"/>
    <w:rsid w:val="000A38B8"/>
    <w:rsid w:val="000A3AA2"/>
    <w:rsid w:val="000A42EF"/>
    <w:rsid w:val="000A44B2"/>
    <w:rsid w:val="000A52A0"/>
    <w:rsid w:val="000A52F6"/>
    <w:rsid w:val="000A5322"/>
    <w:rsid w:val="000A58B8"/>
    <w:rsid w:val="000A6615"/>
    <w:rsid w:val="000A6E80"/>
    <w:rsid w:val="000A734B"/>
    <w:rsid w:val="000A78B8"/>
    <w:rsid w:val="000A7C30"/>
    <w:rsid w:val="000B0551"/>
    <w:rsid w:val="000B2566"/>
    <w:rsid w:val="000B38A6"/>
    <w:rsid w:val="000B405E"/>
    <w:rsid w:val="000B44C3"/>
    <w:rsid w:val="000B47B7"/>
    <w:rsid w:val="000B47C8"/>
    <w:rsid w:val="000B4B4C"/>
    <w:rsid w:val="000B558D"/>
    <w:rsid w:val="000B5A89"/>
    <w:rsid w:val="000B65F6"/>
    <w:rsid w:val="000B754F"/>
    <w:rsid w:val="000B7767"/>
    <w:rsid w:val="000C157B"/>
    <w:rsid w:val="000C1AFF"/>
    <w:rsid w:val="000C2317"/>
    <w:rsid w:val="000C257A"/>
    <w:rsid w:val="000C2BF1"/>
    <w:rsid w:val="000C4633"/>
    <w:rsid w:val="000C4E9F"/>
    <w:rsid w:val="000C5740"/>
    <w:rsid w:val="000C5F95"/>
    <w:rsid w:val="000C6324"/>
    <w:rsid w:val="000C6996"/>
    <w:rsid w:val="000C7A83"/>
    <w:rsid w:val="000C7BCF"/>
    <w:rsid w:val="000C7C46"/>
    <w:rsid w:val="000C7F7F"/>
    <w:rsid w:val="000D0852"/>
    <w:rsid w:val="000D09E9"/>
    <w:rsid w:val="000D0B0F"/>
    <w:rsid w:val="000D113F"/>
    <w:rsid w:val="000D175C"/>
    <w:rsid w:val="000D2085"/>
    <w:rsid w:val="000D23BA"/>
    <w:rsid w:val="000D2FAC"/>
    <w:rsid w:val="000D3EE4"/>
    <w:rsid w:val="000D4F18"/>
    <w:rsid w:val="000D5EE7"/>
    <w:rsid w:val="000D61DE"/>
    <w:rsid w:val="000D73B4"/>
    <w:rsid w:val="000E19B7"/>
    <w:rsid w:val="000E20FC"/>
    <w:rsid w:val="000E2BBD"/>
    <w:rsid w:val="000E3168"/>
    <w:rsid w:val="000E3C1D"/>
    <w:rsid w:val="000E3DFB"/>
    <w:rsid w:val="000E4D00"/>
    <w:rsid w:val="000E5AF2"/>
    <w:rsid w:val="000E5EA1"/>
    <w:rsid w:val="000E5F09"/>
    <w:rsid w:val="000E5F3F"/>
    <w:rsid w:val="000E641B"/>
    <w:rsid w:val="000E681E"/>
    <w:rsid w:val="000E696B"/>
    <w:rsid w:val="000E6D5E"/>
    <w:rsid w:val="000E71C6"/>
    <w:rsid w:val="000E7995"/>
    <w:rsid w:val="000E7E52"/>
    <w:rsid w:val="000E7E90"/>
    <w:rsid w:val="000EE1C7"/>
    <w:rsid w:val="000F0003"/>
    <w:rsid w:val="000F03EE"/>
    <w:rsid w:val="000F0E78"/>
    <w:rsid w:val="000F12C1"/>
    <w:rsid w:val="000F181A"/>
    <w:rsid w:val="000F2959"/>
    <w:rsid w:val="000F3108"/>
    <w:rsid w:val="000F3384"/>
    <w:rsid w:val="000F3438"/>
    <w:rsid w:val="000F3A10"/>
    <w:rsid w:val="000F3B10"/>
    <w:rsid w:val="000F4E6A"/>
    <w:rsid w:val="000F4FB4"/>
    <w:rsid w:val="000F61C4"/>
    <w:rsid w:val="000F6ABB"/>
    <w:rsid w:val="000F7354"/>
    <w:rsid w:val="000F7689"/>
    <w:rsid w:val="000F7C27"/>
    <w:rsid w:val="000F7FD6"/>
    <w:rsid w:val="00100515"/>
    <w:rsid w:val="0010085C"/>
    <w:rsid w:val="00100D7A"/>
    <w:rsid w:val="00101ABE"/>
    <w:rsid w:val="00102202"/>
    <w:rsid w:val="00102700"/>
    <w:rsid w:val="00102A78"/>
    <w:rsid w:val="00102F89"/>
    <w:rsid w:val="00103118"/>
    <w:rsid w:val="00103F1B"/>
    <w:rsid w:val="00104227"/>
    <w:rsid w:val="0010469B"/>
    <w:rsid w:val="001053D5"/>
    <w:rsid w:val="00105F05"/>
    <w:rsid w:val="001060B0"/>
    <w:rsid w:val="00107409"/>
    <w:rsid w:val="00110265"/>
    <w:rsid w:val="001107BF"/>
    <w:rsid w:val="00111126"/>
    <w:rsid w:val="00113649"/>
    <w:rsid w:val="00113D5C"/>
    <w:rsid w:val="00114113"/>
    <w:rsid w:val="00115B88"/>
    <w:rsid w:val="00115DFF"/>
    <w:rsid w:val="001160CE"/>
    <w:rsid w:val="00116B03"/>
    <w:rsid w:val="00120553"/>
    <w:rsid w:val="00120AA6"/>
    <w:rsid w:val="00122587"/>
    <w:rsid w:val="001239DB"/>
    <w:rsid w:val="00123F19"/>
    <w:rsid w:val="0012417C"/>
    <w:rsid w:val="00124BF2"/>
    <w:rsid w:val="00125571"/>
    <w:rsid w:val="00125837"/>
    <w:rsid w:val="0012597F"/>
    <w:rsid w:val="00126B19"/>
    <w:rsid w:val="00126D3A"/>
    <w:rsid w:val="00126F4B"/>
    <w:rsid w:val="00127381"/>
    <w:rsid w:val="0012749D"/>
    <w:rsid w:val="00127A23"/>
    <w:rsid w:val="001306A5"/>
    <w:rsid w:val="00130918"/>
    <w:rsid w:val="001311AE"/>
    <w:rsid w:val="00131DE7"/>
    <w:rsid w:val="00132D34"/>
    <w:rsid w:val="001336BD"/>
    <w:rsid w:val="00133917"/>
    <w:rsid w:val="00134035"/>
    <w:rsid w:val="00134994"/>
    <w:rsid w:val="00134D42"/>
    <w:rsid w:val="001366C2"/>
    <w:rsid w:val="00136740"/>
    <w:rsid w:val="00136A3D"/>
    <w:rsid w:val="00136B72"/>
    <w:rsid w:val="00136C17"/>
    <w:rsid w:val="00140B74"/>
    <w:rsid w:val="00140CFC"/>
    <w:rsid w:val="00140D94"/>
    <w:rsid w:val="00142395"/>
    <w:rsid w:val="001424B1"/>
    <w:rsid w:val="0014250D"/>
    <w:rsid w:val="00142714"/>
    <w:rsid w:val="0014340F"/>
    <w:rsid w:val="00144621"/>
    <w:rsid w:val="00144D09"/>
    <w:rsid w:val="00144E06"/>
    <w:rsid w:val="00145068"/>
    <w:rsid w:val="001452ED"/>
    <w:rsid w:val="00145BBD"/>
    <w:rsid w:val="00146C71"/>
    <w:rsid w:val="00147356"/>
    <w:rsid w:val="00147D84"/>
    <w:rsid w:val="00150363"/>
    <w:rsid w:val="00150E66"/>
    <w:rsid w:val="001514D6"/>
    <w:rsid w:val="00151CBD"/>
    <w:rsid w:val="00153009"/>
    <w:rsid w:val="001530A4"/>
    <w:rsid w:val="001532EE"/>
    <w:rsid w:val="001533C3"/>
    <w:rsid w:val="00153958"/>
    <w:rsid w:val="00154559"/>
    <w:rsid w:val="00154874"/>
    <w:rsid w:val="001549C1"/>
    <w:rsid w:val="0015526F"/>
    <w:rsid w:val="0015538B"/>
    <w:rsid w:val="00156C8D"/>
    <w:rsid w:val="00157881"/>
    <w:rsid w:val="00157A98"/>
    <w:rsid w:val="00157CDA"/>
    <w:rsid w:val="00160F4D"/>
    <w:rsid w:val="001617A0"/>
    <w:rsid w:val="00161ED2"/>
    <w:rsid w:val="0016294B"/>
    <w:rsid w:val="00162BDD"/>
    <w:rsid w:val="00162D4E"/>
    <w:rsid w:val="00163329"/>
    <w:rsid w:val="00164366"/>
    <w:rsid w:val="00164623"/>
    <w:rsid w:val="00165291"/>
    <w:rsid w:val="001652DE"/>
    <w:rsid w:val="001653EC"/>
    <w:rsid w:val="001654F0"/>
    <w:rsid w:val="00165B64"/>
    <w:rsid w:val="001661F3"/>
    <w:rsid w:val="00167A6C"/>
    <w:rsid w:val="00167C39"/>
    <w:rsid w:val="0017078A"/>
    <w:rsid w:val="00170C4D"/>
    <w:rsid w:val="00170E61"/>
    <w:rsid w:val="00170EBE"/>
    <w:rsid w:val="00171DED"/>
    <w:rsid w:val="0017240A"/>
    <w:rsid w:val="00174EB8"/>
    <w:rsid w:val="001756CB"/>
    <w:rsid w:val="00175A62"/>
    <w:rsid w:val="00175EE8"/>
    <w:rsid w:val="00176B9D"/>
    <w:rsid w:val="00176F98"/>
    <w:rsid w:val="00177688"/>
    <w:rsid w:val="001802CF"/>
    <w:rsid w:val="00180713"/>
    <w:rsid w:val="00180720"/>
    <w:rsid w:val="00182048"/>
    <w:rsid w:val="00182349"/>
    <w:rsid w:val="00182D0D"/>
    <w:rsid w:val="001830CE"/>
    <w:rsid w:val="001836E3"/>
    <w:rsid w:val="00184551"/>
    <w:rsid w:val="00184628"/>
    <w:rsid w:val="00184659"/>
    <w:rsid w:val="001860E5"/>
    <w:rsid w:val="0018643B"/>
    <w:rsid w:val="001870BB"/>
    <w:rsid w:val="0019120F"/>
    <w:rsid w:val="00193040"/>
    <w:rsid w:val="00193E3B"/>
    <w:rsid w:val="001940E5"/>
    <w:rsid w:val="00195839"/>
    <w:rsid w:val="00195A1F"/>
    <w:rsid w:val="00195E05"/>
    <w:rsid w:val="00196307"/>
    <w:rsid w:val="001966B2"/>
    <w:rsid w:val="00197605"/>
    <w:rsid w:val="00197C70"/>
    <w:rsid w:val="00197F03"/>
    <w:rsid w:val="001A01B3"/>
    <w:rsid w:val="001A0B69"/>
    <w:rsid w:val="001A0D10"/>
    <w:rsid w:val="001A0DBF"/>
    <w:rsid w:val="001A0FDC"/>
    <w:rsid w:val="001A1D17"/>
    <w:rsid w:val="001A33EA"/>
    <w:rsid w:val="001A3615"/>
    <w:rsid w:val="001A3901"/>
    <w:rsid w:val="001A4413"/>
    <w:rsid w:val="001A4529"/>
    <w:rsid w:val="001A4C4F"/>
    <w:rsid w:val="001A4DD3"/>
    <w:rsid w:val="001A5079"/>
    <w:rsid w:val="001A5A2B"/>
    <w:rsid w:val="001A76FB"/>
    <w:rsid w:val="001B017F"/>
    <w:rsid w:val="001B0B79"/>
    <w:rsid w:val="001B19EA"/>
    <w:rsid w:val="001B19EB"/>
    <w:rsid w:val="001B2BBC"/>
    <w:rsid w:val="001B2BCD"/>
    <w:rsid w:val="001B3A40"/>
    <w:rsid w:val="001B3FFE"/>
    <w:rsid w:val="001B5129"/>
    <w:rsid w:val="001B6364"/>
    <w:rsid w:val="001B643E"/>
    <w:rsid w:val="001C032F"/>
    <w:rsid w:val="001C0B4C"/>
    <w:rsid w:val="001C0CC7"/>
    <w:rsid w:val="001C0EC4"/>
    <w:rsid w:val="001C1195"/>
    <w:rsid w:val="001C12AE"/>
    <w:rsid w:val="001C1E84"/>
    <w:rsid w:val="001C20E1"/>
    <w:rsid w:val="001C2A0F"/>
    <w:rsid w:val="001C2E42"/>
    <w:rsid w:val="001C367D"/>
    <w:rsid w:val="001C38C0"/>
    <w:rsid w:val="001C498E"/>
    <w:rsid w:val="001C4A79"/>
    <w:rsid w:val="001C4CBD"/>
    <w:rsid w:val="001C52E0"/>
    <w:rsid w:val="001C57EB"/>
    <w:rsid w:val="001D052E"/>
    <w:rsid w:val="001D0E10"/>
    <w:rsid w:val="001D1F5F"/>
    <w:rsid w:val="001D20C3"/>
    <w:rsid w:val="001D2D5D"/>
    <w:rsid w:val="001D333B"/>
    <w:rsid w:val="001D595B"/>
    <w:rsid w:val="001D61F5"/>
    <w:rsid w:val="001D6261"/>
    <w:rsid w:val="001E06D2"/>
    <w:rsid w:val="001E17C4"/>
    <w:rsid w:val="001E1E72"/>
    <w:rsid w:val="001E2A47"/>
    <w:rsid w:val="001E2C02"/>
    <w:rsid w:val="001E2D65"/>
    <w:rsid w:val="001E2F23"/>
    <w:rsid w:val="001E56D5"/>
    <w:rsid w:val="001F005B"/>
    <w:rsid w:val="001F0266"/>
    <w:rsid w:val="001F0C9D"/>
    <w:rsid w:val="001F0F08"/>
    <w:rsid w:val="001F1850"/>
    <w:rsid w:val="001F1AD3"/>
    <w:rsid w:val="001F1FBF"/>
    <w:rsid w:val="001F2311"/>
    <w:rsid w:val="001F2B80"/>
    <w:rsid w:val="001F2BE6"/>
    <w:rsid w:val="001F2E1B"/>
    <w:rsid w:val="001F2F1C"/>
    <w:rsid w:val="001F3189"/>
    <w:rsid w:val="001F37CF"/>
    <w:rsid w:val="001F4E29"/>
    <w:rsid w:val="001F6BA0"/>
    <w:rsid w:val="001F6D67"/>
    <w:rsid w:val="0020061D"/>
    <w:rsid w:val="00200BEA"/>
    <w:rsid w:val="00201FB8"/>
    <w:rsid w:val="00203ED2"/>
    <w:rsid w:val="00203FAC"/>
    <w:rsid w:val="00204301"/>
    <w:rsid w:val="002046BC"/>
    <w:rsid w:val="00204EEA"/>
    <w:rsid w:val="0020561A"/>
    <w:rsid w:val="00205FCE"/>
    <w:rsid w:val="00206EBC"/>
    <w:rsid w:val="00207F99"/>
    <w:rsid w:val="00210E24"/>
    <w:rsid w:val="0021176C"/>
    <w:rsid w:val="002133FB"/>
    <w:rsid w:val="0021374A"/>
    <w:rsid w:val="00213CFB"/>
    <w:rsid w:val="0021494C"/>
    <w:rsid w:val="0021553C"/>
    <w:rsid w:val="0021557B"/>
    <w:rsid w:val="00216B87"/>
    <w:rsid w:val="00216FBC"/>
    <w:rsid w:val="00217335"/>
    <w:rsid w:val="002174FD"/>
    <w:rsid w:val="00217BE1"/>
    <w:rsid w:val="002206D5"/>
    <w:rsid w:val="00221361"/>
    <w:rsid w:val="002214B9"/>
    <w:rsid w:val="00222499"/>
    <w:rsid w:val="00222680"/>
    <w:rsid w:val="00222AEA"/>
    <w:rsid w:val="00223370"/>
    <w:rsid w:val="00223AC0"/>
    <w:rsid w:val="00223C4E"/>
    <w:rsid w:val="00224D1E"/>
    <w:rsid w:val="00226611"/>
    <w:rsid w:val="00226B72"/>
    <w:rsid w:val="00227BC5"/>
    <w:rsid w:val="00227F59"/>
    <w:rsid w:val="00230F63"/>
    <w:rsid w:val="00231273"/>
    <w:rsid w:val="00231989"/>
    <w:rsid w:val="00232CC3"/>
    <w:rsid w:val="002333A6"/>
    <w:rsid w:val="00234252"/>
    <w:rsid w:val="0023466E"/>
    <w:rsid w:val="00234990"/>
    <w:rsid w:val="00234B9B"/>
    <w:rsid w:val="00235F33"/>
    <w:rsid w:val="00236F18"/>
    <w:rsid w:val="00237AC6"/>
    <w:rsid w:val="00241668"/>
    <w:rsid w:val="00242AC6"/>
    <w:rsid w:val="00242B64"/>
    <w:rsid w:val="00242BFD"/>
    <w:rsid w:val="00244139"/>
    <w:rsid w:val="002441E6"/>
    <w:rsid w:val="00244490"/>
    <w:rsid w:val="00244A89"/>
    <w:rsid w:val="00244BEC"/>
    <w:rsid w:val="002453D8"/>
    <w:rsid w:val="00245444"/>
    <w:rsid w:val="00245B9C"/>
    <w:rsid w:val="0024740B"/>
    <w:rsid w:val="00250874"/>
    <w:rsid w:val="0025159C"/>
    <w:rsid w:val="00251B85"/>
    <w:rsid w:val="00251E0C"/>
    <w:rsid w:val="00252587"/>
    <w:rsid w:val="002526B4"/>
    <w:rsid w:val="002533DD"/>
    <w:rsid w:val="00253499"/>
    <w:rsid w:val="002537BD"/>
    <w:rsid w:val="00253BEE"/>
    <w:rsid w:val="00254C2E"/>
    <w:rsid w:val="002551A4"/>
    <w:rsid w:val="002572FE"/>
    <w:rsid w:val="00257664"/>
    <w:rsid w:val="00257D6F"/>
    <w:rsid w:val="00260165"/>
    <w:rsid w:val="00261BC4"/>
    <w:rsid w:val="002620DC"/>
    <w:rsid w:val="0026373F"/>
    <w:rsid w:val="00263C64"/>
    <w:rsid w:val="002644D9"/>
    <w:rsid w:val="00264CCA"/>
    <w:rsid w:val="00265151"/>
    <w:rsid w:val="00265C2C"/>
    <w:rsid w:val="00266509"/>
    <w:rsid w:val="002666F6"/>
    <w:rsid w:val="00267098"/>
    <w:rsid w:val="00271BA1"/>
    <w:rsid w:val="00272BEA"/>
    <w:rsid w:val="00272DE5"/>
    <w:rsid w:val="00272F1B"/>
    <w:rsid w:val="00273AC5"/>
    <w:rsid w:val="00273D42"/>
    <w:rsid w:val="002742E8"/>
    <w:rsid w:val="00275179"/>
    <w:rsid w:val="002762FA"/>
    <w:rsid w:val="00276BE3"/>
    <w:rsid w:val="00277505"/>
    <w:rsid w:val="00277873"/>
    <w:rsid w:val="00277C96"/>
    <w:rsid w:val="0028158C"/>
    <w:rsid w:val="00282046"/>
    <w:rsid w:val="002823B6"/>
    <w:rsid w:val="00282DDC"/>
    <w:rsid w:val="00284D54"/>
    <w:rsid w:val="00284D8A"/>
    <w:rsid w:val="0029011C"/>
    <w:rsid w:val="00290C03"/>
    <w:rsid w:val="00290D15"/>
    <w:rsid w:val="00291E3A"/>
    <w:rsid w:val="00292392"/>
    <w:rsid w:val="00292CA5"/>
    <w:rsid w:val="00292E3B"/>
    <w:rsid w:val="002933A8"/>
    <w:rsid w:val="00293CC2"/>
    <w:rsid w:val="00294274"/>
    <w:rsid w:val="0029458F"/>
    <w:rsid w:val="00295040"/>
    <w:rsid w:val="002950EF"/>
    <w:rsid w:val="002953AB"/>
    <w:rsid w:val="00295D04"/>
    <w:rsid w:val="00295D19"/>
    <w:rsid w:val="002960F3"/>
    <w:rsid w:val="0029642B"/>
    <w:rsid w:val="00297A63"/>
    <w:rsid w:val="002A018F"/>
    <w:rsid w:val="002A09E2"/>
    <w:rsid w:val="002A0E04"/>
    <w:rsid w:val="002A104C"/>
    <w:rsid w:val="002A1EF7"/>
    <w:rsid w:val="002A2B7B"/>
    <w:rsid w:val="002A494D"/>
    <w:rsid w:val="002A4960"/>
    <w:rsid w:val="002A5BAD"/>
    <w:rsid w:val="002A636A"/>
    <w:rsid w:val="002A6558"/>
    <w:rsid w:val="002A6CB3"/>
    <w:rsid w:val="002A755F"/>
    <w:rsid w:val="002A7D02"/>
    <w:rsid w:val="002B0462"/>
    <w:rsid w:val="002B0AE0"/>
    <w:rsid w:val="002B0B2B"/>
    <w:rsid w:val="002B1AE6"/>
    <w:rsid w:val="002B1D51"/>
    <w:rsid w:val="002B2829"/>
    <w:rsid w:val="002B2DE8"/>
    <w:rsid w:val="002B30F8"/>
    <w:rsid w:val="002B388A"/>
    <w:rsid w:val="002B3BFE"/>
    <w:rsid w:val="002B3C1A"/>
    <w:rsid w:val="002B4C2A"/>
    <w:rsid w:val="002B5351"/>
    <w:rsid w:val="002B5596"/>
    <w:rsid w:val="002B62F8"/>
    <w:rsid w:val="002B6882"/>
    <w:rsid w:val="002B6E3E"/>
    <w:rsid w:val="002B77D7"/>
    <w:rsid w:val="002C0763"/>
    <w:rsid w:val="002C0AC3"/>
    <w:rsid w:val="002C187D"/>
    <w:rsid w:val="002C1EE0"/>
    <w:rsid w:val="002C212F"/>
    <w:rsid w:val="002C2F35"/>
    <w:rsid w:val="002C3288"/>
    <w:rsid w:val="002C3545"/>
    <w:rsid w:val="002C372F"/>
    <w:rsid w:val="002C4082"/>
    <w:rsid w:val="002C51C3"/>
    <w:rsid w:val="002C54AD"/>
    <w:rsid w:val="002C5850"/>
    <w:rsid w:val="002C67BC"/>
    <w:rsid w:val="002C6975"/>
    <w:rsid w:val="002C6AA9"/>
    <w:rsid w:val="002C7485"/>
    <w:rsid w:val="002D0C87"/>
    <w:rsid w:val="002D0CA1"/>
    <w:rsid w:val="002D1E2D"/>
    <w:rsid w:val="002D2352"/>
    <w:rsid w:val="002D25CB"/>
    <w:rsid w:val="002D2641"/>
    <w:rsid w:val="002D283A"/>
    <w:rsid w:val="002D36BB"/>
    <w:rsid w:val="002D4543"/>
    <w:rsid w:val="002D6A07"/>
    <w:rsid w:val="002D715F"/>
    <w:rsid w:val="002D721C"/>
    <w:rsid w:val="002D7276"/>
    <w:rsid w:val="002E022A"/>
    <w:rsid w:val="002E284E"/>
    <w:rsid w:val="002E3048"/>
    <w:rsid w:val="002E3153"/>
    <w:rsid w:val="002E3911"/>
    <w:rsid w:val="002E3FD4"/>
    <w:rsid w:val="002E4A02"/>
    <w:rsid w:val="002E4A50"/>
    <w:rsid w:val="002E5292"/>
    <w:rsid w:val="002E594E"/>
    <w:rsid w:val="002E5B11"/>
    <w:rsid w:val="002E60AD"/>
    <w:rsid w:val="002E6756"/>
    <w:rsid w:val="002E6910"/>
    <w:rsid w:val="002E72CA"/>
    <w:rsid w:val="002E75DD"/>
    <w:rsid w:val="002E7736"/>
    <w:rsid w:val="002F01F6"/>
    <w:rsid w:val="002F110C"/>
    <w:rsid w:val="002F1437"/>
    <w:rsid w:val="002F1918"/>
    <w:rsid w:val="002F1D07"/>
    <w:rsid w:val="002F2151"/>
    <w:rsid w:val="002F2B87"/>
    <w:rsid w:val="002F2C22"/>
    <w:rsid w:val="002F3E8E"/>
    <w:rsid w:val="002F42C1"/>
    <w:rsid w:val="002F5C5B"/>
    <w:rsid w:val="002F600D"/>
    <w:rsid w:val="002F6966"/>
    <w:rsid w:val="002F6F0F"/>
    <w:rsid w:val="002F7E47"/>
    <w:rsid w:val="00300AD6"/>
    <w:rsid w:val="00300B1B"/>
    <w:rsid w:val="00300CE3"/>
    <w:rsid w:val="003019D0"/>
    <w:rsid w:val="003019DE"/>
    <w:rsid w:val="00301B44"/>
    <w:rsid w:val="003021F0"/>
    <w:rsid w:val="0030309B"/>
    <w:rsid w:val="0030311E"/>
    <w:rsid w:val="00303CFE"/>
    <w:rsid w:val="00305313"/>
    <w:rsid w:val="003061D5"/>
    <w:rsid w:val="003064AF"/>
    <w:rsid w:val="003069DA"/>
    <w:rsid w:val="0030746D"/>
    <w:rsid w:val="00307DC6"/>
    <w:rsid w:val="00310A8B"/>
    <w:rsid w:val="00310B68"/>
    <w:rsid w:val="00310D0D"/>
    <w:rsid w:val="00311097"/>
    <w:rsid w:val="003132CD"/>
    <w:rsid w:val="00314355"/>
    <w:rsid w:val="00315EE1"/>
    <w:rsid w:val="003160D2"/>
    <w:rsid w:val="00316A1C"/>
    <w:rsid w:val="00316BD5"/>
    <w:rsid w:val="00316EFF"/>
    <w:rsid w:val="003173FC"/>
    <w:rsid w:val="003175A0"/>
    <w:rsid w:val="00317C6C"/>
    <w:rsid w:val="00317CCD"/>
    <w:rsid w:val="00320360"/>
    <w:rsid w:val="00320B80"/>
    <w:rsid w:val="00320CD3"/>
    <w:rsid w:val="003215B6"/>
    <w:rsid w:val="003215FF"/>
    <w:rsid w:val="00322667"/>
    <w:rsid w:val="003231B6"/>
    <w:rsid w:val="00323535"/>
    <w:rsid w:val="00323912"/>
    <w:rsid w:val="00324E4A"/>
    <w:rsid w:val="003254DA"/>
    <w:rsid w:val="00325C01"/>
    <w:rsid w:val="0032607C"/>
    <w:rsid w:val="0032636C"/>
    <w:rsid w:val="00326484"/>
    <w:rsid w:val="00326E79"/>
    <w:rsid w:val="0032748A"/>
    <w:rsid w:val="00327FCC"/>
    <w:rsid w:val="003301B1"/>
    <w:rsid w:val="00330657"/>
    <w:rsid w:val="003309C8"/>
    <w:rsid w:val="00331189"/>
    <w:rsid w:val="003325D1"/>
    <w:rsid w:val="0033263D"/>
    <w:rsid w:val="00332BE6"/>
    <w:rsid w:val="00332DE6"/>
    <w:rsid w:val="00334B7A"/>
    <w:rsid w:val="00334E69"/>
    <w:rsid w:val="0033518A"/>
    <w:rsid w:val="00335535"/>
    <w:rsid w:val="003357AF"/>
    <w:rsid w:val="003358E7"/>
    <w:rsid w:val="003367EF"/>
    <w:rsid w:val="00340167"/>
    <w:rsid w:val="003403AE"/>
    <w:rsid w:val="003408D0"/>
    <w:rsid w:val="00341107"/>
    <w:rsid w:val="00341220"/>
    <w:rsid w:val="00341AE4"/>
    <w:rsid w:val="003425CA"/>
    <w:rsid w:val="00342854"/>
    <w:rsid w:val="00343F21"/>
    <w:rsid w:val="00343FB7"/>
    <w:rsid w:val="003440B0"/>
    <w:rsid w:val="0034657B"/>
    <w:rsid w:val="00346B46"/>
    <w:rsid w:val="00346B7D"/>
    <w:rsid w:val="00346EAC"/>
    <w:rsid w:val="003476EE"/>
    <w:rsid w:val="00347E16"/>
    <w:rsid w:val="003506B4"/>
    <w:rsid w:val="003514A9"/>
    <w:rsid w:val="003515E9"/>
    <w:rsid w:val="003518CB"/>
    <w:rsid w:val="00351DF8"/>
    <w:rsid w:val="003524A2"/>
    <w:rsid w:val="003525A8"/>
    <w:rsid w:val="00353602"/>
    <w:rsid w:val="003541DD"/>
    <w:rsid w:val="00356AF3"/>
    <w:rsid w:val="00356E5B"/>
    <w:rsid w:val="00360159"/>
    <w:rsid w:val="00360887"/>
    <w:rsid w:val="00361EE3"/>
    <w:rsid w:val="0036224C"/>
    <w:rsid w:val="0036249F"/>
    <w:rsid w:val="00363194"/>
    <w:rsid w:val="00364D7A"/>
    <w:rsid w:val="0036718C"/>
    <w:rsid w:val="00371246"/>
    <w:rsid w:val="00371DC6"/>
    <w:rsid w:val="00372B2E"/>
    <w:rsid w:val="00373502"/>
    <w:rsid w:val="003736C9"/>
    <w:rsid w:val="0037392A"/>
    <w:rsid w:val="003743C8"/>
    <w:rsid w:val="00380995"/>
    <w:rsid w:val="00381DA7"/>
    <w:rsid w:val="00382783"/>
    <w:rsid w:val="00383B77"/>
    <w:rsid w:val="0038415F"/>
    <w:rsid w:val="00384988"/>
    <w:rsid w:val="00385651"/>
    <w:rsid w:val="00385D94"/>
    <w:rsid w:val="00385EC6"/>
    <w:rsid w:val="003872CF"/>
    <w:rsid w:val="003874CB"/>
    <w:rsid w:val="003879B4"/>
    <w:rsid w:val="0039039C"/>
    <w:rsid w:val="003922B0"/>
    <w:rsid w:val="00393579"/>
    <w:rsid w:val="00396DAB"/>
    <w:rsid w:val="00396E08"/>
    <w:rsid w:val="003970DD"/>
    <w:rsid w:val="0039782C"/>
    <w:rsid w:val="00397F98"/>
    <w:rsid w:val="003A0289"/>
    <w:rsid w:val="003A13A6"/>
    <w:rsid w:val="003A1B0A"/>
    <w:rsid w:val="003A1D3A"/>
    <w:rsid w:val="003A2165"/>
    <w:rsid w:val="003A223E"/>
    <w:rsid w:val="003A223F"/>
    <w:rsid w:val="003A2C1A"/>
    <w:rsid w:val="003A3AF3"/>
    <w:rsid w:val="003A3FD4"/>
    <w:rsid w:val="003A4641"/>
    <w:rsid w:val="003A483B"/>
    <w:rsid w:val="003A4A03"/>
    <w:rsid w:val="003A511C"/>
    <w:rsid w:val="003A586A"/>
    <w:rsid w:val="003A5AB2"/>
    <w:rsid w:val="003A5B4A"/>
    <w:rsid w:val="003A5D95"/>
    <w:rsid w:val="003A61ED"/>
    <w:rsid w:val="003A64D9"/>
    <w:rsid w:val="003A6510"/>
    <w:rsid w:val="003A6DD8"/>
    <w:rsid w:val="003A74E2"/>
    <w:rsid w:val="003A7959"/>
    <w:rsid w:val="003B0D3A"/>
    <w:rsid w:val="003B2302"/>
    <w:rsid w:val="003B23C5"/>
    <w:rsid w:val="003B262E"/>
    <w:rsid w:val="003B2A75"/>
    <w:rsid w:val="003B3C95"/>
    <w:rsid w:val="003B4859"/>
    <w:rsid w:val="003B49B2"/>
    <w:rsid w:val="003B4EAA"/>
    <w:rsid w:val="003B6124"/>
    <w:rsid w:val="003B772B"/>
    <w:rsid w:val="003B7813"/>
    <w:rsid w:val="003B7960"/>
    <w:rsid w:val="003C02D1"/>
    <w:rsid w:val="003C0908"/>
    <w:rsid w:val="003C093A"/>
    <w:rsid w:val="003C18A8"/>
    <w:rsid w:val="003C1ECF"/>
    <w:rsid w:val="003C2AF4"/>
    <w:rsid w:val="003C2FB5"/>
    <w:rsid w:val="003C41BB"/>
    <w:rsid w:val="003C5CD8"/>
    <w:rsid w:val="003C60A6"/>
    <w:rsid w:val="003C6CB3"/>
    <w:rsid w:val="003C7856"/>
    <w:rsid w:val="003D055D"/>
    <w:rsid w:val="003D0BE1"/>
    <w:rsid w:val="003D0F53"/>
    <w:rsid w:val="003D151F"/>
    <w:rsid w:val="003D17C0"/>
    <w:rsid w:val="003D21CB"/>
    <w:rsid w:val="003D24C5"/>
    <w:rsid w:val="003D270F"/>
    <w:rsid w:val="003D431D"/>
    <w:rsid w:val="003D4594"/>
    <w:rsid w:val="003D4AC4"/>
    <w:rsid w:val="003D504E"/>
    <w:rsid w:val="003D5433"/>
    <w:rsid w:val="003D6271"/>
    <w:rsid w:val="003D63B7"/>
    <w:rsid w:val="003D646E"/>
    <w:rsid w:val="003D74C5"/>
    <w:rsid w:val="003D7E48"/>
    <w:rsid w:val="003E0027"/>
    <w:rsid w:val="003E0AB0"/>
    <w:rsid w:val="003E129F"/>
    <w:rsid w:val="003E222A"/>
    <w:rsid w:val="003E2F29"/>
    <w:rsid w:val="003E37E0"/>
    <w:rsid w:val="003E3A2B"/>
    <w:rsid w:val="003E41F9"/>
    <w:rsid w:val="003E4374"/>
    <w:rsid w:val="003E468B"/>
    <w:rsid w:val="003E5D98"/>
    <w:rsid w:val="003E5E0E"/>
    <w:rsid w:val="003E62BD"/>
    <w:rsid w:val="003E658D"/>
    <w:rsid w:val="003E7A38"/>
    <w:rsid w:val="003E7FC6"/>
    <w:rsid w:val="003F044F"/>
    <w:rsid w:val="003F0C3A"/>
    <w:rsid w:val="003F15F0"/>
    <w:rsid w:val="003F19F3"/>
    <w:rsid w:val="003F1CDD"/>
    <w:rsid w:val="003F2393"/>
    <w:rsid w:val="003F2A56"/>
    <w:rsid w:val="003F2AD9"/>
    <w:rsid w:val="003F3228"/>
    <w:rsid w:val="003F32AC"/>
    <w:rsid w:val="003F4EFA"/>
    <w:rsid w:val="003F57A9"/>
    <w:rsid w:val="003F5C8C"/>
    <w:rsid w:val="003F63CE"/>
    <w:rsid w:val="003F6F48"/>
    <w:rsid w:val="003F775A"/>
    <w:rsid w:val="003F7A6D"/>
    <w:rsid w:val="00400042"/>
    <w:rsid w:val="00400648"/>
    <w:rsid w:val="00400E55"/>
    <w:rsid w:val="0040128E"/>
    <w:rsid w:val="00401640"/>
    <w:rsid w:val="0040216B"/>
    <w:rsid w:val="00402458"/>
    <w:rsid w:val="00402B0E"/>
    <w:rsid w:val="004043E3"/>
    <w:rsid w:val="00404852"/>
    <w:rsid w:val="00404C6F"/>
    <w:rsid w:val="00404C7C"/>
    <w:rsid w:val="00404EBE"/>
    <w:rsid w:val="00405299"/>
    <w:rsid w:val="00405398"/>
    <w:rsid w:val="0040590E"/>
    <w:rsid w:val="00406DF9"/>
    <w:rsid w:val="00406F9A"/>
    <w:rsid w:val="004077E6"/>
    <w:rsid w:val="00407834"/>
    <w:rsid w:val="00407CC3"/>
    <w:rsid w:val="00407CC8"/>
    <w:rsid w:val="00407F4F"/>
    <w:rsid w:val="00410392"/>
    <w:rsid w:val="00411464"/>
    <w:rsid w:val="0041189C"/>
    <w:rsid w:val="00411D3A"/>
    <w:rsid w:val="00411E1C"/>
    <w:rsid w:val="00411E82"/>
    <w:rsid w:val="00412C77"/>
    <w:rsid w:val="00412DAA"/>
    <w:rsid w:val="00413F90"/>
    <w:rsid w:val="0041470E"/>
    <w:rsid w:val="00414F0C"/>
    <w:rsid w:val="00415772"/>
    <w:rsid w:val="00415969"/>
    <w:rsid w:val="00416CB8"/>
    <w:rsid w:val="00417703"/>
    <w:rsid w:val="00417720"/>
    <w:rsid w:val="0042019B"/>
    <w:rsid w:val="00420400"/>
    <w:rsid w:val="00420F25"/>
    <w:rsid w:val="004216EC"/>
    <w:rsid w:val="00421B74"/>
    <w:rsid w:val="00423286"/>
    <w:rsid w:val="00423E78"/>
    <w:rsid w:val="004252EC"/>
    <w:rsid w:val="004265C1"/>
    <w:rsid w:val="00427FC4"/>
    <w:rsid w:val="00430D39"/>
    <w:rsid w:val="00431AC0"/>
    <w:rsid w:val="004323D6"/>
    <w:rsid w:val="00432632"/>
    <w:rsid w:val="00432EBF"/>
    <w:rsid w:val="0043658F"/>
    <w:rsid w:val="00437080"/>
    <w:rsid w:val="0043759C"/>
    <w:rsid w:val="0043775A"/>
    <w:rsid w:val="00437C96"/>
    <w:rsid w:val="0044107D"/>
    <w:rsid w:val="004426E9"/>
    <w:rsid w:val="00442C91"/>
    <w:rsid w:val="004446AA"/>
    <w:rsid w:val="00444E9D"/>
    <w:rsid w:val="00445A06"/>
    <w:rsid w:val="0044657E"/>
    <w:rsid w:val="004465BD"/>
    <w:rsid w:val="00446938"/>
    <w:rsid w:val="00446DAB"/>
    <w:rsid w:val="004516DA"/>
    <w:rsid w:val="004523DB"/>
    <w:rsid w:val="0045275E"/>
    <w:rsid w:val="004528FA"/>
    <w:rsid w:val="00452A6C"/>
    <w:rsid w:val="004531CC"/>
    <w:rsid w:val="00455DB7"/>
    <w:rsid w:val="0045605A"/>
    <w:rsid w:val="0046009E"/>
    <w:rsid w:val="00461A44"/>
    <w:rsid w:val="00462294"/>
    <w:rsid w:val="004623AF"/>
    <w:rsid w:val="00462D26"/>
    <w:rsid w:val="0046368B"/>
    <w:rsid w:val="0046385A"/>
    <w:rsid w:val="00464039"/>
    <w:rsid w:val="004642A1"/>
    <w:rsid w:val="00464F7B"/>
    <w:rsid w:val="00465BE1"/>
    <w:rsid w:val="00466ADA"/>
    <w:rsid w:val="0046737B"/>
    <w:rsid w:val="00467DB0"/>
    <w:rsid w:val="004702BB"/>
    <w:rsid w:val="00471D00"/>
    <w:rsid w:val="00471DCB"/>
    <w:rsid w:val="0047211D"/>
    <w:rsid w:val="0047356D"/>
    <w:rsid w:val="0047443B"/>
    <w:rsid w:val="0047460A"/>
    <w:rsid w:val="0047494B"/>
    <w:rsid w:val="00474E8E"/>
    <w:rsid w:val="00476245"/>
    <w:rsid w:val="00476B4F"/>
    <w:rsid w:val="004773C4"/>
    <w:rsid w:val="00477467"/>
    <w:rsid w:val="00477A9B"/>
    <w:rsid w:val="00477CE0"/>
    <w:rsid w:val="004800E0"/>
    <w:rsid w:val="00480CFA"/>
    <w:rsid w:val="00482AE4"/>
    <w:rsid w:val="00483035"/>
    <w:rsid w:val="0048455A"/>
    <w:rsid w:val="00485940"/>
    <w:rsid w:val="00486C95"/>
    <w:rsid w:val="0048744A"/>
    <w:rsid w:val="004877C2"/>
    <w:rsid w:val="00487ABC"/>
    <w:rsid w:val="004904B9"/>
    <w:rsid w:val="00491EDC"/>
    <w:rsid w:val="00491F35"/>
    <w:rsid w:val="004928E1"/>
    <w:rsid w:val="00492D8D"/>
    <w:rsid w:val="00493054"/>
    <w:rsid w:val="0049389A"/>
    <w:rsid w:val="00493910"/>
    <w:rsid w:val="0049410C"/>
    <w:rsid w:val="00496662"/>
    <w:rsid w:val="004966F2"/>
    <w:rsid w:val="004977CD"/>
    <w:rsid w:val="00497F5C"/>
    <w:rsid w:val="004A107F"/>
    <w:rsid w:val="004A1431"/>
    <w:rsid w:val="004A1B64"/>
    <w:rsid w:val="004A2279"/>
    <w:rsid w:val="004A2484"/>
    <w:rsid w:val="004A276D"/>
    <w:rsid w:val="004A2D3E"/>
    <w:rsid w:val="004A352A"/>
    <w:rsid w:val="004A378E"/>
    <w:rsid w:val="004A4300"/>
    <w:rsid w:val="004A5850"/>
    <w:rsid w:val="004A59FB"/>
    <w:rsid w:val="004A5A4E"/>
    <w:rsid w:val="004A5A85"/>
    <w:rsid w:val="004A6A57"/>
    <w:rsid w:val="004A6CDC"/>
    <w:rsid w:val="004A71D1"/>
    <w:rsid w:val="004A7C5B"/>
    <w:rsid w:val="004B1653"/>
    <w:rsid w:val="004B1845"/>
    <w:rsid w:val="004B2149"/>
    <w:rsid w:val="004B2348"/>
    <w:rsid w:val="004B2530"/>
    <w:rsid w:val="004B2E01"/>
    <w:rsid w:val="004B2E98"/>
    <w:rsid w:val="004B3BBC"/>
    <w:rsid w:val="004B4BE9"/>
    <w:rsid w:val="004B5640"/>
    <w:rsid w:val="004B5885"/>
    <w:rsid w:val="004B5DAE"/>
    <w:rsid w:val="004B6084"/>
    <w:rsid w:val="004B64A4"/>
    <w:rsid w:val="004B653C"/>
    <w:rsid w:val="004B6B4C"/>
    <w:rsid w:val="004B749F"/>
    <w:rsid w:val="004B7539"/>
    <w:rsid w:val="004B7DEE"/>
    <w:rsid w:val="004BCF29"/>
    <w:rsid w:val="004C0206"/>
    <w:rsid w:val="004C03D0"/>
    <w:rsid w:val="004C09D6"/>
    <w:rsid w:val="004C183F"/>
    <w:rsid w:val="004C1972"/>
    <w:rsid w:val="004C1BD7"/>
    <w:rsid w:val="004C1BF2"/>
    <w:rsid w:val="004C239C"/>
    <w:rsid w:val="004C2987"/>
    <w:rsid w:val="004C2D4B"/>
    <w:rsid w:val="004C31FE"/>
    <w:rsid w:val="004C3FDC"/>
    <w:rsid w:val="004C524C"/>
    <w:rsid w:val="004C5EDD"/>
    <w:rsid w:val="004C5FFA"/>
    <w:rsid w:val="004C607D"/>
    <w:rsid w:val="004C691D"/>
    <w:rsid w:val="004C6C07"/>
    <w:rsid w:val="004C6CC1"/>
    <w:rsid w:val="004C7BC5"/>
    <w:rsid w:val="004C7E15"/>
    <w:rsid w:val="004C7EC6"/>
    <w:rsid w:val="004D1863"/>
    <w:rsid w:val="004D1D99"/>
    <w:rsid w:val="004D2CD1"/>
    <w:rsid w:val="004D365C"/>
    <w:rsid w:val="004D4778"/>
    <w:rsid w:val="004D4FF6"/>
    <w:rsid w:val="004D5ADD"/>
    <w:rsid w:val="004D5AE9"/>
    <w:rsid w:val="004D6008"/>
    <w:rsid w:val="004D7BA1"/>
    <w:rsid w:val="004E08E5"/>
    <w:rsid w:val="004E0CC3"/>
    <w:rsid w:val="004E0D91"/>
    <w:rsid w:val="004E2762"/>
    <w:rsid w:val="004E2E7B"/>
    <w:rsid w:val="004E31C6"/>
    <w:rsid w:val="004E3D0D"/>
    <w:rsid w:val="004E518B"/>
    <w:rsid w:val="004E56AE"/>
    <w:rsid w:val="004E5C71"/>
    <w:rsid w:val="004E5FE6"/>
    <w:rsid w:val="004E6633"/>
    <w:rsid w:val="004E692D"/>
    <w:rsid w:val="004E7230"/>
    <w:rsid w:val="004E7D87"/>
    <w:rsid w:val="004F0A00"/>
    <w:rsid w:val="004F2553"/>
    <w:rsid w:val="004F2847"/>
    <w:rsid w:val="004F2877"/>
    <w:rsid w:val="004F2DCA"/>
    <w:rsid w:val="004F306A"/>
    <w:rsid w:val="004F38F6"/>
    <w:rsid w:val="004F3CA1"/>
    <w:rsid w:val="004F583F"/>
    <w:rsid w:val="004F6381"/>
    <w:rsid w:val="004F7D5D"/>
    <w:rsid w:val="00501554"/>
    <w:rsid w:val="00502AFE"/>
    <w:rsid w:val="00502E64"/>
    <w:rsid w:val="00503AD7"/>
    <w:rsid w:val="00503C3C"/>
    <w:rsid w:val="00503C3D"/>
    <w:rsid w:val="00503E89"/>
    <w:rsid w:val="005043F0"/>
    <w:rsid w:val="00504D54"/>
    <w:rsid w:val="00504E0C"/>
    <w:rsid w:val="00504E13"/>
    <w:rsid w:val="005050EB"/>
    <w:rsid w:val="005051F0"/>
    <w:rsid w:val="00505ACA"/>
    <w:rsid w:val="00506188"/>
    <w:rsid w:val="005109D4"/>
    <w:rsid w:val="00510EA1"/>
    <w:rsid w:val="00511D8D"/>
    <w:rsid w:val="0051230A"/>
    <w:rsid w:val="0051236F"/>
    <w:rsid w:val="00512E54"/>
    <w:rsid w:val="00512F59"/>
    <w:rsid w:val="00514CD7"/>
    <w:rsid w:val="005167EC"/>
    <w:rsid w:val="005170DA"/>
    <w:rsid w:val="00520001"/>
    <w:rsid w:val="00520B2B"/>
    <w:rsid w:val="00520D6A"/>
    <w:rsid w:val="00520F6A"/>
    <w:rsid w:val="0052148E"/>
    <w:rsid w:val="00522DB6"/>
    <w:rsid w:val="00522F98"/>
    <w:rsid w:val="00523840"/>
    <w:rsid w:val="005245DC"/>
    <w:rsid w:val="00525457"/>
    <w:rsid w:val="00525C74"/>
    <w:rsid w:val="0052604B"/>
    <w:rsid w:val="005260B4"/>
    <w:rsid w:val="005264A7"/>
    <w:rsid w:val="0052671F"/>
    <w:rsid w:val="00526E05"/>
    <w:rsid w:val="0052792D"/>
    <w:rsid w:val="00527DBF"/>
    <w:rsid w:val="005300F6"/>
    <w:rsid w:val="005306FC"/>
    <w:rsid w:val="005319B2"/>
    <w:rsid w:val="00531A35"/>
    <w:rsid w:val="00532402"/>
    <w:rsid w:val="00532C74"/>
    <w:rsid w:val="0053319E"/>
    <w:rsid w:val="00533239"/>
    <w:rsid w:val="005332FA"/>
    <w:rsid w:val="00534E2E"/>
    <w:rsid w:val="00535101"/>
    <w:rsid w:val="00535133"/>
    <w:rsid w:val="00535787"/>
    <w:rsid w:val="00537702"/>
    <w:rsid w:val="0054064C"/>
    <w:rsid w:val="00541E54"/>
    <w:rsid w:val="005425CD"/>
    <w:rsid w:val="0054277D"/>
    <w:rsid w:val="00542A3E"/>
    <w:rsid w:val="00542BBA"/>
    <w:rsid w:val="0054421D"/>
    <w:rsid w:val="00544552"/>
    <w:rsid w:val="00545130"/>
    <w:rsid w:val="005452DA"/>
    <w:rsid w:val="005462DC"/>
    <w:rsid w:val="00546B36"/>
    <w:rsid w:val="00547048"/>
    <w:rsid w:val="00547C94"/>
    <w:rsid w:val="0055121F"/>
    <w:rsid w:val="005513DC"/>
    <w:rsid w:val="0055286A"/>
    <w:rsid w:val="00553189"/>
    <w:rsid w:val="00555745"/>
    <w:rsid w:val="00556B6C"/>
    <w:rsid w:val="00557D4F"/>
    <w:rsid w:val="00560110"/>
    <w:rsid w:val="00560E48"/>
    <w:rsid w:val="0056122E"/>
    <w:rsid w:val="00563134"/>
    <w:rsid w:val="00563145"/>
    <w:rsid w:val="00563352"/>
    <w:rsid w:val="00563A51"/>
    <w:rsid w:val="0056484E"/>
    <w:rsid w:val="00564DFE"/>
    <w:rsid w:val="00565999"/>
    <w:rsid w:val="00567D8A"/>
    <w:rsid w:val="00570231"/>
    <w:rsid w:val="005714B7"/>
    <w:rsid w:val="00571C19"/>
    <w:rsid w:val="0057364B"/>
    <w:rsid w:val="00574AD4"/>
    <w:rsid w:val="005750E9"/>
    <w:rsid w:val="0057592A"/>
    <w:rsid w:val="00575BBA"/>
    <w:rsid w:val="00575E99"/>
    <w:rsid w:val="005762A6"/>
    <w:rsid w:val="005764CD"/>
    <w:rsid w:val="0057703E"/>
    <w:rsid w:val="0057736E"/>
    <w:rsid w:val="0057749C"/>
    <w:rsid w:val="00577C4D"/>
    <w:rsid w:val="00580532"/>
    <w:rsid w:val="00580E49"/>
    <w:rsid w:val="005815BC"/>
    <w:rsid w:val="00581932"/>
    <w:rsid w:val="00583002"/>
    <w:rsid w:val="00583281"/>
    <w:rsid w:val="0058358E"/>
    <w:rsid w:val="005843E6"/>
    <w:rsid w:val="00584C28"/>
    <w:rsid w:val="00584E9A"/>
    <w:rsid w:val="00585244"/>
    <w:rsid w:val="005856E2"/>
    <w:rsid w:val="005858FD"/>
    <w:rsid w:val="0058647F"/>
    <w:rsid w:val="00587727"/>
    <w:rsid w:val="005903BB"/>
    <w:rsid w:val="005908BA"/>
    <w:rsid w:val="0059154B"/>
    <w:rsid w:val="0059207C"/>
    <w:rsid w:val="005921AC"/>
    <w:rsid w:val="00593893"/>
    <w:rsid w:val="00594262"/>
    <w:rsid w:val="005948D8"/>
    <w:rsid w:val="005953D8"/>
    <w:rsid w:val="005963BB"/>
    <w:rsid w:val="0059645C"/>
    <w:rsid w:val="0059649F"/>
    <w:rsid w:val="00596858"/>
    <w:rsid w:val="00596D37"/>
    <w:rsid w:val="005A0E2D"/>
    <w:rsid w:val="005A15D2"/>
    <w:rsid w:val="005A2CA7"/>
    <w:rsid w:val="005A3173"/>
    <w:rsid w:val="005A3223"/>
    <w:rsid w:val="005A369C"/>
    <w:rsid w:val="005A3DA3"/>
    <w:rsid w:val="005A4B2C"/>
    <w:rsid w:val="005A52C4"/>
    <w:rsid w:val="005A5A3B"/>
    <w:rsid w:val="005A63A1"/>
    <w:rsid w:val="005A7ACE"/>
    <w:rsid w:val="005A7BCE"/>
    <w:rsid w:val="005A7F51"/>
    <w:rsid w:val="005B0486"/>
    <w:rsid w:val="005B097F"/>
    <w:rsid w:val="005B1032"/>
    <w:rsid w:val="005B1473"/>
    <w:rsid w:val="005B1CA2"/>
    <w:rsid w:val="005B2549"/>
    <w:rsid w:val="005B3666"/>
    <w:rsid w:val="005B36FA"/>
    <w:rsid w:val="005B3DA1"/>
    <w:rsid w:val="005B4645"/>
    <w:rsid w:val="005B5CDC"/>
    <w:rsid w:val="005B6036"/>
    <w:rsid w:val="005B644D"/>
    <w:rsid w:val="005C13EF"/>
    <w:rsid w:val="005C2037"/>
    <w:rsid w:val="005C2512"/>
    <w:rsid w:val="005C25EA"/>
    <w:rsid w:val="005C34A2"/>
    <w:rsid w:val="005C40E1"/>
    <w:rsid w:val="005C4F73"/>
    <w:rsid w:val="005C5E0F"/>
    <w:rsid w:val="005D03A9"/>
    <w:rsid w:val="005D03AB"/>
    <w:rsid w:val="005D1CD8"/>
    <w:rsid w:val="005D3ADE"/>
    <w:rsid w:val="005D3FE7"/>
    <w:rsid w:val="005D401D"/>
    <w:rsid w:val="005D483D"/>
    <w:rsid w:val="005D5017"/>
    <w:rsid w:val="005D5708"/>
    <w:rsid w:val="005D63FA"/>
    <w:rsid w:val="005D643D"/>
    <w:rsid w:val="005D6EEB"/>
    <w:rsid w:val="005D73C7"/>
    <w:rsid w:val="005E0050"/>
    <w:rsid w:val="005E060D"/>
    <w:rsid w:val="005E0C2D"/>
    <w:rsid w:val="005E0D82"/>
    <w:rsid w:val="005E0F59"/>
    <w:rsid w:val="005E1333"/>
    <w:rsid w:val="005E3136"/>
    <w:rsid w:val="005E335D"/>
    <w:rsid w:val="005E3B30"/>
    <w:rsid w:val="005E3CDA"/>
    <w:rsid w:val="005E45B9"/>
    <w:rsid w:val="005E4789"/>
    <w:rsid w:val="005E48D9"/>
    <w:rsid w:val="005E497F"/>
    <w:rsid w:val="005E507D"/>
    <w:rsid w:val="005E72DA"/>
    <w:rsid w:val="005E7303"/>
    <w:rsid w:val="005E7820"/>
    <w:rsid w:val="005E7FD5"/>
    <w:rsid w:val="005F035D"/>
    <w:rsid w:val="005F0AD0"/>
    <w:rsid w:val="005F0C3F"/>
    <w:rsid w:val="005F27F1"/>
    <w:rsid w:val="005F2CCD"/>
    <w:rsid w:val="005F2E90"/>
    <w:rsid w:val="005F3BC8"/>
    <w:rsid w:val="005F6075"/>
    <w:rsid w:val="00600337"/>
    <w:rsid w:val="00600A18"/>
    <w:rsid w:val="00601213"/>
    <w:rsid w:val="00601841"/>
    <w:rsid w:val="00601A91"/>
    <w:rsid w:val="00601EC7"/>
    <w:rsid w:val="00602063"/>
    <w:rsid w:val="0060248F"/>
    <w:rsid w:val="0060288E"/>
    <w:rsid w:val="00602BA3"/>
    <w:rsid w:val="006039B8"/>
    <w:rsid w:val="00603C1B"/>
    <w:rsid w:val="00604ACA"/>
    <w:rsid w:val="00605795"/>
    <w:rsid w:val="00605B63"/>
    <w:rsid w:val="00605F9A"/>
    <w:rsid w:val="006061E9"/>
    <w:rsid w:val="00606442"/>
    <w:rsid w:val="00606A7B"/>
    <w:rsid w:val="00606EED"/>
    <w:rsid w:val="00607DDB"/>
    <w:rsid w:val="00611453"/>
    <w:rsid w:val="00612A95"/>
    <w:rsid w:val="00612C07"/>
    <w:rsid w:val="00612E34"/>
    <w:rsid w:val="00614074"/>
    <w:rsid w:val="00614159"/>
    <w:rsid w:val="00614BD8"/>
    <w:rsid w:val="00614F85"/>
    <w:rsid w:val="006151B0"/>
    <w:rsid w:val="0061561A"/>
    <w:rsid w:val="006158A3"/>
    <w:rsid w:val="00615C51"/>
    <w:rsid w:val="006166F9"/>
    <w:rsid w:val="006169F6"/>
    <w:rsid w:val="00616ACF"/>
    <w:rsid w:val="00616C5F"/>
    <w:rsid w:val="00616DAC"/>
    <w:rsid w:val="006176F0"/>
    <w:rsid w:val="00617725"/>
    <w:rsid w:val="00617C00"/>
    <w:rsid w:val="00617C2E"/>
    <w:rsid w:val="00620DD8"/>
    <w:rsid w:val="00621AAE"/>
    <w:rsid w:val="0062316F"/>
    <w:rsid w:val="006239B4"/>
    <w:rsid w:val="006243EA"/>
    <w:rsid w:val="00624574"/>
    <w:rsid w:val="006247A4"/>
    <w:rsid w:val="006256B9"/>
    <w:rsid w:val="006263BF"/>
    <w:rsid w:val="00626836"/>
    <w:rsid w:val="0062748A"/>
    <w:rsid w:val="00630546"/>
    <w:rsid w:val="00630A2C"/>
    <w:rsid w:val="00631DC6"/>
    <w:rsid w:val="00632180"/>
    <w:rsid w:val="006321EA"/>
    <w:rsid w:val="00632B39"/>
    <w:rsid w:val="0063320B"/>
    <w:rsid w:val="00633289"/>
    <w:rsid w:val="0063474A"/>
    <w:rsid w:val="00634A75"/>
    <w:rsid w:val="00634FD6"/>
    <w:rsid w:val="006359D7"/>
    <w:rsid w:val="0063682E"/>
    <w:rsid w:val="00636CB6"/>
    <w:rsid w:val="00636D93"/>
    <w:rsid w:val="00637376"/>
    <w:rsid w:val="00637E24"/>
    <w:rsid w:val="00640088"/>
    <w:rsid w:val="006408B2"/>
    <w:rsid w:val="00640D16"/>
    <w:rsid w:val="00641F9A"/>
    <w:rsid w:val="00642672"/>
    <w:rsid w:val="00642DA8"/>
    <w:rsid w:val="006434BE"/>
    <w:rsid w:val="006436CD"/>
    <w:rsid w:val="00643C5B"/>
    <w:rsid w:val="00644386"/>
    <w:rsid w:val="00645773"/>
    <w:rsid w:val="00647B54"/>
    <w:rsid w:val="00650976"/>
    <w:rsid w:val="00651169"/>
    <w:rsid w:val="00651335"/>
    <w:rsid w:val="00652265"/>
    <w:rsid w:val="006525CC"/>
    <w:rsid w:val="00652D44"/>
    <w:rsid w:val="00653D69"/>
    <w:rsid w:val="006552E6"/>
    <w:rsid w:val="00655794"/>
    <w:rsid w:val="00656F2F"/>
    <w:rsid w:val="00657C63"/>
    <w:rsid w:val="006602B1"/>
    <w:rsid w:val="006611D5"/>
    <w:rsid w:val="00661BE5"/>
    <w:rsid w:val="00661CBC"/>
    <w:rsid w:val="00662181"/>
    <w:rsid w:val="006626D5"/>
    <w:rsid w:val="00662B85"/>
    <w:rsid w:val="00663EE9"/>
    <w:rsid w:val="00664987"/>
    <w:rsid w:val="006655E5"/>
    <w:rsid w:val="006657D8"/>
    <w:rsid w:val="006670B3"/>
    <w:rsid w:val="006670BE"/>
    <w:rsid w:val="00667591"/>
    <w:rsid w:val="00670A76"/>
    <w:rsid w:val="006711AA"/>
    <w:rsid w:val="00671606"/>
    <w:rsid w:val="00672409"/>
    <w:rsid w:val="0067299B"/>
    <w:rsid w:val="00672B57"/>
    <w:rsid w:val="00673452"/>
    <w:rsid w:val="00673AFB"/>
    <w:rsid w:val="00673F1F"/>
    <w:rsid w:val="00673FB5"/>
    <w:rsid w:val="00675622"/>
    <w:rsid w:val="00675DEB"/>
    <w:rsid w:val="00676556"/>
    <w:rsid w:val="00676D1A"/>
    <w:rsid w:val="0067747D"/>
    <w:rsid w:val="00677E22"/>
    <w:rsid w:val="006809A2"/>
    <w:rsid w:val="006818D5"/>
    <w:rsid w:val="00681CA4"/>
    <w:rsid w:val="00682651"/>
    <w:rsid w:val="00683BB4"/>
    <w:rsid w:val="00683F8E"/>
    <w:rsid w:val="0068564B"/>
    <w:rsid w:val="00686559"/>
    <w:rsid w:val="006870BA"/>
    <w:rsid w:val="0069039D"/>
    <w:rsid w:val="006906DB"/>
    <w:rsid w:val="00691900"/>
    <w:rsid w:val="00691A2C"/>
    <w:rsid w:val="00691C78"/>
    <w:rsid w:val="00691E6C"/>
    <w:rsid w:val="00692DAF"/>
    <w:rsid w:val="00693425"/>
    <w:rsid w:val="0069342D"/>
    <w:rsid w:val="00693720"/>
    <w:rsid w:val="00693DFB"/>
    <w:rsid w:val="00693EA0"/>
    <w:rsid w:val="00694D8A"/>
    <w:rsid w:val="00694FD5"/>
    <w:rsid w:val="0069501D"/>
    <w:rsid w:val="006953D1"/>
    <w:rsid w:val="00695EBD"/>
    <w:rsid w:val="00696129"/>
    <w:rsid w:val="00696F04"/>
    <w:rsid w:val="00696FE1"/>
    <w:rsid w:val="00697C57"/>
    <w:rsid w:val="00697CF2"/>
    <w:rsid w:val="00697D8E"/>
    <w:rsid w:val="00697F0B"/>
    <w:rsid w:val="006A055A"/>
    <w:rsid w:val="006A0AC7"/>
    <w:rsid w:val="006A0F6F"/>
    <w:rsid w:val="006A12A5"/>
    <w:rsid w:val="006A1BBF"/>
    <w:rsid w:val="006A2515"/>
    <w:rsid w:val="006A2928"/>
    <w:rsid w:val="006A2CC5"/>
    <w:rsid w:val="006A3559"/>
    <w:rsid w:val="006A3564"/>
    <w:rsid w:val="006A3E35"/>
    <w:rsid w:val="006A40B5"/>
    <w:rsid w:val="006A572D"/>
    <w:rsid w:val="006A5E20"/>
    <w:rsid w:val="006A65B1"/>
    <w:rsid w:val="006A678D"/>
    <w:rsid w:val="006A687B"/>
    <w:rsid w:val="006A7287"/>
    <w:rsid w:val="006A7BCC"/>
    <w:rsid w:val="006B0D94"/>
    <w:rsid w:val="006B16B6"/>
    <w:rsid w:val="006B485D"/>
    <w:rsid w:val="006B4BE2"/>
    <w:rsid w:val="006B5047"/>
    <w:rsid w:val="006B6639"/>
    <w:rsid w:val="006B7DDA"/>
    <w:rsid w:val="006B7F9B"/>
    <w:rsid w:val="006C032D"/>
    <w:rsid w:val="006C0927"/>
    <w:rsid w:val="006C0C45"/>
    <w:rsid w:val="006C22E0"/>
    <w:rsid w:val="006C2806"/>
    <w:rsid w:val="006C3052"/>
    <w:rsid w:val="006C334C"/>
    <w:rsid w:val="006C380E"/>
    <w:rsid w:val="006C38FD"/>
    <w:rsid w:val="006C5F92"/>
    <w:rsid w:val="006C6627"/>
    <w:rsid w:val="006C6C10"/>
    <w:rsid w:val="006C708E"/>
    <w:rsid w:val="006C77B0"/>
    <w:rsid w:val="006D01BA"/>
    <w:rsid w:val="006D14E7"/>
    <w:rsid w:val="006D1AFF"/>
    <w:rsid w:val="006D3CEC"/>
    <w:rsid w:val="006D401B"/>
    <w:rsid w:val="006D4444"/>
    <w:rsid w:val="006D48FC"/>
    <w:rsid w:val="006D4B7B"/>
    <w:rsid w:val="006D57E9"/>
    <w:rsid w:val="006D5E23"/>
    <w:rsid w:val="006D63C3"/>
    <w:rsid w:val="006D6493"/>
    <w:rsid w:val="006D6EC7"/>
    <w:rsid w:val="006D70F5"/>
    <w:rsid w:val="006D72CF"/>
    <w:rsid w:val="006D7341"/>
    <w:rsid w:val="006D7B05"/>
    <w:rsid w:val="006D7E45"/>
    <w:rsid w:val="006E07E8"/>
    <w:rsid w:val="006E1143"/>
    <w:rsid w:val="006E124F"/>
    <w:rsid w:val="006E1BCD"/>
    <w:rsid w:val="006E271E"/>
    <w:rsid w:val="006E2732"/>
    <w:rsid w:val="006E59CD"/>
    <w:rsid w:val="006E5C4D"/>
    <w:rsid w:val="006E6EA1"/>
    <w:rsid w:val="006E71A1"/>
    <w:rsid w:val="006F00ED"/>
    <w:rsid w:val="006F026F"/>
    <w:rsid w:val="006F0A71"/>
    <w:rsid w:val="006F1571"/>
    <w:rsid w:val="006F1C6B"/>
    <w:rsid w:val="006F2D5F"/>
    <w:rsid w:val="006F2ECE"/>
    <w:rsid w:val="006F40C2"/>
    <w:rsid w:val="006F439C"/>
    <w:rsid w:val="006F5125"/>
    <w:rsid w:val="006F531B"/>
    <w:rsid w:val="006F6D41"/>
    <w:rsid w:val="006F733D"/>
    <w:rsid w:val="00700765"/>
    <w:rsid w:val="00700B8F"/>
    <w:rsid w:val="00702959"/>
    <w:rsid w:val="00702B6F"/>
    <w:rsid w:val="007030B4"/>
    <w:rsid w:val="00703B86"/>
    <w:rsid w:val="00704069"/>
    <w:rsid w:val="00706A2F"/>
    <w:rsid w:val="0070718E"/>
    <w:rsid w:val="0070761D"/>
    <w:rsid w:val="00707743"/>
    <w:rsid w:val="00707E52"/>
    <w:rsid w:val="00710259"/>
    <w:rsid w:val="0071031F"/>
    <w:rsid w:val="00710737"/>
    <w:rsid w:val="0071098E"/>
    <w:rsid w:val="0071340B"/>
    <w:rsid w:val="00713C50"/>
    <w:rsid w:val="00713F94"/>
    <w:rsid w:val="00713FF9"/>
    <w:rsid w:val="0071436D"/>
    <w:rsid w:val="0071508D"/>
    <w:rsid w:val="00715BBB"/>
    <w:rsid w:val="007174BB"/>
    <w:rsid w:val="0072025D"/>
    <w:rsid w:val="00720561"/>
    <w:rsid w:val="00720AEA"/>
    <w:rsid w:val="00720D74"/>
    <w:rsid w:val="00723328"/>
    <w:rsid w:val="007237DE"/>
    <w:rsid w:val="0072502E"/>
    <w:rsid w:val="00725D33"/>
    <w:rsid w:val="00725DBF"/>
    <w:rsid w:val="00725DEE"/>
    <w:rsid w:val="00727272"/>
    <w:rsid w:val="00730BAF"/>
    <w:rsid w:val="0073137C"/>
    <w:rsid w:val="007333FB"/>
    <w:rsid w:val="007337F1"/>
    <w:rsid w:val="007338F3"/>
    <w:rsid w:val="007340B9"/>
    <w:rsid w:val="007353D3"/>
    <w:rsid w:val="00735A29"/>
    <w:rsid w:val="0073736F"/>
    <w:rsid w:val="0074156B"/>
    <w:rsid w:val="00741619"/>
    <w:rsid w:val="00741679"/>
    <w:rsid w:val="00742885"/>
    <w:rsid w:val="00742D4D"/>
    <w:rsid w:val="00742D6A"/>
    <w:rsid w:val="00743AC6"/>
    <w:rsid w:val="00745F01"/>
    <w:rsid w:val="00747092"/>
    <w:rsid w:val="007477FF"/>
    <w:rsid w:val="007502DE"/>
    <w:rsid w:val="0075081F"/>
    <w:rsid w:val="0075143B"/>
    <w:rsid w:val="007526E6"/>
    <w:rsid w:val="00752A86"/>
    <w:rsid w:val="00753A51"/>
    <w:rsid w:val="00754141"/>
    <w:rsid w:val="00754C18"/>
    <w:rsid w:val="00754DF9"/>
    <w:rsid w:val="007555E8"/>
    <w:rsid w:val="00755CC5"/>
    <w:rsid w:val="00757CB2"/>
    <w:rsid w:val="007604D2"/>
    <w:rsid w:val="0076051B"/>
    <w:rsid w:val="007615DF"/>
    <w:rsid w:val="00762862"/>
    <w:rsid w:val="00762CAF"/>
    <w:rsid w:val="00764097"/>
    <w:rsid w:val="0076420C"/>
    <w:rsid w:val="00764257"/>
    <w:rsid w:val="00764567"/>
    <w:rsid w:val="00765843"/>
    <w:rsid w:val="00766C73"/>
    <w:rsid w:val="0076707C"/>
    <w:rsid w:val="00767F27"/>
    <w:rsid w:val="00771D07"/>
    <w:rsid w:val="00772649"/>
    <w:rsid w:val="007727F1"/>
    <w:rsid w:val="00772F5D"/>
    <w:rsid w:val="00773BE3"/>
    <w:rsid w:val="00773CFA"/>
    <w:rsid w:val="007740D0"/>
    <w:rsid w:val="007743DD"/>
    <w:rsid w:val="00774CA1"/>
    <w:rsid w:val="00774E2C"/>
    <w:rsid w:val="0077503C"/>
    <w:rsid w:val="0077518D"/>
    <w:rsid w:val="007753C2"/>
    <w:rsid w:val="00776068"/>
    <w:rsid w:val="007771A0"/>
    <w:rsid w:val="00781C59"/>
    <w:rsid w:val="007821C4"/>
    <w:rsid w:val="007838B8"/>
    <w:rsid w:val="00783CA2"/>
    <w:rsid w:val="00785779"/>
    <w:rsid w:val="00785A20"/>
    <w:rsid w:val="00787097"/>
    <w:rsid w:val="00787FD8"/>
    <w:rsid w:val="007908C1"/>
    <w:rsid w:val="0079151D"/>
    <w:rsid w:val="007915BA"/>
    <w:rsid w:val="0079179C"/>
    <w:rsid w:val="00791844"/>
    <w:rsid w:val="00791A7F"/>
    <w:rsid w:val="0079201D"/>
    <w:rsid w:val="0079250E"/>
    <w:rsid w:val="00793CE9"/>
    <w:rsid w:val="00795150"/>
    <w:rsid w:val="007964B4"/>
    <w:rsid w:val="00796667"/>
    <w:rsid w:val="00797068"/>
    <w:rsid w:val="007979BD"/>
    <w:rsid w:val="007A07F6"/>
    <w:rsid w:val="007A0A2A"/>
    <w:rsid w:val="007A19B1"/>
    <w:rsid w:val="007A3D8E"/>
    <w:rsid w:val="007A3F2D"/>
    <w:rsid w:val="007A4CD6"/>
    <w:rsid w:val="007A5C88"/>
    <w:rsid w:val="007A6A2F"/>
    <w:rsid w:val="007B024E"/>
    <w:rsid w:val="007B033F"/>
    <w:rsid w:val="007B06BB"/>
    <w:rsid w:val="007B27BE"/>
    <w:rsid w:val="007B3B46"/>
    <w:rsid w:val="007B3BAF"/>
    <w:rsid w:val="007B3DDC"/>
    <w:rsid w:val="007B3E2D"/>
    <w:rsid w:val="007B51E6"/>
    <w:rsid w:val="007B5F02"/>
    <w:rsid w:val="007B72A6"/>
    <w:rsid w:val="007C06D2"/>
    <w:rsid w:val="007C08E0"/>
    <w:rsid w:val="007C0F57"/>
    <w:rsid w:val="007C2F4B"/>
    <w:rsid w:val="007C40B6"/>
    <w:rsid w:val="007C431E"/>
    <w:rsid w:val="007C5975"/>
    <w:rsid w:val="007C650B"/>
    <w:rsid w:val="007C6C8A"/>
    <w:rsid w:val="007C729F"/>
    <w:rsid w:val="007C72AD"/>
    <w:rsid w:val="007D1A6F"/>
    <w:rsid w:val="007D46A5"/>
    <w:rsid w:val="007D503D"/>
    <w:rsid w:val="007D562F"/>
    <w:rsid w:val="007D59E7"/>
    <w:rsid w:val="007D5F2A"/>
    <w:rsid w:val="007E023A"/>
    <w:rsid w:val="007E0506"/>
    <w:rsid w:val="007E07AC"/>
    <w:rsid w:val="007E1014"/>
    <w:rsid w:val="007E12F8"/>
    <w:rsid w:val="007E14EB"/>
    <w:rsid w:val="007E1673"/>
    <w:rsid w:val="007E1D28"/>
    <w:rsid w:val="007E1F3F"/>
    <w:rsid w:val="007E2E1A"/>
    <w:rsid w:val="007E42B2"/>
    <w:rsid w:val="007E4564"/>
    <w:rsid w:val="007E490F"/>
    <w:rsid w:val="007E6533"/>
    <w:rsid w:val="007E6AD2"/>
    <w:rsid w:val="007E6DAF"/>
    <w:rsid w:val="007F0021"/>
    <w:rsid w:val="007F083C"/>
    <w:rsid w:val="007F0862"/>
    <w:rsid w:val="007F1007"/>
    <w:rsid w:val="007F2641"/>
    <w:rsid w:val="007F58FA"/>
    <w:rsid w:val="007F5B3E"/>
    <w:rsid w:val="007F7C36"/>
    <w:rsid w:val="007F7F45"/>
    <w:rsid w:val="0080001F"/>
    <w:rsid w:val="008003DE"/>
    <w:rsid w:val="00800AC4"/>
    <w:rsid w:val="00801958"/>
    <w:rsid w:val="00801A2D"/>
    <w:rsid w:val="00802422"/>
    <w:rsid w:val="00803DB8"/>
    <w:rsid w:val="008055AF"/>
    <w:rsid w:val="008057CD"/>
    <w:rsid w:val="008066B8"/>
    <w:rsid w:val="00806796"/>
    <w:rsid w:val="00806839"/>
    <w:rsid w:val="00807A40"/>
    <w:rsid w:val="00810167"/>
    <w:rsid w:val="008104D0"/>
    <w:rsid w:val="00810544"/>
    <w:rsid w:val="00810CBA"/>
    <w:rsid w:val="00811736"/>
    <w:rsid w:val="00811CC0"/>
    <w:rsid w:val="0081218E"/>
    <w:rsid w:val="00813B7B"/>
    <w:rsid w:val="00814276"/>
    <w:rsid w:val="008145D2"/>
    <w:rsid w:val="008151D6"/>
    <w:rsid w:val="00815A67"/>
    <w:rsid w:val="00816322"/>
    <w:rsid w:val="008163B4"/>
    <w:rsid w:val="00817013"/>
    <w:rsid w:val="00817446"/>
    <w:rsid w:val="00817449"/>
    <w:rsid w:val="00820803"/>
    <w:rsid w:val="008211A2"/>
    <w:rsid w:val="00821527"/>
    <w:rsid w:val="00822162"/>
    <w:rsid w:val="008225CE"/>
    <w:rsid w:val="00822696"/>
    <w:rsid w:val="00825A6C"/>
    <w:rsid w:val="0082617E"/>
    <w:rsid w:val="008268BB"/>
    <w:rsid w:val="00826F6D"/>
    <w:rsid w:val="00827097"/>
    <w:rsid w:val="00827746"/>
    <w:rsid w:val="00827AEA"/>
    <w:rsid w:val="00827D22"/>
    <w:rsid w:val="008306F3"/>
    <w:rsid w:val="00830E40"/>
    <w:rsid w:val="00830F88"/>
    <w:rsid w:val="008310A4"/>
    <w:rsid w:val="00831B88"/>
    <w:rsid w:val="00832D9A"/>
    <w:rsid w:val="0083374C"/>
    <w:rsid w:val="008350A4"/>
    <w:rsid w:val="00835C62"/>
    <w:rsid w:val="008366B2"/>
    <w:rsid w:val="008368A1"/>
    <w:rsid w:val="00836E88"/>
    <w:rsid w:val="00837B7F"/>
    <w:rsid w:val="0084019A"/>
    <w:rsid w:val="00840DB1"/>
    <w:rsid w:val="00840EF7"/>
    <w:rsid w:val="00841BC6"/>
    <w:rsid w:val="00841EAA"/>
    <w:rsid w:val="00842D76"/>
    <w:rsid w:val="00842E25"/>
    <w:rsid w:val="00842EDE"/>
    <w:rsid w:val="00842F13"/>
    <w:rsid w:val="00844AA8"/>
    <w:rsid w:val="00844B66"/>
    <w:rsid w:val="00844C0A"/>
    <w:rsid w:val="00844D8B"/>
    <w:rsid w:val="00844E29"/>
    <w:rsid w:val="00846056"/>
    <w:rsid w:val="008461B1"/>
    <w:rsid w:val="0084681F"/>
    <w:rsid w:val="008476E6"/>
    <w:rsid w:val="00847D08"/>
    <w:rsid w:val="00847EC0"/>
    <w:rsid w:val="00850B93"/>
    <w:rsid w:val="008530E2"/>
    <w:rsid w:val="0085430F"/>
    <w:rsid w:val="00854416"/>
    <w:rsid w:val="00854506"/>
    <w:rsid w:val="00855FD6"/>
    <w:rsid w:val="00856C3A"/>
    <w:rsid w:val="00856DDD"/>
    <w:rsid w:val="008572CA"/>
    <w:rsid w:val="00857AA9"/>
    <w:rsid w:val="00860233"/>
    <w:rsid w:val="00861B9B"/>
    <w:rsid w:val="00861D0A"/>
    <w:rsid w:val="00862E33"/>
    <w:rsid w:val="008630F2"/>
    <w:rsid w:val="00863E68"/>
    <w:rsid w:val="008647B5"/>
    <w:rsid w:val="00864A11"/>
    <w:rsid w:val="00865027"/>
    <w:rsid w:val="00866F3A"/>
    <w:rsid w:val="00867D64"/>
    <w:rsid w:val="00867D85"/>
    <w:rsid w:val="00870559"/>
    <w:rsid w:val="0087091C"/>
    <w:rsid w:val="0087218B"/>
    <w:rsid w:val="0087276E"/>
    <w:rsid w:val="00872E8F"/>
    <w:rsid w:val="0087392C"/>
    <w:rsid w:val="00873C60"/>
    <w:rsid w:val="008749B1"/>
    <w:rsid w:val="00874AE6"/>
    <w:rsid w:val="00874E4B"/>
    <w:rsid w:val="00875DCB"/>
    <w:rsid w:val="008763DE"/>
    <w:rsid w:val="00876FBF"/>
    <w:rsid w:val="0087755A"/>
    <w:rsid w:val="00882085"/>
    <w:rsid w:val="00883188"/>
    <w:rsid w:val="00883B7D"/>
    <w:rsid w:val="008849D7"/>
    <w:rsid w:val="00884A0C"/>
    <w:rsid w:val="00886ACA"/>
    <w:rsid w:val="00886B01"/>
    <w:rsid w:val="00886D18"/>
    <w:rsid w:val="0088750B"/>
    <w:rsid w:val="008875FE"/>
    <w:rsid w:val="0088789D"/>
    <w:rsid w:val="00887EA8"/>
    <w:rsid w:val="0089031E"/>
    <w:rsid w:val="0089109A"/>
    <w:rsid w:val="00891505"/>
    <w:rsid w:val="008932D2"/>
    <w:rsid w:val="00893D5C"/>
    <w:rsid w:val="0089460B"/>
    <w:rsid w:val="0089481F"/>
    <w:rsid w:val="00894E84"/>
    <w:rsid w:val="00896570"/>
    <w:rsid w:val="00897D58"/>
    <w:rsid w:val="00897E24"/>
    <w:rsid w:val="00897F22"/>
    <w:rsid w:val="008A0B39"/>
    <w:rsid w:val="008A0CBE"/>
    <w:rsid w:val="008A17A3"/>
    <w:rsid w:val="008A1956"/>
    <w:rsid w:val="008A1E85"/>
    <w:rsid w:val="008A2419"/>
    <w:rsid w:val="008A2E3C"/>
    <w:rsid w:val="008A2E98"/>
    <w:rsid w:val="008A410F"/>
    <w:rsid w:val="008A4937"/>
    <w:rsid w:val="008A4AE8"/>
    <w:rsid w:val="008A4C25"/>
    <w:rsid w:val="008A50F1"/>
    <w:rsid w:val="008A59D9"/>
    <w:rsid w:val="008A643E"/>
    <w:rsid w:val="008A6819"/>
    <w:rsid w:val="008A7F9F"/>
    <w:rsid w:val="008B007A"/>
    <w:rsid w:val="008B0C61"/>
    <w:rsid w:val="008B184E"/>
    <w:rsid w:val="008B2749"/>
    <w:rsid w:val="008B297C"/>
    <w:rsid w:val="008B2EC0"/>
    <w:rsid w:val="008B453C"/>
    <w:rsid w:val="008B4D67"/>
    <w:rsid w:val="008B4F4C"/>
    <w:rsid w:val="008B5395"/>
    <w:rsid w:val="008B5D8A"/>
    <w:rsid w:val="008B6DCF"/>
    <w:rsid w:val="008B77C7"/>
    <w:rsid w:val="008B7838"/>
    <w:rsid w:val="008C0AD5"/>
    <w:rsid w:val="008C11BE"/>
    <w:rsid w:val="008C15B8"/>
    <w:rsid w:val="008C1A9D"/>
    <w:rsid w:val="008C4D49"/>
    <w:rsid w:val="008C51E5"/>
    <w:rsid w:val="008C578A"/>
    <w:rsid w:val="008C57C9"/>
    <w:rsid w:val="008C6B45"/>
    <w:rsid w:val="008D0531"/>
    <w:rsid w:val="008D0945"/>
    <w:rsid w:val="008D0C75"/>
    <w:rsid w:val="008D1409"/>
    <w:rsid w:val="008D15CC"/>
    <w:rsid w:val="008D1729"/>
    <w:rsid w:val="008D1B5C"/>
    <w:rsid w:val="008D2E83"/>
    <w:rsid w:val="008D3A43"/>
    <w:rsid w:val="008D3C7C"/>
    <w:rsid w:val="008D3C82"/>
    <w:rsid w:val="008D447E"/>
    <w:rsid w:val="008D6097"/>
    <w:rsid w:val="008D6ACF"/>
    <w:rsid w:val="008D7A41"/>
    <w:rsid w:val="008E039B"/>
    <w:rsid w:val="008E0992"/>
    <w:rsid w:val="008E2C72"/>
    <w:rsid w:val="008E3680"/>
    <w:rsid w:val="008E4EDA"/>
    <w:rsid w:val="008E4F87"/>
    <w:rsid w:val="008E5870"/>
    <w:rsid w:val="008E587B"/>
    <w:rsid w:val="008E59F7"/>
    <w:rsid w:val="008E67DF"/>
    <w:rsid w:val="008E74C1"/>
    <w:rsid w:val="008E77E4"/>
    <w:rsid w:val="008E7E58"/>
    <w:rsid w:val="008F0213"/>
    <w:rsid w:val="008F07ED"/>
    <w:rsid w:val="008F0AD2"/>
    <w:rsid w:val="008F11F8"/>
    <w:rsid w:val="008F1434"/>
    <w:rsid w:val="008F1720"/>
    <w:rsid w:val="008F2BB9"/>
    <w:rsid w:val="008F37D9"/>
    <w:rsid w:val="008F3D6A"/>
    <w:rsid w:val="008F3E2B"/>
    <w:rsid w:val="008F4012"/>
    <w:rsid w:val="008F5160"/>
    <w:rsid w:val="008F54C3"/>
    <w:rsid w:val="008F7355"/>
    <w:rsid w:val="008F7A6C"/>
    <w:rsid w:val="00900756"/>
    <w:rsid w:val="009009EB"/>
    <w:rsid w:val="0090177E"/>
    <w:rsid w:val="009023DC"/>
    <w:rsid w:val="009027C5"/>
    <w:rsid w:val="00904413"/>
    <w:rsid w:val="0090600A"/>
    <w:rsid w:val="009060B0"/>
    <w:rsid w:val="009067B7"/>
    <w:rsid w:val="00906D72"/>
    <w:rsid w:val="00906E7A"/>
    <w:rsid w:val="00906E7F"/>
    <w:rsid w:val="009075EC"/>
    <w:rsid w:val="0090775A"/>
    <w:rsid w:val="00907DFD"/>
    <w:rsid w:val="00911022"/>
    <w:rsid w:val="009124B9"/>
    <w:rsid w:val="0091293D"/>
    <w:rsid w:val="009129EE"/>
    <w:rsid w:val="00913C7B"/>
    <w:rsid w:val="00913C99"/>
    <w:rsid w:val="009143CB"/>
    <w:rsid w:val="00914AD8"/>
    <w:rsid w:val="009154BA"/>
    <w:rsid w:val="00915900"/>
    <w:rsid w:val="00916EFC"/>
    <w:rsid w:val="0091758D"/>
    <w:rsid w:val="00917D69"/>
    <w:rsid w:val="00920A03"/>
    <w:rsid w:val="00920B6D"/>
    <w:rsid w:val="00920C3A"/>
    <w:rsid w:val="00921091"/>
    <w:rsid w:val="009226EC"/>
    <w:rsid w:val="00922D50"/>
    <w:rsid w:val="00923573"/>
    <w:rsid w:val="0092549F"/>
    <w:rsid w:val="00926560"/>
    <w:rsid w:val="009265B7"/>
    <w:rsid w:val="00926AC4"/>
    <w:rsid w:val="00926B15"/>
    <w:rsid w:val="009271A5"/>
    <w:rsid w:val="00927424"/>
    <w:rsid w:val="00930291"/>
    <w:rsid w:val="00930937"/>
    <w:rsid w:val="00932361"/>
    <w:rsid w:val="009324A6"/>
    <w:rsid w:val="00933B7D"/>
    <w:rsid w:val="00933E6C"/>
    <w:rsid w:val="0093479F"/>
    <w:rsid w:val="00934ADA"/>
    <w:rsid w:val="00934CFC"/>
    <w:rsid w:val="00935180"/>
    <w:rsid w:val="00935A6E"/>
    <w:rsid w:val="00935C27"/>
    <w:rsid w:val="009367FC"/>
    <w:rsid w:val="00937958"/>
    <w:rsid w:val="00940354"/>
    <w:rsid w:val="009406E5"/>
    <w:rsid w:val="00941602"/>
    <w:rsid w:val="00942160"/>
    <w:rsid w:val="0094279F"/>
    <w:rsid w:val="009435F1"/>
    <w:rsid w:val="009438A0"/>
    <w:rsid w:val="009448AE"/>
    <w:rsid w:val="009448E6"/>
    <w:rsid w:val="009450E5"/>
    <w:rsid w:val="00946033"/>
    <w:rsid w:val="0094677A"/>
    <w:rsid w:val="00946921"/>
    <w:rsid w:val="009471EE"/>
    <w:rsid w:val="00947343"/>
    <w:rsid w:val="00951202"/>
    <w:rsid w:val="0095146F"/>
    <w:rsid w:val="009514B2"/>
    <w:rsid w:val="00951F2D"/>
    <w:rsid w:val="00952839"/>
    <w:rsid w:val="0095344C"/>
    <w:rsid w:val="009534C7"/>
    <w:rsid w:val="00953F9D"/>
    <w:rsid w:val="009553AA"/>
    <w:rsid w:val="00956496"/>
    <w:rsid w:val="009568F1"/>
    <w:rsid w:val="00957944"/>
    <w:rsid w:val="009602C5"/>
    <w:rsid w:val="00960444"/>
    <w:rsid w:val="009604F6"/>
    <w:rsid w:val="00960DB6"/>
    <w:rsid w:val="0096103A"/>
    <w:rsid w:val="00962088"/>
    <w:rsid w:val="00962223"/>
    <w:rsid w:val="0096227A"/>
    <w:rsid w:val="0096252B"/>
    <w:rsid w:val="009644D9"/>
    <w:rsid w:val="00964A9F"/>
    <w:rsid w:val="0096601C"/>
    <w:rsid w:val="0096674D"/>
    <w:rsid w:val="00966D0D"/>
    <w:rsid w:val="0096744E"/>
    <w:rsid w:val="00967732"/>
    <w:rsid w:val="0096783C"/>
    <w:rsid w:val="00970023"/>
    <w:rsid w:val="009722B3"/>
    <w:rsid w:val="00972B50"/>
    <w:rsid w:val="00973411"/>
    <w:rsid w:val="00973634"/>
    <w:rsid w:val="00973E24"/>
    <w:rsid w:val="00973F3A"/>
    <w:rsid w:val="00974C21"/>
    <w:rsid w:val="00974D5F"/>
    <w:rsid w:val="00975948"/>
    <w:rsid w:val="009763EB"/>
    <w:rsid w:val="00976DE6"/>
    <w:rsid w:val="009772FD"/>
    <w:rsid w:val="0097777C"/>
    <w:rsid w:val="00977BF3"/>
    <w:rsid w:val="009803E4"/>
    <w:rsid w:val="00980B0E"/>
    <w:rsid w:val="0098285B"/>
    <w:rsid w:val="00982B39"/>
    <w:rsid w:val="00983408"/>
    <w:rsid w:val="009836A3"/>
    <w:rsid w:val="0098419C"/>
    <w:rsid w:val="009841D9"/>
    <w:rsid w:val="00984A2C"/>
    <w:rsid w:val="00984C58"/>
    <w:rsid w:val="009855A8"/>
    <w:rsid w:val="00985CBE"/>
    <w:rsid w:val="00985D1A"/>
    <w:rsid w:val="009907D6"/>
    <w:rsid w:val="00990CF8"/>
    <w:rsid w:val="00990D86"/>
    <w:rsid w:val="009913F4"/>
    <w:rsid w:val="00991782"/>
    <w:rsid w:val="00991917"/>
    <w:rsid w:val="0099340A"/>
    <w:rsid w:val="00993597"/>
    <w:rsid w:val="009937F7"/>
    <w:rsid w:val="0099465B"/>
    <w:rsid w:val="00994C7A"/>
    <w:rsid w:val="009951A1"/>
    <w:rsid w:val="0099731F"/>
    <w:rsid w:val="009975F8"/>
    <w:rsid w:val="00997A44"/>
    <w:rsid w:val="009A0619"/>
    <w:rsid w:val="009A0772"/>
    <w:rsid w:val="009A0CDD"/>
    <w:rsid w:val="009A0E75"/>
    <w:rsid w:val="009A12E2"/>
    <w:rsid w:val="009A3168"/>
    <w:rsid w:val="009A39E9"/>
    <w:rsid w:val="009A4621"/>
    <w:rsid w:val="009A4BDF"/>
    <w:rsid w:val="009A5D04"/>
    <w:rsid w:val="009A61CA"/>
    <w:rsid w:val="009A6A9E"/>
    <w:rsid w:val="009B0062"/>
    <w:rsid w:val="009B018A"/>
    <w:rsid w:val="009B0C64"/>
    <w:rsid w:val="009B0F67"/>
    <w:rsid w:val="009B1B9F"/>
    <w:rsid w:val="009B208A"/>
    <w:rsid w:val="009B2756"/>
    <w:rsid w:val="009B3813"/>
    <w:rsid w:val="009B3D56"/>
    <w:rsid w:val="009B3F8C"/>
    <w:rsid w:val="009B4142"/>
    <w:rsid w:val="009B4E90"/>
    <w:rsid w:val="009B4E9B"/>
    <w:rsid w:val="009B533B"/>
    <w:rsid w:val="009B546B"/>
    <w:rsid w:val="009B6067"/>
    <w:rsid w:val="009B6490"/>
    <w:rsid w:val="009C0C92"/>
    <w:rsid w:val="009C24AD"/>
    <w:rsid w:val="009C26AA"/>
    <w:rsid w:val="009C3987"/>
    <w:rsid w:val="009C3EE6"/>
    <w:rsid w:val="009C46AA"/>
    <w:rsid w:val="009C4DE9"/>
    <w:rsid w:val="009C596D"/>
    <w:rsid w:val="009C6516"/>
    <w:rsid w:val="009C6A80"/>
    <w:rsid w:val="009C703C"/>
    <w:rsid w:val="009D0C29"/>
    <w:rsid w:val="009D0D3C"/>
    <w:rsid w:val="009D0DD4"/>
    <w:rsid w:val="009D1DF7"/>
    <w:rsid w:val="009D206E"/>
    <w:rsid w:val="009D2365"/>
    <w:rsid w:val="009D3882"/>
    <w:rsid w:val="009D3CAA"/>
    <w:rsid w:val="009D4AD1"/>
    <w:rsid w:val="009D507A"/>
    <w:rsid w:val="009D5D8F"/>
    <w:rsid w:val="009D6532"/>
    <w:rsid w:val="009D6ADC"/>
    <w:rsid w:val="009D71FD"/>
    <w:rsid w:val="009D7303"/>
    <w:rsid w:val="009D7E93"/>
    <w:rsid w:val="009E06F0"/>
    <w:rsid w:val="009E0755"/>
    <w:rsid w:val="009E0BCD"/>
    <w:rsid w:val="009E10AD"/>
    <w:rsid w:val="009E1514"/>
    <w:rsid w:val="009E162B"/>
    <w:rsid w:val="009E18F3"/>
    <w:rsid w:val="009E2275"/>
    <w:rsid w:val="009E2588"/>
    <w:rsid w:val="009E2827"/>
    <w:rsid w:val="009E2E8E"/>
    <w:rsid w:val="009E3526"/>
    <w:rsid w:val="009E390F"/>
    <w:rsid w:val="009E40E1"/>
    <w:rsid w:val="009E5DDF"/>
    <w:rsid w:val="009E7103"/>
    <w:rsid w:val="009F0BB5"/>
    <w:rsid w:val="009F0EFA"/>
    <w:rsid w:val="009F1EC6"/>
    <w:rsid w:val="009F2880"/>
    <w:rsid w:val="009F3357"/>
    <w:rsid w:val="009F37F8"/>
    <w:rsid w:val="009F3D69"/>
    <w:rsid w:val="009F48E1"/>
    <w:rsid w:val="009F4E46"/>
    <w:rsid w:val="009F52BA"/>
    <w:rsid w:val="009F5B65"/>
    <w:rsid w:val="009F5F2E"/>
    <w:rsid w:val="009F62C4"/>
    <w:rsid w:val="009F652F"/>
    <w:rsid w:val="009F778C"/>
    <w:rsid w:val="00A013E9"/>
    <w:rsid w:val="00A01432"/>
    <w:rsid w:val="00A0167A"/>
    <w:rsid w:val="00A01822"/>
    <w:rsid w:val="00A01980"/>
    <w:rsid w:val="00A01A06"/>
    <w:rsid w:val="00A01B8F"/>
    <w:rsid w:val="00A02801"/>
    <w:rsid w:val="00A042F4"/>
    <w:rsid w:val="00A04BA2"/>
    <w:rsid w:val="00A0517A"/>
    <w:rsid w:val="00A06225"/>
    <w:rsid w:val="00A066E6"/>
    <w:rsid w:val="00A10703"/>
    <w:rsid w:val="00A110D1"/>
    <w:rsid w:val="00A12587"/>
    <w:rsid w:val="00A128E6"/>
    <w:rsid w:val="00A1323B"/>
    <w:rsid w:val="00A134EA"/>
    <w:rsid w:val="00A144D3"/>
    <w:rsid w:val="00A15721"/>
    <w:rsid w:val="00A16879"/>
    <w:rsid w:val="00A16CA8"/>
    <w:rsid w:val="00A17737"/>
    <w:rsid w:val="00A17976"/>
    <w:rsid w:val="00A17EA7"/>
    <w:rsid w:val="00A21D7D"/>
    <w:rsid w:val="00A22530"/>
    <w:rsid w:val="00A22AC3"/>
    <w:rsid w:val="00A2351E"/>
    <w:rsid w:val="00A23F32"/>
    <w:rsid w:val="00A23F3F"/>
    <w:rsid w:val="00A24067"/>
    <w:rsid w:val="00A24A4B"/>
    <w:rsid w:val="00A24B0B"/>
    <w:rsid w:val="00A26605"/>
    <w:rsid w:val="00A2744D"/>
    <w:rsid w:val="00A30478"/>
    <w:rsid w:val="00A306F6"/>
    <w:rsid w:val="00A30900"/>
    <w:rsid w:val="00A30D16"/>
    <w:rsid w:val="00A31BE4"/>
    <w:rsid w:val="00A322CC"/>
    <w:rsid w:val="00A33EB7"/>
    <w:rsid w:val="00A34E6C"/>
    <w:rsid w:val="00A34FD0"/>
    <w:rsid w:val="00A35FFC"/>
    <w:rsid w:val="00A361EA"/>
    <w:rsid w:val="00A36398"/>
    <w:rsid w:val="00A36CC1"/>
    <w:rsid w:val="00A373DF"/>
    <w:rsid w:val="00A37C8D"/>
    <w:rsid w:val="00A4020E"/>
    <w:rsid w:val="00A40493"/>
    <w:rsid w:val="00A4051B"/>
    <w:rsid w:val="00A408E8"/>
    <w:rsid w:val="00A40AE1"/>
    <w:rsid w:val="00A40F6F"/>
    <w:rsid w:val="00A40FB5"/>
    <w:rsid w:val="00A42218"/>
    <w:rsid w:val="00A42826"/>
    <w:rsid w:val="00A429B3"/>
    <w:rsid w:val="00A43EC6"/>
    <w:rsid w:val="00A443D2"/>
    <w:rsid w:val="00A44EC1"/>
    <w:rsid w:val="00A4531D"/>
    <w:rsid w:val="00A45F4F"/>
    <w:rsid w:val="00A472B4"/>
    <w:rsid w:val="00A47D90"/>
    <w:rsid w:val="00A50C6D"/>
    <w:rsid w:val="00A50F32"/>
    <w:rsid w:val="00A510E4"/>
    <w:rsid w:val="00A514FF"/>
    <w:rsid w:val="00A51F8C"/>
    <w:rsid w:val="00A5240F"/>
    <w:rsid w:val="00A526F7"/>
    <w:rsid w:val="00A5273B"/>
    <w:rsid w:val="00A53A9D"/>
    <w:rsid w:val="00A55FEE"/>
    <w:rsid w:val="00A56304"/>
    <w:rsid w:val="00A56BA1"/>
    <w:rsid w:val="00A57422"/>
    <w:rsid w:val="00A5752A"/>
    <w:rsid w:val="00A57678"/>
    <w:rsid w:val="00A62C1A"/>
    <w:rsid w:val="00A63169"/>
    <w:rsid w:val="00A63657"/>
    <w:rsid w:val="00A63CA2"/>
    <w:rsid w:val="00A6426D"/>
    <w:rsid w:val="00A6435D"/>
    <w:rsid w:val="00A6439B"/>
    <w:rsid w:val="00A647DE"/>
    <w:rsid w:val="00A657A2"/>
    <w:rsid w:val="00A65F3D"/>
    <w:rsid w:val="00A665C1"/>
    <w:rsid w:val="00A6719B"/>
    <w:rsid w:val="00A673A4"/>
    <w:rsid w:val="00A7001A"/>
    <w:rsid w:val="00A70622"/>
    <w:rsid w:val="00A70977"/>
    <w:rsid w:val="00A70D58"/>
    <w:rsid w:val="00A739A2"/>
    <w:rsid w:val="00A744F9"/>
    <w:rsid w:val="00A7501F"/>
    <w:rsid w:val="00A753A1"/>
    <w:rsid w:val="00A77613"/>
    <w:rsid w:val="00A77B87"/>
    <w:rsid w:val="00A77E01"/>
    <w:rsid w:val="00A801AD"/>
    <w:rsid w:val="00A81851"/>
    <w:rsid w:val="00A82200"/>
    <w:rsid w:val="00A832FD"/>
    <w:rsid w:val="00A837F5"/>
    <w:rsid w:val="00A8390C"/>
    <w:rsid w:val="00A85248"/>
    <w:rsid w:val="00A862DF"/>
    <w:rsid w:val="00A86AE0"/>
    <w:rsid w:val="00A912B0"/>
    <w:rsid w:val="00A91362"/>
    <w:rsid w:val="00A914FF"/>
    <w:rsid w:val="00A9151C"/>
    <w:rsid w:val="00A919C6"/>
    <w:rsid w:val="00A928BD"/>
    <w:rsid w:val="00A92D61"/>
    <w:rsid w:val="00A9317D"/>
    <w:rsid w:val="00A936B6"/>
    <w:rsid w:val="00A9393E"/>
    <w:rsid w:val="00A94094"/>
    <w:rsid w:val="00A94585"/>
    <w:rsid w:val="00A955F1"/>
    <w:rsid w:val="00A9705C"/>
    <w:rsid w:val="00A9754D"/>
    <w:rsid w:val="00A97DE9"/>
    <w:rsid w:val="00AA0255"/>
    <w:rsid w:val="00AA12CD"/>
    <w:rsid w:val="00AA24E9"/>
    <w:rsid w:val="00AA308F"/>
    <w:rsid w:val="00AA3D99"/>
    <w:rsid w:val="00AA4372"/>
    <w:rsid w:val="00AA48CA"/>
    <w:rsid w:val="00AA4BAD"/>
    <w:rsid w:val="00AA4D1C"/>
    <w:rsid w:val="00AA52FD"/>
    <w:rsid w:val="00AA54DC"/>
    <w:rsid w:val="00AA5D40"/>
    <w:rsid w:val="00AA63E8"/>
    <w:rsid w:val="00AA6C64"/>
    <w:rsid w:val="00AA7006"/>
    <w:rsid w:val="00AA722A"/>
    <w:rsid w:val="00AB0269"/>
    <w:rsid w:val="00AB1472"/>
    <w:rsid w:val="00AB2038"/>
    <w:rsid w:val="00AB20C7"/>
    <w:rsid w:val="00AB24B3"/>
    <w:rsid w:val="00AB3138"/>
    <w:rsid w:val="00AB4684"/>
    <w:rsid w:val="00AB4B68"/>
    <w:rsid w:val="00AB572C"/>
    <w:rsid w:val="00AB5856"/>
    <w:rsid w:val="00AB62A5"/>
    <w:rsid w:val="00AB6A6D"/>
    <w:rsid w:val="00AB6A80"/>
    <w:rsid w:val="00AB778A"/>
    <w:rsid w:val="00AB7A6E"/>
    <w:rsid w:val="00AB7CCB"/>
    <w:rsid w:val="00AB7EF6"/>
    <w:rsid w:val="00AC001F"/>
    <w:rsid w:val="00AC081D"/>
    <w:rsid w:val="00AC0C6F"/>
    <w:rsid w:val="00AC1266"/>
    <w:rsid w:val="00AC193C"/>
    <w:rsid w:val="00AC237C"/>
    <w:rsid w:val="00AC30C1"/>
    <w:rsid w:val="00AC3E74"/>
    <w:rsid w:val="00AC448F"/>
    <w:rsid w:val="00AC47F5"/>
    <w:rsid w:val="00AC4DE5"/>
    <w:rsid w:val="00AC5206"/>
    <w:rsid w:val="00AC5EDF"/>
    <w:rsid w:val="00AC64AE"/>
    <w:rsid w:val="00AC6B25"/>
    <w:rsid w:val="00AD095B"/>
    <w:rsid w:val="00AD0BCB"/>
    <w:rsid w:val="00AD18BC"/>
    <w:rsid w:val="00AD284F"/>
    <w:rsid w:val="00AD3106"/>
    <w:rsid w:val="00AD4322"/>
    <w:rsid w:val="00AD4BD2"/>
    <w:rsid w:val="00AD5D5C"/>
    <w:rsid w:val="00AD6719"/>
    <w:rsid w:val="00AD767C"/>
    <w:rsid w:val="00AE05FE"/>
    <w:rsid w:val="00AE11A5"/>
    <w:rsid w:val="00AE13E2"/>
    <w:rsid w:val="00AE17C6"/>
    <w:rsid w:val="00AE2025"/>
    <w:rsid w:val="00AE22D3"/>
    <w:rsid w:val="00AE3A87"/>
    <w:rsid w:val="00AE4DF9"/>
    <w:rsid w:val="00AE5987"/>
    <w:rsid w:val="00AE5A49"/>
    <w:rsid w:val="00AE5FFB"/>
    <w:rsid w:val="00AE68DB"/>
    <w:rsid w:val="00AF03E6"/>
    <w:rsid w:val="00AF104D"/>
    <w:rsid w:val="00AF11D8"/>
    <w:rsid w:val="00AF1C20"/>
    <w:rsid w:val="00AF25A0"/>
    <w:rsid w:val="00AF402B"/>
    <w:rsid w:val="00AF5099"/>
    <w:rsid w:val="00AF5867"/>
    <w:rsid w:val="00AF62DF"/>
    <w:rsid w:val="00AF68CC"/>
    <w:rsid w:val="00AF70D7"/>
    <w:rsid w:val="00AF7C01"/>
    <w:rsid w:val="00B00086"/>
    <w:rsid w:val="00B00CD0"/>
    <w:rsid w:val="00B00E7F"/>
    <w:rsid w:val="00B00F18"/>
    <w:rsid w:val="00B00F2F"/>
    <w:rsid w:val="00B01FF4"/>
    <w:rsid w:val="00B02224"/>
    <w:rsid w:val="00B02B9D"/>
    <w:rsid w:val="00B0326D"/>
    <w:rsid w:val="00B03580"/>
    <w:rsid w:val="00B03632"/>
    <w:rsid w:val="00B0454B"/>
    <w:rsid w:val="00B04F86"/>
    <w:rsid w:val="00B04FA9"/>
    <w:rsid w:val="00B06037"/>
    <w:rsid w:val="00B06478"/>
    <w:rsid w:val="00B07533"/>
    <w:rsid w:val="00B07CFB"/>
    <w:rsid w:val="00B1059E"/>
    <w:rsid w:val="00B13AD1"/>
    <w:rsid w:val="00B149BA"/>
    <w:rsid w:val="00B14A36"/>
    <w:rsid w:val="00B16004"/>
    <w:rsid w:val="00B16273"/>
    <w:rsid w:val="00B164B4"/>
    <w:rsid w:val="00B16AC6"/>
    <w:rsid w:val="00B170A5"/>
    <w:rsid w:val="00B171DE"/>
    <w:rsid w:val="00B1725F"/>
    <w:rsid w:val="00B176C8"/>
    <w:rsid w:val="00B17EE5"/>
    <w:rsid w:val="00B205AA"/>
    <w:rsid w:val="00B20B74"/>
    <w:rsid w:val="00B2100A"/>
    <w:rsid w:val="00B216E4"/>
    <w:rsid w:val="00B21A91"/>
    <w:rsid w:val="00B21AE8"/>
    <w:rsid w:val="00B21D83"/>
    <w:rsid w:val="00B22E84"/>
    <w:rsid w:val="00B233AD"/>
    <w:rsid w:val="00B23E25"/>
    <w:rsid w:val="00B24449"/>
    <w:rsid w:val="00B24A41"/>
    <w:rsid w:val="00B24B6C"/>
    <w:rsid w:val="00B25283"/>
    <w:rsid w:val="00B25813"/>
    <w:rsid w:val="00B25F75"/>
    <w:rsid w:val="00B26B3F"/>
    <w:rsid w:val="00B2731F"/>
    <w:rsid w:val="00B2778F"/>
    <w:rsid w:val="00B3169C"/>
    <w:rsid w:val="00B3224F"/>
    <w:rsid w:val="00B327E2"/>
    <w:rsid w:val="00B33635"/>
    <w:rsid w:val="00B35C46"/>
    <w:rsid w:val="00B36A75"/>
    <w:rsid w:val="00B37A23"/>
    <w:rsid w:val="00B37CF8"/>
    <w:rsid w:val="00B42AF4"/>
    <w:rsid w:val="00B43052"/>
    <w:rsid w:val="00B43B86"/>
    <w:rsid w:val="00B43E90"/>
    <w:rsid w:val="00B44308"/>
    <w:rsid w:val="00B449FA"/>
    <w:rsid w:val="00B45722"/>
    <w:rsid w:val="00B45A2B"/>
    <w:rsid w:val="00B45F41"/>
    <w:rsid w:val="00B460F4"/>
    <w:rsid w:val="00B467DC"/>
    <w:rsid w:val="00B47A88"/>
    <w:rsid w:val="00B47E3C"/>
    <w:rsid w:val="00B5017A"/>
    <w:rsid w:val="00B50F8B"/>
    <w:rsid w:val="00B5111D"/>
    <w:rsid w:val="00B5187E"/>
    <w:rsid w:val="00B51A73"/>
    <w:rsid w:val="00B51E09"/>
    <w:rsid w:val="00B52303"/>
    <w:rsid w:val="00B5242F"/>
    <w:rsid w:val="00B5271B"/>
    <w:rsid w:val="00B52828"/>
    <w:rsid w:val="00B5392A"/>
    <w:rsid w:val="00B539EF"/>
    <w:rsid w:val="00B54F49"/>
    <w:rsid w:val="00B5575A"/>
    <w:rsid w:val="00B56118"/>
    <w:rsid w:val="00B566E1"/>
    <w:rsid w:val="00B56AB7"/>
    <w:rsid w:val="00B56AFB"/>
    <w:rsid w:val="00B56D2C"/>
    <w:rsid w:val="00B572BE"/>
    <w:rsid w:val="00B602F6"/>
    <w:rsid w:val="00B60ED3"/>
    <w:rsid w:val="00B61A54"/>
    <w:rsid w:val="00B62EC1"/>
    <w:rsid w:val="00B63251"/>
    <w:rsid w:val="00B64A96"/>
    <w:rsid w:val="00B6533B"/>
    <w:rsid w:val="00B65A6C"/>
    <w:rsid w:val="00B6730C"/>
    <w:rsid w:val="00B6773F"/>
    <w:rsid w:val="00B70409"/>
    <w:rsid w:val="00B70840"/>
    <w:rsid w:val="00B70EB3"/>
    <w:rsid w:val="00B71197"/>
    <w:rsid w:val="00B72906"/>
    <w:rsid w:val="00B72B18"/>
    <w:rsid w:val="00B72BAA"/>
    <w:rsid w:val="00B72F34"/>
    <w:rsid w:val="00B7305E"/>
    <w:rsid w:val="00B73495"/>
    <w:rsid w:val="00B74F48"/>
    <w:rsid w:val="00B7525E"/>
    <w:rsid w:val="00B75433"/>
    <w:rsid w:val="00B75A7B"/>
    <w:rsid w:val="00B75F70"/>
    <w:rsid w:val="00B760FB"/>
    <w:rsid w:val="00B76765"/>
    <w:rsid w:val="00B767AB"/>
    <w:rsid w:val="00B770E0"/>
    <w:rsid w:val="00B801BA"/>
    <w:rsid w:val="00B80BE7"/>
    <w:rsid w:val="00B80D50"/>
    <w:rsid w:val="00B812D6"/>
    <w:rsid w:val="00B81A99"/>
    <w:rsid w:val="00B82CB6"/>
    <w:rsid w:val="00B836A9"/>
    <w:rsid w:val="00B83D1B"/>
    <w:rsid w:val="00B846E6"/>
    <w:rsid w:val="00B84873"/>
    <w:rsid w:val="00B84D12"/>
    <w:rsid w:val="00B84D5C"/>
    <w:rsid w:val="00B84EF6"/>
    <w:rsid w:val="00B854E9"/>
    <w:rsid w:val="00B85AF6"/>
    <w:rsid w:val="00B87645"/>
    <w:rsid w:val="00B87A42"/>
    <w:rsid w:val="00B92E46"/>
    <w:rsid w:val="00B941ED"/>
    <w:rsid w:val="00B9536D"/>
    <w:rsid w:val="00B956ED"/>
    <w:rsid w:val="00B975B9"/>
    <w:rsid w:val="00B97EC2"/>
    <w:rsid w:val="00BA0FEF"/>
    <w:rsid w:val="00BA245F"/>
    <w:rsid w:val="00BA2DA8"/>
    <w:rsid w:val="00BA2F30"/>
    <w:rsid w:val="00BA347C"/>
    <w:rsid w:val="00BA4230"/>
    <w:rsid w:val="00BA455B"/>
    <w:rsid w:val="00BA4BFC"/>
    <w:rsid w:val="00BA4C79"/>
    <w:rsid w:val="00BA4D84"/>
    <w:rsid w:val="00BA62B2"/>
    <w:rsid w:val="00BA6BA9"/>
    <w:rsid w:val="00BB0FDC"/>
    <w:rsid w:val="00BB173A"/>
    <w:rsid w:val="00BB1D70"/>
    <w:rsid w:val="00BB2448"/>
    <w:rsid w:val="00BB2940"/>
    <w:rsid w:val="00BB298A"/>
    <w:rsid w:val="00BB2C83"/>
    <w:rsid w:val="00BB3469"/>
    <w:rsid w:val="00BB4625"/>
    <w:rsid w:val="00BB4AEF"/>
    <w:rsid w:val="00BB50EF"/>
    <w:rsid w:val="00BB5C49"/>
    <w:rsid w:val="00BB61AE"/>
    <w:rsid w:val="00BB6240"/>
    <w:rsid w:val="00BB6285"/>
    <w:rsid w:val="00BB6665"/>
    <w:rsid w:val="00BB69F5"/>
    <w:rsid w:val="00BB6B20"/>
    <w:rsid w:val="00BB6E2B"/>
    <w:rsid w:val="00BB6E48"/>
    <w:rsid w:val="00BB6ED2"/>
    <w:rsid w:val="00BB7EC3"/>
    <w:rsid w:val="00BB7FE2"/>
    <w:rsid w:val="00BC04B1"/>
    <w:rsid w:val="00BC0ADE"/>
    <w:rsid w:val="00BC2BBB"/>
    <w:rsid w:val="00BC306B"/>
    <w:rsid w:val="00BC3CCF"/>
    <w:rsid w:val="00BC427A"/>
    <w:rsid w:val="00BC470E"/>
    <w:rsid w:val="00BC4770"/>
    <w:rsid w:val="00BC4B9A"/>
    <w:rsid w:val="00BC5AA6"/>
    <w:rsid w:val="00BC60E8"/>
    <w:rsid w:val="00BC62FF"/>
    <w:rsid w:val="00BC7C24"/>
    <w:rsid w:val="00BD0050"/>
    <w:rsid w:val="00BD02C3"/>
    <w:rsid w:val="00BD1302"/>
    <w:rsid w:val="00BD15CE"/>
    <w:rsid w:val="00BD1615"/>
    <w:rsid w:val="00BD18BC"/>
    <w:rsid w:val="00BD22ED"/>
    <w:rsid w:val="00BD2369"/>
    <w:rsid w:val="00BD2CA8"/>
    <w:rsid w:val="00BD3119"/>
    <w:rsid w:val="00BD340B"/>
    <w:rsid w:val="00BD3BAB"/>
    <w:rsid w:val="00BD3C7E"/>
    <w:rsid w:val="00BD4365"/>
    <w:rsid w:val="00BD4A7A"/>
    <w:rsid w:val="00BD7483"/>
    <w:rsid w:val="00BD784C"/>
    <w:rsid w:val="00BD796F"/>
    <w:rsid w:val="00BE020A"/>
    <w:rsid w:val="00BE0851"/>
    <w:rsid w:val="00BE092F"/>
    <w:rsid w:val="00BE0AC2"/>
    <w:rsid w:val="00BE13DF"/>
    <w:rsid w:val="00BE17E4"/>
    <w:rsid w:val="00BE1CAF"/>
    <w:rsid w:val="00BE1EF0"/>
    <w:rsid w:val="00BE25D7"/>
    <w:rsid w:val="00BE2C24"/>
    <w:rsid w:val="00BE3BEC"/>
    <w:rsid w:val="00BE3CC0"/>
    <w:rsid w:val="00BE4A2E"/>
    <w:rsid w:val="00BE6CBC"/>
    <w:rsid w:val="00BE70BF"/>
    <w:rsid w:val="00BF092C"/>
    <w:rsid w:val="00BF177A"/>
    <w:rsid w:val="00BF21D1"/>
    <w:rsid w:val="00BF27A0"/>
    <w:rsid w:val="00BF40E6"/>
    <w:rsid w:val="00BF4333"/>
    <w:rsid w:val="00BF4409"/>
    <w:rsid w:val="00BF4CB6"/>
    <w:rsid w:val="00BF51E1"/>
    <w:rsid w:val="00BF5D23"/>
    <w:rsid w:val="00BF6CBD"/>
    <w:rsid w:val="00C00DA7"/>
    <w:rsid w:val="00C01166"/>
    <w:rsid w:val="00C01457"/>
    <w:rsid w:val="00C02CA8"/>
    <w:rsid w:val="00C02EAC"/>
    <w:rsid w:val="00C032D6"/>
    <w:rsid w:val="00C033B6"/>
    <w:rsid w:val="00C034FB"/>
    <w:rsid w:val="00C034FE"/>
    <w:rsid w:val="00C040E1"/>
    <w:rsid w:val="00C0463E"/>
    <w:rsid w:val="00C04CDE"/>
    <w:rsid w:val="00C059D5"/>
    <w:rsid w:val="00C05C94"/>
    <w:rsid w:val="00C05D77"/>
    <w:rsid w:val="00C064E2"/>
    <w:rsid w:val="00C068A6"/>
    <w:rsid w:val="00C06B4E"/>
    <w:rsid w:val="00C07151"/>
    <w:rsid w:val="00C07189"/>
    <w:rsid w:val="00C074DE"/>
    <w:rsid w:val="00C11132"/>
    <w:rsid w:val="00C1131F"/>
    <w:rsid w:val="00C11DEA"/>
    <w:rsid w:val="00C12768"/>
    <w:rsid w:val="00C12D70"/>
    <w:rsid w:val="00C131F5"/>
    <w:rsid w:val="00C15BFA"/>
    <w:rsid w:val="00C15C01"/>
    <w:rsid w:val="00C16724"/>
    <w:rsid w:val="00C17640"/>
    <w:rsid w:val="00C178FD"/>
    <w:rsid w:val="00C17C2A"/>
    <w:rsid w:val="00C2139C"/>
    <w:rsid w:val="00C21B09"/>
    <w:rsid w:val="00C2207A"/>
    <w:rsid w:val="00C22B26"/>
    <w:rsid w:val="00C23E07"/>
    <w:rsid w:val="00C2414A"/>
    <w:rsid w:val="00C24C0B"/>
    <w:rsid w:val="00C252E7"/>
    <w:rsid w:val="00C25563"/>
    <w:rsid w:val="00C25CA8"/>
    <w:rsid w:val="00C25EFF"/>
    <w:rsid w:val="00C2673A"/>
    <w:rsid w:val="00C26F55"/>
    <w:rsid w:val="00C278CD"/>
    <w:rsid w:val="00C27B58"/>
    <w:rsid w:val="00C27C1C"/>
    <w:rsid w:val="00C30ABF"/>
    <w:rsid w:val="00C3166C"/>
    <w:rsid w:val="00C318E3"/>
    <w:rsid w:val="00C33186"/>
    <w:rsid w:val="00C3421F"/>
    <w:rsid w:val="00C35996"/>
    <w:rsid w:val="00C36F97"/>
    <w:rsid w:val="00C37C43"/>
    <w:rsid w:val="00C40E13"/>
    <w:rsid w:val="00C41B95"/>
    <w:rsid w:val="00C42964"/>
    <w:rsid w:val="00C42BCD"/>
    <w:rsid w:val="00C430C5"/>
    <w:rsid w:val="00C437B1"/>
    <w:rsid w:val="00C43E51"/>
    <w:rsid w:val="00C4485F"/>
    <w:rsid w:val="00C44DED"/>
    <w:rsid w:val="00C4508F"/>
    <w:rsid w:val="00C46720"/>
    <w:rsid w:val="00C4692F"/>
    <w:rsid w:val="00C46C13"/>
    <w:rsid w:val="00C46E62"/>
    <w:rsid w:val="00C4747E"/>
    <w:rsid w:val="00C5151E"/>
    <w:rsid w:val="00C52256"/>
    <w:rsid w:val="00C5342C"/>
    <w:rsid w:val="00C53B2B"/>
    <w:rsid w:val="00C53E40"/>
    <w:rsid w:val="00C547F5"/>
    <w:rsid w:val="00C56314"/>
    <w:rsid w:val="00C56854"/>
    <w:rsid w:val="00C56D78"/>
    <w:rsid w:val="00C56F09"/>
    <w:rsid w:val="00C57465"/>
    <w:rsid w:val="00C60011"/>
    <w:rsid w:val="00C60272"/>
    <w:rsid w:val="00C603D4"/>
    <w:rsid w:val="00C60E98"/>
    <w:rsid w:val="00C61CE6"/>
    <w:rsid w:val="00C6219F"/>
    <w:rsid w:val="00C6256A"/>
    <w:rsid w:val="00C63D02"/>
    <w:rsid w:val="00C63FDA"/>
    <w:rsid w:val="00C64EBC"/>
    <w:rsid w:val="00C66171"/>
    <w:rsid w:val="00C6636D"/>
    <w:rsid w:val="00C664D2"/>
    <w:rsid w:val="00C66619"/>
    <w:rsid w:val="00C677E1"/>
    <w:rsid w:val="00C70E6E"/>
    <w:rsid w:val="00C710E2"/>
    <w:rsid w:val="00C71205"/>
    <w:rsid w:val="00C718E3"/>
    <w:rsid w:val="00C71C3F"/>
    <w:rsid w:val="00C734D3"/>
    <w:rsid w:val="00C7397F"/>
    <w:rsid w:val="00C7409E"/>
    <w:rsid w:val="00C746CB"/>
    <w:rsid w:val="00C74B45"/>
    <w:rsid w:val="00C74D6D"/>
    <w:rsid w:val="00C74F78"/>
    <w:rsid w:val="00C752DF"/>
    <w:rsid w:val="00C76E76"/>
    <w:rsid w:val="00C77891"/>
    <w:rsid w:val="00C778C8"/>
    <w:rsid w:val="00C77B74"/>
    <w:rsid w:val="00C811B0"/>
    <w:rsid w:val="00C81934"/>
    <w:rsid w:val="00C82062"/>
    <w:rsid w:val="00C829A9"/>
    <w:rsid w:val="00C839E2"/>
    <w:rsid w:val="00C83AFF"/>
    <w:rsid w:val="00C86166"/>
    <w:rsid w:val="00C86460"/>
    <w:rsid w:val="00C87B80"/>
    <w:rsid w:val="00C9015B"/>
    <w:rsid w:val="00C90330"/>
    <w:rsid w:val="00C91449"/>
    <w:rsid w:val="00C91C8B"/>
    <w:rsid w:val="00C92B38"/>
    <w:rsid w:val="00C92D10"/>
    <w:rsid w:val="00C92F79"/>
    <w:rsid w:val="00C93034"/>
    <w:rsid w:val="00C9343A"/>
    <w:rsid w:val="00C937E1"/>
    <w:rsid w:val="00C9390F"/>
    <w:rsid w:val="00C94CB2"/>
    <w:rsid w:val="00C95200"/>
    <w:rsid w:val="00C969BF"/>
    <w:rsid w:val="00C96EC0"/>
    <w:rsid w:val="00C978A4"/>
    <w:rsid w:val="00CA06F9"/>
    <w:rsid w:val="00CA0E1F"/>
    <w:rsid w:val="00CA14BB"/>
    <w:rsid w:val="00CA230C"/>
    <w:rsid w:val="00CA3236"/>
    <w:rsid w:val="00CA4671"/>
    <w:rsid w:val="00CA48D9"/>
    <w:rsid w:val="00CA4BC0"/>
    <w:rsid w:val="00CA5C8A"/>
    <w:rsid w:val="00CA72AB"/>
    <w:rsid w:val="00CA792F"/>
    <w:rsid w:val="00CB1193"/>
    <w:rsid w:val="00CB23CE"/>
    <w:rsid w:val="00CB350E"/>
    <w:rsid w:val="00CB358A"/>
    <w:rsid w:val="00CB36C2"/>
    <w:rsid w:val="00CB4767"/>
    <w:rsid w:val="00CB493D"/>
    <w:rsid w:val="00CB5A76"/>
    <w:rsid w:val="00CB5EA7"/>
    <w:rsid w:val="00CB6235"/>
    <w:rsid w:val="00CB6B27"/>
    <w:rsid w:val="00CC001B"/>
    <w:rsid w:val="00CC0CC4"/>
    <w:rsid w:val="00CC14DE"/>
    <w:rsid w:val="00CC2224"/>
    <w:rsid w:val="00CC25EE"/>
    <w:rsid w:val="00CC2D15"/>
    <w:rsid w:val="00CC3B97"/>
    <w:rsid w:val="00CC5DE6"/>
    <w:rsid w:val="00CD0488"/>
    <w:rsid w:val="00CD0EA0"/>
    <w:rsid w:val="00CD1BA4"/>
    <w:rsid w:val="00CD2C7D"/>
    <w:rsid w:val="00CD3578"/>
    <w:rsid w:val="00CD470E"/>
    <w:rsid w:val="00CD4A8C"/>
    <w:rsid w:val="00CD4C45"/>
    <w:rsid w:val="00CD5ED5"/>
    <w:rsid w:val="00CD5EE5"/>
    <w:rsid w:val="00CD6257"/>
    <w:rsid w:val="00CD6645"/>
    <w:rsid w:val="00CD7C0B"/>
    <w:rsid w:val="00CE10C4"/>
    <w:rsid w:val="00CE2114"/>
    <w:rsid w:val="00CE2343"/>
    <w:rsid w:val="00CE27B5"/>
    <w:rsid w:val="00CE2BDF"/>
    <w:rsid w:val="00CE469B"/>
    <w:rsid w:val="00CE48D2"/>
    <w:rsid w:val="00CE4D45"/>
    <w:rsid w:val="00CE6323"/>
    <w:rsid w:val="00CE6D24"/>
    <w:rsid w:val="00CE6DAF"/>
    <w:rsid w:val="00CE7E86"/>
    <w:rsid w:val="00CF0080"/>
    <w:rsid w:val="00CF2CB9"/>
    <w:rsid w:val="00CF410A"/>
    <w:rsid w:val="00CF47B8"/>
    <w:rsid w:val="00CF53C0"/>
    <w:rsid w:val="00CF59F8"/>
    <w:rsid w:val="00CF6F70"/>
    <w:rsid w:val="00CF7003"/>
    <w:rsid w:val="00CF7528"/>
    <w:rsid w:val="00CF7FDE"/>
    <w:rsid w:val="00D00585"/>
    <w:rsid w:val="00D012AF"/>
    <w:rsid w:val="00D014A5"/>
    <w:rsid w:val="00D01C06"/>
    <w:rsid w:val="00D024AA"/>
    <w:rsid w:val="00D0321E"/>
    <w:rsid w:val="00D032BD"/>
    <w:rsid w:val="00D04851"/>
    <w:rsid w:val="00D04BD4"/>
    <w:rsid w:val="00D053CD"/>
    <w:rsid w:val="00D05457"/>
    <w:rsid w:val="00D069EB"/>
    <w:rsid w:val="00D07A8A"/>
    <w:rsid w:val="00D10C29"/>
    <w:rsid w:val="00D10E31"/>
    <w:rsid w:val="00D11199"/>
    <w:rsid w:val="00D1337B"/>
    <w:rsid w:val="00D142FE"/>
    <w:rsid w:val="00D1455A"/>
    <w:rsid w:val="00D14573"/>
    <w:rsid w:val="00D14A70"/>
    <w:rsid w:val="00D14ADF"/>
    <w:rsid w:val="00D15F6A"/>
    <w:rsid w:val="00D16031"/>
    <w:rsid w:val="00D207EA"/>
    <w:rsid w:val="00D211FB"/>
    <w:rsid w:val="00D22093"/>
    <w:rsid w:val="00D2383D"/>
    <w:rsid w:val="00D25E84"/>
    <w:rsid w:val="00D26D7E"/>
    <w:rsid w:val="00D30106"/>
    <w:rsid w:val="00D31150"/>
    <w:rsid w:val="00D3138B"/>
    <w:rsid w:val="00D31FCE"/>
    <w:rsid w:val="00D320D3"/>
    <w:rsid w:val="00D3280C"/>
    <w:rsid w:val="00D32F78"/>
    <w:rsid w:val="00D337AC"/>
    <w:rsid w:val="00D3406A"/>
    <w:rsid w:val="00D34D24"/>
    <w:rsid w:val="00D35C1C"/>
    <w:rsid w:val="00D37E6B"/>
    <w:rsid w:val="00D401C9"/>
    <w:rsid w:val="00D40B11"/>
    <w:rsid w:val="00D40B6A"/>
    <w:rsid w:val="00D42864"/>
    <w:rsid w:val="00D429EC"/>
    <w:rsid w:val="00D441F1"/>
    <w:rsid w:val="00D4572C"/>
    <w:rsid w:val="00D4608D"/>
    <w:rsid w:val="00D469B2"/>
    <w:rsid w:val="00D50B43"/>
    <w:rsid w:val="00D510AE"/>
    <w:rsid w:val="00D51253"/>
    <w:rsid w:val="00D5195D"/>
    <w:rsid w:val="00D51FA4"/>
    <w:rsid w:val="00D52277"/>
    <w:rsid w:val="00D5239F"/>
    <w:rsid w:val="00D52506"/>
    <w:rsid w:val="00D52B24"/>
    <w:rsid w:val="00D52EAA"/>
    <w:rsid w:val="00D52ECF"/>
    <w:rsid w:val="00D53F0C"/>
    <w:rsid w:val="00D5411A"/>
    <w:rsid w:val="00D5489C"/>
    <w:rsid w:val="00D54B09"/>
    <w:rsid w:val="00D5558A"/>
    <w:rsid w:val="00D55D5F"/>
    <w:rsid w:val="00D56E7E"/>
    <w:rsid w:val="00D572EF"/>
    <w:rsid w:val="00D6243E"/>
    <w:rsid w:val="00D6373E"/>
    <w:rsid w:val="00D63752"/>
    <w:rsid w:val="00D6389D"/>
    <w:rsid w:val="00D63F4C"/>
    <w:rsid w:val="00D65620"/>
    <w:rsid w:val="00D65658"/>
    <w:rsid w:val="00D67EB2"/>
    <w:rsid w:val="00D70349"/>
    <w:rsid w:val="00D712AA"/>
    <w:rsid w:val="00D72B6F"/>
    <w:rsid w:val="00D737DF"/>
    <w:rsid w:val="00D741EB"/>
    <w:rsid w:val="00D746BB"/>
    <w:rsid w:val="00D74CEA"/>
    <w:rsid w:val="00D74F3E"/>
    <w:rsid w:val="00D7679C"/>
    <w:rsid w:val="00D76CE5"/>
    <w:rsid w:val="00D775B9"/>
    <w:rsid w:val="00D817A9"/>
    <w:rsid w:val="00D81A3A"/>
    <w:rsid w:val="00D82066"/>
    <w:rsid w:val="00D820F3"/>
    <w:rsid w:val="00D822E0"/>
    <w:rsid w:val="00D83605"/>
    <w:rsid w:val="00D838D7"/>
    <w:rsid w:val="00D84934"/>
    <w:rsid w:val="00D84975"/>
    <w:rsid w:val="00D866EB"/>
    <w:rsid w:val="00D86C52"/>
    <w:rsid w:val="00D86DBD"/>
    <w:rsid w:val="00D87026"/>
    <w:rsid w:val="00D87620"/>
    <w:rsid w:val="00D87D1A"/>
    <w:rsid w:val="00D906DA"/>
    <w:rsid w:val="00D90C09"/>
    <w:rsid w:val="00D91271"/>
    <w:rsid w:val="00D919F5"/>
    <w:rsid w:val="00D93568"/>
    <w:rsid w:val="00D9384F"/>
    <w:rsid w:val="00D93FB3"/>
    <w:rsid w:val="00D945F6"/>
    <w:rsid w:val="00D94F03"/>
    <w:rsid w:val="00D95161"/>
    <w:rsid w:val="00D955D7"/>
    <w:rsid w:val="00D95B8C"/>
    <w:rsid w:val="00D95C23"/>
    <w:rsid w:val="00D9748D"/>
    <w:rsid w:val="00DA02AB"/>
    <w:rsid w:val="00DA0A82"/>
    <w:rsid w:val="00DA0D14"/>
    <w:rsid w:val="00DA1641"/>
    <w:rsid w:val="00DA1FC9"/>
    <w:rsid w:val="00DA2CB5"/>
    <w:rsid w:val="00DA32AE"/>
    <w:rsid w:val="00DA3312"/>
    <w:rsid w:val="00DA358F"/>
    <w:rsid w:val="00DA3763"/>
    <w:rsid w:val="00DA383E"/>
    <w:rsid w:val="00DA4BAC"/>
    <w:rsid w:val="00DA5352"/>
    <w:rsid w:val="00DA6212"/>
    <w:rsid w:val="00DA6474"/>
    <w:rsid w:val="00DA65E5"/>
    <w:rsid w:val="00DA722E"/>
    <w:rsid w:val="00DA792A"/>
    <w:rsid w:val="00DB0151"/>
    <w:rsid w:val="00DB0160"/>
    <w:rsid w:val="00DB04D7"/>
    <w:rsid w:val="00DB259D"/>
    <w:rsid w:val="00DB29C4"/>
    <w:rsid w:val="00DB4D02"/>
    <w:rsid w:val="00DB50E1"/>
    <w:rsid w:val="00DB5210"/>
    <w:rsid w:val="00DC0566"/>
    <w:rsid w:val="00DC05E1"/>
    <w:rsid w:val="00DC0872"/>
    <w:rsid w:val="00DC1499"/>
    <w:rsid w:val="00DC16CF"/>
    <w:rsid w:val="00DC2C3E"/>
    <w:rsid w:val="00DC2D6E"/>
    <w:rsid w:val="00DC30CA"/>
    <w:rsid w:val="00DC3137"/>
    <w:rsid w:val="00DC3A71"/>
    <w:rsid w:val="00DC4880"/>
    <w:rsid w:val="00DC55F2"/>
    <w:rsid w:val="00DC581F"/>
    <w:rsid w:val="00DC5E90"/>
    <w:rsid w:val="00DC5F79"/>
    <w:rsid w:val="00DC6C1D"/>
    <w:rsid w:val="00DC6EC3"/>
    <w:rsid w:val="00DC732A"/>
    <w:rsid w:val="00DC7D29"/>
    <w:rsid w:val="00DCD3CD"/>
    <w:rsid w:val="00DD04D7"/>
    <w:rsid w:val="00DD0BE9"/>
    <w:rsid w:val="00DD0F37"/>
    <w:rsid w:val="00DD1774"/>
    <w:rsid w:val="00DD2631"/>
    <w:rsid w:val="00DD26F9"/>
    <w:rsid w:val="00DD2D29"/>
    <w:rsid w:val="00DD350E"/>
    <w:rsid w:val="00DD42AB"/>
    <w:rsid w:val="00DD42C1"/>
    <w:rsid w:val="00DD446D"/>
    <w:rsid w:val="00DD632F"/>
    <w:rsid w:val="00DD7100"/>
    <w:rsid w:val="00DD74AD"/>
    <w:rsid w:val="00DD79C6"/>
    <w:rsid w:val="00DE06AF"/>
    <w:rsid w:val="00DE25D9"/>
    <w:rsid w:val="00DE38F3"/>
    <w:rsid w:val="00DE3A3A"/>
    <w:rsid w:val="00DE3C8B"/>
    <w:rsid w:val="00DE5834"/>
    <w:rsid w:val="00DE6C4C"/>
    <w:rsid w:val="00DE6D27"/>
    <w:rsid w:val="00DE76EA"/>
    <w:rsid w:val="00DE77EF"/>
    <w:rsid w:val="00DE78CA"/>
    <w:rsid w:val="00DE7C3E"/>
    <w:rsid w:val="00DF01F8"/>
    <w:rsid w:val="00DF021D"/>
    <w:rsid w:val="00DF0462"/>
    <w:rsid w:val="00DF07D1"/>
    <w:rsid w:val="00DF09BD"/>
    <w:rsid w:val="00DF146B"/>
    <w:rsid w:val="00DF14DB"/>
    <w:rsid w:val="00DF14EE"/>
    <w:rsid w:val="00DF217D"/>
    <w:rsid w:val="00DF26A7"/>
    <w:rsid w:val="00DF3277"/>
    <w:rsid w:val="00DF6A31"/>
    <w:rsid w:val="00DF7407"/>
    <w:rsid w:val="00DF7511"/>
    <w:rsid w:val="00DF77A1"/>
    <w:rsid w:val="00DF78F3"/>
    <w:rsid w:val="00DF7919"/>
    <w:rsid w:val="00E0054B"/>
    <w:rsid w:val="00E00A96"/>
    <w:rsid w:val="00E0207E"/>
    <w:rsid w:val="00E024E9"/>
    <w:rsid w:val="00E02AE6"/>
    <w:rsid w:val="00E02E35"/>
    <w:rsid w:val="00E03912"/>
    <w:rsid w:val="00E04602"/>
    <w:rsid w:val="00E04748"/>
    <w:rsid w:val="00E04CB8"/>
    <w:rsid w:val="00E055EC"/>
    <w:rsid w:val="00E05635"/>
    <w:rsid w:val="00E057CD"/>
    <w:rsid w:val="00E05BA9"/>
    <w:rsid w:val="00E060AF"/>
    <w:rsid w:val="00E0780F"/>
    <w:rsid w:val="00E078D9"/>
    <w:rsid w:val="00E079B5"/>
    <w:rsid w:val="00E10293"/>
    <w:rsid w:val="00E103A0"/>
    <w:rsid w:val="00E1043F"/>
    <w:rsid w:val="00E1117D"/>
    <w:rsid w:val="00E1157E"/>
    <w:rsid w:val="00E11F44"/>
    <w:rsid w:val="00E12868"/>
    <w:rsid w:val="00E13E0A"/>
    <w:rsid w:val="00E13E60"/>
    <w:rsid w:val="00E143C3"/>
    <w:rsid w:val="00E15627"/>
    <w:rsid w:val="00E15DBD"/>
    <w:rsid w:val="00E15EE7"/>
    <w:rsid w:val="00E164B3"/>
    <w:rsid w:val="00E16827"/>
    <w:rsid w:val="00E16910"/>
    <w:rsid w:val="00E16E84"/>
    <w:rsid w:val="00E17634"/>
    <w:rsid w:val="00E17A9E"/>
    <w:rsid w:val="00E205AB"/>
    <w:rsid w:val="00E210F2"/>
    <w:rsid w:val="00E21164"/>
    <w:rsid w:val="00E2178E"/>
    <w:rsid w:val="00E22C3D"/>
    <w:rsid w:val="00E236B2"/>
    <w:rsid w:val="00E239E2"/>
    <w:rsid w:val="00E24399"/>
    <w:rsid w:val="00E249FD"/>
    <w:rsid w:val="00E24E09"/>
    <w:rsid w:val="00E27234"/>
    <w:rsid w:val="00E277B6"/>
    <w:rsid w:val="00E27CA8"/>
    <w:rsid w:val="00E27F49"/>
    <w:rsid w:val="00E31511"/>
    <w:rsid w:val="00E3227D"/>
    <w:rsid w:val="00E333B4"/>
    <w:rsid w:val="00E33582"/>
    <w:rsid w:val="00E34799"/>
    <w:rsid w:val="00E3495C"/>
    <w:rsid w:val="00E35B80"/>
    <w:rsid w:val="00E35EBE"/>
    <w:rsid w:val="00E36AC5"/>
    <w:rsid w:val="00E37591"/>
    <w:rsid w:val="00E40C3F"/>
    <w:rsid w:val="00E40CFC"/>
    <w:rsid w:val="00E42BDB"/>
    <w:rsid w:val="00E42F52"/>
    <w:rsid w:val="00E4307B"/>
    <w:rsid w:val="00E43344"/>
    <w:rsid w:val="00E439A7"/>
    <w:rsid w:val="00E4433C"/>
    <w:rsid w:val="00E45659"/>
    <w:rsid w:val="00E45B70"/>
    <w:rsid w:val="00E45ECE"/>
    <w:rsid w:val="00E50B79"/>
    <w:rsid w:val="00E50F18"/>
    <w:rsid w:val="00E524A9"/>
    <w:rsid w:val="00E53033"/>
    <w:rsid w:val="00E53F1A"/>
    <w:rsid w:val="00E54452"/>
    <w:rsid w:val="00E56EB1"/>
    <w:rsid w:val="00E5726D"/>
    <w:rsid w:val="00E57853"/>
    <w:rsid w:val="00E57C79"/>
    <w:rsid w:val="00E57EEB"/>
    <w:rsid w:val="00E60B6B"/>
    <w:rsid w:val="00E61710"/>
    <w:rsid w:val="00E61967"/>
    <w:rsid w:val="00E61CCF"/>
    <w:rsid w:val="00E62D94"/>
    <w:rsid w:val="00E62ECC"/>
    <w:rsid w:val="00E631D6"/>
    <w:rsid w:val="00E63D9D"/>
    <w:rsid w:val="00E63FAE"/>
    <w:rsid w:val="00E64286"/>
    <w:rsid w:val="00E642B3"/>
    <w:rsid w:val="00E645A4"/>
    <w:rsid w:val="00E64F37"/>
    <w:rsid w:val="00E65091"/>
    <w:rsid w:val="00E65393"/>
    <w:rsid w:val="00E65E54"/>
    <w:rsid w:val="00E661C7"/>
    <w:rsid w:val="00E66679"/>
    <w:rsid w:val="00E673DD"/>
    <w:rsid w:val="00E70902"/>
    <w:rsid w:val="00E70D33"/>
    <w:rsid w:val="00E732C4"/>
    <w:rsid w:val="00E7356B"/>
    <w:rsid w:val="00E73BD3"/>
    <w:rsid w:val="00E7440D"/>
    <w:rsid w:val="00E746AD"/>
    <w:rsid w:val="00E74BD8"/>
    <w:rsid w:val="00E74E41"/>
    <w:rsid w:val="00E75151"/>
    <w:rsid w:val="00E766D4"/>
    <w:rsid w:val="00E772AB"/>
    <w:rsid w:val="00E80155"/>
    <w:rsid w:val="00E8134B"/>
    <w:rsid w:val="00E81E0D"/>
    <w:rsid w:val="00E81F28"/>
    <w:rsid w:val="00E82089"/>
    <w:rsid w:val="00E82774"/>
    <w:rsid w:val="00E82B71"/>
    <w:rsid w:val="00E82D57"/>
    <w:rsid w:val="00E8384A"/>
    <w:rsid w:val="00E848C0"/>
    <w:rsid w:val="00E84BB8"/>
    <w:rsid w:val="00E85028"/>
    <w:rsid w:val="00E86941"/>
    <w:rsid w:val="00E86F92"/>
    <w:rsid w:val="00E9182B"/>
    <w:rsid w:val="00E91B96"/>
    <w:rsid w:val="00E92E34"/>
    <w:rsid w:val="00E92F2E"/>
    <w:rsid w:val="00E93335"/>
    <w:rsid w:val="00E935DA"/>
    <w:rsid w:val="00E93D1E"/>
    <w:rsid w:val="00E941A1"/>
    <w:rsid w:val="00E943A2"/>
    <w:rsid w:val="00E94650"/>
    <w:rsid w:val="00E95CE3"/>
    <w:rsid w:val="00E95F9A"/>
    <w:rsid w:val="00E96610"/>
    <w:rsid w:val="00E96A91"/>
    <w:rsid w:val="00E96E99"/>
    <w:rsid w:val="00E9761E"/>
    <w:rsid w:val="00E97BA9"/>
    <w:rsid w:val="00E97C1B"/>
    <w:rsid w:val="00EA0856"/>
    <w:rsid w:val="00EA0DBE"/>
    <w:rsid w:val="00EA1DC4"/>
    <w:rsid w:val="00EA22A2"/>
    <w:rsid w:val="00EA22EE"/>
    <w:rsid w:val="00EA252F"/>
    <w:rsid w:val="00EA2825"/>
    <w:rsid w:val="00EA2D57"/>
    <w:rsid w:val="00EA3178"/>
    <w:rsid w:val="00EA42F9"/>
    <w:rsid w:val="00EA4605"/>
    <w:rsid w:val="00EA5027"/>
    <w:rsid w:val="00EA64C2"/>
    <w:rsid w:val="00EA6518"/>
    <w:rsid w:val="00EA6C24"/>
    <w:rsid w:val="00EA71A2"/>
    <w:rsid w:val="00EA7466"/>
    <w:rsid w:val="00EA7A66"/>
    <w:rsid w:val="00EA7C5A"/>
    <w:rsid w:val="00EA7EDE"/>
    <w:rsid w:val="00EA7F19"/>
    <w:rsid w:val="00EB05F3"/>
    <w:rsid w:val="00EB0992"/>
    <w:rsid w:val="00EB0B63"/>
    <w:rsid w:val="00EB0EB5"/>
    <w:rsid w:val="00EB0ED8"/>
    <w:rsid w:val="00EB1936"/>
    <w:rsid w:val="00EB21F0"/>
    <w:rsid w:val="00EB3545"/>
    <w:rsid w:val="00EB37BE"/>
    <w:rsid w:val="00EB4BAE"/>
    <w:rsid w:val="00EB5088"/>
    <w:rsid w:val="00EB6AFE"/>
    <w:rsid w:val="00EB7210"/>
    <w:rsid w:val="00EC0417"/>
    <w:rsid w:val="00EC0905"/>
    <w:rsid w:val="00EC2726"/>
    <w:rsid w:val="00EC4BB4"/>
    <w:rsid w:val="00EC575E"/>
    <w:rsid w:val="00EC681C"/>
    <w:rsid w:val="00EC7B87"/>
    <w:rsid w:val="00ED1644"/>
    <w:rsid w:val="00ED16D0"/>
    <w:rsid w:val="00ED2593"/>
    <w:rsid w:val="00ED3325"/>
    <w:rsid w:val="00ED3709"/>
    <w:rsid w:val="00ED432F"/>
    <w:rsid w:val="00ED6E34"/>
    <w:rsid w:val="00ED6E84"/>
    <w:rsid w:val="00ED7D55"/>
    <w:rsid w:val="00ED7D9C"/>
    <w:rsid w:val="00EE00A7"/>
    <w:rsid w:val="00EE1179"/>
    <w:rsid w:val="00EE177D"/>
    <w:rsid w:val="00EE1C0E"/>
    <w:rsid w:val="00EE2F77"/>
    <w:rsid w:val="00EE3158"/>
    <w:rsid w:val="00EE31A2"/>
    <w:rsid w:val="00EE36D6"/>
    <w:rsid w:val="00EE3BED"/>
    <w:rsid w:val="00EE3CBA"/>
    <w:rsid w:val="00EE4329"/>
    <w:rsid w:val="00EE6203"/>
    <w:rsid w:val="00EF0069"/>
    <w:rsid w:val="00EF0291"/>
    <w:rsid w:val="00EF0BA6"/>
    <w:rsid w:val="00EF229C"/>
    <w:rsid w:val="00EF25CE"/>
    <w:rsid w:val="00EF2FA0"/>
    <w:rsid w:val="00EF3C52"/>
    <w:rsid w:val="00EF44A0"/>
    <w:rsid w:val="00EF4580"/>
    <w:rsid w:val="00EF4769"/>
    <w:rsid w:val="00EF4836"/>
    <w:rsid w:val="00EF4852"/>
    <w:rsid w:val="00EF4FED"/>
    <w:rsid w:val="00EF5F45"/>
    <w:rsid w:val="00EF5F95"/>
    <w:rsid w:val="00EF5FE8"/>
    <w:rsid w:val="00EF6843"/>
    <w:rsid w:val="00EF6941"/>
    <w:rsid w:val="00EF6FB3"/>
    <w:rsid w:val="00EF7D28"/>
    <w:rsid w:val="00F0068B"/>
    <w:rsid w:val="00F007C6"/>
    <w:rsid w:val="00F0172E"/>
    <w:rsid w:val="00F02088"/>
    <w:rsid w:val="00F029FF"/>
    <w:rsid w:val="00F037D9"/>
    <w:rsid w:val="00F050BD"/>
    <w:rsid w:val="00F05657"/>
    <w:rsid w:val="00F05AB0"/>
    <w:rsid w:val="00F10D0E"/>
    <w:rsid w:val="00F11630"/>
    <w:rsid w:val="00F12C74"/>
    <w:rsid w:val="00F13214"/>
    <w:rsid w:val="00F13225"/>
    <w:rsid w:val="00F13255"/>
    <w:rsid w:val="00F1351E"/>
    <w:rsid w:val="00F14670"/>
    <w:rsid w:val="00F1559A"/>
    <w:rsid w:val="00F16AC1"/>
    <w:rsid w:val="00F17B3E"/>
    <w:rsid w:val="00F17ED6"/>
    <w:rsid w:val="00F2015C"/>
    <w:rsid w:val="00F20676"/>
    <w:rsid w:val="00F209E2"/>
    <w:rsid w:val="00F22145"/>
    <w:rsid w:val="00F2368C"/>
    <w:rsid w:val="00F2398F"/>
    <w:rsid w:val="00F23A3C"/>
    <w:rsid w:val="00F252EB"/>
    <w:rsid w:val="00F2533F"/>
    <w:rsid w:val="00F25578"/>
    <w:rsid w:val="00F25707"/>
    <w:rsid w:val="00F258E5"/>
    <w:rsid w:val="00F25B9C"/>
    <w:rsid w:val="00F2675A"/>
    <w:rsid w:val="00F26CC6"/>
    <w:rsid w:val="00F26D80"/>
    <w:rsid w:val="00F278A4"/>
    <w:rsid w:val="00F27C52"/>
    <w:rsid w:val="00F300BC"/>
    <w:rsid w:val="00F30419"/>
    <w:rsid w:val="00F305FA"/>
    <w:rsid w:val="00F30BDE"/>
    <w:rsid w:val="00F3263C"/>
    <w:rsid w:val="00F32C18"/>
    <w:rsid w:val="00F33284"/>
    <w:rsid w:val="00F3334E"/>
    <w:rsid w:val="00F33D43"/>
    <w:rsid w:val="00F33F69"/>
    <w:rsid w:val="00F3573A"/>
    <w:rsid w:val="00F35BB7"/>
    <w:rsid w:val="00F35DE5"/>
    <w:rsid w:val="00F36CCB"/>
    <w:rsid w:val="00F3706C"/>
    <w:rsid w:val="00F374E5"/>
    <w:rsid w:val="00F377D0"/>
    <w:rsid w:val="00F37B93"/>
    <w:rsid w:val="00F37BAD"/>
    <w:rsid w:val="00F37ECA"/>
    <w:rsid w:val="00F37FF9"/>
    <w:rsid w:val="00F40A1C"/>
    <w:rsid w:val="00F40A6F"/>
    <w:rsid w:val="00F419A4"/>
    <w:rsid w:val="00F41B07"/>
    <w:rsid w:val="00F41D35"/>
    <w:rsid w:val="00F4204A"/>
    <w:rsid w:val="00F42197"/>
    <w:rsid w:val="00F42C3C"/>
    <w:rsid w:val="00F43AF2"/>
    <w:rsid w:val="00F44DCE"/>
    <w:rsid w:val="00F45216"/>
    <w:rsid w:val="00F45904"/>
    <w:rsid w:val="00F47168"/>
    <w:rsid w:val="00F475AB"/>
    <w:rsid w:val="00F5007E"/>
    <w:rsid w:val="00F508F6"/>
    <w:rsid w:val="00F50EC4"/>
    <w:rsid w:val="00F52232"/>
    <w:rsid w:val="00F527B1"/>
    <w:rsid w:val="00F52CBA"/>
    <w:rsid w:val="00F52DC2"/>
    <w:rsid w:val="00F54AF9"/>
    <w:rsid w:val="00F54B10"/>
    <w:rsid w:val="00F54E9B"/>
    <w:rsid w:val="00F550CF"/>
    <w:rsid w:val="00F551F2"/>
    <w:rsid w:val="00F553D2"/>
    <w:rsid w:val="00F55859"/>
    <w:rsid w:val="00F55B10"/>
    <w:rsid w:val="00F55FC6"/>
    <w:rsid w:val="00F56360"/>
    <w:rsid w:val="00F56594"/>
    <w:rsid w:val="00F56A2D"/>
    <w:rsid w:val="00F57A6D"/>
    <w:rsid w:val="00F6044B"/>
    <w:rsid w:val="00F6181B"/>
    <w:rsid w:val="00F62600"/>
    <w:rsid w:val="00F62F19"/>
    <w:rsid w:val="00F6303E"/>
    <w:rsid w:val="00F638CC"/>
    <w:rsid w:val="00F64C9E"/>
    <w:rsid w:val="00F64CC1"/>
    <w:rsid w:val="00F64EEF"/>
    <w:rsid w:val="00F64FC8"/>
    <w:rsid w:val="00F6567A"/>
    <w:rsid w:val="00F6670C"/>
    <w:rsid w:val="00F66C5D"/>
    <w:rsid w:val="00F6712F"/>
    <w:rsid w:val="00F67228"/>
    <w:rsid w:val="00F67742"/>
    <w:rsid w:val="00F703A1"/>
    <w:rsid w:val="00F708B1"/>
    <w:rsid w:val="00F71CAC"/>
    <w:rsid w:val="00F71D61"/>
    <w:rsid w:val="00F72010"/>
    <w:rsid w:val="00F72317"/>
    <w:rsid w:val="00F73DC1"/>
    <w:rsid w:val="00F73FD9"/>
    <w:rsid w:val="00F74913"/>
    <w:rsid w:val="00F74926"/>
    <w:rsid w:val="00F74DE1"/>
    <w:rsid w:val="00F75616"/>
    <w:rsid w:val="00F75BB8"/>
    <w:rsid w:val="00F76C16"/>
    <w:rsid w:val="00F77714"/>
    <w:rsid w:val="00F777CB"/>
    <w:rsid w:val="00F80100"/>
    <w:rsid w:val="00F80475"/>
    <w:rsid w:val="00F809D4"/>
    <w:rsid w:val="00F80E6E"/>
    <w:rsid w:val="00F81390"/>
    <w:rsid w:val="00F81F7A"/>
    <w:rsid w:val="00F8247A"/>
    <w:rsid w:val="00F82E5C"/>
    <w:rsid w:val="00F83E86"/>
    <w:rsid w:val="00F83EB5"/>
    <w:rsid w:val="00F83F58"/>
    <w:rsid w:val="00F85206"/>
    <w:rsid w:val="00F871FC"/>
    <w:rsid w:val="00F87C7A"/>
    <w:rsid w:val="00F87CEA"/>
    <w:rsid w:val="00F91C9C"/>
    <w:rsid w:val="00F9265D"/>
    <w:rsid w:val="00F938A2"/>
    <w:rsid w:val="00F944E2"/>
    <w:rsid w:val="00F94519"/>
    <w:rsid w:val="00F9464C"/>
    <w:rsid w:val="00F95B56"/>
    <w:rsid w:val="00F95C5D"/>
    <w:rsid w:val="00F9629A"/>
    <w:rsid w:val="00F97C59"/>
    <w:rsid w:val="00F97EFC"/>
    <w:rsid w:val="00FA0986"/>
    <w:rsid w:val="00FA0B04"/>
    <w:rsid w:val="00FA0C7C"/>
    <w:rsid w:val="00FA0FB9"/>
    <w:rsid w:val="00FA1BDD"/>
    <w:rsid w:val="00FA270F"/>
    <w:rsid w:val="00FA2995"/>
    <w:rsid w:val="00FA305C"/>
    <w:rsid w:val="00FA3407"/>
    <w:rsid w:val="00FA3769"/>
    <w:rsid w:val="00FA392F"/>
    <w:rsid w:val="00FA462E"/>
    <w:rsid w:val="00FA4DD5"/>
    <w:rsid w:val="00FA5007"/>
    <w:rsid w:val="00FA5883"/>
    <w:rsid w:val="00FA59E6"/>
    <w:rsid w:val="00FA5ECF"/>
    <w:rsid w:val="00FA6055"/>
    <w:rsid w:val="00FA634B"/>
    <w:rsid w:val="00FA6446"/>
    <w:rsid w:val="00FA6ED7"/>
    <w:rsid w:val="00FA7609"/>
    <w:rsid w:val="00FA7FF5"/>
    <w:rsid w:val="00FB0B39"/>
    <w:rsid w:val="00FB322F"/>
    <w:rsid w:val="00FB3549"/>
    <w:rsid w:val="00FB42F1"/>
    <w:rsid w:val="00FB442F"/>
    <w:rsid w:val="00FC02FC"/>
    <w:rsid w:val="00FC118C"/>
    <w:rsid w:val="00FC1929"/>
    <w:rsid w:val="00FC23DB"/>
    <w:rsid w:val="00FC3BCB"/>
    <w:rsid w:val="00FC4D21"/>
    <w:rsid w:val="00FC55CC"/>
    <w:rsid w:val="00FC5B46"/>
    <w:rsid w:val="00FC6526"/>
    <w:rsid w:val="00FC7BF0"/>
    <w:rsid w:val="00FD085A"/>
    <w:rsid w:val="00FD0BD9"/>
    <w:rsid w:val="00FD13BC"/>
    <w:rsid w:val="00FD18F4"/>
    <w:rsid w:val="00FD1C87"/>
    <w:rsid w:val="00FD1D4F"/>
    <w:rsid w:val="00FD2127"/>
    <w:rsid w:val="00FD217E"/>
    <w:rsid w:val="00FD24BF"/>
    <w:rsid w:val="00FD3B6E"/>
    <w:rsid w:val="00FD3D5F"/>
    <w:rsid w:val="00FD4140"/>
    <w:rsid w:val="00FD4201"/>
    <w:rsid w:val="00FD46BD"/>
    <w:rsid w:val="00FD527A"/>
    <w:rsid w:val="00FD57EB"/>
    <w:rsid w:val="00FD6D8E"/>
    <w:rsid w:val="00FE0663"/>
    <w:rsid w:val="00FE0E94"/>
    <w:rsid w:val="00FE1218"/>
    <w:rsid w:val="00FE1A46"/>
    <w:rsid w:val="00FE369C"/>
    <w:rsid w:val="00FE3CD9"/>
    <w:rsid w:val="00FE576A"/>
    <w:rsid w:val="00FE60DE"/>
    <w:rsid w:val="00FE671E"/>
    <w:rsid w:val="00FE75CE"/>
    <w:rsid w:val="00FE76B6"/>
    <w:rsid w:val="00FF00BD"/>
    <w:rsid w:val="00FF067C"/>
    <w:rsid w:val="00FF0B13"/>
    <w:rsid w:val="00FF1672"/>
    <w:rsid w:val="00FF1D6E"/>
    <w:rsid w:val="00FF1ED4"/>
    <w:rsid w:val="00FF2801"/>
    <w:rsid w:val="00FF5246"/>
    <w:rsid w:val="00FF799B"/>
    <w:rsid w:val="00FF79AB"/>
    <w:rsid w:val="00FF7AD6"/>
    <w:rsid w:val="00FF7BD3"/>
    <w:rsid w:val="012A7082"/>
    <w:rsid w:val="0143FC8B"/>
    <w:rsid w:val="01472274"/>
    <w:rsid w:val="01BAC867"/>
    <w:rsid w:val="02025F40"/>
    <w:rsid w:val="0254441C"/>
    <w:rsid w:val="02C50971"/>
    <w:rsid w:val="02E816C3"/>
    <w:rsid w:val="032394EB"/>
    <w:rsid w:val="0325CCC4"/>
    <w:rsid w:val="033B2F40"/>
    <w:rsid w:val="03EF680C"/>
    <w:rsid w:val="0437B5A4"/>
    <w:rsid w:val="045C7EB9"/>
    <w:rsid w:val="04A12F4E"/>
    <w:rsid w:val="04DBE9EA"/>
    <w:rsid w:val="05182518"/>
    <w:rsid w:val="051D99F9"/>
    <w:rsid w:val="05B612E3"/>
    <w:rsid w:val="0605216C"/>
    <w:rsid w:val="063EE9F7"/>
    <w:rsid w:val="0690ED46"/>
    <w:rsid w:val="069F379E"/>
    <w:rsid w:val="06C18610"/>
    <w:rsid w:val="06D5F395"/>
    <w:rsid w:val="076CEE75"/>
    <w:rsid w:val="08185FB9"/>
    <w:rsid w:val="082A09EB"/>
    <w:rsid w:val="089ABEB1"/>
    <w:rsid w:val="089BC592"/>
    <w:rsid w:val="097DE638"/>
    <w:rsid w:val="0A0C7AE1"/>
    <w:rsid w:val="0A663D94"/>
    <w:rsid w:val="0B1BF5E7"/>
    <w:rsid w:val="0BA0A8D7"/>
    <w:rsid w:val="0CC44FFE"/>
    <w:rsid w:val="0CF130DF"/>
    <w:rsid w:val="0CFE1DFD"/>
    <w:rsid w:val="0D4FC7CF"/>
    <w:rsid w:val="0D942E6B"/>
    <w:rsid w:val="0DC4E36E"/>
    <w:rsid w:val="0DD73BCA"/>
    <w:rsid w:val="0E5E506F"/>
    <w:rsid w:val="0EC80DC0"/>
    <w:rsid w:val="0F5CF529"/>
    <w:rsid w:val="0F7687DF"/>
    <w:rsid w:val="0FC31246"/>
    <w:rsid w:val="1023E0F9"/>
    <w:rsid w:val="1272477B"/>
    <w:rsid w:val="12ADE0A0"/>
    <w:rsid w:val="12B79398"/>
    <w:rsid w:val="12B95C68"/>
    <w:rsid w:val="13029422"/>
    <w:rsid w:val="13160E39"/>
    <w:rsid w:val="1349EE8E"/>
    <w:rsid w:val="14F07869"/>
    <w:rsid w:val="15107A79"/>
    <w:rsid w:val="1559BAC6"/>
    <w:rsid w:val="160AEFFF"/>
    <w:rsid w:val="162998A6"/>
    <w:rsid w:val="168031EC"/>
    <w:rsid w:val="17FD5F39"/>
    <w:rsid w:val="18657CF4"/>
    <w:rsid w:val="18B11C1E"/>
    <w:rsid w:val="18DC9AD2"/>
    <w:rsid w:val="197F6DE2"/>
    <w:rsid w:val="19890FA6"/>
    <w:rsid w:val="19B44400"/>
    <w:rsid w:val="19F2311B"/>
    <w:rsid w:val="19F7AA11"/>
    <w:rsid w:val="1A0D3C6A"/>
    <w:rsid w:val="1A2D1BE7"/>
    <w:rsid w:val="1A8A0C43"/>
    <w:rsid w:val="1B0BFFE7"/>
    <w:rsid w:val="1B234C3C"/>
    <w:rsid w:val="1B4DABE9"/>
    <w:rsid w:val="1B738124"/>
    <w:rsid w:val="1B89E7A2"/>
    <w:rsid w:val="1B8B5484"/>
    <w:rsid w:val="1BAF8E6C"/>
    <w:rsid w:val="1BECF957"/>
    <w:rsid w:val="1D4E7C25"/>
    <w:rsid w:val="1D6033D6"/>
    <w:rsid w:val="1DBAA9D2"/>
    <w:rsid w:val="1DDBDA0D"/>
    <w:rsid w:val="1E382E8C"/>
    <w:rsid w:val="1E938E64"/>
    <w:rsid w:val="1EAFF635"/>
    <w:rsid w:val="1F3EECBD"/>
    <w:rsid w:val="1FB6E350"/>
    <w:rsid w:val="1FF3162D"/>
    <w:rsid w:val="2009EB8A"/>
    <w:rsid w:val="20615CA5"/>
    <w:rsid w:val="21078C11"/>
    <w:rsid w:val="210F5AF1"/>
    <w:rsid w:val="212CBC64"/>
    <w:rsid w:val="231C3354"/>
    <w:rsid w:val="238CC620"/>
    <w:rsid w:val="244B8CF8"/>
    <w:rsid w:val="247807BA"/>
    <w:rsid w:val="24C0A041"/>
    <w:rsid w:val="24CA5046"/>
    <w:rsid w:val="24F49182"/>
    <w:rsid w:val="26266D53"/>
    <w:rsid w:val="26615FE7"/>
    <w:rsid w:val="2678B15D"/>
    <w:rsid w:val="26B75704"/>
    <w:rsid w:val="26F6F44A"/>
    <w:rsid w:val="27394882"/>
    <w:rsid w:val="27BE94D8"/>
    <w:rsid w:val="283CC94E"/>
    <w:rsid w:val="28B27485"/>
    <w:rsid w:val="28E32F19"/>
    <w:rsid w:val="29365BD7"/>
    <w:rsid w:val="294E0008"/>
    <w:rsid w:val="29882150"/>
    <w:rsid w:val="29E0E709"/>
    <w:rsid w:val="2A6592F0"/>
    <w:rsid w:val="2AA490C3"/>
    <w:rsid w:val="2AB480AD"/>
    <w:rsid w:val="2AF035A0"/>
    <w:rsid w:val="2B8D5B09"/>
    <w:rsid w:val="2BE7FE08"/>
    <w:rsid w:val="2C4C1D68"/>
    <w:rsid w:val="2C7C3DFB"/>
    <w:rsid w:val="2CA82C37"/>
    <w:rsid w:val="2D470254"/>
    <w:rsid w:val="2DECC312"/>
    <w:rsid w:val="2E0297A9"/>
    <w:rsid w:val="2E4285CC"/>
    <w:rsid w:val="2E4579D6"/>
    <w:rsid w:val="2EF0545B"/>
    <w:rsid w:val="2FC97F8A"/>
    <w:rsid w:val="300EDF22"/>
    <w:rsid w:val="3079EB0D"/>
    <w:rsid w:val="307D714D"/>
    <w:rsid w:val="3093AC95"/>
    <w:rsid w:val="30E8B387"/>
    <w:rsid w:val="31C1265F"/>
    <w:rsid w:val="31DDA704"/>
    <w:rsid w:val="321F658F"/>
    <w:rsid w:val="3235DD38"/>
    <w:rsid w:val="32536228"/>
    <w:rsid w:val="32A50C26"/>
    <w:rsid w:val="32FFC29C"/>
    <w:rsid w:val="3320F36F"/>
    <w:rsid w:val="340411F6"/>
    <w:rsid w:val="340D0A3D"/>
    <w:rsid w:val="343A4F58"/>
    <w:rsid w:val="343A7870"/>
    <w:rsid w:val="34E7EA92"/>
    <w:rsid w:val="357FB359"/>
    <w:rsid w:val="363425FC"/>
    <w:rsid w:val="373C6128"/>
    <w:rsid w:val="37C1F8E8"/>
    <w:rsid w:val="3805C0E7"/>
    <w:rsid w:val="38168071"/>
    <w:rsid w:val="38AD561B"/>
    <w:rsid w:val="393376D2"/>
    <w:rsid w:val="395463D1"/>
    <w:rsid w:val="398863F1"/>
    <w:rsid w:val="3A20C143"/>
    <w:rsid w:val="3A4C135D"/>
    <w:rsid w:val="3A785C08"/>
    <w:rsid w:val="3BA095AD"/>
    <w:rsid w:val="3D19DE13"/>
    <w:rsid w:val="3DE7CFA8"/>
    <w:rsid w:val="3EDC23CB"/>
    <w:rsid w:val="40771079"/>
    <w:rsid w:val="40930EF5"/>
    <w:rsid w:val="4102F526"/>
    <w:rsid w:val="4110CDB4"/>
    <w:rsid w:val="41939D1B"/>
    <w:rsid w:val="41E5592B"/>
    <w:rsid w:val="4209BF9E"/>
    <w:rsid w:val="42691D0F"/>
    <w:rsid w:val="4294F6B9"/>
    <w:rsid w:val="42D7873C"/>
    <w:rsid w:val="434C36E0"/>
    <w:rsid w:val="4372D6C2"/>
    <w:rsid w:val="438CBF41"/>
    <w:rsid w:val="443448FB"/>
    <w:rsid w:val="44505BFC"/>
    <w:rsid w:val="450F5A46"/>
    <w:rsid w:val="456C4AA2"/>
    <w:rsid w:val="45D52520"/>
    <w:rsid w:val="4641A0D0"/>
    <w:rsid w:val="47014109"/>
    <w:rsid w:val="483DA525"/>
    <w:rsid w:val="483DEF57"/>
    <w:rsid w:val="4873567A"/>
    <w:rsid w:val="48F582C0"/>
    <w:rsid w:val="495D9BBE"/>
    <w:rsid w:val="4981F346"/>
    <w:rsid w:val="49B7B512"/>
    <w:rsid w:val="4AE86C22"/>
    <w:rsid w:val="4B35DECB"/>
    <w:rsid w:val="4B5A455E"/>
    <w:rsid w:val="4C163DEC"/>
    <w:rsid w:val="4C7E6D49"/>
    <w:rsid w:val="4C8B405E"/>
    <w:rsid w:val="4CA8BA21"/>
    <w:rsid w:val="4D21EA56"/>
    <w:rsid w:val="4D566C4E"/>
    <w:rsid w:val="4DA14906"/>
    <w:rsid w:val="4DD74500"/>
    <w:rsid w:val="4EE3854C"/>
    <w:rsid w:val="4F28A562"/>
    <w:rsid w:val="5057B658"/>
    <w:rsid w:val="50CFDC3C"/>
    <w:rsid w:val="50F1C25A"/>
    <w:rsid w:val="517C50E5"/>
    <w:rsid w:val="51A107A9"/>
    <w:rsid w:val="521C1C44"/>
    <w:rsid w:val="52D8C0E8"/>
    <w:rsid w:val="53044900"/>
    <w:rsid w:val="53229BC9"/>
    <w:rsid w:val="53B39A2E"/>
    <w:rsid w:val="53FA152B"/>
    <w:rsid w:val="54C17BA2"/>
    <w:rsid w:val="553311EF"/>
    <w:rsid w:val="559B5E29"/>
    <w:rsid w:val="55ACD1A0"/>
    <w:rsid w:val="5683A135"/>
    <w:rsid w:val="56AFA43F"/>
    <w:rsid w:val="573E66D1"/>
    <w:rsid w:val="57879CAA"/>
    <w:rsid w:val="58963761"/>
    <w:rsid w:val="59185BFB"/>
    <w:rsid w:val="593F501C"/>
    <w:rsid w:val="5966AD63"/>
    <w:rsid w:val="5A05D725"/>
    <w:rsid w:val="5AB0DC44"/>
    <w:rsid w:val="5ADD90BE"/>
    <w:rsid w:val="5B1E38D7"/>
    <w:rsid w:val="5B9D8C93"/>
    <w:rsid w:val="5C384A41"/>
    <w:rsid w:val="5CB076C8"/>
    <w:rsid w:val="5D5832E9"/>
    <w:rsid w:val="5D80A09E"/>
    <w:rsid w:val="5DC12B40"/>
    <w:rsid w:val="5DC1C88E"/>
    <w:rsid w:val="5DF2A876"/>
    <w:rsid w:val="5EACEEBD"/>
    <w:rsid w:val="5EBDDC85"/>
    <w:rsid w:val="5F129E2E"/>
    <w:rsid w:val="5F8C18FC"/>
    <w:rsid w:val="600364F2"/>
    <w:rsid w:val="600E03FD"/>
    <w:rsid w:val="6238D218"/>
    <w:rsid w:val="6266B3CE"/>
    <w:rsid w:val="628CB478"/>
    <w:rsid w:val="62AD93BA"/>
    <w:rsid w:val="63555756"/>
    <w:rsid w:val="643C98CC"/>
    <w:rsid w:val="644E444D"/>
    <w:rsid w:val="64B01B0E"/>
    <w:rsid w:val="65573E26"/>
    <w:rsid w:val="655DB230"/>
    <w:rsid w:val="658D1AD8"/>
    <w:rsid w:val="65AD35BA"/>
    <w:rsid w:val="65C2D45A"/>
    <w:rsid w:val="65D4CBE5"/>
    <w:rsid w:val="6657D135"/>
    <w:rsid w:val="66D9E62A"/>
    <w:rsid w:val="66E8E023"/>
    <w:rsid w:val="6728F4B3"/>
    <w:rsid w:val="673BE400"/>
    <w:rsid w:val="6760D8A7"/>
    <w:rsid w:val="67B6BAF7"/>
    <w:rsid w:val="684BD26B"/>
    <w:rsid w:val="68E0347C"/>
    <w:rsid w:val="6956685D"/>
    <w:rsid w:val="6989473F"/>
    <w:rsid w:val="699B3EBB"/>
    <w:rsid w:val="69A7D5B7"/>
    <w:rsid w:val="6A2AAF49"/>
    <w:rsid w:val="6BAD574D"/>
    <w:rsid w:val="6C57CAE6"/>
    <w:rsid w:val="6CA77350"/>
    <w:rsid w:val="6FB49B1B"/>
    <w:rsid w:val="70971A32"/>
    <w:rsid w:val="709A626A"/>
    <w:rsid w:val="7110AF54"/>
    <w:rsid w:val="7117AE8D"/>
    <w:rsid w:val="713435FA"/>
    <w:rsid w:val="71570840"/>
    <w:rsid w:val="716D6D8F"/>
    <w:rsid w:val="72200BBF"/>
    <w:rsid w:val="731BA24E"/>
    <w:rsid w:val="73848666"/>
    <w:rsid w:val="73C929CD"/>
    <w:rsid w:val="73E7CF48"/>
    <w:rsid w:val="74E6CDE9"/>
    <w:rsid w:val="75B5D97D"/>
    <w:rsid w:val="75B9CE48"/>
    <w:rsid w:val="764DA178"/>
    <w:rsid w:val="77B642A1"/>
    <w:rsid w:val="78063D85"/>
    <w:rsid w:val="78168F3E"/>
    <w:rsid w:val="78E271BD"/>
    <w:rsid w:val="78E93C4E"/>
    <w:rsid w:val="797EAA1C"/>
    <w:rsid w:val="7982C5C7"/>
    <w:rsid w:val="79E941EA"/>
    <w:rsid w:val="7A3DE86F"/>
    <w:rsid w:val="7AD6838E"/>
    <w:rsid w:val="7B180F93"/>
    <w:rsid w:val="7B1B6DA9"/>
    <w:rsid w:val="7B349606"/>
    <w:rsid w:val="7B40301C"/>
    <w:rsid w:val="7B6930E9"/>
    <w:rsid w:val="7C0181FE"/>
    <w:rsid w:val="7C63B7C1"/>
    <w:rsid w:val="7C73E7A8"/>
    <w:rsid w:val="7C7878ED"/>
    <w:rsid w:val="7CDEBC17"/>
    <w:rsid w:val="7D61AEBC"/>
    <w:rsid w:val="7D98DA3E"/>
    <w:rsid w:val="7DAC400C"/>
    <w:rsid w:val="7E303FD3"/>
    <w:rsid w:val="7E3EF267"/>
    <w:rsid w:val="7E77EEEF"/>
    <w:rsid w:val="7E784689"/>
    <w:rsid w:val="7E9A54A9"/>
    <w:rsid w:val="7F47C472"/>
    <w:rsid w:val="7F6C037D"/>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Dossier Table,Standar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11"/>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aliases w:val="Comment Text Char Char Char,Comment Text Char Char"/>
    <w:basedOn w:val="Normal"/>
    <w:link w:val="CommentTextChar"/>
    <w:uiPriority w:val="99"/>
    <w:rsid w:val="00BB7EC3"/>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Heading5Char">
    <w:name w:val="Heading 5 Char"/>
    <w:basedOn w:val="DefaultParagraphFont"/>
    <w:link w:val="Heading5"/>
    <w:rsid w:val="003440B0"/>
    <w:rPr>
      <w:rFonts w:ascii="Calibri" w:hAnsi="Calibri"/>
      <w:b/>
      <w:bCs/>
      <w:i/>
      <w:iCs/>
      <w:sz w:val="26"/>
      <w:szCs w:val="26"/>
    </w:rPr>
  </w:style>
  <w:style w:type="character" w:customStyle="1" w:styleId="Heading6Char">
    <w:name w:val="Heading 6 Char"/>
    <w:basedOn w:val="DefaultParagraphFont"/>
    <w:link w:val="Heading6"/>
    <w:rsid w:val="003440B0"/>
    <w:rPr>
      <w:rFonts w:ascii="Calibri" w:hAnsi="Calibri"/>
      <w:b/>
      <w:bCs/>
      <w:sz w:val="22"/>
      <w:szCs w:val="22"/>
    </w:rPr>
  </w:style>
  <w:style w:type="character" w:customStyle="1" w:styleId="BalloonTextChar">
    <w:name w:val="Balloon Text Char"/>
    <w:basedOn w:val="DefaultParagraphFont"/>
    <w:link w:val="BalloonText"/>
    <w:semiHidden/>
    <w:rsid w:val="003440B0"/>
    <w:rPr>
      <w:rFonts w:ascii="Tahoma" w:hAnsi="Tahoma" w:cs="Tahoma"/>
      <w:sz w:val="16"/>
      <w:szCs w:val="16"/>
    </w:rPr>
  </w:style>
  <w:style w:type="character" w:customStyle="1" w:styleId="BodyText3Char">
    <w:name w:val="Body Text 3 Char"/>
    <w:basedOn w:val="DefaultParagraphFont"/>
    <w:link w:val="BodyText3"/>
    <w:rsid w:val="003440B0"/>
    <w:rPr>
      <w:rFonts w:ascii="Calibri" w:hAnsi="Calibri"/>
      <w:sz w:val="16"/>
      <w:szCs w:val="16"/>
    </w:rPr>
  </w:style>
  <w:style w:type="character" w:customStyle="1" w:styleId="SubtitleChar1">
    <w:name w:val="Subtitle Char1"/>
    <w:basedOn w:val="DefaultParagraphFont"/>
    <w:uiPriority w:val="11"/>
    <w:rsid w:val="003440B0"/>
    <w:rPr>
      <w:rFonts w:asciiTheme="minorHAnsi" w:eastAsiaTheme="majorEastAsia" w:hAnsiTheme="minorHAnsi" w:cstheme="majorBidi"/>
      <w:color w:val="595959" w:themeColor="text1" w:themeTint="A6"/>
      <w:spacing w:val="15"/>
      <w:sz w:val="28"/>
      <w:szCs w:val="28"/>
    </w:rPr>
  </w:style>
  <w:style w:type="paragraph" w:customStyle="1" w:styleId="TableFigureCaption">
    <w:name w:val="Table/Figure Caption"/>
    <w:next w:val="Normal"/>
    <w:link w:val="TableFigureCaptionChar"/>
    <w:qFormat/>
    <w:rsid w:val="00273D42"/>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73D42"/>
    <w:rPr>
      <w:rFonts w:ascii="Arial Narrow" w:eastAsiaTheme="majorEastAsia" w:hAnsi="Arial Narrow" w:cstheme="majorBidi"/>
      <w:b/>
      <w:bCs/>
      <w:szCs w:val="24"/>
    </w:rPr>
  </w:style>
  <w:style w:type="paragraph" w:customStyle="1" w:styleId="PBACcaption">
    <w:name w:val="PBAC caption"/>
    <w:basedOn w:val="Normal"/>
    <w:link w:val="PBACcaptionChar"/>
    <w:qFormat/>
    <w:rsid w:val="00C61CE6"/>
    <w:pPr>
      <w:keepNext/>
      <w:jc w:val="left"/>
    </w:pPr>
    <w:rPr>
      <w:rFonts w:ascii="Aptos" w:eastAsiaTheme="minorHAnsi" w:hAnsi="Aptos" w:cs="Arial"/>
      <w:b/>
      <w:sz w:val="22"/>
      <w:szCs w:val="22"/>
      <w:lang w:eastAsia="en-US"/>
    </w:rPr>
  </w:style>
  <w:style w:type="character" w:customStyle="1" w:styleId="PBACcaptionChar">
    <w:name w:val="PBAC caption Char"/>
    <w:basedOn w:val="DefaultParagraphFont"/>
    <w:link w:val="PBACcaption"/>
    <w:rsid w:val="00C61CE6"/>
    <w:rPr>
      <w:rFonts w:ascii="Aptos" w:eastAsiaTheme="minorHAnsi" w:hAnsi="Aptos" w:cs="Arial"/>
      <w:b/>
      <w:sz w:val="22"/>
      <w:szCs w:val="22"/>
      <w:lang w:eastAsia="en-US"/>
    </w:rPr>
  </w:style>
  <w:style w:type="paragraph" w:customStyle="1" w:styleId="PBACTableHeading">
    <w:name w:val="PBAC Table Heading"/>
    <w:basedOn w:val="Normal"/>
    <w:uiPriority w:val="2"/>
    <w:qFormat/>
    <w:rsid w:val="003D270F"/>
    <w:pPr>
      <w:jc w:val="left"/>
    </w:pPr>
    <w:rPr>
      <w:rFonts w:ascii="Aptos Narrow" w:eastAsiaTheme="minorHAnsi" w:hAnsi="Aptos Narrow" w:cs="Arial"/>
      <w:b/>
      <w:sz w:val="20"/>
      <w:szCs w:val="20"/>
      <w:lang w:eastAsia="en-US"/>
    </w:rPr>
  </w:style>
  <w:style w:type="paragraph" w:styleId="FootnoteText">
    <w:name w:val="footnote text"/>
    <w:basedOn w:val="Normal"/>
    <w:link w:val="FootnoteTextChar"/>
    <w:semiHidden/>
    <w:unhideWhenUsed/>
    <w:rsid w:val="00C718E3"/>
    <w:rPr>
      <w:sz w:val="20"/>
      <w:szCs w:val="20"/>
    </w:rPr>
  </w:style>
  <w:style w:type="character" w:customStyle="1" w:styleId="FootnoteTextChar">
    <w:name w:val="Footnote Text Char"/>
    <w:basedOn w:val="DefaultParagraphFont"/>
    <w:link w:val="FootnoteText"/>
    <w:semiHidden/>
    <w:rsid w:val="00C718E3"/>
    <w:rPr>
      <w:rFonts w:ascii="Calibri" w:hAnsi="Calibri"/>
    </w:rPr>
  </w:style>
  <w:style w:type="character" w:styleId="FootnoteReference">
    <w:name w:val="footnote reference"/>
    <w:basedOn w:val="DefaultParagraphFont"/>
    <w:semiHidden/>
    <w:unhideWhenUsed/>
    <w:rsid w:val="00C718E3"/>
    <w:rPr>
      <w:vertAlign w:val="superscript"/>
    </w:rPr>
  </w:style>
  <w:style w:type="character" w:styleId="Mention">
    <w:name w:val="Mention"/>
    <w:basedOn w:val="DefaultParagraphFont"/>
    <w:uiPriority w:val="99"/>
    <w:unhideWhenUsed/>
    <w:rsid w:val="00210E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nurse-practitioner-and-midwife-pbs-prescribing-c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6363-B43B-4D47-AF83-569052A6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08ABB-0A79-47CB-A8A2-1C62DA6E7B3A}">
  <ds:schemaRefs>
    <ds:schemaRef ds:uri="http://schemas.microsoft.com/sharepoint/v3/contenttype/forms"/>
  </ds:schemaRefs>
</ds:datastoreItem>
</file>

<file path=customXml/itemProps3.xml><?xml version="1.0" encoding="utf-8"?>
<ds:datastoreItem xmlns:ds="http://schemas.openxmlformats.org/officeDocument/2006/customXml" ds:itemID="{67D5F2F4-29BB-4992-B2FA-7C9A66B7E4E2}">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4624</Words>
  <Characters>28209</Characters>
  <Application>Microsoft Office Word</Application>
  <DocSecurity>0</DocSecurity>
  <Lines>940</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2026-07-08T00:26:00Z</dcterms:created>
  <dcterms:modified xsi:type="dcterms:W3CDTF">2026-07-08T00:26:00Z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69af067f,13a19c8b,14ec2ab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c4ef49f,1242e9a1,56a4aacd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2026-03-31T21:42:28Z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5f504141-7910-4f47-9000-e44555d4f0dd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