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68CFB141" w:rsidR="00B60939" w:rsidRPr="00B06893" w:rsidRDefault="00A57713" w:rsidP="00DC6804">
      <w:pPr>
        <w:pStyle w:val="1-MainHeading"/>
        <w:outlineLvl w:val="9"/>
      </w:pPr>
      <w:bookmarkStart w:id="0" w:name="_Toc219898320"/>
      <w:r w:rsidRPr="00B06893">
        <w:t>5</w:t>
      </w:r>
      <w:r w:rsidR="00433044" w:rsidRPr="00B06893">
        <w:t>.</w:t>
      </w:r>
      <w:r w:rsidRPr="00B06893">
        <w:t>0</w:t>
      </w:r>
      <w:r w:rsidR="00703A41" w:rsidRPr="00B06893">
        <w:t>8</w:t>
      </w:r>
      <w:r w:rsidR="00163F66" w:rsidRPr="00B06893">
        <w:tab/>
      </w:r>
      <w:r w:rsidR="00111E3C" w:rsidRPr="00B06893">
        <w:t>mRNA</w:t>
      </w:r>
      <w:r w:rsidR="00193971">
        <w:noBreakHyphen/>
      </w:r>
      <w:r w:rsidR="00111E3C" w:rsidRPr="00B06893">
        <w:t>1273 mRNA COVID</w:t>
      </w:r>
      <w:r w:rsidR="00193971">
        <w:noBreakHyphen/>
      </w:r>
      <w:r w:rsidR="00111E3C" w:rsidRPr="00B06893">
        <w:t>19 vaccine</w:t>
      </w:r>
      <w:r w:rsidR="00DC6804" w:rsidRPr="00B06893">
        <w:br/>
      </w:r>
      <w:r w:rsidR="00DC6804" w:rsidRPr="00B06893">
        <w:rPr>
          <w:color w:val="0D0D0D" w:themeColor="text1" w:themeTint="F2"/>
        </w:rPr>
        <w:t>Suspension for injection containing SARS</w:t>
      </w:r>
      <w:r w:rsidR="00193971">
        <w:rPr>
          <w:color w:val="0D0D0D" w:themeColor="text1" w:themeTint="F2"/>
        </w:rPr>
        <w:noBreakHyphen/>
      </w:r>
      <w:r w:rsidR="00DC6804" w:rsidRPr="00B06893">
        <w:rPr>
          <w:color w:val="0D0D0D" w:themeColor="text1" w:themeTint="F2"/>
        </w:rPr>
        <w:t>CoV</w:t>
      </w:r>
      <w:r w:rsidR="00193971">
        <w:rPr>
          <w:color w:val="0D0D0D" w:themeColor="text1" w:themeTint="F2"/>
        </w:rPr>
        <w:noBreakHyphen/>
      </w:r>
      <w:r w:rsidR="00DC6804" w:rsidRPr="00B06893">
        <w:rPr>
          <w:color w:val="0D0D0D" w:themeColor="text1" w:themeTint="F2"/>
        </w:rPr>
        <w:t xml:space="preserve">2 spike protein (mRNA), </w:t>
      </w:r>
      <w:r w:rsidR="00955CCF" w:rsidRPr="00B06893">
        <w:rPr>
          <w:color w:val="0D0D0D" w:themeColor="text1" w:themeTint="F2"/>
        </w:rPr>
        <w:br/>
      </w:r>
      <w:r w:rsidR="00DC6804" w:rsidRPr="00B06893">
        <w:rPr>
          <w:color w:val="0D0D0D" w:themeColor="text1" w:themeTint="F2"/>
        </w:rPr>
        <w:t>50 micrograms (0.5 mL dose),</w:t>
      </w:r>
      <w:r w:rsidR="00111E3C" w:rsidRPr="00B06893">
        <w:t xml:space="preserve"> </w:t>
      </w:r>
      <w:r w:rsidR="00955CCF" w:rsidRPr="00B06893">
        <w:br/>
      </w:r>
      <w:r w:rsidR="006802C6" w:rsidRPr="00B06893">
        <w:t>Spikevax®</w:t>
      </w:r>
      <w:r w:rsidR="004A6040" w:rsidRPr="00B06893">
        <w:t>,</w:t>
      </w:r>
      <w:r w:rsidR="004A6040" w:rsidRPr="00B06893">
        <w:br/>
      </w:r>
      <w:r w:rsidR="006802C6" w:rsidRPr="00B06893">
        <w:t>Moderna Australia Pty Ltd</w:t>
      </w:r>
      <w:r w:rsidR="00B60939" w:rsidRPr="00B06893">
        <w:t>.</w:t>
      </w:r>
      <w:bookmarkEnd w:id="0"/>
    </w:p>
    <w:p w14:paraId="11C00795" w14:textId="3DFB6D23" w:rsidR="00B50DB8" w:rsidRPr="00B06893" w:rsidRDefault="00B50DB8" w:rsidP="004A6040">
      <w:pPr>
        <w:pStyle w:val="2-SectionHeading"/>
      </w:pPr>
      <w:bookmarkStart w:id="1" w:name="_Toc219898322"/>
      <w:r w:rsidRPr="00B06893">
        <w:t xml:space="preserve">Purpose of </w:t>
      </w:r>
      <w:r w:rsidR="00CD7193" w:rsidRPr="00B06893">
        <w:t>s</w:t>
      </w:r>
      <w:r w:rsidR="00BB3A45" w:rsidRPr="00B06893">
        <w:t>ubmission</w:t>
      </w:r>
      <w:bookmarkEnd w:id="1"/>
    </w:p>
    <w:p w14:paraId="3B4F66D6" w14:textId="30890549" w:rsidR="00173B38" w:rsidRPr="00B06893" w:rsidRDefault="00CF3E57" w:rsidP="00501A02">
      <w:pPr>
        <w:pStyle w:val="3-BodyText"/>
      </w:pPr>
      <w:bookmarkStart w:id="2" w:name="_Ref218692789"/>
      <w:r w:rsidRPr="00B06893">
        <w:t>Th</w:t>
      </w:r>
      <w:r w:rsidR="009C2AC7" w:rsidRPr="00B06893">
        <w:t>is</w:t>
      </w:r>
      <w:r w:rsidRPr="00B06893">
        <w:t xml:space="preserve"> Category </w:t>
      </w:r>
      <w:r w:rsidR="009C2AC7" w:rsidRPr="00B06893">
        <w:t xml:space="preserve">2 </w:t>
      </w:r>
      <w:r w:rsidRPr="00B06893">
        <w:t xml:space="preserve">submission requested a National Immunisation Program (NIP) listing </w:t>
      </w:r>
      <w:r w:rsidR="00B86925" w:rsidRPr="00B06893">
        <w:t>of mRNA</w:t>
      </w:r>
      <w:r w:rsidR="00193971">
        <w:noBreakHyphen/>
      </w:r>
      <w:r w:rsidR="00B86925" w:rsidRPr="00B06893">
        <w:t>1273 (Spikevax</w:t>
      </w:r>
      <w:r w:rsidR="005429F3" w:rsidRPr="00B06893">
        <w:t>®</w:t>
      </w:r>
      <w:r w:rsidR="00B86925" w:rsidRPr="00B06893">
        <w:t xml:space="preserve">) </w:t>
      </w:r>
      <w:r w:rsidRPr="00B06893">
        <w:t>for the prevention of coronavirus disease 2019 (COVID</w:t>
      </w:r>
      <w:r w:rsidR="00193971">
        <w:noBreakHyphen/>
      </w:r>
      <w:r w:rsidRPr="00B06893">
        <w:t xml:space="preserve">19) </w:t>
      </w:r>
      <w:r w:rsidR="00173B38" w:rsidRPr="00B06893">
        <w:t>caused by SARS</w:t>
      </w:r>
      <w:r w:rsidR="00193971">
        <w:noBreakHyphen/>
      </w:r>
      <w:r w:rsidR="00173B38" w:rsidRPr="00B06893">
        <w:t>CoV</w:t>
      </w:r>
      <w:r w:rsidR="00193971">
        <w:noBreakHyphen/>
      </w:r>
      <w:r w:rsidR="00173B38" w:rsidRPr="00B06893">
        <w:t>2 in four populations of adults as follows:</w:t>
      </w:r>
      <w:bookmarkEnd w:id="2"/>
    </w:p>
    <w:p w14:paraId="1F213874" w14:textId="77777777" w:rsidR="00173B38" w:rsidRPr="00B06893" w:rsidRDefault="00173B38" w:rsidP="00D80B33">
      <w:pPr>
        <w:pStyle w:val="ListParagraph"/>
        <w:numPr>
          <w:ilvl w:val="1"/>
          <w:numId w:val="26"/>
        </w:numPr>
      </w:pPr>
      <w:r w:rsidRPr="00B06893">
        <w:t xml:space="preserve">Adults aged 75 years or more (2 doses per year); </w:t>
      </w:r>
    </w:p>
    <w:p w14:paraId="587F8255" w14:textId="5A9F76B6" w:rsidR="00173B38" w:rsidRPr="00B06893" w:rsidRDefault="00173B38" w:rsidP="00D80B33">
      <w:pPr>
        <w:pStyle w:val="ListParagraph"/>
        <w:numPr>
          <w:ilvl w:val="1"/>
          <w:numId w:val="26"/>
        </w:numPr>
      </w:pPr>
      <w:r w:rsidRPr="00B06893">
        <w:t>Adults aged 65</w:t>
      </w:r>
      <w:r w:rsidR="00193971">
        <w:noBreakHyphen/>
      </w:r>
      <w:r w:rsidRPr="00B06893">
        <w:t xml:space="preserve">74 years (1 dose per year); </w:t>
      </w:r>
    </w:p>
    <w:p w14:paraId="5A597E9E" w14:textId="5AD578F9" w:rsidR="00173B38" w:rsidRPr="00B06893" w:rsidRDefault="00173B38" w:rsidP="00D80B33">
      <w:pPr>
        <w:pStyle w:val="ListParagraph"/>
        <w:numPr>
          <w:ilvl w:val="1"/>
          <w:numId w:val="26"/>
        </w:numPr>
      </w:pPr>
      <w:r w:rsidRPr="00B06893">
        <w:t>Adults aged 18</w:t>
      </w:r>
      <w:r w:rsidR="00193971">
        <w:noBreakHyphen/>
      </w:r>
      <w:r w:rsidRPr="00B06893">
        <w:t xml:space="preserve">64 years with severe immunocompromise (1 dose per year); and </w:t>
      </w:r>
    </w:p>
    <w:p w14:paraId="4C65D036" w14:textId="6EB96B62" w:rsidR="00173B38" w:rsidRPr="00B06893" w:rsidRDefault="00173B38" w:rsidP="00D80B33">
      <w:pPr>
        <w:pStyle w:val="ListParagraph"/>
        <w:numPr>
          <w:ilvl w:val="1"/>
          <w:numId w:val="26"/>
        </w:numPr>
      </w:pPr>
      <w:r w:rsidRPr="00B06893">
        <w:t>Aboriginal and Torres Strait Islander adults aged 50 to 74 years (1 dose per year).</w:t>
      </w:r>
    </w:p>
    <w:p w14:paraId="7E3B4637" w14:textId="6475701D" w:rsidR="00CF3E57" w:rsidRPr="00B06893" w:rsidRDefault="00CF3E57" w:rsidP="00CF3E57">
      <w:pPr>
        <w:pStyle w:val="3-BodyText"/>
        <w:spacing w:after="120"/>
      </w:pPr>
      <w:r w:rsidRPr="00B06893">
        <w:t xml:space="preserve">Listing was requested </w:t>
      </w:r>
      <w:proofErr w:type="gramStart"/>
      <w:r w:rsidRPr="00B06893">
        <w:t>on the basis of</w:t>
      </w:r>
      <w:proofErr w:type="gramEnd"/>
      <w:r w:rsidRPr="00B06893">
        <w:t xml:space="preserve"> a cost</w:t>
      </w:r>
      <w:r w:rsidR="00193971">
        <w:noBreakHyphen/>
      </w:r>
      <w:r w:rsidRPr="00B06893">
        <w:t xml:space="preserve">utility analysis comparing </w:t>
      </w:r>
      <w:r w:rsidR="000D789F" w:rsidRPr="00B06893">
        <w:t xml:space="preserve">the </w:t>
      </w:r>
      <w:r w:rsidRPr="00B06893">
        <w:t xml:space="preserve">Spikevax </w:t>
      </w:r>
      <w:r w:rsidR="000D789F" w:rsidRPr="00B06893">
        <w:t>vaccine (</w:t>
      </w:r>
      <w:r w:rsidRPr="00B06893">
        <w:t xml:space="preserve">variant updated messenger ribonucleic acid </w:t>
      </w:r>
      <w:r w:rsidR="000D789F" w:rsidRPr="00B06893">
        <w:t>[</w:t>
      </w:r>
      <w:r w:rsidRPr="00B06893">
        <w:t>mRNA</w:t>
      </w:r>
      <w:r w:rsidR="000D789F" w:rsidRPr="00B06893">
        <w:t>])</w:t>
      </w:r>
      <w:r w:rsidRPr="00B06893">
        <w:t xml:space="preserve"> to no </w:t>
      </w:r>
      <w:r w:rsidR="00F00FE1" w:rsidRPr="00B06893">
        <w:t>vaccination</w:t>
      </w:r>
      <w:r w:rsidRPr="00B06893">
        <w:t xml:space="preserve">. </w:t>
      </w:r>
      <w:r w:rsidRPr="00B06893">
        <w:fldChar w:fldCharType="begin"/>
      </w:r>
      <w:r w:rsidRPr="00B06893">
        <w:instrText xml:space="preserve"> REF _Ref216171600 \h </w:instrText>
      </w:r>
      <w:r w:rsidRPr="00B06893">
        <w:fldChar w:fldCharType="separate"/>
      </w:r>
      <w:r w:rsidR="00810177" w:rsidRPr="00B06893">
        <w:t>Table 1</w:t>
      </w:r>
      <w:r w:rsidRPr="00B06893">
        <w:fldChar w:fldCharType="end"/>
      </w:r>
      <w:r w:rsidRPr="00B06893">
        <w:t xml:space="preserve"> summarises the </w:t>
      </w:r>
      <w:r w:rsidR="00DB0D25" w:rsidRPr="00B06893">
        <w:t xml:space="preserve">key </w:t>
      </w:r>
      <w:r w:rsidRPr="00B06893">
        <w:t>components of the Population, Intervention, Comparator, Outcomes (PICO) framework and the clinical claim</w:t>
      </w:r>
      <w:r w:rsidR="000D789F" w:rsidRPr="00B06893">
        <w:t>s</w:t>
      </w:r>
      <w:r w:rsidRPr="00B06893">
        <w:t xml:space="preserve"> presented in the submission.</w:t>
      </w:r>
      <w:r w:rsidR="00C761A9" w:rsidRPr="00B06893">
        <w:t xml:space="preserve"> </w:t>
      </w:r>
      <w:r w:rsidR="00FB1DB7" w:rsidRPr="00B06893">
        <w:t>P</w:t>
      </w:r>
      <w:r w:rsidR="00C761A9" w:rsidRPr="00B06893">
        <w:t>rimary doses were not requested for NIP listing.</w:t>
      </w:r>
    </w:p>
    <w:p w14:paraId="0FB481DC" w14:textId="3E22A1D1" w:rsidR="000F5A1E" w:rsidRPr="00B06893" w:rsidRDefault="009B1F0D" w:rsidP="00501A02">
      <w:pPr>
        <w:pStyle w:val="3-BodyText"/>
        <w:spacing w:before="120" w:after="120"/>
      </w:pPr>
      <w:r w:rsidRPr="00B06893">
        <w:t>The proposed NIP listing represents a restricted group in comparison to current arrangements under the National COVID</w:t>
      </w:r>
      <w:r w:rsidR="00193971">
        <w:noBreakHyphen/>
      </w:r>
      <w:r w:rsidRPr="00B06893">
        <w:t>19 Vaccination Program (NCVP). The proposal did not request NIP listing for instances for which ATAGI has recommended to “consider” a dose based on individual risk</w:t>
      </w:r>
      <w:r w:rsidR="00193971">
        <w:noBreakHyphen/>
      </w:r>
      <w:r w:rsidRPr="00B06893">
        <w:t>benefit assessment.</w:t>
      </w:r>
      <w:r w:rsidR="000F5A1E" w:rsidRPr="00B06893">
        <w:t xml:space="preserve"> </w:t>
      </w:r>
    </w:p>
    <w:p w14:paraId="4301ADAE" w14:textId="1A3A1A52" w:rsidR="00CF3E57" w:rsidRPr="00B06893" w:rsidRDefault="00CF3E57" w:rsidP="00CF3E57">
      <w:pPr>
        <w:pStyle w:val="TableFigureHeading"/>
        <w:rPr>
          <w:rStyle w:val="CommentReference"/>
          <w:b/>
          <w:szCs w:val="24"/>
        </w:rPr>
      </w:pPr>
      <w:bookmarkStart w:id="3" w:name="_Ref216171600"/>
      <w:r w:rsidRPr="00B06893">
        <w:lastRenderedPageBreak/>
        <w:t xml:space="preserve">Table </w:t>
      </w:r>
      <w:fldSimple w:instr=" SEQ Table \* ARABIC ">
        <w:r w:rsidR="00810177" w:rsidRPr="00B06893">
          <w:t>1</w:t>
        </w:r>
      </w:fldSimple>
      <w:bookmarkEnd w:id="3"/>
      <w:r w:rsidRPr="00B06893">
        <w:t>:</w:t>
      </w:r>
      <w:r w:rsidRPr="00B06893">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414"/>
        <w:gridCol w:w="7603"/>
      </w:tblGrid>
      <w:tr w:rsidR="00CF3E57" w:rsidRPr="00B06893" w14:paraId="42B3FE77" w14:textId="77777777" w:rsidTr="00CF3E57">
        <w:trPr>
          <w:cantSplit/>
          <w:tblHeader/>
        </w:trPr>
        <w:tc>
          <w:tcPr>
            <w:tcW w:w="784" w:type="pct"/>
            <w:tcBorders>
              <w:top w:val="single" w:sz="4" w:space="0" w:color="auto"/>
              <w:left w:val="single" w:sz="4" w:space="0" w:color="auto"/>
              <w:bottom w:val="single" w:sz="4" w:space="0" w:color="auto"/>
              <w:right w:val="single" w:sz="4" w:space="0" w:color="auto"/>
            </w:tcBorders>
            <w:hideMark/>
          </w:tcPr>
          <w:p w14:paraId="3270D63C" w14:textId="77777777" w:rsidR="00CF3E57" w:rsidRPr="00B06893" w:rsidRDefault="00CF3E57" w:rsidP="00501A02">
            <w:pPr>
              <w:pStyle w:val="TableText0"/>
              <w:rPr>
                <w:b/>
                <w:bCs w:val="0"/>
              </w:rPr>
            </w:pPr>
            <w:r w:rsidRPr="00B06893">
              <w:rPr>
                <w:b/>
                <w:bCs w:val="0"/>
              </w:rPr>
              <w:t>Component</w:t>
            </w:r>
          </w:p>
        </w:tc>
        <w:tc>
          <w:tcPr>
            <w:tcW w:w="4216" w:type="pct"/>
            <w:tcBorders>
              <w:top w:val="single" w:sz="4" w:space="0" w:color="auto"/>
              <w:left w:val="single" w:sz="4" w:space="0" w:color="auto"/>
              <w:bottom w:val="single" w:sz="4" w:space="0" w:color="auto"/>
              <w:right w:val="single" w:sz="4" w:space="0" w:color="auto"/>
            </w:tcBorders>
            <w:hideMark/>
          </w:tcPr>
          <w:p w14:paraId="2DD79676" w14:textId="77777777" w:rsidR="00CF3E57" w:rsidRPr="00B06893" w:rsidRDefault="00CF3E57" w:rsidP="00501A02">
            <w:pPr>
              <w:pStyle w:val="TableText0"/>
              <w:rPr>
                <w:b/>
                <w:bCs w:val="0"/>
              </w:rPr>
            </w:pPr>
            <w:r w:rsidRPr="00B06893">
              <w:rPr>
                <w:b/>
                <w:bCs w:val="0"/>
              </w:rPr>
              <w:t>Description</w:t>
            </w:r>
          </w:p>
        </w:tc>
      </w:tr>
      <w:tr w:rsidR="00CF3E57" w:rsidRPr="00B06893" w14:paraId="5A1636D5" w14:textId="77777777" w:rsidTr="00CF3E57">
        <w:trPr>
          <w:cantSplit/>
        </w:trPr>
        <w:tc>
          <w:tcPr>
            <w:tcW w:w="784" w:type="pct"/>
            <w:tcBorders>
              <w:top w:val="single" w:sz="4" w:space="0" w:color="auto"/>
              <w:left w:val="single" w:sz="4" w:space="0" w:color="auto"/>
              <w:bottom w:val="single" w:sz="4" w:space="0" w:color="auto"/>
              <w:right w:val="single" w:sz="4" w:space="0" w:color="auto"/>
            </w:tcBorders>
            <w:hideMark/>
          </w:tcPr>
          <w:p w14:paraId="0E35EDA8" w14:textId="77777777" w:rsidR="00CF3E57" w:rsidRPr="00B06893" w:rsidRDefault="00CF3E57" w:rsidP="00501A02">
            <w:pPr>
              <w:pStyle w:val="TableText0"/>
            </w:pPr>
            <w:r w:rsidRPr="00B06893">
              <w:t>Population</w:t>
            </w:r>
          </w:p>
        </w:tc>
        <w:tc>
          <w:tcPr>
            <w:tcW w:w="4216" w:type="pct"/>
            <w:tcBorders>
              <w:top w:val="single" w:sz="4" w:space="0" w:color="auto"/>
              <w:left w:val="single" w:sz="4" w:space="0" w:color="auto"/>
              <w:bottom w:val="single" w:sz="4" w:space="0" w:color="auto"/>
              <w:right w:val="single" w:sz="4" w:space="0" w:color="auto"/>
            </w:tcBorders>
            <w:vAlign w:val="center"/>
            <w:hideMark/>
          </w:tcPr>
          <w:p w14:paraId="45EAF204" w14:textId="77777777" w:rsidR="00CF3E57" w:rsidRPr="00B06893" w:rsidRDefault="00CF3E57" w:rsidP="00501A02">
            <w:pPr>
              <w:pStyle w:val="TableText0"/>
            </w:pPr>
            <w:r w:rsidRPr="00B06893">
              <w:t>Vaccination of age 18 years and older in accordance with the ATAGI recommended population and schedule:</w:t>
            </w:r>
          </w:p>
          <w:p w14:paraId="3B0856DD" w14:textId="77777777" w:rsidR="00CF3E57" w:rsidRPr="00B06893" w:rsidRDefault="00CF3E57" w:rsidP="00D80B33">
            <w:pPr>
              <w:pStyle w:val="TableText0"/>
              <w:numPr>
                <w:ilvl w:val="1"/>
                <w:numId w:val="12"/>
              </w:numPr>
            </w:pPr>
            <w:r w:rsidRPr="00B06893">
              <w:t>75 years and older: Every 6 months</w:t>
            </w:r>
          </w:p>
          <w:p w14:paraId="49F92EEE" w14:textId="77777777" w:rsidR="00CF3E57" w:rsidRPr="00B06893" w:rsidRDefault="00CF3E57" w:rsidP="00D80B33">
            <w:pPr>
              <w:pStyle w:val="TableText0"/>
              <w:numPr>
                <w:ilvl w:val="1"/>
                <w:numId w:val="12"/>
              </w:numPr>
            </w:pPr>
            <w:r w:rsidRPr="00B06893">
              <w:t>65–74 years: Every 12 months</w:t>
            </w:r>
          </w:p>
          <w:p w14:paraId="778A47B6" w14:textId="77777777" w:rsidR="00CF3E57" w:rsidRPr="00B06893" w:rsidRDefault="00CF3E57" w:rsidP="00D80B33">
            <w:pPr>
              <w:pStyle w:val="TableText0"/>
              <w:numPr>
                <w:ilvl w:val="1"/>
                <w:numId w:val="12"/>
              </w:numPr>
            </w:pPr>
            <w:r w:rsidRPr="00B06893">
              <w:t xml:space="preserve">18–64 years with severe immunocompromise: Every 12 months </w:t>
            </w:r>
          </w:p>
          <w:p w14:paraId="0EEDF680" w14:textId="015D5C1D" w:rsidR="00CF3E57" w:rsidRPr="00B06893" w:rsidRDefault="00CF3E57" w:rsidP="00D80B33">
            <w:pPr>
              <w:pStyle w:val="TableText0"/>
              <w:numPr>
                <w:ilvl w:val="1"/>
                <w:numId w:val="12"/>
              </w:numPr>
            </w:pPr>
            <w:r w:rsidRPr="00B06893">
              <w:t>50</w:t>
            </w:r>
            <w:r w:rsidR="00193971">
              <w:noBreakHyphen/>
            </w:r>
            <w:r w:rsidRPr="00B06893">
              <w:t>64 years, Aboriginal and Torres Strait Islanders: Every 12 months</w:t>
            </w:r>
            <w:r w:rsidRPr="00B06893">
              <w:rPr>
                <w:iCs/>
              </w:rPr>
              <w:t>.</w:t>
            </w:r>
          </w:p>
        </w:tc>
      </w:tr>
      <w:tr w:rsidR="00CF3E57" w:rsidRPr="00B06893" w14:paraId="5B4792BE" w14:textId="77777777" w:rsidTr="00CF3E57">
        <w:trPr>
          <w:cantSplit/>
        </w:trPr>
        <w:tc>
          <w:tcPr>
            <w:tcW w:w="784" w:type="pct"/>
            <w:tcBorders>
              <w:top w:val="single" w:sz="4" w:space="0" w:color="auto"/>
              <w:left w:val="single" w:sz="4" w:space="0" w:color="auto"/>
              <w:bottom w:val="single" w:sz="4" w:space="0" w:color="auto"/>
              <w:right w:val="single" w:sz="4" w:space="0" w:color="auto"/>
            </w:tcBorders>
            <w:hideMark/>
          </w:tcPr>
          <w:p w14:paraId="21427B46" w14:textId="77777777" w:rsidR="00CF3E57" w:rsidRPr="00B06893" w:rsidRDefault="00CF3E57" w:rsidP="00501A02">
            <w:pPr>
              <w:pStyle w:val="TableText0"/>
            </w:pPr>
            <w:r w:rsidRPr="00B06893">
              <w:t>Intervention</w:t>
            </w:r>
          </w:p>
        </w:tc>
        <w:tc>
          <w:tcPr>
            <w:tcW w:w="4216" w:type="pct"/>
            <w:tcBorders>
              <w:top w:val="single" w:sz="4" w:space="0" w:color="auto"/>
              <w:left w:val="single" w:sz="4" w:space="0" w:color="auto"/>
              <w:bottom w:val="single" w:sz="4" w:space="0" w:color="auto"/>
              <w:right w:val="single" w:sz="4" w:space="0" w:color="auto"/>
            </w:tcBorders>
            <w:hideMark/>
          </w:tcPr>
          <w:p w14:paraId="0E7FE381" w14:textId="3600FF2C" w:rsidR="00CF3E57" w:rsidRPr="00B06893" w:rsidRDefault="00CF3E57" w:rsidP="00501A02">
            <w:pPr>
              <w:pStyle w:val="TableText0"/>
            </w:pPr>
            <w:r w:rsidRPr="00B06893">
              <w:t xml:space="preserve">Spikevax </w:t>
            </w:r>
            <w:r w:rsidR="00644B48" w:rsidRPr="00B06893">
              <w:t xml:space="preserve">vaccine </w:t>
            </w:r>
            <w:r w:rsidRPr="00B06893">
              <w:t>updated for the most recent variant(s) of concern, TGA approved</w:t>
            </w:r>
          </w:p>
        </w:tc>
      </w:tr>
      <w:tr w:rsidR="00CF3E57" w:rsidRPr="00B06893" w14:paraId="72756BA0" w14:textId="77777777" w:rsidTr="00CF3E57">
        <w:trPr>
          <w:cantSplit/>
        </w:trPr>
        <w:tc>
          <w:tcPr>
            <w:tcW w:w="784" w:type="pct"/>
            <w:tcBorders>
              <w:top w:val="single" w:sz="4" w:space="0" w:color="auto"/>
              <w:left w:val="single" w:sz="4" w:space="0" w:color="auto"/>
              <w:bottom w:val="single" w:sz="4" w:space="0" w:color="auto"/>
              <w:right w:val="single" w:sz="4" w:space="0" w:color="auto"/>
            </w:tcBorders>
            <w:hideMark/>
          </w:tcPr>
          <w:p w14:paraId="63D57CC8" w14:textId="77777777" w:rsidR="00CF3E57" w:rsidRPr="00B06893" w:rsidRDefault="00CF3E57" w:rsidP="00501A02">
            <w:pPr>
              <w:pStyle w:val="TableText0"/>
            </w:pPr>
            <w:r w:rsidRPr="00B06893">
              <w:t>Comparator</w:t>
            </w:r>
          </w:p>
        </w:tc>
        <w:tc>
          <w:tcPr>
            <w:tcW w:w="4216" w:type="pct"/>
            <w:tcBorders>
              <w:top w:val="single" w:sz="4" w:space="0" w:color="auto"/>
              <w:left w:val="single" w:sz="4" w:space="0" w:color="auto"/>
              <w:bottom w:val="single" w:sz="4" w:space="0" w:color="auto"/>
              <w:right w:val="single" w:sz="4" w:space="0" w:color="auto"/>
            </w:tcBorders>
            <w:hideMark/>
          </w:tcPr>
          <w:p w14:paraId="1020E4DE" w14:textId="1E5CF681" w:rsidR="00CF3E57" w:rsidRPr="00B06893" w:rsidRDefault="00B074A3" w:rsidP="00501A02">
            <w:pPr>
              <w:pStyle w:val="TableText0"/>
            </w:pPr>
            <w:r w:rsidRPr="00B06893">
              <w:t>Main</w:t>
            </w:r>
            <w:r w:rsidR="00CF3E57" w:rsidRPr="00B06893">
              <w:t>:</w:t>
            </w:r>
          </w:p>
          <w:p w14:paraId="55328259" w14:textId="77777777" w:rsidR="00B074A3" w:rsidRPr="00B06893" w:rsidRDefault="00F25447" w:rsidP="00D80B33">
            <w:pPr>
              <w:pStyle w:val="TableText0"/>
              <w:numPr>
                <w:ilvl w:val="0"/>
                <w:numId w:val="12"/>
              </w:numPr>
            </w:pPr>
            <w:r w:rsidRPr="00B06893">
              <w:t>N</w:t>
            </w:r>
            <w:r w:rsidR="00CF3E57" w:rsidRPr="00B06893">
              <w:t>o vaccination</w:t>
            </w:r>
          </w:p>
          <w:p w14:paraId="43A86D51" w14:textId="418F25C0" w:rsidR="00CF3E57" w:rsidRPr="00B06893" w:rsidRDefault="00CF3E57" w:rsidP="00B074A3">
            <w:pPr>
              <w:pStyle w:val="TableText0"/>
            </w:pPr>
            <w:r w:rsidRPr="00B06893">
              <w:t>TGA</w:t>
            </w:r>
            <w:r w:rsidR="00193971">
              <w:noBreakHyphen/>
            </w:r>
            <w:r w:rsidRPr="00B06893">
              <w:t>approved near</w:t>
            </w:r>
            <w:r w:rsidR="00193971">
              <w:noBreakHyphen/>
            </w:r>
            <w:r w:rsidRPr="00B06893">
              <w:t xml:space="preserve">market comparator: </w:t>
            </w:r>
          </w:p>
          <w:p w14:paraId="2F768FBF" w14:textId="1A2D08C9" w:rsidR="00CF3E57" w:rsidRPr="00B06893" w:rsidRDefault="00CF3E57" w:rsidP="00D80B33">
            <w:pPr>
              <w:pStyle w:val="TableText0"/>
              <w:numPr>
                <w:ilvl w:val="0"/>
                <w:numId w:val="12"/>
              </w:numPr>
            </w:pPr>
            <w:r w:rsidRPr="00B06893">
              <w:t xml:space="preserve">Comirnaty </w:t>
            </w:r>
            <w:r w:rsidR="00644B48" w:rsidRPr="00B06893">
              <w:t>v</w:t>
            </w:r>
            <w:r w:rsidRPr="00B06893">
              <w:t>accines (updated for the most recent variant of concern, TGA approved)</w:t>
            </w:r>
          </w:p>
        </w:tc>
      </w:tr>
      <w:tr w:rsidR="00CF3E57" w:rsidRPr="00B06893" w14:paraId="7CF59309" w14:textId="77777777" w:rsidTr="00CF3E57">
        <w:trPr>
          <w:cantSplit/>
        </w:trPr>
        <w:tc>
          <w:tcPr>
            <w:tcW w:w="784" w:type="pct"/>
            <w:tcBorders>
              <w:top w:val="single" w:sz="4" w:space="0" w:color="auto"/>
              <w:left w:val="single" w:sz="4" w:space="0" w:color="auto"/>
              <w:bottom w:val="single" w:sz="4" w:space="0" w:color="auto"/>
              <w:right w:val="single" w:sz="4" w:space="0" w:color="auto"/>
            </w:tcBorders>
            <w:hideMark/>
          </w:tcPr>
          <w:p w14:paraId="1DAEBFC7" w14:textId="77777777" w:rsidR="00CF3E57" w:rsidRPr="00B06893" w:rsidRDefault="00CF3E57" w:rsidP="00501A02">
            <w:pPr>
              <w:pStyle w:val="TableText0"/>
            </w:pPr>
            <w:r w:rsidRPr="00B06893">
              <w:t>Outcomes</w:t>
            </w:r>
          </w:p>
        </w:tc>
        <w:tc>
          <w:tcPr>
            <w:tcW w:w="4216" w:type="pct"/>
            <w:tcBorders>
              <w:top w:val="single" w:sz="4" w:space="0" w:color="auto"/>
              <w:left w:val="single" w:sz="4" w:space="0" w:color="auto"/>
              <w:bottom w:val="single" w:sz="4" w:space="0" w:color="auto"/>
              <w:right w:val="single" w:sz="4" w:space="0" w:color="auto"/>
            </w:tcBorders>
            <w:hideMark/>
          </w:tcPr>
          <w:p w14:paraId="54000970" w14:textId="77777777" w:rsidR="00CF3E57" w:rsidRPr="00B06893" w:rsidRDefault="00CF3E57" w:rsidP="00501A02">
            <w:pPr>
              <w:pStyle w:val="TableText0"/>
            </w:pPr>
            <w:r w:rsidRPr="00B06893">
              <w:t>Effectiveness:</w:t>
            </w:r>
          </w:p>
          <w:p w14:paraId="2076E6DB" w14:textId="3A115E23" w:rsidR="00CF3E57" w:rsidRPr="00B06893" w:rsidRDefault="00CF3E57" w:rsidP="00D80B33">
            <w:pPr>
              <w:pStyle w:val="TableText0"/>
              <w:numPr>
                <w:ilvl w:val="0"/>
                <w:numId w:val="12"/>
              </w:numPr>
            </w:pPr>
            <w:r w:rsidRPr="00B06893">
              <w:t>Vaccine effectiveness: Reducing the number of symptomatic COVID</w:t>
            </w:r>
            <w:r w:rsidR="00193971">
              <w:noBreakHyphen/>
            </w:r>
            <w:r w:rsidRPr="00B06893">
              <w:t>19 cases, COVID</w:t>
            </w:r>
            <w:r w:rsidR="00193971">
              <w:noBreakHyphen/>
            </w:r>
            <w:r w:rsidRPr="00B06893">
              <w:t>19 related medical attendance, COVID</w:t>
            </w:r>
            <w:r w:rsidR="00193971">
              <w:noBreakHyphen/>
            </w:r>
            <w:r w:rsidRPr="00B06893">
              <w:t>19 related hospitalisation, COVID</w:t>
            </w:r>
            <w:r w:rsidR="00193971">
              <w:noBreakHyphen/>
            </w:r>
            <w:r w:rsidRPr="00B06893">
              <w:t>19 related ICU admission and mortality</w:t>
            </w:r>
          </w:p>
          <w:p w14:paraId="0C8318E2" w14:textId="77777777" w:rsidR="00CF3E57" w:rsidRPr="00B06893" w:rsidRDefault="00CF3E57" w:rsidP="00501A02">
            <w:pPr>
              <w:pStyle w:val="TableText0"/>
            </w:pPr>
            <w:r w:rsidRPr="00B06893">
              <w:t>Immunogenicity:</w:t>
            </w:r>
          </w:p>
          <w:p w14:paraId="1C5E47DB" w14:textId="77777777" w:rsidR="00CF3E57" w:rsidRPr="00B06893" w:rsidRDefault="00CF3E57" w:rsidP="00D80B33">
            <w:pPr>
              <w:pStyle w:val="TableText0"/>
              <w:numPr>
                <w:ilvl w:val="0"/>
                <w:numId w:val="12"/>
              </w:numPr>
            </w:pPr>
            <w:r w:rsidRPr="00B06893">
              <w:t>Immunogenicity: pseudovirus neutralising antibody (GM level) and seroprevalence (SRR)</w:t>
            </w:r>
          </w:p>
          <w:p w14:paraId="67F76769" w14:textId="77777777" w:rsidR="00CF3E57" w:rsidRPr="00B06893" w:rsidRDefault="00CF3E57" w:rsidP="00501A02">
            <w:pPr>
              <w:pStyle w:val="TableText0"/>
            </w:pPr>
            <w:r w:rsidRPr="00B06893">
              <w:t>Safety:</w:t>
            </w:r>
          </w:p>
          <w:p w14:paraId="19471298" w14:textId="77777777" w:rsidR="00CF3E57" w:rsidRPr="00B06893" w:rsidRDefault="00CF3E57" w:rsidP="00D80B33">
            <w:pPr>
              <w:pStyle w:val="TableText0"/>
              <w:numPr>
                <w:ilvl w:val="0"/>
                <w:numId w:val="12"/>
              </w:numPr>
            </w:pPr>
            <w:r w:rsidRPr="00B06893">
              <w:t>Solicitated (local and systemic) adverse reactions within 7 Days After Injection</w:t>
            </w:r>
          </w:p>
          <w:p w14:paraId="56A116D3" w14:textId="77777777" w:rsidR="00CF3E57" w:rsidRPr="00B06893" w:rsidRDefault="00CF3E57" w:rsidP="00D80B33">
            <w:pPr>
              <w:pStyle w:val="TableText0"/>
              <w:numPr>
                <w:ilvl w:val="0"/>
                <w:numId w:val="12"/>
              </w:numPr>
            </w:pPr>
            <w:r w:rsidRPr="00B06893">
              <w:t>Unsolicited adverse events within 28 days after injection</w:t>
            </w:r>
          </w:p>
        </w:tc>
      </w:tr>
      <w:tr w:rsidR="00CF3E57" w:rsidRPr="00B06893" w14:paraId="7F571CF7" w14:textId="77777777" w:rsidTr="00CF3E57">
        <w:trPr>
          <w:cantSplit/>
        </w:trPr>
        <w:tc>
          <w:tcPr>
            <w:tcW w:w="784" w:type="pct"/>
            <w:tcBorders>
              <w:top w:val="single" w:sz="4" w:space="0" w:color="auto"/>
              <w:left w:val="single" w:sz="4" w:space="0" w:color="auto"/>
              <w:bottom w:val="single" w:sz="4" w:space="0" w:color="auto"/>
              <w:right w:val="single" w:sz="4" w:space="0" w:color="auto"/>
            </w:tcBorders>
            <w:hideMark/>
          </w:tcPr>
          <w:p w14:paraId="7416C02B" w14:textId="77777777" w:rsidR="00CF3E57" w:rsidRPr="00B06893" w:rsidRDefault="00CF3E57" w:rsidP="00501A02">
            <w:pPr>
              <w:pStyle w:val="TableText0"/>
            </w:pPr>
            <w:r w:rsidRPr="00B06893">
              <w:t>Clinical claim</w:t>
            </w:r>
          </w:p>
        </w:tc>
        <w:tc>
          <w:tcPr>
            <w:tcW w:w="4216" w:type="pct"/>
            <w:tcBorders>
              <w:top w:val="single" w:sz="4" w:space="0" w:color="auto"/>
              <w:left w:val="single" w:sz="4" w:space="0" w:color="auto"/>
              <w:bottom w:val="single" w:sz="4" w:space="0" w:color="auto"/>
              <w:right w:val="single" w:sz="4" w:space="0" w:color="auto"/>
            </w:tcBorders>
            <w:hideMark/>
          </w:tcPr>
          <w:p w14:paraId="27D73439" w14:textId="71A90CD8" w:rsidR="00CF3E57" w:rsidRPr="00B06893" w:rsidRDefault="00C761A9" w:rsidP="00501A02">
            <w:pPr>
              <w:pStyle w:val="TableText0"/>
            </w:pPr>
            <w:r w:rsidRPr="00B06893">
              <w:t xml:space="preserve">Main </w:t>
            </w:r>
            <w:r w:rsidR="00CF3E57" w:rsidRPr="00B06893">
              <w:t>comparator:</w:t>
            </w:r>
          </w:p>
          <w:p w14:paraId="05FB3944" w14:textId="6E7D3B06" w:rsidR="00CF3E57" w:rsidRPr="00B06893" w:rsidRDefault="00CF3E57" w:rsidP="00D80B33">
            <w:pPr>
              <w:pStyle w:val="TableText0"/>
              <w:numPr>
                <w:ilvl w:val="0"/>
                <w:numId w:val="12"/>
              </w:numPr>
            </w:pPr>
            <w:r w:rsidRPr="00B06893">
              <w:t xml:space="preserve">Spikevax is superior compared to no </w:t>
            </w:r>
            <w:r w:rsidR="00786AC5" w:rsidRPr="00B06893">
              <w:t>updated vaccine</w:t>
            </w:r>
            <w:r w:rsidRPr="00B06893">
              <w:t xml:space="preserve"> in reducing the number of COVID</w:t>
            </w:r>
            <w:r w:rsidR="00193971">
              <w:noBreakHyphen/>
            </w:r>
            <w:r w:rsidRPr="00B06893">
              <w:t>19 infections, COVID</w:t>
            </w:r>
            <w:r w:rsidR="00193971">
              <w:noBreakHyphen/>
            </w:r>
            <w:r w:rsidRPr="00B06893">
              <w:t>19 related medical attendance, hospitalisation, ICU admission and mortality, and improving immunogenicity. Spikevax is well tolerated with an acceptable safety profile.</w:t>
            </w:r>
            <w:r w:rsidR="00752BAE" w:rsidRPr="00B06893">
              <w:t xml:space="preserve"> Spikevax is inferior compared to no updated vaccine in terms of safety.</w:t>
            </w:r>
          </w:p>
          <w:p w14:paraId="11D08EEB" w14:textId="39CC7B50" w:rsidR="00CF3E57" w:rsidRPr="00B06893" w:rsidRDefault="00CF3E57" w:rsidP="00501A02">
            <w:pPr>
              <w:pStyle w:val="TableText0"/>
            </w:pPr>
            <w:r w:rsidRPr="00B06893">
              <w:t>TGA</w:t>
            </w:r>
            <w:r w:rsidR="00193971">
              <w:noBreakHyphen/>
            </w:r>
            <w:r w:rsidRPr="00B06893">
              <w:t>approved near market comparator:</w:t>
            </w:r>
          </w:p>
          <w:p w14:paraId="09077D1B" w14:textId="0C1F322F" w:rsidR="00CF3E57" w:rsidRPr="00B06893" w:rsidRDefault="00CF3E57" w:rsidP="00D80B33">
            <w:pPr>
              <w:pStyle w:val="TableText0"/>
              <w:numPr>
                <w:ilvl w:val="0"/>
                <w:numId w:val="12"/>
              </w:numPr>
            </w:pPr>
            <w:r w:rsidRPr="00B06893">
              <w:t>Spikevax is at least non</w:t>
            </w:r>
            <w:r w:rsidR="00193971">
              <w:noBreakHyphen/>
            </w:r>
            <w:r w:rsidRPr="00B06893">
              <w:t>inferior to Comirnaty in reducing the number of COVID</w:t>
            </w:r>
            <w:r w:rsidR="00193971">
              <w:noBreakHyphen/>
            </w:r>
            <w:r w:rsidRPr="00B06893">
              <w:t>19 infections, COVID</w:t>
            </w:r>
            <w:r w:rsidR="00193971">
              <w:noBreakHyphen/>
            </w:r>
            <w:r w:rsidRPr="00B06893">
              <w:t>19 related hospitalisation and mortality, and improving immunogenicity. Spikevax is non</w:t>
            </w:r>
            <w:r w:rsidR="00193971">
              <w:noBreakHyphen/>
            </w:r>
            <w:r w:rsidRPr="00B06893">
              <w:t>inferior compared to Comirnaty in terms of safety.</w:t>
            </w:r>
          </w:p>
        </w:tc>
      </w:tr>
    </w:tbl>
    <w:p w14:paraId="4BFF3DB8" w14:textId="6952A9EC" w:rsidR="00CF3E57" w:rsidRPr="00B06893" w:rsidRDefault="00CF3E57" w:rsidP="00CF3E57">
      <w:pPr>
        <w:pStyle w:val="TableFooter"/>
      </w:pPr>
      <w:r w:rsidRPr="00B06893">
        <w:t xml:space="preserve">Source: Table 1.1, p18 </w:t>
      </w:r>
      <w:r w:rsidR="00752BAE" w:rsidRPr="00B06893">
        <w:t xml:space="preserve">and text p112 </w:t>
      </w:r>
      <w:r w:rsidRPr="00B06893">
        <w:t>of the submission</w:t>
      </w:r>
      <w:r w:rsidR="00752BAE" w:rsidRPr="00B06893">
        <w:t xml:space="preserve">. </w:t>
      </w:r>
    </w:p>
    <w:p w14:paraId="19EF9DC7" w14:textId="39746033" w:rsidR="00CF3E57" w:rsidRPr="00B06893" w:rsidRDefault="00CF3E57" w:rsidP="00CF3E57">
      <w:pPr>
        <w:pStyle w:val="TableFooter"/>
      </w:pPr>
      <w:r w:rsidRPr="00B06893">
        <w:t>ATAGI = Australian Technical Advisory Group on Immunisation; COVID</w:t>
      </w:r>
      <w:r w:rsidR="00193971">
        <w:noBreakHyphen/>
      </w:r>
      <w:r w:rsidRPr="00B06893">
        <w:t xml:space="preserve">19 = coronavirus disease 2019; </w:t>
      </w:r>
      <w:r w:rsidR="00432EBF" w:rsidRPr="00B06893">
        <w:t xml:space="preserve">GM = geometric mean; </w:t>
      </w:r>
      <w:r w:rsidRPr="00B06893">
        <w:t>ICU = intensive care unit; SRR = seroreversion rates; TGA = Therapeutic Goods Administration</w:t>
      </w:r>
    </w:p>
    <w:p w14:paraId="18849E48" w14:textId="77777777" w:rsidR="00CF3E57" w:rsidRPr="00B06893" w:rsidRDefault="00CF3E57" w:rsidP="00CF3E57">
      <w:pPr>
        <w:pStyle w:val="TableFooter"/>
      </w:pPr>
    </w:p>
    <w:p w14:paraId="3FFACFD0" w14:textId="77777777" w:rsidR="0086573D" w:rsidRPr="00B06893" w:rsidRDefault="0086573D" w:rsidP="0086573D">
      <w:pPr>
        <w:pStyle w:val="2-SectionHeading"/>
      </w:pPr>
      <w:bookmarkStart w:id="4" w:name="_Toc219898323"/>
      <w:r w:rsidRPr="00B06893">
        <w:t>Background</w:t>
      </w:r>
      <w:bookmarkEnd w:id="4"/>
    </w:p>
    <w:p w14:paraId="14032CCA" w14:textId="77777777" w:rsidR="0086573D" w:rsidRPr="00B06893" w:rsidRDefault="0086573D" w:rsidP="007F6A1E">
      <w:pPr>
        <w:pStyle w:val="4-SubsectionHeading"/>
      </w:pPr>
      <w:bookmarkStart w:id="5" w:name="_Toc22897638"/>
      <w:bookmarkStart w:id="6" w:name="_Toc219898324"/>
      <w:r w:rsidRPr="00B06893">
        <w:t>Registration status</w:t>
      </w:r>
      <w:bookmarkEnd w:id="5"/>
      <w:bookmarkEnd w:id="6"/>
    </w:p>
    <w:p w14:paraId="00C77031" w14:textId="28B41461" w:rsidR="002B35DC" w:rsidRPr="00B06893" w:rsidRDefault="00CE3913" w:rsidP="00501A02">
      <w:pPr>
        <w:pStyle w:val="3-BodyText"/>
      </w:pPr>
      <w:bookmarkStart w:id="7" w:name="_Ref225327212"/>
      <w:r w:rsidRPr="00B06893">
        <w:rPr>
          <w:b/>
          <w:bCs/>
          <w:iCs/>
        </w:rPr>
        <w:t xml:space="preserve">TGA status at the time of </w:t>
      </w:r>
      <w:r w:rsidR="00A70F15" w:rsidRPr="00B06893">
        <w:rPr>
          <w:b/>
          <w:bCs/>
          <w:iCs/>
        </w:rPr>
        <w:t>PBAC consideration</w:t>
      </w:r>
      <w:r w:rsidRPr="00B06893">
        <w:rPr>
          <w:b/>
          <w:bCs/>
          <w:iCs/>
        </w:rPr>
        <w:t>:</w:t>
      </w:r>
      <w:r w:rsidRPr="00B06893">
        <w:rPr>
          <w:iCs/>
        </w:rPr>
        <w:t xml:space="preserve"> </w:t>
      </w:r>
      <w:r w:rsidR="00C2077F" w:rsidRPr="00B06893">
        <w:t xml:space="preserve">The submission was made under the TGA/PBAC Parallel Process. </w:t>
      </w:r>
      <w:r w:rsidR="00981B39" w:rsidRPr="00B06893">
        <w:t xml:space="preserve">At the time of PBAC consideration </w:t>
      </w:r>
      <w:r w:rsidR="00B81781" w:rsidRPr="00B06893">
        <w:rPr>
          <w:iCs/>
        </w:rPr>
        <w:t>Spikevax LP.8.1 remain</w:t>
      </w:r>
      <w:r w:rsidR="00981B39" w:rsidRPr="00B06893">
        <w:rPr>
          <w:iCs/>
        </w:rPr>
        <w:t>ed</w:t>
      </w:r>
      <w:r w:rsidR="00B81781" w:rsidRPr="00B06893">
        <w:rPr>
          <w:iCs/>
        </w:rPr>
        <w:t xml:space="preserve"> under TGA evaluation. </w:t>
      </w:r>
      <w:r w:rsidR="00280A3E" w:rsidRPr="00B06893">
        <w:rPr>
          <w:iCs/>
        </w:rPr>
        <w:t>Spikevax</w:t>
      </w:r>
      <w:r w:rsidR="002B35DC" w:rsidRPr="00B06893">
        <w:rPr>
          <w:iCs/>
        </w:rPr>
        <w:t xml:space="preserve"> was granted full registration on 21 April 2023, with follow</w:t>
      </w:r>
      <w:r w:rsidR="00193971">
        <w:rPr>
          <w:iCs/>
        </w:rPr>
        <w:noBreakHyphen/>
      </w:r>
      <w:r w:rsidR="002B35DC" w:rsidRPr="00B06893">
        <w:rPr>
          <w:iCs/>
        </w:rPr>
        <w:t>on full registrations for BA.4</w:t>
      </w:r>
      <w:r w:rsidR="00193971">
        <w:rPr>
          <w:iCs/>
        </w:rPr>
        <w:noBreakHyphen/>
      </w:r>
      <w:r w:rsidR="002B35DC" w:rsidRPr="00B06893">
        <w:rPr>
          <w:iCs/>
        </w:rPr>
        <w:t>5 on 14 August 2023, XBB.1.5 on 6</w:t>
      </w:r>
      <w:r w:rsidR="00746FE5" w:rsidRPr="00B06893">
        <w:rPr>
          <w:iCs/>
        </w:rPr>
        <w:t> </w:t>
      </w:r>
      <w:r w:rsidR="002B35DC" w:rsidRPr="00B06893">
        <w:rPr>
          <w:iCs/>
        </w:rPr>
        <w:t>October 2023 and JN.1 on 14 November 2024.</w:t>
      </w:r>
      <w:r w:rsidR="00580BAD">
        <w:rPr>
          <w:iCs/>
        </w:rPr>
        <w:t xml:space="preserve"> </w:t>
      </w:r>
      <w:r w:rsidR="002B35DC" w:rsidRPr="00B06893">
        <w:rPr>
          <w:iCs/>
        </w:rPr>
        <w:t xml:space="preserve">The sponsor advised that it was waiting to receive the </w:t>
      </w:r>
      <w:proofErr w:type="gramStart"/>
      <w:r w:rsidR="002B35DC" w:rsidRPr="00B06893">
        <w:rPr>
          <w:iCs/>
        </w:rPr>
        <w:t>final outcome</w:t>
      </w:r>
      <w:proofErr w:type="gramEnd"/>
      <w:r w:rsidR="002B35DC" w:rsidRPr="00B06893">
        <w:rPr>
          <w:iCs/>
        </w:rPr>
        <w:t xml:space="preserve"> letter relating to </w:t>
      </w:r>
      <w:r w:rsidR="00280A3E" w:rsidRPr="00B06893">
        <w:rPr>
          <w:iCs/>
        </w:rPr>
        <w:t xml:space="preserve">Spikevax </w:t>
      </w:r>
      <w:r w:rsidR="002B35DC" w:rsidRPr="00B06893">
        <w:rPr>
          <w:iCs/>
        </w:rPr>
        <w:t>LP.8.1</w:t>
      </w:r>
      <w:r w:rsidR="00280A3E" w:rsidRPr="00B06893">
        <w:rPr>
          <w:iCs/>
        </w:rPr>
        <w:t xml:space="preserve"> from the TGA.</w:t>
      </w:r>
      <w:r w:rsidR="00580BAD">
        <w:rPr>
          <w:iCs/>
        </w:rPr>
        <w:t xml:space="preserve"> </w:t>
      </w:r>
      <w:r w:rsidR="00280A3E" w:rsidRPr="00B06893">
        <w:rPr>
          <w:iCs/>
        </w:rPr>
        <w:t>The sponsor did not provide any further TGA documentation</w:t>
      </w:r>
      <w:r w:rsidR="00746FE5" w:rsidRPr="00B06893">
        <w:rPr>
          <w:iCs/>
        </w:rPr>
        <w:t xml:space="preserve"> for Spikevax LP.8.1</w:t>
      </w:r>
      <w:r w:rsidR="00280A3E" w:rsidRPr="00B06893">
        <w:rPr>
          <w:iCs/>
        </w:rPr>
        <w:t>.</w:t>
      </w:r>
      <w:bookmarkEnd w:id="7"/>
    </w:p>
    <w:p w14:paraId="11F665E9" w14:textId="633C17A7" w:rsidR="00F21B4C" w:rsidRPr="00B06893" w:rsidRDefault="00F21B4C" w:rsidP="0086573D">
      <w:pPr>
        <w:pStyle w:val="3-BodyText"/>
      </w:pPr>
      <w:r w:rsidRPr="00B06893">
        <w:t>The TGA approval process for COVID</w:t>
      </w:r>
      <w:r w:rsidR="00193971">
        <w:noBreakHyphen/>
      </w:r>
      <w:r w:rsidRPr="00B06893">
        <w:t>19 vaccines was established to balance the clinical urgency for COVID</w:t>
      </w:r>
      <w:r w:rsidR="00193971">
        <w:noBreakHyphen/>
      </w:r>
      <w:r w:rsidRPr="00B06893">
        <w:t>19 vaccines with scientific rigour. For adapted vaccines developed to address new variants, the process means that the TGA may approve COVID</w:t>
      </w:r>
      <w:r w:rsidR="00193971">
        <w:noBreakHyphen/>
      </w:r>
      <w:r w:rsidRPr="00B06893">
        <w:t>19 vaccines based, initially, on immunobridging studies before large</w:t>
      </w:r>
      <w:r w:rsidR="00193971">
        <w:noBreakHyphen/>
      </w:r>
      <w:r w:rsidRPr="00B06893">
        <w:t xml:space="preserve">scale real </w:t>
      </w:r>
      <w:r w:rsidRPr="00B06893">
        <w:lastRenderedPageBreak/>
        <w:t>world effectiveness data become available. These studies compare immunogenicity data (e.g., antibody levels) generated by a vaccine that is adapted to the circulating variant to a previously approved version of the vaccine. This approach is considered useful when traditional efficacy trials are impractical, such as for variant</w:t>
      </w:r>
      <w:r w:rsidR="00193971">
        <w:noBreakHyphen/>
      </w:r>
      <w:r w:rsidRPr="00B06893">
        <w:t xml:space="preserve">specific boosters or paediatric approvals. Sponsors are however required to continue to review follow up clinical studies for safety analyses and submit updates to the TGA for patient information and drug safety as required (paragraph 2.5, </w:t>
      </w:r>
      <w:proofErr w:type="spellStart"/>
      <w:r w:rsidRPr="00B06893">
        <w:t>raxtozinameran</w:t>
      </w:r>
      <w:proofErr w:type="spellEnd"/>
      <w:r w:rsidR="00C96983">
        <w:t>,</w:t>
      </w:r>
      <w:r w:rsidR="00E633F9">
        <w:t xml:space="preserve"> Public Summary Document</w:t>
      </w:r>
      <w:r w:rsidRPr="00B06893">
        <w:t xml:space="preserve"> </w:t>
      </w:r>
      <w:r w:rsidR="00E633F9">
        <w:t>[</w:t>
      </w:r>
      <w:r w:rsidRPr="00B06893">
        <w:t>PSD</w:t>
      </w:r>
      <w:r w:rsidR="00E633F9">
        <w:t>]</w:t>
      </w:r>
      <w:r w:rsidRPr="00B06893">
        <w:t xml:space="preserve">, May 2025 PBAC Meeting). </w:t>
      </w:r>
    </w:p>
    <w:p w14:paraId="11C3E650" w14:textId="5E4F4BEB" w:rsidR="00DA46FE" w:rsidRPr="00B06893" w:rsidRDefault="008A3EE3" w:rsidP="003035F7">
      <w:pPr>
        <w:pStyle w:val="3-BodyText"/>
      </w:pPr>
      <w:r w:rsidRPr="00B06893">
        <w:fldChar w:fldCharType="begin"/>
      </w:r>
      <w:r w:rsidRPr="00B06893">
        <w:instrText xml:space="preserve"> REF _Ref216175422 \h </w:instrText>
      </w:r>
      <w:r w:rsidR="00353B71" w:rsidRPr="00B06893">
        <w:instrText xml:space="preserve"> \* MERGEFORMAT </w:instrText>
      </w:r>
      <w:r w:rsidRPr="00B06893">
        <w:fldChar w:fldCharType="separate"/>
      </w:r>
      <w:r w:rsidR="00810177" w:rsidRPr="00B06893">
        <w:t>Table 2</w:t>
      </w:r>
      <w:r w:rsidRPr="00B06893">
        <w:fldChar w:fldCharType="end"/>
      </w:r>
      <w:r w:rsidRPr="00B06893">
        <w:t xml:space="preserve"> summarises the TGA registration status of Spikevax COVID</w:t>
      </w:r>
      <w:r w:rsidR="00193971">
        <w:noBreakHyphen/>
      </w:r>
      <w:r w:rsidRPr="00B06893">
        <w:t>19 vaccine products and related indications.</w:t>
      </w:r>
      <w:r w:rsidR="00E7469D" w:rsidRPr="00B06893">
        <w:t xml:space="preserve"> The submission stated that the sponsor has updated the variants of mRNA</w:t>
      </w:r>
      <w:r w:rsidR="00193971">
        <w:noBreakHyphen/>
      </w:r>
      <w:r w:rsidR="00E7469D" w:rsidRPr="00B06893">
        <w:t>1273 to cover XBB.1.5, JN.1 and KP.2, of which XBB.1.5 and JN.1 are TGA</w:t>
      </w:r>
      <w:r w:rsidR="00193971">
        <w:noBreakHyphen/>
      </w:r>
      <w:r w:rsidR="00E7469D" w:rsidRPr="00B06893">
        <w:t>approved.</w:t>
      </w:r>
      <w:r w:rsidR="00580BAD">
        <w:t xml:space="preserve"> </w:t>
      </w:r>
      <w:r w:rsidR="00DA46FE" w:rsidRPr="00B06893">
        <w:t>Correspondence received from the sponsor on 6 January 2026 stated that TGA registration was not sought for the KP.2 vaccine, although it was registered for use in a small number of other countries.</w:t>
      </w:r>
      <w:r w:rsidR="00580BAD">
        <w:t xml:space="preserve"> </w:t>
      </w:r>
      <w:r w:rsidR="00DA46FE" w:rsidRPr="00B06893">
        <w:t>The correspondence noted that immunogenicity and RWE data are available for the KP.2 vaccine, and these were provided in the submission as they were considered relevant for an assessment of the mRNA platform.</w:t>
      </w:r>
      <w:r w:rsidR="003035F7" w:rsidRPr="00B06893">
        <w:t xml:space="preserve"> </w:t>
      </w:r>
    </w:p>
    <w:p w14:paraId="4B2E87C2" w14:textId="6466BED0" w:rsidR="00291FAE" w:rsidRPr="00B06893" w:rsidRDefault="00902689" w:rsidP="00DA46FE">
      <w:pPr>
        <w:pStyle w:val="3-BodyText"/>
      </w:pPr>
      <w:bookmarkStart w:id="8" w:name="_Ref225327033"/>
      <w:r w:rsidRPr="00B06893">
        <w:rPr>
          <w:iCs/>
        </w:rPr>
        <w:t>The ESC noted the importance of using vaccines that target currently circulating variants, and that vaccines based on earlier viral strains have limited relevance in Australian clinical practice due to reduced effectiveness against predominant SARS</w:t>
      </w:r>
      <w:r w:rsidRPr="00B06893">
        <w:rPr>
          <w:rFonts w:ascii="Cambria Math" w:hAnsi="Cambria Math" w:cs="Cambria Math"/>
          <w:iCs/>
        </w:rPr>
        <w:t>‑</w:t>
      </w:r>
      <w:r w:rsidRPr="00B06893">
        <w:rPr>
          <w:iCs/>
        </w:rPr>
        <w:t>CoV</w:t>
      </w:r>
      <w:r w:rsidRPr="00B06893">
        <w:rPr>
          <w:rFonts w:ascii="Cambria Math" w:hAnsi="Cambria Math" w:cs="Cambria Math"/>
          <w:iCs/>
        </w:rPr>
        <w:t>‑</w:t>
      </w:r>
      <w:r w:rsidRPr="00B06893">
        <w:rPr>
          <w:iCs/>
        </w:rPr>
        <w:t>2 variants.</w:t>
      </w:r>
      <w:bookmarkEnd w:id="8"/>
      <w:r w:rsidRPr="00B06893">
        <w:rPr>
          <w:iCs/>
        </w:rPr>
        <w:t xml:space="preserve"> </w:t>
      </w:r>
    </w:p>
    <w:p w14:paraId="0CFA18C1" w14:textId="29FA977A" w:rsidR="00291FAE" w:rsidRPr="00B06893" w:rsidRDefault="00291FAE" w:rsidP="00D00916">
      <w:pPr>
        <w:pStyle w:val="3-BodyText"/>
      </w:pPr>
      <w:r w:rsidRPr="00B06893">
        <w:rPr>
          <w:iCs/>
        </w:rPr>
        <w:t>The pre</w:t>
      </w:r>
      <w:r w:rsidR="00193971">
        <w:rPr>
          <w:iCs/>
        </w:rPr>
        <w:noBreakHyphen/>
      </w:r>
      <w:r w:rsidRPr="00B06893">
        <w:rPr>
          <w:iCs/>
        </w:rPr>
        <w:t>PBAC response stated the platform approach proposed for COVID</w:t>
      </w:r>
      <w:r w:rsidR="00193971">
        <w:rPr>
          <w:iCs/>
        </w:rPr>
        <w:noBreakHyphen/>
      </w:r>
      <w:r w:rsidRPr="00B06893">
        <w:rPr>
          <w:iCs/>
        </w:rPr>
        <w:t xml:space="preserve">19 vaccines is </w:t>
      </w:r>
      <w:proofErr w:type="gramStart"/>
      <w:r w:rsidRPr="00B06893">
        <w:rPr>
          <w:iCs/>
        </w:rPr>
        <w:t>similar to</w:t>
      </w:r>
      <w:proofErr w:type="gramEnd"/>
      <w:r w:rsidRPr="00B06893">
        <w:rPr>
          <w:iCs/>
        </w:rPr>
        <w:t xml:space="preserve"> that applied for influenza vaccines, insofar as the request being sought for Spikevax would cover future variant updated vaccines in a similar manner to the current influenza vaccines whereby strains are updated on an annual basis.</w:t>
      </w:r>
      <w:r w:rsidR="00580BAD">
        <w:rPr>
          <w:iCs/>
        </w:rPr>
        <w:t xml:space="preserve"> </w:t>
      </w:r>
      <w:r w:rsidRPr="00B06893">
        <w:rPr>
          <w:iCs/>
        </w:rPr>
        <w:t xml:space="preserve">The response stated that vaccine effectiveness </w:t>
      </w:r>
      <w:r w:rsidR="000948F8" w:rsidRPr="00B06893">
        <w:rPr>
          <w:iCs/>
        </w:rPr>
        <w:t xml:space="preserve">(VE) </w:t>
      </w:r>
      <w:r w:rsidRPr="00B06893">
        <w:rPr>
          <w:iCs/>
        </w:rPr>
        <w:t xml:space="preserve">of updated variant vaccines is expected to be maintained or potentially improved through better antigenic matching to </w:t>
      </w:r>
      <w:r w:rsidR="00302D02" w:rsidRPr="00B06893">
        <w:rPr>
          <w:iCs/>
        </w:rPr>
        <w:t>c</w:t>
      </w:r>
      <w:r w:rsidRPr="00B06893">
        <w:rPr>
          <w:iCs/>
        </w:rPr>
        <w:t>irculating variants.</w:t>
      </w:r>
      <w:r w:rsidR="00580BAD">
        <w:rPr>
          <w:iCs/>
        </w:rPr>
        <w:t xml:space="preserve"> </w:t>
      </w:r>
      <w:r w:rsidR="00302D02" w:rsidRPr="00B06893">
        <w:rPr>
          <w:iCs/>
        </w:rPr>
        <w:t>The submission assumed that updated variant vaccines would be available in Australia, however the PBAC considered this would be dependent upon TGA approval, noting that TGA evaluation of Spikevax LP.8.1 was ongoing.</w:t>
      </w:r>
      <w:r w:rsidR="00580BAD">
        <w:rPr>
          <w:iCs/>
        </w:rPr>
        <w:t xml:space="preserve"> </w:t>
      </w:r>
      <w:r w:rsidR="00302D02" w:rsidRPr="00B06893">
        <w:rPr>
          <w:iCs/>
        </w:rPr>
        <w:t xml:space="preserve">The PBAC considered that if Spikevax LP.8.1 is not approved by the TGA, it will have implications for the clinical evaluation of Spikevax, noting that </w:t>
      </w:r>
      <w:r w:rsidR="00302D02" w:rsidRPr="00B06893">
        <w:t xml:space="preserve">Comirnaty LP.8.1 was granted </w:t>
      </w:r>
      <w:r w:rsidR="008429E1" w:rsidRPr="00B06893">
        <w:t>TGA approval on 1 October 2025</w:t>
      </w:r>
      <w:r w:rsidR="008429E1" w:rsidRPr="00B06893">
        <w:rPr>
          <w:rStyle w:val="FootnoteReference"/>
        </w:rPr>
        <w:footnoteReference w:id="1"/>
      </w:r>
      <w:r w:rsidR="00AB2784" w:rsidRPr="00B06893">
        <w:rPr>
          <w:iCs/>
        </w:rPr>
        <w:t>.</w:t>
      </w:r>
    </w:p>
    <w:p w14:paraId="27A46598" w14:textId="33484F79" w:rsidR="0086573D" w:rsidRPr="00B06893" w:rsidRDefault="0086573D" w:rsidP="0086573D">
      <w:pPr>
        <w:pStyle w:val="Caption"/>
      </w:pPr>
      <w:bookmarkStart w:id="9" w:name="_Ref216175422"/>
      <w:r w:rsidRPr="00B06893">
        <w:lastRenderedPageBreak/>
        <w:t xml:space="preserve">Table </w:t>
      </w:r>
      <w:fldSimple w:instr=" SEQ Table \* ARABIC ">
        <w:r w:rsidR="00810177" w:rsidRPr="00B06893">
          <w:t>2</w:t>
        </w:r>
      </w:fldSimple>
      <w:bookmarkEnd w:id="9"/>
      <w:r w:rsidRPr="00B06893">
        <w:t>: Status of TGA Applications for registration of Spikevax COVID</w:t>
      </w:r>
      <w:r w:rsidR="00193971">
        <w:noBreakHyphen/>
      </w:r>
      <w:r w:rsidRPr="00B06893">
        <w:t>19 vaccine</w:t>
      </w:r>
      <w:r w:rsidR="00351047" w:rsidRPr="00B06893">
        <w:t xml:space="preserve"> as reported in submission</w:t>
      </w:r>
    </w:p>
    <w:tbl>
      <w:tblPr>
        <w:tblStyle w:val="TableGrid"/>
        <w:tblW w:w="5000" w:type="pct"/>
        <w:tblLook w:val="04A0" w:firstRow="1" w:lastRow="0" w:firstColumn="1" w:lastColumn="0" w:noHBand="0" w:noVBand="1"/>
        <w:tblCaption w:val="Table 2: Status of TGA Applications for registration of Spikevax COVID 19 vaccine as reported in submission"/>
      </w:tblPr>
      <w:tblGrid>
        <w:gridCol w:w="1549"/>
        <w:gridCol w:w="1883"/>
        <w:gridCol w:w="1861"/>
        <w:gridCol w:w="1623"/>
        <w:gridCol w:w="2101"/>
      </w:tblGrid>
      <w:tr w:rsidR="0086573D" w:rsidRPr="00B06893" w14:paraId="02904E22" w14:textId="77777777" w:rsidTr="00DA664D">
        <w:tc>
          <w:tcPr>
            <w:tcW w:w="859" w:type="pct"/>
            <w:hideMark/>
          </w:tcPr>
          <w:p w14:paraId="68DA4DDC" w14:textId="77777777" w:rsidR="0086573D" w:rsidRPr="00B06893" w:rsidRDefault="0086573D" w:rsidP="00501A02">
            <w:pPr>
              <w:pStyle w:val="TableText0"/>
              <w:rPr>
                <w:b/>
                <w:bCs w:val="0"/>
              </w:rPr>
            </w:pPr>
            <w:r w:rsidRPr="00B06893">
              <w:rPr>
                <w:b/>
                <w:bCs w:val="0"/>
              </w:rPr>
              <w:t>Vaccine Name</w:t>
            </w:r>
          </w:p>
        </w:tc>
        <w:tc>
          <w:tcPr>
            <w:tcW w:w="1044" w:type="pct"/>
          </w:tcPr>
          <w:p w14:paraId="19E9E25E" w14:textId="77777777" w:rsidR="0086573D" w:rsidRPr="00B06893" w:rsidRDefault="0086573D" w:rsidP="00501A02">
            <w:pPr>
              <w:pStyle w:val="TableText0"/>
              <w:rPr>
                <w:b/>
                <w:bCs w:val="0"/>
              </w:rPr>
            </w:pPr>
            <w:r w:rsidRPr="00B06893">
              <w:rPr>
                <w:b/>
                <w:bCs w:val="0"/>
              </w:rPr>
              <w:t>Application</w:t>
            </w:r>
          </w:p>
        </w:tc>
        <w:tc>
          <w:tcPr>
            <w:tcW w:w="1032" w:type="pct"/>
            <w:hideMark/>
          </w:tcPr>
          <w:p w14:paraId="3C9DE3C6" w14:textId="77777777" w:rsidR="0086573D" w:rsidRPr="00B06893" w:rsidRDefault="0086573D" w:rsidP="00501A02">
            <w:pPr>
              <w:pStyle w:val="TableText0"/>
              <w:rPr>
                <w:b/>
                <w:bCs w:val="0"/>
              </w:rPr>
            </w:pPr>
            <w:r w:rsidRPr="00B06893">
              <w:rPr>
                <w:b/>
                <w:bCs w:val="0"/>
              </w:rPr>
              <w:t>Formulation</w:t>
            </w:r>
          </w:p>
        </w:tc>
        <w:tc>
          <w:tcPr>
            <w:tcW w:w="900" w:type="pct"/>
            <w:hideMark/>
          </w:tcPr>
          <w:p w14:paraId="1038028B" w14:textId="76671E4C" w:rsidR="0086573D" w:rsidRPr="00B06893" w:rsidRDefault="0086573D" w:rsidP="00501A02">
            <w:pPr>
              <w:pStyle w:val="TableText0"/>
              <w:rPr>
                <w:b/>
                <w:bCs w:val="0"/>
              </w:rPr>
            </w:pPr>
            <w:r w:rsidRPr="00B06893">
              <w:rPr>
                <w:b/>
                <w:bCs w:val="0"/>
              </w:rPr>
              <w:t>Full/provisional registration</w:t>
            </w:r>
            <w:r w:rsidR="00DA664D" w:rsidRPr="00B06893">
              <w:rPr>
                <w:b/>
                <w:bCs w:val="0"/>
              </w:rPr>
              <w:t xml:space="preserve"> date</w:t>
            </w:r>
          </w:p>
        </w:tc>
        <w:tc>
          <w:tcPr>
            <w:tcW w:w="1165" w:type="pct"/>
          </w:tcPr>
          <w:p w14:paraId="4FC63948" w14:textId="77777777" w:rsidR="0086573D" w:rsidRPr="00B06893" w:rsidRDefault="0086573D" w:rsidP="00501A02">
            <w:pPr>
              <w:pStyle w:val="TableText0"/>
              <w:rPr>
                <w:b/>
                <w:bCs w:val="0"/>
              </w:rPr>
            </w:pPr>
            <w:r w:rsidRPr="00B06893">
              <w:rPr>
                <w:b/>
                <w:bCs w:val="0"/>
              </w:rPr>
              <w:t>Indication</w:t>
            </w:r>
          </w:p>
        </w:tc>
      </w:tr>
      <w:tr w:rsidR="0086573D" w:rsidRPr="00B06893" w14:paraId="65C59134" w14:textId="77777777" w:rsidTr="00DA664D">
        <w:tc>
          <w:tcPr>
            <w:tcW w:w="859" w:type="pct"/>
            <w:vMerge w:val="restart"/>
            <w:hideMark/>
          </w:tcPr>
          <w:p w14:paraId="7512330F" w14:textId="77777777" w:rsidR="0086573D" w:rsidRPr="00B06893" w:rsidRDefault="0086573D" w:rsidP="00501A02">
            <w:pPr>
              <w:pStyle w:val="TableText0"/>
              <w:rPr>
                <w:rStyle w:val="Hyperlink"/>
              </w:rPr>
            </w:pPr>
            <w:r w:rsidRPr="00B06893">
              <w:t>SPIKEVAX (elasomeran)</w:t>
            </w:r>
          </w:p>
        </w:tc>
        <w:tc>
          <w:tcPr>
            <w:tcW w:w="1044" w:type="pct"/>
          </w:tcPr>
          <w:p w14:paraId="563DB5F2" w14:textId="77777777" w:rsidR="0086573D" w:rsidRPr="00B06893" w:rsidRDefault="0086573D" w:rsidP="00501A02">
            <w:pPr>
              <w:pStyle w:val="TableText0"/>
            </w:pPr>
            <w:r w:rsidRPr="00B06893">
              <w:t>individuals 6 years of age and older</w:t>
            </w:r>
          </w:p>
        </w:tc>
        <w:tc>
          <w:tcPr>
            <w:tcW w:w="1032" w:type="pct"/>
          </w:tcPr>
          <w:p w14:paraId="1879DA43" w14:textId="77777777" w:rsidR="0086573D" w:rsidRPr="00B06893" w:rsidRDefault="0086573D" w:rsidP="00501A02">
            <w:pPr>
              <w:pStyle w:val="TableText0"/>
            </w:pPr>
            <w:r w:rsidRPr="00B06893">
              <w:t>0.2 mg/mL suspension for injection vial</w:t>
            </w:r>
          </w:p>
        </w:tc>
        <w:tc>
          <w:tcPr>
            <w:tcW w:w="900" w:type="pct"/>
          </w:tcPr>
          <w:p w14:paraId="15B6EB8C" w14:textId="77777777" w:rsidR="0086573D" w:rsidRPr="00B06893" w:rsidRDefault="0086573D" w:rsidP="00501A02">
            <w:pPr>
              <w:pStyle w:val="TableText0"/>
            </w:pPr>
            <w:r w:rsidRPr="00B06893">
              <w:t>21 April 2023</w:t>
            </w:r>
          </w:p>
        </w:tc>
        <w:tc>
          <w:tcPr>
            <w:tcW w:w="1165" w:type="pct"/>
            <w:vMerge w:val="restart"/>
          </w:tcPr>
          <w:p w14:paraId="25771DF9" w14:textId="1C4DD36F" w:rsidR="0086573D" w:rsidRPr="00B06893" w:rsidRDefault="0086573D" w:rsidP="00501A02">
            <w:pPr>
              <w:pStyle w:val="TableText0"/>
            </w:pPr>
            <w:r w:rsidRPr="00B06893">
              <w:t>Active immunisation to prevent COVID</w:t>
            </w:r>
            <w:r w:rsidR="00193971">
              <w:noBreakHyphen/>
            </w:r>
            <w:r w:rsidRPr="00B06893">
              <w:t>19 caused by SARS</w:t>
            </w:r>
            <w:r w:rsidR="00193971">
              <w:noBreakHyphen/>
            </w:r>
            <w:r w:rsidRPr="00B06893">
              <w:t>CoV</w:t>
            </w:r>
            <w:r w:rsidR="00193971">
              <w:noBreakHyphen/>
            </w:r>
            <w:r w:rsidRPr="00B06893">
              <w:t>2 in individuals 6 years of age and older</w:t>
            </w:r>
          </w:p>
        </w:tc>
      </w:tr>
      <w:tr w:rsidR="0086573D" w:rsidRPr="00B06893" w14:paraId="20B02E48" w14:textId="77777777" w:rsidTr="00DA664D">
        <w:tc>
          <w:tcPr>
            <w:tcW w:w="859" w:type="pct"/>
            <w:vMerge/>
            <w:hideMark/>
          </w:tcPr>
          <w:p w14:paraId="6760571F" w14:textId="77777777" w:rsidR="0086573D" w:rsidRPr="00B06893" w:rsidRDefault="0086573D" w:rsidP="00501A02">
            <w:pPr>
              <w:pStyle w:val="TableText0"/>
              <w:rPr>
                <w:rStyle w:val="Hyperlink"/>
              </w:rPr>
            </w:pPr>
          </w:p>
        </w:tc>
        <w:tc>
          <w:tcPr>
            <w:tcW w:w="1044" w:type="pct"/>
          </w:tcPr>
          <w:p w14:paraId="75FB3B4A" w14:textId="77777777" w:rsidR="0086573D" w:rsidRPr="00B06893" w:rsidRDefault="0086573D" w:rsidP="00501A02">
            <w:pPr>
              <w:pStyle w:val="TableText0"/>
            </w:pPr>
            <w:r w:rsidRPr="00B06893">
              <w:t>individuals 6 years of age and older</w:t>
            </w:r>
          </w:p>
        </w:tc>
        <w:tc>
          <w:tcPr>
            <w:tcW w:w="1032" w:type="pct"/>
          </w:tcPr>
          <w:p w14:paraId="421E8FD3" w14:textId="6B054E20" w:rsidR="0086573D" w:rsidRPr="00B06893" w:rsidRDefault="0086573D" w:rsidP="00501A02">
            <w:pPr>
              <w:pStyle w:val="TableText0"/>
            </w:pPr>
            <w:r w:rsidRPr="00B06893">
              <w:t>0.1 mg/mL suspension for injection pre</w:t>
            </w:r>
            <w:r w:rsidR="00193971">
              <w:noBreakHyphen/>
            </w:r>
            <w:r w:rsidRPr="00B06893">
              <w:t>filled syringe</w:t>
            </w:r>
          </w:p>
        </w:tc>
        <w:tc>
          <w:tcPr>
            <w:tcW w:w="900" w:type="pct"/>
            <w:hideMark/>
          </w:tcPr>
          <w:p w14:paraId="29807AEE" w14:textId="77777777" w:rsidR="0086573D" w:rsidRPr="00B06893" w:rsidRDefault="0086573D" w:rsidP="00501A02">
            <w:pPr>
              <w:pStyle w:val="TableText0"/>
            </w:pPr>
            <w:r w:rsidRPr="00B06893">
              <w:t>21 April 2023</w:t>
            </w:r>
          </w:p>
        </w:tc>
        <w:tc>
          <w:tcPr>
            <w:tcW w:w="1165" w:type="pct"/>
            <w:vMerge/>
          </w:tcPr>
          <w:p w14:paraId="40F8B7CE" w14:textId="77777777" w:rsidR="0086573D" w:rsidRPr="00B06893" w:rsidRDefault="0086573D" w:rsidP="00501A02">
            <w:pPr>
              <w:pStyle w:val="TableText0"/>
            </w:pPr>
          </w:p>
        </w:tc>
      </w:tr>
      <w:tr w:rsidR="0086573D" w:rsidRPr="00B06893" w14:paraId="1FC7653C" w14:textId="77777777" w:rsidTr="00DA664D">
        <w:tc>
          <w:tcPr>
            <w:tcW w:w="859" w:type="pct"/>
            <w:vMerge/>
            <w:hideMark/>
          </w:tcPr>
          <w:p w14:paraId="21EC4ED5" w14:textId="77777777" w:rsidR="0086573D" w:rsidRPr="00B06893" w:rsidRDefault="0086573D" w:rsidP="00501A02">
            <w:pPr>
              <w:pStyle w:val="TableText0"/>
              <w:rPr>
                <w:rStyle w:val="Hyperlink"/>
              </w:rPr>
            </w:pPr>
          </w:p>
        </w:tc>
        <w:tc>
          <w:tcPr>
            <w:tcW w:w="1044" w:type="pct"/>
          </w:tcPr>
          <w:p w14:paraId="01991095" w14:textId="77777777" w:rsidR="0086573D" w:rsidRPr="00B06893" w:rsidRDefault="0086573D" w:rsidP="00501A02">
            <w:pPr>
              <w:pStyle w:val="TableText0"/>
            </w:pPr>
            <w:r w:rsidRPr="00B06893">
              <w:t>individuals aged 6 months to less than 6 years</w:t>
            </w:r>
          </w:p>
        </w:tc>
        <w:tc>
          <w:tcPr>
            <w:tcW w:w="1032" w:type="pct"/>
            <w:hideMark/>
          </w:tcPr>
          <w:p w14:paraId="681DD761" w14:textId="77777777" w:rsidR="0086573D" w:rsidRPr="00B06893" w:rsidRDefault="0086573D" w:rsidP="00501A02">
            <w:pPr>
              <w:pStyle w:val="TableText0"/>
            </w:pPr>
            <w:r w:rsidRPr="00B06893">
              <w:t xml:space="preserve">0.1 mg/mL suspension for injection vial </w:t>
            </w:r>
          </w:p>
        </w:tc>
        <w:tc>
          <w:tcPr>
            <w:tcW w:w="900" w:type="pct"/>
            <w:hideMark/>
          </w:tcPr>
          <w:p w14:paraId="5BDC875E" w14:textId="77777777" w:rsidR="0086573D" w:rsidRPr="00B06893" w:rsidRDefault="0086573D" w:rsidP="00501A02">
            <w:pPr>
              <w:pStyle w:val="TableText0"/>
            </w:pPr>
            <w:r w:rsidRPr="00B06893">
              <w:t>2 May 2025</w:t>
            </w:r>
          </w:p>
        </w:tc>
        <w:tc>
          <w:tcPr>
            <w:tcW w:w="1165" w:type="pct"/>
            <w:vMerge/>
          </w:tcPr>
          <w:p w14:paraId="3642125E" w14:textId="77777777" w:rsidR="0086573D" w:rsidRPr="00B06893" w:rsidRDefault="0086573D" w:rsidP="00501A02">
            <w:pPr>
              <w:pStyle w:val="TableText0"/>
            </w:pPr>
          </w:p>
        </w:tc>
      </w:tr>
      <w:tr w:rsidR="0086573D" w:rsidRPr="00B06893" w14:paraId="2868972B" w14:textId="77777777" w:rsidTr="00DA664D">
        <w:tc>
          <w:tcPr>
            <w:tcW w:w="859" w:type="pct"/>
            <w:vMerge w:val="restart"/>
            <w:hideMark/>
          </w:tcPr>
          <w:p w14:paraId="3F837468" w14:textId="34A8C040" w:rsidR="0086573D" w:rsidRPr="00B06893" w:rsidRDefault="0086573D" w:rsidP="00501A02">
            <w:pPr>
              <w:pStyle w:val="TableText0"/>
            </w:pPr>
            <w:hyperlink r:id="rId11" w:tooltip="Moderna COVID-19 bivalent (SPIKEVAX Bivalent Original/Omicron BA.4-5) booster dose vaccine" w:history="1">
              <w:r w:rsidRPr="00B06893">
                <w:t>SPIKEVAX Bivalent Original/ Omicron BA.4</w:t>
              </w:r>
              <w:r w:rsidR="00193971">
                <w:noBreakHyphen/>
              </w:r>
              <w:r w:rsidRPr="00B06893">
                <w:t>5 (elasomeran/ davesomeran)</w:t>
              </w:r>
            </w:hyperlink>
          </w:p>
        </w:tc>
        <w:tc>
          <w:tcPr>
            <w:tcW w:w="1044" w:type="pct"/>
            <w:vMerge w:val="restart"/>
          </w:tcPr>
          <w:p w14:paraId="311589CE" w14:textId="75F128E0" w:rsidR="0086573D" w:rsidRPr="00B06893" w:rsidRDefault="0086573D" w:rsidP="00501A02">
            <w:pPr>
              <w:pStyle w:val="TableText0"/>
            </w:pPr>
            <w:r w:rsidRPr="00B06893">
              <w:t>individuals 12 years and older who have previously received at least a primary vaccination course against COVID</w:t>
            </w:r>
            <w:r w:rsidR="00193971">
              <w:noBreakHyphen/>
            </w:r>
            <w:r w:rsidRPr="00B06893">
              <w:t>19</w:t>
            </w:r>
          </w:p>
        </w:tc>
        <w:tc>
          <w:tcPr>
            <w:tcW w:w="1032" w:type="pct"/>
            <w:hideMark/>
          </w:tcPr>
          <w:p w14:paraId="22547D61" w14:textId="62B8E5D2" w:rsidR="0086573D" w:rsidRPr="00B06893" w:rsidRDefault="0086573D" w:rsidP="00501A02">
            <w:pPr>
              <w:pStyle w:val="TableText0"/>
            </w:pPr>
            <w:r w:rsidRPr="00B06893">
              <w:t>0.1 mg/mL suspension for injection – single</w:t>
            </w:r>
            <w:r w:rsidR="00193971">
              <w:noBreakHyphen/>
            </w:r>
            <w:r w:rsidRPr="00B06893">
              <w:t>dose</w:t>
            </w:r>
          </w:p>
        </w:tc>
        <w:tc>
          <w:tcPr>
            <w:tcW w:w="900" w:type="pct"/>
            <w:hideMark/>
          </w:tcPr>
          <w:p w14:paraId="1E5AA80A" w14:textId="77777777" w:rsidR="0086573D" w:rsidRPr="00B06893" w:rsidRDefault="0086573D" w:rsidP="00501A02">
            <w:pPr>
              <w:pStyle w:val="TableText0"/>
            </w:pPr>
            <w:r w:rsidRPr="00B06893">
              <w:t>8 June 2023</w:t>
            </w:r>
          </w:p>
        </w:tc>
        <w:tc>
          <w:tcPr>
            <w:tcW w:w="1165" w:type="pct"/>
            <w:vMerge w:val="restart"/>
          </w:tcPr>
          <w:p w14:paraId="16ED4B25" w14:textId="381AC772" w:rsidR="0086573D" w:rsidRPr="00B06893" w:rsidRDefault="0086573D" w:rsidP="00501A02">
            <w:pPr>
              <w:pStyle w:val="TableText0"/>
            </w:pPr>
            <w:r w:rsidRPr="00B06893">
              <w:t>A booster dose for active immunisation to prevent COVID</w:t>
            </w:r>
            <w:r w:rsidR="00193971">
              <w:noBreakHyphen/>
            </w:r>
            <w:r w:rsidRPr="00B06893">
              <w:t>19 caused by SARS</w:t>
            </w:r>
            <w:r w:rsidR="00193971">
              <w:noBreakHyphen/>
            </w:r>
            <w:r w:rsidRPr="00B06893">
              <w:t>CoV</w:t>
            </w:r>
            <w:r w:rsidR="00193971">
              <w:noBreakHyphen/>
            </w:r>
            <w:r w:rsidRPr="00B06893">
              <w:t>2 in individuals 12 years and older who have previously received at least a primary vaccination course against COVID</w:t>
            </w:r>
            <w:r w:rsidR="00193971">
              <w:noBreakHyphen/>
            </w:r>
            <w:r w:rsidRPr="00B06893">
              <w:t>19</w:t>
            </w:r>
          </w:p>
        </w:tc>
      </w:tr>
      <w:tr w:rsidR="0086573D" w:rsidRPr="00B06893" w14:paraId="5180A9C5" w14:textId="77777777" w:rsidTr="00DA664D">
        <w:trPr>
          <w:trHeight w:val="77"/>
        </w:trPr>
        <w:tc>
          <w:tcPr>
            <w:tcW w:w="859" w:type="pct"/>
            <w:vMerge/>
          </w:tcPr>
          <w:p w14:paraId="4F7C2676" w14:textId="77777777" w:rsidR="0086573D" w:rsidRPr="00B06893" w:rsidRDefault="0086573D" w:rsidP="00501A02">
            <w:pPr>
              <w:pStyle w:val="TableText0"/>
            </w:pPr>
          </w:p>
        </w:tc>
        <w:tc>
          <w:tcPr>
            <w:tcW w:w="1044" w:type="pct"/>
            <w:vMerge/>
          </w:tcPr>
          <w:p w14:paraId="68DC4E89" w14:textId="77777777" w:rsidR="0086573D" w:rsidRPr="00B06893" w:rsidRDefault="0086573D" w:rsidP="00501A02">
            <w:pPr>
              <w:pStyle w:val="TableText0"/>
            </w:pPr>
          </w:p>
        </w:tc>
        <w:tc>
          <w:tcPr>
            <w:tcW w:w="1032" w:type="pct"/>
          </w:tcPr>
          <w:p w14:paraId="66BDDD85" w14:textId="77777777" w:rsidR="0086573D" w:rsidRPr="00B06893" w:rsidRDefault="0086573D" w:rsidP="00501A02">
            <w:pPr>
              <w:pStyle w:val="TableText0"/>
            </w:pPr>
            <w:r w:rsidRPr="00B06893">
              <w:t>0.1 mg/mL suspension for injection vial</w:t>
            </w:r>
          </w:p>
        </w:tc>
        <w:tc>
          <w:tcPr>
            <w:tcW w:w="900" w:type="pct"/>
          </w:tcPr>
          <w:p w14:paraId="1CE82BE8" w14:textId="77777777" w:rsidR="0086573D" w:rsidRPr="00B06893" w:rsidRDefault="0086573D" w:rsidP="00501A02">
            <w:pPr>
              <w:pStyle w:val="TableText0"/>
              <w:rPr>
                <w:u w:val="single"/>
              </w:rPr>
            </w:pPr>
            <w:r w:rsidRPr="00B06893">
              <w:rPr>
                <w:u w:val="single"/>
              </w:rPr>
              <w:t>Provisional</w:t>
            </w:r>
          </w:p>
          <w:p w14:paraId="11E92F09" w14:textId="77777777" w:rsidR="0086573D" w:rsidRPr="00B06893" w:rsidRDefault="0086573D" w:rsidP="00501A02">
            <w:pPr>
              <w:pStyle w:val="TableText0"/>
            </w:pPr>
            <w:r w:rsidRPr="00B06893">
              <w:t>20 February 2023</w:t>
            </w:r>
          </w:p>
        </w:tc>
        <w:tc>
          <w:tcPr>
            <w:tcW w:w="1165" w:type="pct"/>
            <w:vMerge/>
          </w:tcPr>
          <w:p w14:paraId="39BE383F" w14:textId="77777777" w:rsidR="0086573D" w:rsidRPr="00B06893" w:rsidRDefault="0086573D" w:rsidP="00501A02">
            <w:pPr>
              <w:pStyle w:val="TableText0"/>
            </w:pPr>
          </w:p>
        </w:tc>
      </w:tr>
      <w:tr w:rsidR="0086573D" w:rsidRPr="00B06893" w14:paraId="19DD7AE0" w14:textId="77777777" w:rsidTr="00DA664D">
        <w:tc>
          <w:tcPr>
            <w:tcW w:w="859" w:type="pct"/>
            <w:vMerge/>
          </w:tcPr>
          <w:p w14:paraId="4FFDBF16" w14:textId="77777777" w:rsidR="0086573D" w:rsidRPr="00B06893" w:rsidRDefault="0086573D" w:rsidP="00501A02">
            <w:pPr>
              <w:pStyle w:val="TableText0"/>
            </w:pPr>
          </w:p>
        </w:tc>
        <w:tc>
          <w:tcPr>
            <w:tcW w:w="1044" w:type="pct"/>
            <w:vMerge/>
          </w:tcPr>
          <w:p w14:paraId="549884A2" w14:textId="77777777" w:rsidR="0086573D" w:rsidRPr="00B06893" w:rsidRDefault="0086573D" w:rsidP="00501A02">
            <w:pPr>
              <w:pStyle w:val="TableText0"/>
            </w:pPr>
          </w:p>
        </w:tc>
        <w:tc>
          <w:tcPr>
            <w:tcW w:w="1032" w:type="pct"/>
          </w:tcPr>
          <w:p w14:paraId="7A252C4A" w14:textId="2FA41555" w:rsidR="0086573D" w:rsidRPr="00B06893" w:rsidRDefault="0086573D" w:rsidP="00501A02">
            <w:pPr>
              <w:pStyle w:val="TableText0"/>
            </w:pPr>
            <w:r w:rsidRPr="00B06893">
              <w:t>0.1 mg/mL suspension for injection pre</w:t>
            </w:r>
            <w:r w:rsidR="00193971">
              <w:noBreakHyphen/>
            </w:r>
            <w:r w:rsidRPr="00B06893">
              <w:t>filled syringe</w:t>
            </w:r>
          </w:p>
        </w:tc>
        <w:tc>
          <w:tcPr>
            <w:tcW w:w="900" w:type="pct"/>
          </w:tcPr>
          <w:p w14:paraId="7F21133B" w14:textId="77777777" w:rsidR="0086573D" w:rsidRPr="00B06893" w:rsidRDefault="0086573D" w:rsidP="00501A02">
            <w:pPr>
              <w:pStyle w:val="TableText0"/>
            </w:pPr>
            <w:r w:rsidRPr="00B06893">
              <w:t>20 February 2023</w:t>
            </w:r>
          </w:p>
        </w:tc>
        <w:tc>
          <w:tcPr>
            <w:tcW w:w="1165" w:type="pct"/>
            <w:vMerge/>
          </w:tcPr>
          <w:p w14:paraId="32EBC47B" w14:textId="77777777" w:rsidR="0086573D" w:rsidRPr="00B06893" w:rsidRDefault="0086573D" w:rsidP="00501A02">
            <w:pPr>
              <w:pStyle w:val="TableText0"/>
            </w:pPr>
          </w:p>
        </w:tc>
      </w:tr>
      <w:tr w:rsidR="0086573D" w:rsidRPr="00B06893" w14:paraId="0D76A4F1" w14:textId="77777777" w:rsidTr="00DA664D">
        <w:trPr>
          <w:trHeight w:val="77"/>
        </w:trPr>
        <w:tc>
          <w:tcPr>
            <w:tcW w:w="859" w:type="pct"/>
            <w:vMerge w:val="restart"/>
            <w:hideMark/>
          </w:tcPr>
          <w:p w14:paraId="60BFB532" w14:textId="77777777" w:rsidR="0086573D" w:rsidRPr="00B06893" w:rsidRDefault="0086573D" w:rsidP="00501A02">
            <w:pPr>
              <w:pStyle w:val="TableText0"/>
            </w:pPr>
            <w:r w:rsidRPr="00B06893">
              <w:t>SPIKEVAX XBB.1.5 (andusomeran)</w:t>
            </w:r>
          </w:p>
        </w:tc>
        <w:tc>
          <w:tcPr>
            <w:tcW w:w="1044" w:type="pct"/>
            <w:vMerge w:val="restart"/>
          </w:tcPr>
          <w:p w14:paraId="3597267E" w14:textId="77777777" w:rsidR="0086573D" w:rsidRPr="00B06893" w:rsidRDefault="0086573D" w:rsidP="00501A02">
            <w:pPr>
              <w:pStyle w:val="TableText0"/>
            </w:pPr>
            <w:r w:rsidRPr="00B06893">
              <w:t>individuals 12 years of age and older</w:t>
            </w:r>
          </w:p>
        </w:tc>
        <w:tc>
          <w:tcPr>
            <w:tcW w:w="1032" w:type="pct"/>
            <w:hideMark/>
          </w:tcPr>
          <w:p w14:paraId="02AC75C3" w14:textId="73FC774F" w:rsidR="0086573D" w:rsidRPr="00B06893" w:rsidRDefault="0086573D" w:rsidP="00501A02">
            <w:pPr>
              <w:pStyle w:val="TableText0"/>
            </w:pPr>
            <w:r w:rsidRPr="00B06893">
              <w:t>0.1 mg/mL suspension for injection pre</w:t>
            </w:r>
            <w:r w:rsidR="00193971">
              <w:noBreakHyphen/>
            </w:r>
            <w:r w:rsidRPr="00B06893">
              <w:t>filled syringe</w:t>
            </w:r>
          </w:p>
        </w:tc>
        <w:tc>
          <w:tcPr>
            <w:tcW w:w="900" w:type="pct"/>
            <w:hideMark/>
          </w:tcPr>
          <w:p w14:paraId="2D2E5FFB" w14:textId="77777777" w:rsidR="0086573D" w:rsidRPr="00B06893" w:rsidRDefault="0086573D" w:rsidP="00501A02">
            <w:pPr>
              <w:pStyle w:val="TableText0"/>
            </w:pPr>
            <w:r w:rsidRPr="00B06893">
              <w:t xml:space="preserve">10 October 2023 </w:t>
            </w:r>
          </w:p>
        </w:tc>
        <w:tc>
          <w:tcPr>
            <w:tcW w:w="1165" w:type="pct"/>
            <w:vMerge w:val="restart"/>
          </w:tcPr>
          <w:p w14:paraId="6724E51E" w14:textId="14D21505" w:rsidR="0086573D" w:rsidRPr="00B06893" w:rsidRDefault="0086573D" w:rsidP="00501A02">
            <w:pPr>
              <w:pStyle w:val="TableText0"/>
            </w:pPr>
            <w:r w:rsidRPr="00B06893">
              <w:t>Active immunisation to prevent COVID</w:t>
            </w:r>
            <w:r w:rsidR="00193971">
              <w:noBreakHyphen/>
            </w:r>
            <w:r w:rsidRPr="00B06893">
              <w:t>19 caused by SARS</w:t>
            </w:r>
            <w:r w:rsidR="00193971">
              <w:noBreakHyphen/>
            </w:r>
            <w:r w:rsidRPr="00B06893">
              <w:t>CoV</w:t>
            </w:r>
            <w:r w:rsidR="00193971">
              <w:noBreakHyphen/>
            </w:r>
            <w:r w:rsidRPr="00B06893">
              <w:t>2 in individuals 12 years of age and older</w:t>
            </w:r>
          </w:p>
        </w:tc>
      </w:tr>
      <w:tr w:rsidR="0086573D" w:rsidRPr="00B06893" w14:paraId="7DED83C4" w14:textId="77777777" w:rsidTr="00DA664D">
        <w:trPr>
          <w:trHeight w:val="77"/>
        </w:trPr>
        <w:tc>
          <w:tcPr>
            <w:tcW w:w="859" w:type="pct"/>
            <w:vMerge/>
          </w:tcPr>
          <w:p w14:paraId="1BA25A64" w14:textId="77777777" w:rsidR="0086573D" w:rsidRPr="00B06893" w:rsidRDefault="0086573D" w:rsidP="00501A02">
            <w:pPr>
              <w:pStyle w:val="TableText0"/>
              <w:rPr>
                <w:rStyle w:val="Hyperlink"/>
              </w:rPr>
            </w:pPr>
          </w:p>
        </w:tc>
        <w:tc>
          <w:tcPr>
            <w:tcW w:w="1044" w:type="pct"/>
            <w:vMerge/>
          </w:tcPr>
          <w:p w14:paraId="3E726194" w14:textId="77777777" w:rsidR="0086573D" w:rsidRPr="00B06893" w:rsidRDefault="0086573D" w:rsidP="00501A02">
            <w:pPr>
              <w:pStyle w:val="TableText0"/>
            </w:pPr>
          </w:p>
        </w:tc>
        <w:tc>
          <w:tcPr>
            <w:tcW w:w="1032" w:type="pct"/>
          </w:tcPr>
          <w:p w14:paraId="45164DE5" w14:textId="52B57C5D" w:rsidR="0086573D" w:rsidRPr="00B06893" w:rsidRDefault="0086573D" w:rsidP="00501A02">
            <w:pPr>
              <w:pStyle w:val="TableText0"/>
            </w:pPr>
            <w:r w:rsidRPr="00B06893">
              <w:t xml:space="preserve">0.1 mg/mL suspension for injection vial </w:t>
            </w:r>
            <w:r w:rsidR="00193971">
              <w:noBreakHyphen/>
            </w:r>
            <w:r w:rsidRPr="00B06893">
              <w:t xml:space="preserve"> single</w:t>
            </w:r>
            <w:r w:rsidR="00193971">
              <w:noBreakHyphen/>
            </w:r>
            <w:r w:rsidRPr="00B06893">
              <w:t>dose</w:t>
            </w:r>
          </w:p>
        </w:tc>
        <w:tc>
          <w:tcPr>
            <w:tcW w:w="900" w:type="pct"/>
          </w:tcPr>
          <w:p w14:paraId="03B72FF3" w14:textId="77777777" w:rsidR="0086573D" w:rsidRPr="00B06893" w:rsidRDefault="0086573D" w:rsidP="00501A02">
            <w:pPr>
              <w:pStyle w:val="TableText0"/>
            </w:pPr>
            <w:r w:rsidRPr="00B06893">
              <w:t>10 October 2023</w:t>
            </w:r>
          </w:p>
        </w:tc>
        <w:tc>
          <w:tcPr>
            <w:tcW w:w="1165" w:type="pct"/>
            <w:vMerge/>
          </w:tcPr>
          <w:p w14:paraId="25B72404" w14:textId="77777777" w:rsidR="0086573D" w:rsidRPr="00B06893" w:rsidRDefault="0086573D" w:rsidP="00501A02">
            <w:pPr>
              <w:pStyle w:val="TableText0"/>
            </w:pPr>
          </w:p>
        </w:tc>
      </w:tr>
      <w:tr w:rsidR="0086573D" w:rsidRPr="00B06893" w14:paraId="71BABEAD" w14:textId="77777777" w:rsidTr="00DA664D">
        <w:trPr>
          <w:trHeight w:val="307"/>
        </w:trPr>
        <w:tc>
          <w:tcPr>
            <w:tcW w:w="859" w:type="pct"/>
          </w:tcPr>
          <w:p w14:paraId="1BE50000" w14:textId="3673E21B" w:rsidR="0086573D" w:rsidRPr="00B06893" w:rsidRDefault="0086573D" w:rsidP="00501A02">
            <w:pPr>
              <w:pStyle w:val="TableText0"/>
            </w:pPr>
            <w:bookmarkStart w:id="10" w:name="_Hlk221704455"/>
            <w:r w:rsidRPr="00B06893">
              <w:t>SPIKEVAX JN.1 (SARS</w:t>
            </w:r>
            <w:r w:rsidR="00193971">
              <w:noBreakHyphen/>
            </w:r>
            <w:r w:rsidRPr="00B06893">
              <w:t>CoV</w:t>
            </w:r>
            <w:r w:rsidR="00193971">
              <w:noBreakHyphen/>
            </w:r>
            <w:r w:rsidRPr="00B06893">
              <w:t xml:space="preserve">2 JN.1 mRNA) </w:t>
            </w:r>
          </w:p>
        </w:tc>
        <w:tc>
          <w:tcPr>
            <w:tcW w:w="1044" w:type="pct"/>
          </w:tcPr>
          <w:p w14:paraId="3B3DB4FA" w14:textId="77777777" w:rsidR="0086573D" w:rsidRPr="00B06893" w:rsidRDefault="0086573D" w:rsidP="00501A02">
            <w:pPr>
              <w:pStyle w:val="TableText0"/>
            </w:pPr>
            <w:r w:rsidRPr="00B06893">
              <w:t>individuals 12 years of age and older</w:t>
            </w:r>
          </w:p>
        </w:tc>
        <w:tc>
          <w:tcPr>
            <w:tcW w:w="1032" w:type="pct"/>
          </w:tcPr>
          <w:p w14:paraId="49549E68" w14:textId="5BEFD993" w:rsidR="0086573D" w:rsidRPr="00B06893" w:rsidRDefault="0086573D" w:rsidP="00501A02">
            <w:pPr>
              <w:pStyle w:val="TableText0"/>
            </w:pPr>
            <w:r w:rsidRPr="00B06893">
              <w:t>0.1 mg/mL suspension for injection pre</w:t>
            </w:r>
            <w:r w:rsidR="00193971">
              <w:noBreakHyphen/>
            </w:r>
            <w:r w:rsidRPr="00B06893">
              <w:t xml:space="preserve">filled syringe </w:t>
            </w:r>
          </w:p>
        </w:tc>
        <w:tc>
          <w:tcPr>
            <w:tcW w:w="900" w:type="pct"/>
          </w:tcPr>
          <w:p w14:paraId="4E4DCF7A" w14:textId="77777777" w:rsidR="0086573D" w:rsidRPr="00B06893" w:rsidRDefault="0086573D" w:rsidP="00501A02">
            <w:pPr>
              <w:pStyle w:val="TableText0"/>
            </w:pPr>
            <w:r w:rsidRPr="00B06893">
              <w:t>15 November 2024</w:t>
            </w:r>
          </w:p>
        </w:tc>
        <w:tc>
          <w:tcPr>
            <w:tcW w:w="1165" w:type="pct"/>
          </w:tcPr>
          <w:p w14:paraId="1A1D510A" w14:textId="77777777" w:rsidR="0086573D" w:rsidRPr="00B06893" w:rsidRDefault="0086573D" w:rsidP="00501A02">
            <w:pPr>
              <w:pStyle w:val="TableText0"/>
            </w:pPr>
            <w:r w:rsidRPr="00B06893">
              <w:t>As above</w:t>
            </w:r>
          </w:p>
        </w:tc>
      </w:tr>
      <w:bookmarkEnd w:id="10"/>
      <w:tr w:rsidR="0086573D" w:rsidRPr="00B06893" w14:paraId="1E0358BD" w14:textId="77777777" w:rsidTr="00DA664D">
        <w:trPr>
          <w:trHeight w:val="307"/>
        </w:trPr>
        <w:tc>
          <w:tcPr>
            <w:tcW w:w="859" w:type="pct"/>
          </w:tcPr>
          <w:p w14:paraId="2431EF15" w14:textId="73EE4CC5" w:rsidR="0086573D" w:rsidRPr="00B06893" w:rsidRDefault="0086573D" w:rsidP="00501A02">
            <w:pPr>
              <w:pStyle w:val="TableText0"/>
            </w:pPr>
            <w:r w:rsidRPr="00B06893">
              <w:t>SPIKEVAX LP.8.1  (SARS</w:t>
            </w:r>
            <w:r w:rsidR="00193971">
              <w:noBreakHyphen/>
            </w:r>
            <w:r w:rsidRPr="00B06893">
              <w:t>CoV</w:t>
            </w:r>
            <w:r w:rsidR="00193971">
              <w:noBreakHyphen/>
            </w:r>
            <w:r w:rsidRPr="00B06893">
              <w:t>2 LP.8.1 mRNA)</w:t>
            </w:r>
            <w:r w:rsidRPr="00B06893">
              <w:rPr>
                <w:vertAlign w:val="superscript"/>
              </w:rPr>
              <w:t>a</w:t>
            </w:r>
          </w:p>
        </w:tc>
        <w:tc>
          <w:tcPr>
            <w:tcW w:w="1044" w:type="pct"/>
          </w:tcPr>
          <w:p w14:paraId="2AADB266" w14:textId="77777777" w:rsidR="0086573D" w:rsidRPr="00B06893" w:rsidRDefault="0086573D" w:rsidP="00501A02">
            <w:pPr>
              <w:pStyle w:val="TableText0"/>
            </w:pPr>
            <w:r w:rsidRPr="00B06893">
              <w:t>individuals 12 years of age and older</w:t>
            </w:r>
          </w:p>
        </w:tc>
        <w:tc>
          <w:tcPr>
            <w:tcW w:w="1032" w:type="pct"/>
          </w:tcPr>
          <w:p w14:paraId="64A1CE9D" w14:textId="72CF6608" w:rsidR="0086573D" w:rsidRPr="00B06893" w:rsidRDefault="0086573D" w:rsidP="00501A02">
            <w:pPr>
              <w:pStyle w:val="TableText0"/>
            </w:pPr>
            <w:r w:rsidRPr="00B06893">
              <w:t>0.1 mg/mL suspension for injection pre</w:t>
            </w:r>
            <w:r w:rsidR="00193971">
              <w:noBreakHyphen/>
            </w:r>
            <w:r w:rsidRPr="00B06893">
              <w:t xml:space="preserve">filled syringe </w:t>
            </w:r>
          </w:p>
        </w:tc>
        <w:tc>
          <w:tcPr>
            <w:tcW w:w="900" w:type="pct"/>
          </w:tcPr>
          <w:p w14:paraId="2E805BE4" w14:textId="1929D657" w:rsidR="00642FFD" w:rsidRPr="00B06893" w:rsidRDefault="00351047" w:rsidP="00351047">
            <w:pPr>
              <w:pStyle w:val="TableText0"/>
              <w:rPr>
                <w:iCs/>
              </w:rPr>
            </w:pPr>
            <w:r w:rsidRPr="00B06893">
              <w:rPr>
                <w:iCs/>
              </w:rPr>
              <w:t>TGA evaluation was ongoing at time of PBAC consideration</w:t>
            </w:r>
          </w:p>
        </w:tc>
        <w:tc>
          <w:tcPr>
            <w:tcW w:w="1165" w:type="pct"/>
          </w:tcPr>
          <w:p w14:paraId="0D52012A" w14:textId="4A7146DD" w:rsidR="002B38FD" w:rsidRPr="00B06893" w:rsidRDefault="002B38FD" w:rsidP="00501A02">
            <w:pPr>
              <w:pStyle w:val="TableText0"/>
              <w:rPr>
                <w:b/>
              </w:rPr>
            </w:pPr>
            <w:r w:rsidRPr="00B06893">
              <w:t>No TGA</w:t>
            </w:r>
            <w:r w:rsidR="00580BAD">
              <w:t xml:space="preserve"> </w:t>
            </w:r>
            <w:r w:rsidRPr="00B06893">
              <w:t>documents were provided with the submission for the LP.8.1 vaccine.</w:t>
            </w:r>
            <w:r w:rsidR="00C27267" w:rsidRPr="00B06893">
              <w:t xml:space="preserve"> Draft Product Information was provided after submission.</w:t>
            </w:r>
          </w:p>
        </w:tc>
      </w:tr>
    </w:tbl>
    <w:p w14:paraId="01701225" w14:textId="64A666E2" w:rsidR="0086573D" w:rsidRPr="00B06893" w:rsidRDefault="0086573D" w:rsidP="007E74F6">
      <w:pPr>
        <w:pStyle w:val="TableFigureFooter"/>
      </w:pPr>
      <w:r w:rsidRPr="00B06893">
        <w:t>Source: Adapted from Table 1</w:t>
      </w:r>
      <w:r w:rsidR="00193971">
        <w:noBreakHyphen/>
      </w:r>
      <w:r w:rsidRPr="00B06893">
        <w:t>17, p44 of the submission.</w:t>
      </w:r>
    </w:p>
    <w:p w14:paraId="4374D3DB" w14:textId="3397BE8B" w:rsidR="0086573D" w:rsidRPr="00B06893" w:rsidRDefault="0086573D" w:rsidP="007E74F6">
      <w:pPr>
        <w:pStyle w:val="TableFigureFooter"/>
      </w:pPr>
      <w:r w:rsidRPr="00B06893">
        <w:t>COVID</w:t>
      </w:r>
      <w:r w:rsidR="00193971">
        <w:noBreakHyphen/>
      </w:r>
      <w:r w:rsidRPr="00B06893">
        <w:t>19 = coronavirus disease 2019; mRNA = messenger ribonucleic acid; SARS</w:t>
      </w:r>
      <w:r w:rsidR="00193971">
        <w:noBreakHyphen/>
      </w:r>
      <w:r w:rsidRPr="00B06893">
        <w:t>CoV</w:t>
      </w:r>
      <w:r w:rsidR="00193971">
        <w:noBreakHyphen/>
      </w:r>
      <w:r w:rsidRPr="00B06893">
        <w:t>2 = severe acute respiratory syndrome coronavirus 2; TGA = Therapeutic Goods Administration</w:t>
      </w:r>
    </w:p>
    <w:p w14:paraId="5E658819" w14:textId="05271E94" w:rsidR="00850F97" w:rsidRPr="00B06893" w:rsidRDefault="0086573D" w:rsidP="007E74F6">
      <w:pPr>
        <w:pStyle w:val="TableFigureFooter"/>
      </w:pPr>
      <w:r w:rsidRPr="00B06893">
        <w:rPr>
          <w:vertAlign w:val="superscript"/>
        </w:rPr>
        <w:t xml:space="preserve">a </w:t>
      </w:r>
      <w:r w:rsidRPr="00B06893">
        <w:t>SPIKEVAX LP.8.1 has been lodged for consideration by the TGA.</w:t>
      </w:r>
    </w:p>
    <w:p w14:paraId="51390652" w14:textId="0D34461B" w:rsidR="00593C03" w:rsidRPr="00B06893" w:rsidRDefault="00593C03" w:rsidP="00501A02">
      <w:pPr>
        <w:pStyle w:val="3-BodyText"/>
      </w:pPr>
      <w:r w:rsidRPr="00B06893">
        <w:t>The submission request</w:t>
      </w:r>
      <w:r w:rsidR="00351047" w:rsidRPr="00B06893">
        <w:t>ed</w:t>
      </w:r>
      <w:r w:rsidRPr="00B06893">
        <w:t xml:space="preserve"> NIP listing of mRNA</w:t>
      </w:r>
      <w:r w:rsidR="00193971">
        <w:noBreakHyphen/>
      </w:r>
      <w:r w:rsidRPr="00B06893">
        <w:t>1273 (Spikevax) updated to target circulating and emerging variants of SARS</w:t>
      </w:r>
      <w:r w:rsidR="00193971">
        <w:noBreakHyphen/>
      </w:r>
      <w:r w:rsidRPr="00B06893">
        <w:t>CoV</w:t>
      </w:r>
      <w:r w:rsidR="00193971">
        <w:noBreakHyphen/>
      </w:r>
      <w:r w:rsidRPr="00B06893">
        <w:t xml:space="preserve">2. As such, the proposed listing is not limited to the </w:t>
      </w:r>
      <w:bookmarkStart w:id="11" w:name="_Hlk221704434"/>
      <w:r w:rsidRPr="00B06893">
        <w:t>current TGA</w:t>
      </w:r>
      <w:r w:rsidR="00193971">
        <w:noBreakHyphen/>
      </w:r>
      <w:r w:rsidRPr="00B06893">
        <w:t xml:space="preserve">approved version of Spikevax (JN.1), nor </w:t>
      </w:r>
      <w:bookmarkEnd w:id="11"/>
      <w:r w:rsidRPr="00B06893">
        <w:t>the version of Spikevax under consideration by the TGA currently (LP.</w:t>
      </w:r>
      <w:r w:rsidR="00351047" w:rsidRPr="00B06893">
        <w:t>8.</w:t>
      </w:r>
      <w:r w:rsidRPr="00B06893">
        <w:t>1).</w:t>
      </w:r>
      <w:r w:rsidR="00580BAD">
        <w:t xml:space="preserve"> </w:t>
      </w:r>
      <w:r w:rsidRPr="00B06893">
        <w:t>A platform approach would mean that PBAC advice could apply to future adaptations of the mRNA</w:t>
      </w:r>
      <w:r w:rsidR="00193971">
        <w:noBreakHyphen/>
      </w:r>
      <w:r w:rsidRPr="00B06893">
        <w:t xml:space="preserve">1273 (Spikevax) vaccine, which would be manufactured by Moderna using the same platform as used for previous Spikevax formulations that have been approved by the </w:t>
      </w:r>
      <w:r w:rsidRPr="00B06893">
        <w:lastRenderedPageBreak/>
        <w:t>TGA and supplied in Australia through the National COVID</w:t>
      </w:r>
      <w:r w:rsidR="00193971">
        <w:noBreakHyphen/>
      </w:r>
      <w:r w:rsidRPr="00B06893">
        <w:t xml:space="preserve">19 Vaccine Program (NCVP). </w:t>
      </w:r>
      <w:r w:rsidR="00305DA1" w:rsidRPr="00B06893">
        <w:t>A positive PBAC recommendation for mRNA</w:t>
      </w:r>
      <w:r w:rsidR="00193971">
        <w:noBreakHyphen/>
      </w:r>
      <w:r w:rsidR="00305DA1" w:rsidRPr="00B06893">
        <w:t xml:space="preserve">1273 </w:t>
      </w:r>
      <w:r w:rsidR="00C52A26" w:rsidRPr="00B06893">
        <w:t xml:space="preserve">(Spikevax) </w:t>
      </w:r>
      <w:r w:rsidR="00305DA1" w:rsidRPr="00B06893">
        <w:t>vaccines would not apply to mRNA</w:t>
      </w:r>
      <w:r w:rsidR="00193971">
        <w:noBreakHyphen/>
      </w:r>
      <w:r w:rsidR="00305DA1" w:rsidRPr="00B06893">
        <w:t xml:space="preserve">1283 </w:t>
      </w:r>
      <w:r w:rsidR="00C52A26" w:rsidRPr="00B06893">
        <w:t xml:space="preserve">(mNEXSPIKE) </w:t>
      </w:r>
      <w:r w:rsidR="00305DA1" w:rsidRPr="00B06893">
        <w:t>vaccines</w:t>
      </w:r>
      <w:r w:rsidR="00C52A26" w:rsidRPr="00B06893">
        <w:t>, as these are different vaccine products.</w:t>
      </w:r>
    </w:p>
    <w:p w14:paraId="64CE9F9B" w14:textId="65CDF976" w:rsidR="00270B50" w:rsidRPr="00B06893" w:rsidRDefault="00270B50" w:rsidP="007F6A1E">
      <w:pPr>
        <w:pStyle w:val="4-SubsectionHeading"/>
      </w:pPr>
      <w:bookmarkStart w:id="12" w:name="_Toc22897639"/>
      <w:bookmarkStart w:id="13" w:name="_Toc219898325"/>
      <w:r w:rsidRPr="00B06893">
        <w:t>Previous PBAC consideration</w:t>
      </w:r>
      <w:bookmarkEnd w:id="12"/>
      <w:bookmarkEnd w:id="13"/>
    </w:p>
    <w:p w14:paraId="27D2E7D8" w14:textId="7DC05F89" w:rsidR="00CA4288" w:rsidRPr="00B06893" w:rsidRDefault="00FB390B" w:rsidP="00501A02">
      <w:pPr>
        <w:pStyle w:val="3-BodyText"/>
        <w:rPr>
          <w:lang w:eastAsia="en-US"/>
        </w:rPr>
      </w:pPr>
      <w:r w:rsidRPr="00B06893">
        <w:rPr>
          <w:lang w:eastAsia="en-US"/>
        </w:rPr>
        <w:t>This is the first submission for consideration by the PBAC to list Spikevax on the NIP.</w:t>
      </w:r>
      <w:r w:rsidR="00CA4288" w:rsidRPr="00B06893">
        <w:rPr>
          <w:lang w:eastAsia="en-US"/>
        </w:rPr>
        <w:t xml:space="preserve"> </w:t>
      </w:r>
      <w:r w:rsidRPr="00B06893">
        <w:rPr>
          <w:lang w:eastAsia="en-US"/>
        </w:rPr>
        <w:t xml:space="preserve">However, a submission </w:t>
      </w:r>
      <w:r w:rsidR="00A47B58" w:rsidRPr="00B06893">
        <w:rPr>
          <w:lang w:eastAsia="en-US"/>
        </w:rPr>
        <w:t>requesting</w:t>
      </w:r>
      <w:r w:rsidRPr="00B06893">
        <w:rPr>
          <w:lang w:eastAsia="en-US"/>
        </w:rPr>
        <w:t xml:space="preserve"> to list </w:t>
      </w:r>
      <w:r w:rsidR="00E34126" w:rsidRPr="00B06893">
        <w:rPr>
          <w:lang w:eastAsia="en-US"/>
        </w:rPr>
        <w:t>Comirnaty</w:t>
      </w:r>
      <w:r w:rsidRPr="00B06893">
        <w:rPr>
          <w:lang w:eastAsia="en-US"/>
        </w:rPr>
        <w:t xml:space="preserve"> (Pfizer Australia Pty Ltd) on the NIP was considered at the May 2025 </w:t>
      </w:r>
      <w:r w:rsidR="00CA4288" w:rsidRPr="00B06893">
        <w:rPr>
          <w:lang w:eastAsia="en-US"/>
        </w:rPr>
        <w:t xml:space="preserve">PBAC </w:t>
      </w:r>
      <w:r w:rsidRPr="00B06893">
        <w:rPr>
          <w:lang w:eastAsia="en-US"/>
        </w:rPr>
        <w:t>meeting</w:t>
      </w:r>
      <w:r w:rsidR="004F1622" w:rsidRPr="00B06893">
        <w:rPr>
          <w:lang w:eastAsia="en-US"/>
        </w:rPr>
        <w:t xml:space="preserve"> and December 2025 Intracycle meeting</w:t>
      </w:r>
      <w:r w:rsidR="004F1622" w:rsidRPr="00B06893">
        <w:rPr>
          <w:rStyle w:val="FootnoteReference"/>
          <w:lang w:eastAsia="en-US"/>
        </w:rPr>
        <w:footnoteReference w:id="2"/>
      </w:r>
      <w:r w:rsidRPr="00B06893">
        <w:rPr>
          <w:lang w:eastAsia="en-US"/>
        </w:rPr>
        <w:t>.</w:t>
      </w:r>
    </w:p>
    <w:p w14:paraId="6D54BAE6" w14:textId="77E5C02A" w:rsidR="00DD75AA" w:rsidRPr="00B06893" w:rsidRDefault="00DD75AA" w:rsidP="007F6A1E">
      <w:pPr>
        <w:pStyle w:val="4-SubsectionHeading"/>
      </w:pPr>
      <w:bookmarkStart w:id="14" w:name="_Toc219898326"/>
      <w:r w:rsidRPr="00B06893">
        <w:t>ATAGI advice</w:t>
      </w:r>
      <w:bookmarkEnd w:id="14"/>
      <w:r w:rsidRPr="00B06893">
        <w:tab/>
      </w:r>
    </w:p>
    <w:p w14:paraId="434D985D" w14:textId="1D540EC7" w:rsidR="009B06D2" w:rsidRPr="00B06893" w:rsidRDefault="009B06D2" w:rsidP="009B06D2">
      <w:pPr>
        <w:pStyle w:val="3-BodyText"/>
        <w:spacing w:before="120" w:after="120"/>
        <w:rPr>
          <w:b/>
          <w:bCs/>
          <w:szCs w:val="24"/>
        </w:rPr>
      </w:pPr>
      <w:bookmarkStart w:id="15" w:name="_Ref221715964"/>
      <w:r w:rsidRPr="00B06893">
        <w:rPr>
          <w:szCs w:val="24"/>
        </w:rPr>
        <w:t>The ATAGI provided pre</w:t>
      </w:r>
      <w:r w:rsidR="00193971">
        <w:rPr>
          <w:szCs w:val="24"/>
        </w:rPr>
        <w:noBreakHyphen/>
      </w:r>
      <w:r w:rsidRPr="00B06893">
        <w:rPr>
          <w:szCs w:val="24"/>
        </w:rPr>
        <w:t>submission advice to the PBAC dated 20 June 2024.</w:t>
      </w:r>
      <w:r w:rsidR="00580BAD">
        <w:rPr>
          <w:szCs w:val="24"/>
        </w:rPr>
        <w:t xml:space="preserve"> </w:t>
      </w:r>
      <w:r w:rsidRPr="00B06893">
        <w:rPr>
          <w:szCs w:val="24"/>
        </w:rPr>
        <w:t>Some key advice is provided below.</w:t>
      </w:r>
      <w:bookmarkEnd w:id="15"/>
    </w:p>
    <w:p w14:paraId="5568DB4D" w14:textId="755F3B1A" w:rsidR="009B06D2" w:rsidRPr="00B06893" w:rsidRDefault="009B06D2" w:rsidP="00D80B33">
      <w:pPr>
        <w:pStyle w:val="Default"/>
        <w:numPr>
          <w:ilvl w:val="0"/>
          <w:numId w:val="12"/>
        </w:numPr>
        <w:jc w:val="both"/>
      </w:pPr>
      <w:r w:rsidRPr="00B06893">
        <w:t>ATAGI consider</w:t>
      </w:r>
      <w:r w:rsidR="00731B41" w:rsidRPr="00B06893">
        <w:t>ed</w:t>
      </w:r>
      <w:r w:rsidRPr="00B06893">
        <w:t xml:space="preserve"> both mRNA (Spikevax and Comirnaty) vaccines as equivalent based on its review of the scientific evidence (ATAGI 2024 Advice p 4).</w:t>
      </w:r>
    </w:p>
    <w:p w14:paraId="0C481270" w14:textId="730CA973" w:rsidR="009B06D2" w:rsidRPr="00B06893" w:rsidRDefault="009B06D2" w:rsidP="00D80B33">
      <w:pPr>
        <w:pStyle w:val="Default"/>
        <w:numPr>
          <w:ilvl w:val="0"/>
          <w:numId w:val="12"/>
        </w:numPr>
        <w:jc w:val="both"/>
      </w:pPr>
      <w:proofErr w:type="gramStart"/>
      <w:r w:rsidRPr="00B06893">
        <w:t>In regard to</w:t>
      </w:r>
      <w:proofErr w:type="gramEnd"/>
      <w:r w:rsidRPr="00B06893">
        <w:t xml:space="preserve"> myocarditis</w:t>
      </w:r>
      <w:r w:rsidR="005E2214" w:rsidRPr="00B06893">
        <w:t>/pericarditis</w:t>
      </w:r>
      <w:r w:rsidRPr="00B06893">
        <w:t>: Aged</w:t>
      </w:r>
      <w:r w:rsidR="00193971">
        <w:noBreakHyphen/>
      </w:r>
      <w:r w:rsidRPr="00B06893">
        <w:t xml:space="preserve">specific data from </w:t>
      </w:r>
      <w:r w:rsidR="006635FB" w:rsidRPr="00B06893">
        <w:t xml:space="preserve">the </w:t>
      </w:r>
      <w:r w:rsidRPr="00B06893">
        <w:t>TGA showed that for individuals aged 18 – 29 years, the rate of myocarditis was 13.3 cases per 100,000 with Spikevax and 8.3 cases per 100,000 with Comirnaty.</w:t>
      </w:r>
      <w:r w:rsidR="00580BAD">
        <w:t xml:space="preserve"> </w:t>
      </w:r>
      <w:r w:rsidRPr="00B06893">
        <w:t xml:space="preserve">The evidence in Australia was supported by a study </w:t>
      </w:r>
      <w:r w:rsidR="0037066F" w:rsidRPr="00B06893">
        <w:t>informed by approximately</w:t>
      </w:r>
      <w:r w:rsidRPr="00B06893">
        <w:t xml:space="preserve"> three million participants who had received two primary doses of either Pfizer or Moderna’s vaccine in British Columbia, Canada, between January 2021 and September 2021. </w:t>
      </w:r>
      <w:r w:rsidR="0037066F" w:rsidRPr="00B06893">
        <w:t>T</w:t>
      </w:r>
      <w:r w:rsidRPr="00B06893">
        <w:t xml:space="preserve">he study </w:t>
      </w:r>
      <w:r w:rsidR="0037066F" w:rsidRPr="00B06893">
        <w:t xml:space="preserve">results indicated </w:t>
      </w:r>
      <w:r w:rsidR="00525FD8" w:rsidRPr="00B06893">
        <w:t>a</w:t>
      </w:r>
      <w:r w:rsidRPr="00B06893">
        <w:t xml:space="preserve"> higher risk of myocarditis </w:t>
      </w:r>
      <w:r w:rsidR="00525FD8" w:rsidRPr="00B06893">
        <w:t xml:space="preserve">for Spikevax </w:t>
      </w:r>
      <w:r w:rsidRPr="00B06893">
        <w:t xml:space="preserve">(35.6 cases per million) </w:t>
      </w:r>
      <w:r w:rsidR="00525FD8" w:rsidRPr="00B06893">
        <w:t xml:space="preserve">compared with </w:t>
      </w:r>
      <w:r w:rsidRPr="00B06893">
        <w:t>Comirnaty (12.6 cases per million; ATAGI 2024 advice p 65).</w:t>
      </w:r>
      <w:r w:rsidR="00580BAD">
        <w:t xml:space="preserve"> </w:t>
      </w:r>
      <w:r w:rsidR="00525FD8" w:rsidRPr="00B06893">
        <w:t>ATAGI concluded that post</w:t>
      </w:r>
      <w:r w:rsidR="00193971">
        <w:noBreakHyphen/>
      </w:r>
      <w:r w:rsidR="005E2214" w:rsidRPr="00B06893">
        <w:t xml:space="preserve">marketing data </w:t>
      </w:r>
      <w:r w:rsidR="00525FD8" w:rsidRPr="00B06893">
        <w:t xml:space="preserve">indicated </w:t>
      </w:r>
      <w:r w:rsidR="005E2214" w:rsidRPr="00B06893">
        <w:t>an increased risk of myocarditis and pericarditis associated with mRNA COVID</w:t>
      </w:r>
      <w:r w:rsidR="00193971">
        <w:noBreakHyphen/>
      </w:r>
      <w:r w:rsidR="005E2214" w:rsidRPr="00B06893">
        <w:t>19 vaccines, especially Spikevax, particularly after the second dose (ATAGI 2024 advice p 56).</w:t>
      </w:r>
    </w:p>
    <w:p w14:paraId="669300EA" w14:textId="37942446" w:rsidR="00DD75AA" w:rsidRPr="00B06893" w:rsidRDefault="00DD75AA" w:rsidP="00DD75AA">
      <w:pPr>
        <w:pStyle w:val="3-BodyText"/>
        <w:spacing w:before="120" w:after="120"/>
        <w:rPr>
          <w:b/>
          <w:bCs/>
          <w:iCs/>
          <w:szCs w:val="24"/>
        </w:rPr>
      </w:pPr>
      <w:bookmarkStart w:id="16" w:name="_Ref221717438"/>
      <w:r w:rsidRPr="00B06893">
        <w:rPr>
          <w:szCs w:val="24"/>
        </w:rPr>
        <w:t xml:space="preserve">The ATAGI provided </w:t>
      </w:r>
      <w:r w:rsidR="00D21850" w:rsidRPr="00B06893">
        <w:rPr>
          <w:szCs w:val="24"/>
        </w:rPr>
        <w:t>pre</w:t>
      </w:r>
      <w:r w:rsidR="00193971">
        <w:rPr>
          <w:szCs w:val="24"/>
        </w:rPr>
        <w:noBreakHyphen/>
      </w:r>
      <w:r w:rsidR="00D21850" w:rsidRPr="00B06893">
        <w:rPr>
          <w:szCs w:val="24"/>
        </w:rPr>
        <w:t xml:space="preserve">submission </w:t>
      </w:r>
      <w:r w:rsidRPr="00B06893">
        <w:rPr>
          <w:szCs w:val="24"/>
        </w:rPr>
        <w:t>advice</w:t>
      </w:r>
      <w:r w:rsidR="00D21850" w:rsidRPr="00B06893">
        <w:rPr>
          <w:szCs w:val="24"/>
        </w:rPr>
        <w:t xml:space="preserve"> to the PBAC dated 24 October 2025</w:t>
      </w:r>
      <w:r w:rsidRPr="00B06893">
        <w:rPr>
          <w:szCs w:val="24"/>
        </w:rPr>
        <w:t>.</w:t>
      </w:r>
      <w:r w:rsidR="00580BAD">
        <w:rPr>
          <w:szCs w:val="24"/>
        </w:rPr>
        <w:t xml:space="preserve"> </w:t>
      </w:r>
      <w:r w:rsidR="00084B11" w:rsidRPr="00B06893">
        <w:rPr>
          <w:szCs w:val="24"/>
        </w:rPr>
        <w:t>Some key advice is provided below.</w:t>
      </w:r>
      <w:bookmarkEnd w:id="16"/>
    </w:p>
    <w:p w14:paraId="5B21B25F" w14:textId="3E240EBA" w:rsidR="00084B11" w:rsidRPr="00B06893" w:rsidRDefault="00084B11" w:rsidP="00D80B33">
      <w:pPr>
        <w:pStyle w:val="Default"/>
        <w:numPr>
          <w:ilvl w:val="0"/>
          <w:numId w:val="12"/>
        </w:numPr>
        <w:jc w:val="both"/>
      </w:pPr>
      <w:proofErr w:type="gramStart"/>
      <w:r w:rsidRPr="00B06893">
        <w:t>In regard to</w:t>
      </w:r>
      <w:proofErr w:type="gramEnd"/>
      <w:r w:rsidRPr="00B06893">
        <w:t xml:space="preserve"> the comparison of </w:t>
      </w:r>
      <w:r w:rsidR="00A93CFE" w:rsidRPr="00B06893">
        <w:t>Spikevax</w:t>
      </w:r>
      <w:r w:rsidRPr="00B06893">
        <w:t xml:space="preserve"> and Comirnaty: </w:t>
      </w:r>
      <w:r w:rsidR="00DD75AA" w:rsidRPr="00B06893">
        <w:t xml:space="preserve">Overall, it is likely that the recent variants of </w:t>
      </w:r>
      <w:r w:rsidR="00A93CFE" w:rsidRPr="00B06893">
        <w:t>Spikevax</w:t>
      </w:r>
      <w:r w:rsidR="00DD75AA" w:rsidRPr="00B06893">
        <w:t xml:space="preserve"> are at least non</w:t>
      </w:r>
      <w:r w:rsidR="00193971">
        <w:noBreakHyphen/>
      </w:r>
      <w:r w:rsidR="00DD75AA" w:rsidRPr="00B06893">
        <w:t xml:space="preserve">inferior in terms of </w:t>
      </w:r>
      <w:r w:rsidR="000948F8" w:rsidRPr="00B06893">
        <w:t>VE</w:t>
      </w:r>
      <w:r w:rsidR="00DD75AA" w:rsidRPr="00B06893">
        <w:t xml:space="preserve"> and safety. However, the key uncertainty is </w:t>
      </w:r>
      <w:r w:rsidR="000948F8" w:rsidRPr="00B06893">
        <w:t>VE</w:t>
      </w:r>
      <w:r w:rsidR="00DD75AA" w:rsidRPr="00B06893">
        <w:t xml:space="preserve"> at longer follow</w:t>
      </w:r>
      <w:r w:rsidR="00193971">
        <w:noBreakHyphen/>
      </w:r>
      <w:r w:rsidR="00DD75AA" w:rsidRPr="00B06893">
        <w:t>up, particular for the 6 month–12</w:t>
      </w:r>
      <w:r w:rsidR="00193971">
        <w:noBreakHyphen/>
      </w:r>
      <w:r w:rsidR="00DD75AA" w:rsidRPr="00B06893">
        <w:t>month interval, where protection is likely to wane. This has implications for the populations who are recommended for doses every 12 months. Notwithstanding, ATAGI maintain</w:t>
      </w:r>
      <w:r w:rsidR="00F030AF" w:rsidRPr="00B06893">
        <w:t>ed</w:t>
      </w:r>
      <w:r w:rsidR="00DD75AA" w:rsidRPr="00B06893">
        <w:t xml:space="preserve"> that </w:t>
      </w:r>
      <w:r w:rsidR="00A93CFE" w:rsidRPr="00B06893">
        <w:t>Spikevax</w:t>
      </w:r>
      <w:r w:rsidR="00DD75AA" w:rsidRPr="00B06893">
        <w:t xml:space="preserve"> and </w:t>
      </w:r>
      <w:r w:rsidRPr="00B06893">
        <w:t>Comirnaty</w:t>
      </w:r>
      <w:r w:rsidR="00DD75AA" w:rsidRPr="00B06893">
        <w:t xml:space="preserve"> are equivalent and therefore may be used interchangeably </w:t>
      </w:r>
      <w:r w:rsidRPr="00B06893">
        <w:t xml:space="preserve">(ATAGI </w:t>
      </w:r>
      <w:r w:rsidR="009B06D2" w:rsidRPr="00B06893">
        <w:t xml:space="preserve">2025 </w:t>
      </w:r>
      <w:r w:rsidRPr="00B06893">
        <w:t>advice p 65).</w:t>
      </w:r>
    </w:p>
    <w:p w14:paraId="1B7E3A48" w14:textId="5EE0425E" w:rsidR="00BF14FD" w:rsidRPr="00B06893" w:rsidRDefault="009B07C3" w:rsidP="00D80B33">
      <w:pPr>
        <w:pStyle w:val="Default"/>
        <w:numPr>
          <w:ilvl w:val="0"/>
          <w:numId w:val="12"/>
        </w:numPr>
        <w:jc w:val="both"/>
      </w:pPr>
      <w:r w:rsidRPr="00B06893">
        <w:lastRenderedPageBreak/>
        <w:t>In its advice dated 20 June 2024, ATAGI considered both mRNA vaccines for COVID</w:t>
      </w:r>
      <w:r w:rsidR="00193971">
        <w:noBreakHyphen/>
      </w:r>
      <w:r w:rsidRPr="00B06893">
        <w:t>19 (</w:t>
      </w:r>
      <w:r w:rsidR="00A93CFE" w:rsidRPr="00B06893">
        <w:t>Spikevax</w:t>
      </w:r>
      <w:r w:rsidRPr="00B06893">
        <w:t xml:space="preserve"> and </w:t>
      </w:r>
      <w:r w:rsidR="00E34126" w:rsidRPr="00B06893">
        <w:t>Comirnaty</w:t>
      </w:r>
      <w:r w:rsidRPr="00B06893">
        <w:t xml:space="preserve">) as equivalent based on the review of scientific evidence at that time. No new evidence </w:t>
      </w:r>
      <w:r w:rsidR="00973D2B" w:rsidRPr="00B06893">
        <w:t>was</w:t>
      </w:r>
      <w:r w:rsidRPr="00B06893">
        <w:t xml:space="preserve"> presented </w:t>
      </w:r>
      <w:r w:rsidR="00973D2B" w:rsidRPr="00B06893">
        <w:t>when seeking the additional</w:t>
      </w:r>
      <w:r w:rsidRPr="00B06893">
        <w:t xml:space="preserve"> advice, and no new evidence was identified during the drafting of the ATAGI </w:t>
      </w:r>
      <w:r w:rsidR="009B06D2" w:rsidRPr="00B06893">
        <w:t xml:space="preserve">2025 </w:t>
      </w:r>
      <w:r w:rsidRPr="00B06893">
        <w:t>advice, that would alter this consideration</w:t>
      </w:r>
      <w:r w:rsidR="00084B11" w:rsidRPr="00B06893">
        <w:t xml:space="preserve"> (ATAGI advice p 66)</w:t>
      </w:r>
      <w:r w:rsidRPr="00B06893">
        <w:t xml:space="preserve">. </w:t>
      </w:r>
    </w:p>
    <w:p w14:paraId="36580176" w14:textId="56B0F255" w:rsidR="00BF14FD" w:rsidRPr="00B06893" w:rsidRDefault="000948F8" w:rsidP="001C4A98">
      <w:pPr>
        <w:pStyle w:val="ListParagraph"/>
        <w:numPr>
          <w:ilvl w:val="0"/>
          <w:numId w:val="12"/>
        </w:numPr>
        <w:jc w:val="both"/>
      </w:pPr>
      <w:r w:rsidRPr="00B06893">
        <w:t>VE</w:t>
      </w:r>
      <w:r w:rsidR="00BF14FD" w:rsidRPr="00B06893">
        <w:t xml:space="preserve"> of </w:t>
      </w:r>
      <w:r w:rsidR="00A93CFE" w:rsidRPr="00B06893">
        <w:t>Spikevax</w:t>
      </w:r>
      <w:r w:rsidR="00BF14FD" w:rsidRPr="00B06893">
        <w:t xml:space="preserve"> appeared to wane over a follow up period of 102 days whereas </w:t>
      </w:r>
      <w:r w:rsidR="00E34126" w:rsidRPr="00B06893">
        <w:t>Comirnaty</w:t>
      </w:r>
      <w:r w:rsidR="00BF14FD" w:rsidRPr="00B06893">
        <w:t xml:space="preserve"> appeared to be relatively stable</w:t>
      </w:r>
      <w:r w:rsidR="00084B11" w:rsidRPr="00B06893">
        <w:t xml:space="preserve"> [over the same period]</w:t>
      </w:r>
      <w:r w:rsidR="00BF14FD" w:rsidRPr="00B06893">
        <w:t>. However, the confidence intervals at later follow</w:t>
      </w:r>
      <w:r w:rsidR="00193971">
        <w:noBreakHyphen/>
      </w:r>
      <w:r w:rsidR="00BF14FD" w:rsidRPr="00B06893">
        <w:t>up (≥102 days for rRNA</w:t>
      </w:r>
      <w:r w:rsidR="00193971">
        <w:noBreakHyphen/>
      </w:r>
      <w:r w:rsidR="00BF14FD" w:rsidRPr="00B06893">
        <w:t xml:space="preserve">1273; and 84–&lt;112 days for </w:t>
      </w:r>
      <w:r w:rsidR="00E34126" w:rsidRPr="00B06893">
        <w:t>Comirnaty</w:t>
      </w:r>
      <w:r w:rsidR="00BF14FD" w:rsidRPr="00B06893">
        <w:t xml:space="preserve">) appear to overlap. Overall, it </w:t>
      </w:r>
      <w:r w:rsidR="00DE4425" w:rsidRPr="00B06893">
        <w:t>wa</w:t>
      </w:r>
      <w:r w:rsidR="00BF14FD" w:rsidRPr="00B06893">
        <w:t>s unclear whether there is a difference in duration of response across the two vaccines</w:t>
      </w:r>
      <w:r w:rsidR="00084B11" w:rsidRPr="00B06893">
        <w:t xml:space="preserve"> (</w:t>
      </w:r>
      <w:r w:rsidR="00BF14FD" w:rsidRPr="00B06893">
        <w:t xml:space="preserve">ATAGI </w:t>
      </w:r>
      <w:r w:rsidR="009B06D2" w:rsidRPr="00B06893">
        <w:t xml:space="preserve">2025 advice </w:t>
      </w:r>
      <w:r w:rsidR="00BF14FD" w:rsidRPr="00B06893">
        <w:t>p 63</w:t>
      </w:r>
      <w:r w:rsidR="00084B11" w:rsidRPr="00B06893">
        <w:t>).</w:t>
      </w:r>
    </w:p>
    <w:p w14:paraId="074B8C0A" w14:textId="77777777" w:rsidR="005E2214" w:rsidRPr="00B06893" w:rsidRDefault="005E2214" w:rsidP="00D80B33">
      <w:pPr>
        <w:pStyle w:val="ListParagraph"/>
        <w:numPr>
          <w:ilvl w:val="0"/>
          <w:numId w:val="12"/>
        </w:numPr>
      </w:pPr>
      <w:proofErr w:type="gramStart"/>
      <w:r w:rsidRPr="00B06893">
        <w:t>In regard to</w:t>
      </w:r>
      <w:proofErr w:type="gramEnd"/>
      <w:r w:rsidRPr="00B06893">
        <w:t xml:space="preserve"> myocarditis/pericarditis:</w:t>
      </w:r>
    </w:p>
    <w:p w14:paraId="31183AB1" w14:textId="04BF7CF2" w:rsidR="005E2214" w:rsidRPr="00B06893" w:rsidRDefault="005E2214" w:rsidP="0021089B">
      <w:pPr>
        <w:pStyle w:val="ListParagraph"/>
        <w:numPr>
          <w:ilvl w:val="1"/>
          <w:numId w:val="12"/>
        </w:numPr>
        <w:jc w:val="both"/>
      </w:pPr>
      <w:r w:rsidRPr="00B06893">
        <w:t xml:space="preserve">Overall, a dose of either </w:t>
      </w:r>
      <w:r w:rsidR="00A93CFE" w:rsidRPr="00B06893">
        <w:t>Spikevax</w:t>
      </w:r>
      <w:r w:rsidRPr="00B06893">
        <w:t xml:space="preserve"> or Comirnaty increases the likelihood of myocarditis compared to no mRNA COVID</w:t>
      </w:r>
      <w:r w:rsidR="00193971">
        <w:noBreakHyphen/>
      </w:r>
      <w:r w:rsidRPr="00B06893">
        <w:t xml:space="preserve">19 vaccine. Rates appear slightly higher with </w:t>
      </w:r>
      <w:r w:rsidR="00A93CFE" w:rsidRPr="00B06893">
        <w:t>Spikevax</w:t>
      </w:r>
      <w:r w:rsidRPr="00B06893">
        <w:t xml:space="preserve"> in males aged 12–17 and 18–29 years, receiving a second dose. Rates in individuals aged ≥60 years appear relatively low (ATAGI 2025 advice p59).</w:t>
      </w:r>
    </w:p>
    <w:p w14:paraId="662AF9EE" w14:textId="5E205D3D" w:rsidR="005E2214" w:rsidRPr="00B06893" w:rsidRDefault="005E2214" w:rsidP="00E018F0">
      <w:pPr>
        <w:pStyle w:val="ListParagraph"/>
        <w:numPr>
          <w:ilvl w:val="1"/>
          <w:numId w:val="12"/>
        </w:numPr>
        <w:jc w:val="both"/>
      </w:pPr>
      <w:r w:rsidRPr="00B06893">
        <w:t xml:space="preserve">Overall, a dose of either </w:t>
      </w:r>
      <w:r w:rsidR="00A93CFE" w:rsidRPr="00B06893">
        <w:t>Spikevax</w:t>
      </w:r>
      <w:r w:rsidRPr="00B06893">
        <w:t xml:space="preserve"> or Comirnaty increases the likelihood of pericarditis compared to no mRNA COVID</w:t>
      </w:r>
      <w:r w:rsidR="00193971">
        <w:noBreakHyphen/>
      </w:r>
      <w:r w:rsidRPr="00B06893">
        <w:t>19 vaccine. However, rates appear similar between the two vaccines, with the 18–29 and 30–39 age groups reporting the highest risk. Rates in individuals aged ≥60 appear relatively low. (ATAGI 2025 advice p59).</w:t>
      </w:r>
    </w:p>
    <w:p w14:paraId="5001F7D9" w14:textId="67EF38B8" w:rsidR="00C316B5" w:rsidRPr="00B06893" w:rsidRDefault="00C316B5" w:rsidP="00C316B5">
      <w:pPr>
        <w:pStyle w:val="3-BodyText"/>
      </w:pPr>
      <w:r w:rsidRPr="00B06893">
        <w:t xml:space="preserve">The ESC noted ATAGI’s advice above (paragraph </w:t>
      </w:r>
      <w:r w:rsidRPr="00B06893">
        <w:fldChar w:fldCharType="begin"/>
      </w:r>
      <w:r w:rsidRPr="00B06893">
        <w:instrText xml:space="preserve"> REF _Ref221717438 \r \h  \* MERGEFORMAT </w:instrText>
      </w:r>
      <w:r w:rsidRPr="00B06893">
        <w:fldChar w:fldCharType="separate"/>
      </w:r>
      <w:r w:rsidR="00810177" w:rsidRPr="00B06893">
        <w:t>2.10</w:t>
      </w:r>
      <w:r w:rsidRPr="00B06893">
        <w:fldChar w:fldCharType="end"/>
      </w:r>
      <w:r w:rsidRPr="00B06893">
        <w:t xml:space="preserve">) that </w:t>
      </w:r>
      <w:r w:rsidR="00A93CFE" w:rsidRPr="00B06893">
        <w:t>Spikevax</w:t>
      </w:r>
      <w:r w:rsidRPr="00B06893">
        <w:t xml:space="preserve"> and Comirnaty are equivalent and may be used interchangeably in the proposed NIP populations, which refer to annual or biannual doses.</w:t>
      </w:r>
      <w:r w:rsidR="00580BAD">
        <w:t xml:space="preserve"> </w:t>
      </w:r>
      <w:r w:rsidRPr="00B06893">
        <w:t>The ESC noted this advice concerning interchangeability does not apply to individuals requiring two or more doses as a primary vaccination series, and that the AIH states it is generally preferable to use the same brand of COVID</w:t>
      </w:r>
      <w:r w:rsidR="00193971">
        <w:noBreakHyphen/>
      </w:r>
      <w:r w:rsidRPr="00B06893">
        <w:t>19 vaccine for the primary course when multiple doses are recommended (e.g. for people who are severely immunocompromised) although an alternative brand can be used for subsequent doses if necessary (e.g. the brand used for a previous dose is not available).</w:t>
      </w:r>
      <w:r w:rsidRPr="00B06893">
        <w:rPr>
          <w:rStyle w:val="FootnoteReference"/>
          <w:iCs/>
        </w:rPr>
        <w:footnoteReference w:id="3"/>
      </w:r>
      <w:r w:rsidR="00580BAD">
        <w:t xml:space="preserve"> </w:t>
      </w:r>
      <w:r w:rsidRPr="00B06893">
        <w:t>The ESC noted that NIP listing was not requested for primary doses.</w:t>
      </w:r>
    </w:p>
    <w:p w14:paraId="67DE881C" w14:textId="48C7F9DD" w:rsidR="00903D47" w:rsidRPr="00B06893" w:rsidRDefault="00903D47" w:rsidP="00903D47">
      <w:pPr>
        <w:ind w:firstLine="720"/>
        <w:rPr>
          <w:szCs w:val="24"/>
        </w:rPr>
      </w:pPr>
      <w:r w:rsidRPr="00B06893">
        <w:rPr>
          <w:i/>
        </w:rPr>
        <w:t>For more detail on PBAC’s view, see section 7 PBAC outcome.</w:t>
      </w:r>
    </w:p>
    <w:p w14:paraId="76E4EF3C" w14:textId="13040F70" w:rsidR="00B60939" w:rsidRPr="00B06893" w:rsidRDefault="00B50DB8" w:rsidP="004E18E9">
      <w:pPr>
        <w:pStyle w:val="2-SectionHeading"/>
      </w:pPr>
      <w:bookmarkStart w:id="17" w:name="_Toc107902078"/>
      <w:bookmarkStart w:id="18" w:name="_Toc219898327"/>
      <w:bookmarkEnd w:id="17"/>
      <w:r w:rsidRPr="00B06893">
        <w:lastRenderedPageBreak/>
        <w:t>Requested listing</w:t>
      </w:r>
      <w:bookmarkEnd w:id="18"/>
    </w:p>
    <w:tbl>
      <w:tblPr>
        <w:tblStyle w:val="TableGrid"/>
        <w:tblW w:w="5000" w:type="pct"/>
        <w:tblLook w:val="04A0" w:firstRow="1" w:lastRow="0" w:firstColumn="1" w:lastColumn="0" w:noHBand="0" w:noVBand="1"/>
        <w:tblCaption w:val="Requested listing"/>
      </w:tblPr>
      <w:tblGrid>
        <w:gridCol w:w="1407"/>
        <w:gridCol w:w="991"/>
        <w:gridCol w:w="1074"/>
        <w:gridCol w:w="1000"/>
        <w:gridCol w:w="982"/>
        <w:gridCol w:w="1547"/>
        <w:gridCol w:w="1055"/>
        <w:gridCol w:w="961"/>
      </w:tblGrid>
      <w:tr w:rsidR="000C0057" w:rsidRPr="00B06893" w14:paraId="144E9697" w14:textId="77777777" w:rsidTr="000C0057">
        <w:trPr>
          <w:cantSplit/>
          <w:trHeight w:val="20"/>
        </w:trPr>
        <w:tc>
          <w:tcPr>
            <w:tcW w:w="803" w:type="pct"/>
            <w:hideMark/>
          </w:tcPr>
          <w:p w14:paraId="42AC7DB3" w14:textId="77777777" w:rsidR="000C0057" w:rsidRPr="00B06893" w:rsidRDefault="000C0057" w:rsidP="00501A02">
            <w:pPr>
              <w:pStyle w:val="TableText0"/>
              <w:rPr>
                <w:b/>
                <w:bCs w:val="0"/>
              </w:rPr>
            </w:pPr>
            <w:r w:rsidRPr="00B06893">
              <w:rPr>
                <w:b/>
                <w:bCs w:val="0"/>
              </w:rPr>
              <w:t>Name</w:t>
            </w:r>
          </w:p>
          <w:p w14:paraId="6E5F235A" w14:textId="77777777" w:rsidR="000C0057" w:rsidRPr="00B06893" w:rsidRDefault="000C0057" w:rsidP="00501A02">
            <w:pPr>
              <w:pStyle w:val="TableText0"/>
              <w:rPr>
                <w:b/>
                <w:bCs w:val="0"/>
              </w:rPr>
            </w:pPr>
            <w:r w:rsidRPr="00B06893">
              <w:rPr>
                <w:b/>
                <w:bCs w:val="0"/>
              </w:rPr>
              <w:t>(Active ingredient)</w:t>
            </w:r>
          </w:p>
        </w:tc>
        <w:tc>
          <w:tcPr>
            <w:tcW w:w="550" w:type="pct"/>
            <w:hideMark/>
          </w:tcPr>
          <w:p w14:paraId="52DC200A" w14:textId="77777777" w:rsidR="000C0057" w:rsidRPr="00B06893" w:rsidRDefault="000C0057" w:rsidP="00501A02">
            <w:pPr>
              <w:pStyle w:val="TableText0"/>
              <w:rPr>
                <w:b/>
                <w:bCs w:val="0"/>
              </w:rPr>
            </w:pPr>
            <w:r w:rsidRPr="00B06893">
              <w:rPr>
                <w:b/>
                <w:bCs w:val="0"/>
              </w:rPr>
              <w:t>Strength</w:t>
            </w:r>
          </w:p>
        </w:tc>
        <w:tc>
          <w:tcPr>
            <w:tcW w:w="596" w:type="pct"/>
            <w:hideMark/>
          </w:tcPr>
          <w:p w14:paraId="61C612A5" w14:textId="77777777" w:rsidR="000C0057" w:rsidRPr="00B06893" w:rsidRDefault="000C0057" w:rsidP="00501A02">
            <w:pPr>
              <w:pStyle w:val="TableText0"/>
              <w:rPr>
                <w:b/>
                <w:bCs w:val="0"/>
              </w:rPr>
            </w:pPr>
            <w:r w:rsidRPr="00B06893">
              <w:rPr>
                <w:b/>
                <w:bCs w:val="0"/>
              </w:rPr>
              <w:t>Form</w:t>
            </w:r>
          </w:p>
        </w:tc>
        <w:tc>
          <w:tcPr>
            <w:tcW w:w="606" w:type="pct"/>
            <w:hideMark/>
          </w:tcPr>
          <w:p w14:paraId="06C63D2E" w14:textId="77777777" w:rsidR="000C0057" w:rsidRPr="00B06893" w:rsidRDefault="000C0057" w:rsidP="00501A02">
            <w:pPr>
              <w:pStyle w:val="TableText0"/>
              <w:rPr>
                <w:b/>
                <w:bCs w:val="0"/>
              </w:rPr>
            </w:pPr>
            <w:r w:rsidRPr="00B06893">
              <w:rPr>
                <w:b/>
                <w:bCs w:val="0"/>
              </w:rPr>
              <w:t>Dosage</w:t>
            </w:r>
          </w:p>
        </w:tc>
        <w:tc>
          <w:tcPr>
            <w:tcW w:w="545" w:type="pct"/>
            <w:hideMark/>
          </w:tcPr>
          <w:p w14:paraId="7E25BD23" w14:textId="77777777" w:rsidR="000C0057" w:rsidRPr="00B06893" w:rsidRDefault="000C0057" w:rsidP="00156335">
            <w:pPr>
              <w:pStyle w:val="TableText0"/>
              <w:ind w:right="-57"/>
              <w:rPr>
                <w:b/>
                <w:bCs w:val="0"/>
              </w:rPr>
            </w:pPr>
            <w:r w:rsidRPr="00B06893">
              <w:rPr>
                <w:b/>
                <w:bCs w:val="0"/>
              </w:rPr>
              <w:t>Container (Pack Size)</w:t>
            </w:r>
          </w:p>
        </w:tc>
        <w:tc>
          <w:tcPr>
            <w:tcW w:w="858" w:type="pct"/>
            <w:hideMark/>
          </w:tcPr>
          <w:p w14:paraId="08D5E719" w14:textId="77777777" w:rsidR="000C0057" w:rsidRPr="00B06893" w:rsidRDefault="000C0057" w:rsidP="00501A02">
            <w:pPr>
              <w:pStyle w:val="TableText0"/>
              <w:rPr>
                <w:b/>
                <w:bCs w:val="0"/>
              </w:rPr>
            </w:pPr>
            <w:r w:rsidRPr="00B06893">
              <w:rPr>
                <w:b/>
                <w:bCs w:val="0"/>
              </w:rPr>
              <w:t>Age(s) of administration(s)</w:t>
            </w:r>
          </w:p>
        </w:tc>
        <w:tc>
          <w:tcPr>
            <w:tcW w:w="511" w:type="pct"/>
          </w:tcPr>
          <w:p w14:paraId="1EA3DFEB" w14:textId="3AF7D162" w:rsidR="000C0057" w:rsidRPr="00B06893" w:rsidRDefault="000C0057" w:rsidP="00501A02">
            <w:pPr>
              <w:pStyle w:val="TableText0"/>
              <w:rPr>
                <w:b/>
                <w:bCs w:val="0"/>
              </w:rPr>
            </w:pPr>
            <w:r w:rsidRPr="00B06893">
              <w:rPr>
                <w:b/>
                <w:bCs w:val="0"/>
              </w:rPr>
              <w:t>Requested price per dose</w:t>
            </w:r>
          </w:p>
        </w:tc>
        <w:tc>
          <w:tcPr>
            <w:tcW w:w="533" w:type="pct"/>
            <w:hideMark/>
          </w:tcPr>
          <w:p w14:paraId="110F5578" w14:textId="31D39FBD" w:rsidR="000C0057" w:rsidRPr="00B06893" w:rsidRDefault="000C0057" w:rsidP="00501A02">
            <w:pPr>
              <w:pStyle w:val="TableText0"/>
              <w:rPr>
                <w:b/>
                <w:bCs w:val="0"/>
              </w:rPr>
            </w:pPr>
            <w:r w:rsidRPr="00B06893">
              <w:rPr>
                <w:b/>
                <w:bCs w:val="0"/>
              </w:rPr>
              <w:t>Brand Name</w:t>
            </w:r>
          </w:p>
        </w:tc>
      </w:tr>
      <w:tr w:rsidR="000C0057" w:rsidRPr="00B06893" w14:paraId="08D6A829" w14:textId="77777777" w:rsidTr="000C0057">
        <w:trPr>
          <w:cantSplit/>
          <w:trHeight w:val="20"/>
        </w:trPr>
        <w:tc>
          <w:tcPr>
            <w:tcW w:w="803" w:type="pct"/>
          </w:tcPr>
          <w:p w14:paraId="25F3E8F6" w14:textId="2805D812" w:rsidR="000C0057" w:rsidRPr="00B06893" w:rsidRDefault="000C0057" w:rsidP="00501A02">
            <w:pPr>
              <w:pStyle w:val="TableText0"/>
            </w:pPr>
            <w:r w:rsidRPr="00B06893">
              <w:t>Spikevax LP.8.1 (SARS</w:t>
            </w:r>
            <w:r w:rsidR="00193971">
              <w:noBreakHyphen/>
            </w:r>
            <w:r w:rsidRPr="00B06893">
              <w:t>CoV</w:t>
            </w:r>
            <w:r w:rsidR="00193971">
              <w:noBreakHyphen/>
            </w:r>
            <w:r w:rsidRPr="00B06893">
              <w:t>2 LP.8.1 mRNA)</w:t>
            </w:r>
          </w:p>
        </w:tc>
        <w:tc>
          <w:tcPr>
            <w:tcW w:w="550" w:type="pct"/>
          </w:tcPr>
          <w:p w14:paraId="193CF17F" w14:textId="522E6A5F" w:rsidR="000C0057" w:rsidRPr="00B06893" w:rsidRDefault="000C0057" w:rsidP="00501A02">
            <w:pPr>
              <w:pStyle w:val="TableText0"/>
            </w:pPr>
            <w:r w:rsidRPr="00B06893">
              <w:t>0.1 mg/mL</w:t>
            </w:r>
          </w:p>
        </w:tc>
        <w:tc>
          <w:tcPr>
            <w:tcW w:w="596" w:type="pct"/>
          </w:tcPr>
          <w:p w14:paraId="52095D97" w14:textId="77777777" w:rsidR="000C0057" w:rsidRPr="00B06893" w:rsidRDefault="000C0057" w:rsidP="00501A02">
            <w:pPr>
              <w:pStyle w:val="TableText0"/>
            </w:pPr>
            <w:r w:rsidRPr="00B06893">
              <w:t xml:space="preserve">Suspension for injection </w:t>
            </w:r>
          </w:p>
        </w:tc>
        <w:tc>
          <w:tcPr>
            <w:tcW w:w="606" w:type="pct"/>
          </w:tcPr>
          <w:p w14:paraId="4C585C7F" w14:textId="40AC480D" w:rsidR="000C0057" w:rsidRPr="00B06893" w:rsidRDefault="000C0057" w:rsidP="00501A02">
            <w:pPr>
              <w:pStyle w:val="TableText0"/>
            </w:pPr>
            <w:r w:rsidRPr="00B06893">
              <w:t>Each dose (0.5 mL) contains 50 μg</w:t>
            </w:r>
          </w:p>
        </w:tc>
        <w:tc>
          <w:tcPr>
            <w:tcW w:w="545" w:type="pct"/>
          </w:tcPr>
          <w:p w14:paraId="74E14A87" w14:textId="233EB2EC" w:rsidR="000C0057" w:rsidRPr="00B06893" w:rsidRDefault="000C0057" w:rsidP="00501A02">
            <w:pPr>
              <w:pStyle w:val="TableText0"/>
            </w:pPr>
            <w:r w:rsidRPr="00B06893">
              <w:t>10 pre</w:t>
            </w:r>
            <w:r w:rsidR="00193971">
              <w:noBreakHyphen/>
            </w:r>
            <w:r w:rsidRPr="00B06893">
              <w:t xml:space="preserve">filled syringes </w:t>
            </w:r>
          </w:p>
        </w:tc>
        <w:tc>
          <w:tcPr>
            <w:tcW w:w="858" w:type="pct"/>
          </w:tcPr>
          <w:p w14:paraId="01F50772" w14:textId="77777777" w:rsidR="000C0057" w:rsidRPr="00B06893" w:rsidRDefault="000C0057" w:rsidP="00501A02">
            <w:pPr>
              <w:pStyle w:val="TableText0"/>
            </w:pPr>
            <w:r w:rsidRPr="00B06893">
              <w:t>Eligible adults aged 18 years and older</w:t>
            </w:r>
          </w:p>
        </w:tc>
        <w:tc>
          <w:tcPr>
            <w:tcW w:w="511" w:type="pct"/>
          </w:tcPr>
          <w:p w14:paraId="66D85972" w14:textId="671F55D4" w:rsidR="000C0057" w:rsidRPr="00B06893" w:rsidRDefault="000C0057" w:rsidP="00501A02">
            <w:pPr>
              <w:pStyle w:val="TableText0"/>
            </w:pPr>
            <w:r w:rsidRPr="00B06893">
              <w:t>$</w:t>
            </w:r>
            <w:r w:rsidR="00FF3F29" w:rsidRPr="00FF3F29">
              <w:rPr>
                <w:sz w:val="2"/>
                <w:highlight w:val="black"/>
              </w:rPr>
              <w:t xml:space="preserve">redacted </w:t>
            </w:r>
            <w:proofErr w:type="spellStart"/>
            <w:r w:rsidR="00FF3F29" w:rsidRPr="00FF3F29">
              <w:rPr>
                <w:sz w:val="2"/>
                <w:highlight w:val="black"/>
              </w:rPr>
              <w:t>content</w:t>
            </w:r>
            <w:r w:rsidRPr="00B06893">
              <w:rPr>
                <w:vertAlign w:val="superscript"/>
              </w:rPr>
              <w:t>a</w:t>
            </w:r>
            <w:proofErr w:type="spellEnd"/>
          </w:p>
        </w:tc>
        <w:tc>
          <w:tcPr>
            <w:tcW w:w="533" w:type="pct"/>
          </w:tcPr>
          <w:p w14:paraId="302B5132" w14:textId="3AFBBEED" w:rsidR="000C0057" w:rsidRPr="00B06893" w:rsidRDefault="000C0057" w:rsidP="00501A02">
            <w:pPr>
              <w:pStyle w:val="TableText0"/>
            </w:pPr>
            <w:r w:rsidRPr="00B06893">
              <w:t>Spikevax</w:t>
            </w:r>
            <w:r w:rsidRPr="00B06893">
              <w:rPr>
                <w:vertAlign w:val="superscript"/>
              </w:rPr>
              <w:t>®</w:t>
            </w:r>
            <w:r w:rsidRPr="00B06893">
              <w:t xml:space="preserve"> </w:t>
            </w:r>
          </w:p>
        </w:tc>
      </w:tr>
    </w:tbl>
    <w:p w14:paraId="54C6E9C6" w14:textId="63897A36" w:rsidR="007B4345" w:rsidRPr="00B06893" w:rsidRDefault="007B4345" w:rsidP="007B4345">
      <w:pPr>
        <w:pStyle w:val="TableFooter"/>
        <w:rPr>
          <w:rStyle w:val="TableFooterChar"/>
        </w:rPr>
      </w:pPr>
      <w:r w:rsidRPr="00B06893">
        <w:t>Source: Table 1</w:t>
      </w:r>
      <w:r w:rsidR="00193971">
        <w:noBreakHyphen/>
      </w:r>
      <w:r w:rsidRPr="00B06893">
        <w:t>19, p46 of the submission</w:t>
      </w:r>
    </w:p>
    <w:p w14:paraId="2DFDF1D4" w14:textId="02ACBCB9" w:rsidR="007B4345" w:rsidRPr="00B06893" w:rsidRDefault="007B4345" w:rsidP="007B4345">
      <w:pPr>
        <w:pStyle w:val="TableFooter"/>
      </w:pPr>
      <w:r w:rsidRPr="00B06893">
        <w:rPr>
          <w:rStyle w:val="TableFooterChar"/>
        </w:rPr>
        <w:t>mg = milligrams, mL = millilitre; µg = micrograms; mRNA = messenger ribonucleic acid; SARS</w:t>
      </w:r>
      <w:r w:rsidR="00193971">
        <w:rPr>
          <w:rStyle w:val="TableFooterChar"/>
        </w:rPr>
        <w:noBreakHyphen/>
      </w:r>
      <w:r w:rsidRPr="00B06893">
        <w:rPr>
          <w:rStyle w:val="TableFooterChar"/>
        </w:rPr>
        <w:t>CoV</w:t>
      </w:r>
      <w:r w:rsidR="00193971">
        <w:rPr>
          <w:rStyle w:val="TableFooterChar"/>
        </w:rPr>
        <w:noBreakHyphen/>
      </w:r>
      <w:r w:rsidRPr="00B06893">
        <w:rPr>
          <w:rStyle w:val="TableFooterChar"/>
        </w:rPr>
        <w:t>2 = severe acute respiratory syndrome coronavirus</w:t>
      </w:r>
      <w:r w:rsidR="00193971">
        <w:rPr>
          <w:rStyle w:val="TableFooterChar"/>
        </w:rPr>
        <w:noBreakHyphen/>
      </w:r>
      <w:r w:rsidRPr="00B06893">
        <w:rPr>
          <w:rStyle w:val="TableFooterChar"/>
        </w:rPr>
        <w:t>2</w:t>
      </w:r>
      <w:r w:rsidRPr="00B06893">
        <w:t>.</w:t>
      </w:r>
    </w:p>
    <w:p w14:paraId="53A7041D" w14:textId="5C5028EE" w:rsidR="000C0057" w:rsidRPr="00B06893" w:rsidRDefault="000C0057" w:rsidP="000C0057">
      <w:pPr>
        <w:pStyle w:val="TableFooter"/>
        <w:rPr>
          <w:vertAlign w:val="superscript"/>
        </w:rPr>
      </w:pPr>
      <w:r w:rsidRPr="00B06893">
        <w:rPr>
          <w:vertAlign w:val="superscript"/>
        </w:rPr>
        <w:t>a</w:t>
      </w:r>
      <w:r w:rsidRPr="00B06893">
        <w:t>Proposed price sourced from page 150 of the submission.</w:t>
      </w:r>
    </w:p>
    <w:p w14:paraId="52302DFB" w14:textId="77777777" w:rsidR="000C0057" w:rsidRPr="00B06893" w:rsidRDefault="000C0057" w:rsidP="007B4345">
      <w:pPr>
        <w:pStyle w:val="TableFooter"/>
      </w:pPr>
    </w:p>
    <w:tbl>
      <w:tblPr>
        <w:tblStyle w:val="TableGrid"/>
        <w:tblW w:w="5000" w:type="pct"/>
        <w:tblLayout w:type="fixed"/>
        <w:tblLook w:val="0420" w:firstRow="1" w:lastRow="0" w:firstColumn="0" w:lastColumn="0" w:noHBand="0" w:noVBand="1"/>
        <w:tblCaption w:val="Requested listing"/>
      </w:tblPr>
      <w:tblGrid>
        <w:gridCol w:w="2577"/>
        <w:gridCol w:w="2287"/>
        <w:gridCol w:w="2148"/>
        <w:gridCol w:w="2005"/>
      </w:tblGrid>
      <w:tr w:rsidR="007B4345" w:rsidRPr="00B06893" w14:paraId="6A4194FB" w14:textId="77777777" w:rsidTr="00712F41">
        <w:trPr>
          <w:tblHeader/>
        </w:trPr>
        <w:tc>
          <w:tcPr>
            <w:tcW w:w="9017" w:type="dxa"/>
            <w:gridSpan w:val="4"/>
          </w:tcPr>
          <w:p w14:paraId="762ED4B3" w14:textId="77777777" w:rsidR="007B4345" w:rsidRPr="00B06893" w:rsidRDefault="007B4345" w:rsidP="00501A02">
            <w:pPr>
              <w:pStyle w:val="TableText0"/>
              <w:rPr>
                <w:rStyle w:val="Strong"/>
              </w:rPr>
            </w:pPr>
            <w:r w:rsidRPr="00B06893">
              <w:rPr>
                <w:rStyle w:val="Strong"/>
              </w:rPr>
              <w:t xml:space="preserve">NIP listing: </w:t>
            </w:r>
          </w:p>
          <w:p w14:paraId="7DA2D13A" w14:textId="3C6983DA" w:rsidR="007B4345" w:rsidRPr="00B06893" w:rsidRDefault="007B4345" w:rsidP="00501A02">
            <w:pPr>
              <w:pStyle w:val="TableText0"/>
            </w:pPr>
            <w:r w:rsidRPr="00B06893">
              <w:t>A single injection every 6 or 12 months for vaccination against COVID</w:t>
            </w:r>
            <w:r w:rsidR="00193971">
              <w:noBreakHyphen/>
            </w:r>
            <w:r w:rsidRPr="00B06893">
              <w:t>19 caused by SARS</w:t>
            </w:r>
            <w:r w:rsidR="00193971">
              <w:noBreakHyphen/>
            </w:r>
            <w:r w:rsidRPr="00B06893">
              <w:t>CoV</w:t>
            </w:r>
            <w:r w:rsidR="00193971">
              <w:noBreakHyphen/>
            </w:r>
            <w:r w:rsidRPr="00B06893">
              <w:t xml:space="preserve">2 in eligible individuals aged 18 years and older </w:t>
            </w:r>
          </w:p>
        </w:tc>
      </w:tr>
      <w:tr w:rsidR="00AE755F" w:rsidRPr="00B06893" w14:paraId="0FBE6E0A" w14:textId="77777777" w:rsidTr="00712F41">
        <w:tc>
          <w:tcPr>
            <w:tcW w:w="4864" w:type="dxa"/>
            <w:gridSpan w:val="2"/>
            <w:hideMark/>
          </w:tcPr>
          <w:p w14:paraId="3F551543" w14:textId="13AE40B3" w:rsidR="00AE755F" w:rsidRPr="00B06893" w:rsidRDefault="00AE755F" w:rsidP="00501A02">
            <w:pPr>
              <w:pStyle w:val="TableText0"/>
              <w:rPr>
                <w:rStyle w:val="Strong"/>
              </w:rPr>
            </w:pPr>
            <w:r w:rsidRPr="00B06893">
              <w:rPr>
                <w:rStyle w:val="Strong"/>
              </w:rPr>
              <w:t xml:space="preserve">Age </w:t>
            </w:r>
          </w:p>
        </w:tc>
        <w:tc>
          <w:tcPr>
            <w:tcW w:w="4153" w:type="dxa"/>
            <w:gridSpan w:val="2"/>
            <w:hideMark/>
          </w:tcPr>
          <w:p w14:paraId="3E1D93DE" w14:textId="77777777" w:rsidR="00AE755F" w:rsidRPr="00B06893" w:rsidRDefault="00AE755F" w:rsidP="00501A02">
            <w:pPr>
              <w:pStyle w:val="TableText0"/>
              <w:rPr>
                <w:rStyle w:val="Strong"/>
              </w:rPr>
            </w:pPr>
            <w:r w:rsidRPr="00B06893">
              <w:rPr>
                <w:rStyle w:val="Strong"/>
              </w:rPr>
              <w:t>Booster dose frequency</w:t>
            </w:r>
          </w:p>
        </w:tc>
      </w:tr>
      <w:tr w:rsidR="00AE755F" w:rsidRPr="00B06893" w14:paraId="2E0D4241" w14:textId="77777777" w:rsidTr="00712F41">
        <w:tc>
          <w:tcPr>
            <w:tcW w:w="4864" w:type="dxa"/>
            <w:gridSpan w:val="2"/>
          </w:tcPr>
          <w:p w14:paraId="10242D3E" w14:textId="1964A9ED" w:rsidR="00AE755F" w:rsidRPr="00B06893" w:rsidRDefault="00AE755F" w:rsidP="00501A02">
            <w:pPr>
              <w:pStyle w:val="TableText0"/>
            </w:pPr>
            <w:r w:rsidRPr="00B06893">
              <w:t>Adults aged 75 years and older</w:t>
            </w:r>
          </w:p>
        </w:tc>
        <w:tc>
          <w:tcPr>
            <w:tcW w:w="4153" w:type="dxa"/>
            <w:gridSpan w:val="2"/>
          </w:tcPr>
          <w:p w14:paraId="56E86F93" w14:textId="77777777" w:rsidR="00AE755F" w:rsidRPr="00B06893" w:rsidRDefault="00AE755F" w:rsidP="00501A02">
            <w:pPr>
              <w:pStyle w:val="TableText0"/>
            </w:pPr>
            <w:r w:rsidRPr="00B06893">
              <w:t>Recommended every 6 months</w:t>
            </w:r>
          </w:p>
        </w:tc>
      </w:tr>
      <w:tr w:rsidR="00AE755F" w:rsidRPr="00B06893" w14:paraId="575E3964" w14:textId="77777777" w:rsidTr="00712F41">
        <w:trPr>
          <w:trHeight w:val="171"/>
        </w:trPr>
        <w:tc>
          <w:tcPr>
            <w:tcW w:w="4864" w:type="dxa"/>
            <w:gridSpan w:val="2"/>
          </w:tcPr>
          <w:p w14:paraId="7B75B11B" w14:textId="1357870C" w:rsidR="00AE755F" w:rsidRPr="00B06893" w:rsidRDefault="00AE755F" w:rsidP="00501A02">
            <w:pPr>
              <w:pStyle w:val="TableText0"/>
            </w:pPr>
            <w:r w:rsidRPr="00B06893">
              <w:t xml:space="preserve">Adults aged 18 to 64 years </w:t>
            </w:r>
            <w:r w:rsidRPr="00B06893">
              <w:rPr>
                <w:rStyle w:val="Emphasis"/>
                <w:i w:val="0"/>
              </w:rPr>
              <w:t xml:space="preserve">with severe immunocompromise </w:t>
            </w:r>
            <w:r w:rsidRPr="00B06893">
              <w:rPr>
                <w:rFonts w:cstheme="minorHAnsi"/>
                <w:vertAlign w:val="superscript"/>
              </w:rPr>
              <w:t>a</w:t>
            </w:r>
          </w:p>
        </w:tc>
        <w:tc>
          <w:tcPr>
            <w:tcW w:w="4153" w:type="dxa"/>
            <w:gridSpan w:val="2"/>
          </w:tcPr>
          <w:p w14:paraId="6D1846BA" w14:textId="77777777" w:rsidR="00AE755F" w:rsidRPr="00B06893" w:rsidRDefault="00AE755F" w:rsidP="00501A02">
            <w:pPr>
              <w:pStyle w:val="TableText0"/>
            </w:pPr>
            <w:r w:rsidRPr="00B06893">
              <w:t xml:space="preserve">Recommended every 12 months </w:t>
            </w:r>
          </w:p>
        </w:tc>
      </w:tr>
      <w:tr w:rsidR="00AE755F" w:rsidRPr="00B06893" w14:paraId="09C3F330" w14:textId="77777777" w:rsidTr="00712F41">
        <w:tc>
          <w:tcPr>
            <w:tcW w:w="4864" w:type="dxa"/>
            <w:gridSpan w:val="2"/>
          </w:tcPr>
          <w:p w14:paraId="483728F2" w14:textId="005F05EF" w:rsidR="00AE755F" w:rsidRPr="00B06893" w:rsidRDefault="00AE755F" w:rsidP="00501A02">
            <w:pPr>
              <w:pStyle w:val="TableText0"/>
            </w:pPr>
            <w:r w:rsidRPr="00B06893">
              <w:t xml:space="preserve">Adults aged 65 years and older </w:t>
            </w:r>
          </w:p>
        </w:tc>
        <w:tc>
          <w:tcPr>
            <w:tcW w:w="4153" w:type="dxa"/>
            <w:gridSpan w:val="2"/>
          </w:tcPr>
          <w:p w14:paraId="072AA336" w14:textId="77777777" w:rsidR="00AE755F" w:rsidRPr="00B06893" w:rsidRDefault="00AE755F" w:rsidP="00501A02">
            <w:pPr>
              <w:pStyle w:val="TableText0"/>
            </w:pPr>
            <w:r w:rsidRPr="00B06893">
              <w:t>Recommended every 12 months</w:t>
            </w:r>
          </w:p>
        </w:tc>
      </w:tr>
      <w:tr w:rsidR="00AE755F" w:rsidRPr="00B06893" w14:paraId="5E2A41DC" w14:textId="77777777" w:rsidTr="00712F41">
        <w:tc>
          <w:tcPr>
            <w:tcW w:w="4864" w:type="dxa"/>
            <w:gridSpan w:val="2"/>
          </w:tcPr>
          <w:p w14:paraId="0571997B" w14:textId="4DA7F9A8" w:rsidR="00AE755F" w:rsidRPr="00B06893" w:rsidRDefault="00AE755F" w:rsidP="00501A02">
            <w:pPr>
              <w:pStyle w:val="TableText0"/>
            </w:pPr>
            <w:r w:rsidRPr="00B06893">
              <w:t>Aboriginal and Torres Strait Islander individuals aged 50</w:t>
            </w:r>
            <w:r w:rsidR="00193971">
              <w:noBreakHyphen/>
            </w:r>
            <w:r w:rsidRPr="00B06893">
              <w:t>64 years with or without medical risk conditions</w:t>
            </w:r>
            <w:r w:rsidRPr="00B06893">
              <w:rPr>
                <w:vertAlign w:val="superscript"/>
              </w:rPr>
              <w:t>b</w:t>
            </w:r>
          </w:p>
        </w:tc>
        <w:tc>
          <w:tcPr>
            <w:tcW w:w="4153" w:type="dxa"/>
            <w:gridSpan w:val="2"/>
          </w:tcPr>
          <w:p w14:paraId="7219ADB7" w14:textId="77777777" w:rsidR="00AE755F" w:rsidRPr="00B06893" w:rsidRDefault="00AE755F" w:rsidP="00501A02">
            <w:pPr>
              <w:pStyle w:val="TableText0"/>
            </w:pPr>
            <w:r w:rsidRPr="00B06893">
              <w:t>Recommended every 12 months</w:t>
            </w:r>
          </w:p>
        </w:tc>
      </w:tr>
      <w:tr w:rsidR="007B4345" w:rsidRPr="00B06893" w14:paraId="0CCA33AE" w14:textId="77777777" w:rsidTr="00712F41">
        <w:tc>
          <w:tcPr>
            <w:tcW w:w="2577" w:type="dxa"/>
          </w:tcPr>
          <w:p w14:paraId="754087A8" w14:textId="77777777" w:rsidR="007B4345" w:rsidRPr="00B06893" w:rsidRDefault="007B4345" w:rsidP="00501A02">
            <w:pPr>
              <w:pStyle w:val="TableText0"/>
            </w:pPr>
            <w:r w:rsidRPr="00B06893">
              <w:rPr>
                <w:rStyle w:val="Strong"/>
              </w:rPr>
              <w:t>Disease:</w:t>
            </w:r>
          </w:p>
        </w:tc>
        <w:tc>
          <w:tcPr>
            <w:tcW w:w="2287" w:type="dxa"/>
          </w:tcPr>
          <w:p w14:paraId="47A12859" w14:textId="77777777" w:rsidR="007B4345" w:rsidRPr="00B06893" w:rsidRDefault="007B4345" w:rsidP="00501A02">
            <w:pPr>
              <w:pStyle w:val="TableText0"/>
            </w:pPr>
            <w:r w:rsidRPr="00B06893">
              <w:rPr>
                <w:rStyle w:val="Strong"/>
              </w:rPr>
              <w:t>Vaccine:</w:t>
            </w:r>
          </w:p>
        </w:tc>
        <w:tc>
          <w:tcPr>
            <w:tcW w:w="2148" w:type="dxa"/>
          </w:tcPr>
          <w:p w14:paraId="0C95C2F7" w14:textId="77777777" w:rsidR="007B4345" w:rsidRPr="00B06893" w:rsidRDefault="007B4345" w:rsidP="00501A02">
            <w:pPr>
              <w:pStyle w:val="TableText0"/>
            </w:pPr>
            <w:r w:rsidRPr="00B06893">
              <w:rPr>
                <w:rStyle w:val="Strong"/>
              </w:rPr>
              <w:t>Program setting</w:t>
            </w:r>
          </w:p>
        </w:tc>
        <w:tc>
          <w:tcPr>
            <w:tcW w:w="2005" w:type="dxa"/>
          </w:tcPr>
          <w:p w14:paraId="68652F08" w14:textId="77777777" w:rsidR="007B4345" w:rsidRPr="00B06893" w:rsidRDefault="007B4345" w:rsidP="00501A02">
            <w:pPr>
              <w:pStyle w:val="TableText0"/>
            </w:pPr>
            <w:r w:rsidRPr="00B06893">
              <w:rPr>
                <w:rStyle w:val="Strong"/>
              </w:rPr>
              <w:t>Implications for other NIP vaccines</w:t>
            </w:r>
          </w:p>
        </w:tc>
      </w:tr>
      <w:tr w:rsidR="007B4345" w:rsidRPr="00B06893" w14:paraId="7EE289A3" w14:textId="77777777" w:rsidTr="00712F41">
        <w:tc>
          <w:tcPr>
            <w:tcW w:w="2577" w:type="dxa"/>
          </w:tcPr>
          <w:p w14:paraId="442D51A8" w14:textId="61013B84" w:rsidR="007B4345" w:rsidRPr="00B06893" w:rsidRDefault="007B4345" w:rsidP="00501A02">
            <w:pPr>
              <w:pStyle w:val="TableText0"/>
            </w:pPr>
            <w:r w:rsidRPr="00B06893">
              <w:t>COVID</w:t>
            </w:r>
            <w:r w:rsidR="00193971">
              <w:noBreakHyphen/>
            </w:r>
            <w:r w:rsidRPr="00B06893">
              <w:t>19</w:t>
            </w:r>
          </w:p>
        </w:tc>
        <w:tc>
          <w:tcPr>
            <w:tcW w:w="2287" w:type="dxa"/>
          </w:tcPr>
          <w:p w14:paraId="19A283C2" w14:textId="68AB084D" w:rsidR="007B4345" w:rsidRPr="00B06893" w:rsidRDefault="007B4345" w:rsidP="00156335">
            <w:pPr>
              <w:pStyle w:val="TableText0"/>
              <w:ind w:right="-57"/>
            </w:pPr>
            <w:r w:rsidRPr="00B06893">
              <w:t>Single dose mRNA</w:t>
            </w:r>
            <w:r w:rsidR="00193971">
              <w:noBreakHyphen/>
            </w:r>
            <w:r w:rsidRPr="00B06893">
              <w:t>1273, 0.5</w:t>
            </w:r>
            <w:r w:rsidR="00156335" w:rsidRPr="00B06893">
              <w:t> </w:t>
            </w:r>
            <w:r w:rsidRPr="00B06893">
              <w:t>mL (50 µg), intramuscular injection</w:t>
            </w:r>
          </w:p>
        </w:tc>
        <w:tc>
          <w:tcPr>
            <w:tcW w:w="2148" w:type="dxa"/>
          </w:tcPr>
          <w:p w14:paraId="0AA56845" w14:textId="77777777" w:rsidR="007B4345" w:rsidRPr="00B06893" w:rsidRDefault="007B4345" w:rsidP="00501A02">
            <w:pPr>
              <w:pStyle w:val="TableText0"/>
            </w:pPr>
            <w:r w:rsidRPr="00B06893">
              <w:t>GPs</w:t>
            </w:r>
          </w:p>
          <w:p w14:paraId="069DDACA" w14:textId="77777777" w:rsidR="007B4345" w:rsidRPr="00B06893" w:rsidRDefault="007B4345" w:rsidP="00501A02">
            <w:pPr>
              <w:pStyle w:val="TableText0"/>
            </w:pPr>
            <w:r w:rsidRPr="00B06893">
              <w:t>Local council immunisation clinics</w:t>
            </w:r>
          </w:p>
          <w:p w14:paraId="70DF21F0" w14:textId="77777777" w:rsidR="007B4345" w:rsidRPr="00B06893" w:rsidRDefault="007B4345" w:rsidP="00501A02">
            <w:pPr>
              <w:pStyle w:val="TableText0"/>
            </w:pPr>
            <w:r w:rsidRPr="00B06893">
              <w:t>Community health centres</w:t>
            </w:r>
          </w:p>
          <w:p w14:paraId="3B25FAFC" w14:textId="77777777" w:rsidR="007B4345" w:rsidRPr="00B06893" w:rsidRDefault="007B4345" w:rsidP="00501A02">
            <w:pPr>
              <w:pStyle w:val="TableText0"/>
            </w:pPr>
            <w:r w:rsidRPr="00B06893">
              <w:t>Aboriginal Medical Services, Pharmacies</w:t>
            </w:r>
          </w:p>
        </w:tc>
        <w:tc>
          <w:tcPr>
            <w:tcW w:w="2005" w:type="dxa"/>
          </w:tcPr>
          <w:p w14:paraId="3B1A66B2" w14:textId="77777777" w:rsidR="007B4345" w:rsidRPr="00B06893" w:rsidRDefault="007B4345" w:rsidP="00501A02">
            <w:pPr>
              <w:pStyle w:val="TableText0"/>
            </w:pPr>
            <w:r w:rsidRPr="00B06893">
              <w:t>None</w:t>
            </w:r>
          </w:p>
        </w:tc>
      </w:tr>
    </w:tbl>
    <w:p w14:paraId="53C71D49" w14:textId="7DD411C1" w:rsidR="007B4345" w:rsidRPr="00B06893" w:rsidRDefault="007B4345" w:rsidP="00E56B5A">
      <w:pPr>
        <w:pStyle w:val="TableFooter"/>
      </w:pPr>
      <w:r w:rsidRPr="00B06893">
        <w:t>Source: Table 1</w:t>
      </w:r>
      <w:r w:rsidR="00193971">
        <w:noBreakHyphen/>
      </w:r>
      <w:r w:rsidRPr="00B06893">
        <w:t>18, p46 of the submission.</w:t>
      </w:r>
    </w:p>
    <w:p w14:paraId="18BB6917" w14:textId="32FA5C42" w:rsidR="007B4345" w:rsidRPr="00B06893" w:rsidRDefault="007B4345" w:rsidP="00E56B5A">
      <w:pPr>
        <w:pStyle w:val="TableFooter"/>
      </w:pPr>
      <w:r w:rsidRPr="00B06893">
        <w:t>COVID</w:t>
      </w:r>
      <w:r w:rsidR="00193971">
        <w:noBreakHyphen/>
      </w:r>
      <w:r w:rsidRPr="00B06893">
        <w:t xml:space="preserve">19 = Coronavirus disease 2019; GP = general practitioner; µg = microgram; NIP = National Immunisation Program; </w:t>
      </w:r>
      <w:r w:rsidRPr="00B06893">
        <w:rPr>
          <w:rStyle w:val="TableFooterChar"/>
        </w:rPr>
        <w:t xml:space="preserve">mRNA = messenger ribonucleic acid; </w:t>
      </w:r>
      <w:r w:rsidRPr="00B06893">
        <w:t>SARS</w:t>
      </w:r>
      <w:r w:rsidR="00193971">
        <w:noBreakHyphen/>
      </w:r>
      <w:r w:rsidRPr="00B06893">
        <w:t>CoV</w:t>
      </w:r>
      <w:r w:rsidR="00193971">
        <w:noBreakHyphen/>
      </w:r>
      <w:r w:rsidRPr="00B06893">
        <w:t>2 = severe acute respiratory syndrome coronavirus</w:t>
      </w:r>
      <w:r w:rsidR="00193971">
        <w:noBreakHyphen/>
      </w:r>
      <w:r w:rsidRPr="00B06893">
        <w:t>2.</w:t>
      </w:r>
    </w:p>
    <w:p w14:paraId="68BB5C96" w14:textId="5396419D" w:rsidR="007B4345" w:rsidRPr="00B06893" w:rsidRDefault="007B4345" w:rsidP="00E56B5A">
      <w:pPr>
        <w:pStyle w:val="TableFooter"/>
        <w:rPr>
          <w:vertAlign w:val="superscript"/>
        </w:rPr>
      </w:pPr>
      <w:r w:rsidRPr="00B06893">
        <w:rPr>
          <w:vertAlign w:val="superscript"/>
        </w:rPr>
        <w:t>a</w:t>
      </w:r>
      <w:r w:rsidRPr="00B06893">
        <w:t>Refer to the Australian Immunisation Handbook for severely immunocompromising conditions for which additional doses of COVID</w:t>
      </w:r>
      <w:r w:rsidR="00193971">
        <w:noBreakHyphen/>
      </w:r>
      <w:r w:rsidRPr="00B06893">
        <w:t>19 vaccine are recommended</w:t>
      </w:r>
      <w:r w:rsidRPr="00B06893">
        <w:rPr>
          <w:vertAlign w:val="superscript"/>
        </w:rPr>
        <w:t xml:space="preserve"> </w:t>
      </w:r>
    </w:p>
    <w:p w14:paraId="0A52FA71" w14:textId="30A24484" w:rsidR="00750E7A" w:rsidRPr="00D477D0" w:rsidRDefault="007B4345" w:rsidP="00D477D0">
      <w:pPr>
        <w:pStyle w:val="TableFooter"/>
        <w:rPr>
          <w:iCs/>
        </w:rPr>
      </w:pPr>
      <w:r w:rsidRPr="00B06893">
        <w:rPr>
          <w:vertAlign w:val="superscript"/>
        </w:rPr>
        <w:t>b</w:t>
      </w:r>
      <w:r w:rsidRPr="00B06893">
        <w:t>Such as the presence of other medical conditions that may increase the risk of severe COVID</w:t>
      </w:r>
      <w:r w:rsidR="00193971">
        <w:noBreakHyphen/>
      </w:r>
      <w:r w:rsidRPr="00B06893">
        <w:t>19. Refer to the Australian Immunisation Handbook for specified medical risk conditions that increase the risk of severe COVID</w:t>
      </w:r>
      <w:r w:rsidR="00193971">
        <w:noBreakHyphen/>
      </w:r>
      <w:r w:rsidRPr="00B06893">
        <w:t>19</w:t>
      </w:r>
    </w:p>
    <w:p w14:paraId="4641C260" w14:textId="3BA9D0C5" w:rsidR="008B65F6" w:rsidRPr="00B06893" w:rsidRDefault="0035159E" w:rsidP="00501A02">
      <w:pPr>
        <w:pStyle w:val="3-BodyText"/>
        <w:rPr>
          <w:iCs/>
        </w:rPr>
      </w:pPr>
      <w:r w:rsidRPr="00B06893">
        <w:fldChar w:fldCharType="begin"/>
      </w:r>
      <w:r w:rsidRPr="00B06893">
        <w:instrText xml:space="preserve"> REF _Ref221733222 \h </w:instrText>
      </w:r>
      <w:r w:rsidRPr="00B06893">
        <w:fldChar w:fldCharType="separate"/>
      </w:r>
      <w:r w:rsidR="00810177" w:rsidRPr="00B06893">
        <w:t>Table 3</w:t>
      </w:r>
      <w:r w:rsidRPr="00B06893">
        <w:fldChar w:fldCharType="end"/>
      </w:r>
      <w:r w:rsidRPr="00B06893">
        <w:t xml:space="preserve"> </w:t>
      </w:r>
      <w:r w:rsidR="008B65F6" w:rsidRPr="00B06893">
        <w:t>summarises the ATAGI recommendations for COVID</w:t>
      </w:r>
      <w:r w:rsidR="00193971">
        <w:noBreakHyphen/>
      </w:r>
      <w:r w:rsidR="008B65F6" w:rsidRPr="00B06893">
        <w:t>19 vaccines as advised in August 2025.</w:t>
      </w:r>
      <w:r w:rsidR="00580BAD">
        <w:t xml:space="preserve"> </w:t>
      </w:r>
      <w:r w:rsidR="008B65F6" w:rsidRPr="00B06893">
        <w:t xml:space="preserve">The submission requested NIP listing where the ATAGI advice uses the word “recommended” in </w:t>
      </w:r>
      <w:r w:rsidR="008B65F6" w:rsidRPr="00B06893">
        <w:fldChar w:fldCharType="begin"/>
      </w:r>
      <w:r w:rsidR="008B65F6" w:rsidRPr="00B06893">
        <w:instrText xml:space="preserve"> REF _Ref221733222 \h </w:instrText>
      </w:r>
      <w:r w:rsidR="008B65F6" w:rsidRPr="00B06893">
        <w:fldChar w:fldCharType="separate"/>
      </w:r>
      <w:r w:rsidR="00810177" w:rsidRPr="00B06893">
        <w:t>Table 3</w:t>
      </w:r>
      <w:r w:rsidR="008B65F6" w:rsidRPr="00B06893">
        <w:fldChar w:fldCharType="end"/>
      </w:r>
      <w:r w:rsidR="008B65F6" w:rsidRPr="00B06893">
        <w:t>.</w:t>
      </w:r>
      <w:r w:rsidR="00580BAD">
        <w:t xml:space="preserve"> </w:t>
      </w:r>
      <w:r w:rsidR="008B65F6" w:rsidRPr="00B06893">
        <w:rPr>
          <w:iCs/>
        </w:rPr>
        <w:t>The ESC considered the requested populations were consistent with advice from the ATAGI that emphasised that populations with medical risk conditions are heterogenous, and that ATAGI did not support an overall recommendation for vaccination in groups where its advice was to “consider” a dose based on individual risk</w:t>
      </w:r>
      <w:r w:rsidR="00193971">
        <w:rPr>
          <w:iCs/>
        </w:rPr>
        <w:noBreakHyphen/>
      </w:r>
      <w:r w:rsidR="008B65F6" w:rsidRPr="00B06893">
        <w:rPr>
          <w:iCs/>
        </w:rPr>
        <w:t>benefit assessment.</w:t>
      </w:r>
      <w:r w:rsidR="00580BAD">
        <w:rPr>
          <w:iCs/>
        </w:rPr>
        <w:t xml:space="preserve"> </w:t>
      </w:r>
      <w:r w:rsidR="001A3315" w:rsidRPr="00B06893">
        <w:rPr>
          <w:iCs/>
        </w:rPr>
        <w:t xml:space="preserve">The ESC noted that where ATAGI’s advice used the word “recommended” it indicates that the </w:t>
      </w:r>
      <w:r w:rsidR="008B65F6" w:rsidRPr="00B06893">
        <w:rPr>
          <w:iCs/>
        </w:rPr>
        <w:t xml:space="preserve">benefits of vaccination are thought to outweigh the risks for the </w:t>
      </w:r>
      <w:r w:rsidR="00CF4DCD" w:rsidRPr="00B06893">
        <w:rPr>
          <w:iCs/>
        </w:rPr>
        <w:t>population described,</w:t>
      </w:r>
      <w:r w:rsidR="001A3315" w:rsidRPr="00B06893">
        <w:rPr>
          <w:iCs/>
        </w:rPr>
        <w:t xml:space="preserve"> as set out in </w:t>
      </w:r>
      <w:r w:rsidR="001A3315" w:rsidRPr="00B06893">
        <w:rPr>
          <w:iCs/>
        </w:rPr>
        <w:fldChar w:fldCharType="begin"/>
      </w:r>
      <w:r w:rsidR="001A3315" w:rsidRPr="00B06893">
        <w:rPr>
          <w:iCs/>
        </w:rPr>
        <w:instrText xml:space="preserve"> REF _Ref221733222 \h  \* MERGEFORMAT </w:instrText>
      </w:r>
      <w:r w:rsidR="001A3315" w:rsidRPr="00B06893">
        <w:rPr>
          <w:iCs/>
        </w:rPr>
      </w:r>
      <w:r w:rsidR="001A3315" w:rsidRPr="00B06893">
        <w:rPr>
          <w:iCs/>
        </w:rPr>
        <w:fldChar w:fldCharType="separate"/>
      </w:r>
      <w:r w:rsidR="00810177" w:rsidRPr="00B06893">
        <w:rPr>
          <w:iCs/>
        </w:rPr>
        <w:t>Table 3</w:t>
      </w:r>
      <w:r w:rsidR="001A3315" w:rsidRPr="00B06893">
        <w:rPr>
          <w:iCs/>
        </w:rPr>
        <w:fldChar w:fldCharType="end"/>
      </w:r>
      <w:r w:rsidR="008B65F6" w:rsidRPr="00B06893">
        <w:rPr>
          <w:iCs/>
        </w:rPr>
        <w:t>.</w:t>
      </w:r>
    </w:p>
    <w:p w14:paraId="003718D4" w14:textId="27DBB8D9" w:rsidR="008B65F6" w:rsidRPr="00B06893" w:rsidRDefault="008B65F6" w:rsidP="008B65F6">
      <w:pPr>
        <w:pStyle w:val="Caption"/>
      </w:pPr>
      <w:bookmarkStart w:id="19" w:name="_Ref221733222"/>
      <w:r w:rsidRPr="00B06893">
        <w:lastRenderedPageBreak/>
        <w:t xml:space="preserve">Table </w:t>
      </w:r>
      <w:fldSimple w:instr=" SEQ Table \* ARABIC ">
        <w:r w:rsidR="00810177" w:rsidRPr="00B06893">
          <w:t>3</w:t>
        </w:r>
      </w:fldSimple>
      <w:bookmarkEnd w:id="19"/>
      <w:r w:rsidRPr="00B06893">
        <w:t>:</w:t>
      </w:r>
      <w:r w:rsidRPr="00B06893">
        <w:rPr>
          <w:rFonts w:eastAsiaTheme="majorEastAsia" w:cstheme="majorBidi"/>
          <w:szCs w:val="24"/>
        </w:rPr>
        <w:t xml:space="preserve"> </w:t>
      </w:r>
      <w:r w:rsidRPr="00B06893">
        <w:t>ATAGI COVID</w:t>
      </w:r>
      <w:r w:rsidR="00193971">
        <w:noBreakHyphen/>
      </w:r>
      <w:r w:rsidRPr="00B06893">
        <w:t>19 Vaccine Recommendations </w:t>
      </w:r>
    </w:p>
    <w:tbl>
      <w:tblPr>
        <w:tblStyle w:val="TableGrid"/>
        <w:tblW w:w="5000" w:type="pct"/>
        <w:tblLook w:val="04A0" w:firstRow="1" w:lastRow="0" w:firstColumn="1" w:lastColumn="0" w:noHBand="0" w:noVBand="1"/>
        <w:tblCaption w:val="Table 3: ATAGI COVID 19 Vaccine Recommendations "/>
      </w:tblPr>
      <w:tblGrid>
        <w:gridCol w:w="2090"/>
        <w:gridCol w:w="3574"/>
        <w:gridCol w:w="3353"/>
      </w:tblGrid>
      <w:tr w:rsidR="008B65F6" w:rsidRPr="00B06893" w14:paraId="2E30A5C4" w14:textId="77777777" w:rsidTr="00501A02">
        <w:trPr>
          <w:cantSplit/>
        </w:trPr>
        <w:tc>
          <w:tcPr>
            <w:tcW w:w="1159" w:type="pct"/>
          </w:tcPr>
          <w:p w14:paraId="0B2FA3E9" w14:textId="77777777" w:rsidR="008B65F6" w:rsidRPr="00B06893" w:rsidRDefault="008B65F6" w:rsidP="00501A02">
            <w:pPr>
              <w:pStyle w:val="TableText0"/>
              <w:rPr>
                <w:b/>
                <w:bCs w:val="0"/>
              </w:rPr>
            </w:pPr>
            <w:r w:rsidRPr="00B06893">
              <w:rPr>
                <w:b/>
                <w:bCs w:val="0"/>
              </w:rPr>
              <w:t>Age group </w:t>
            </w:r>
          </w:p>
        </w:tc>
        <w:tc>
          <w:tcPr>
            <w:tcW w:w="1982" w:type="pct"/>
          </w:tcPr>
          <w:p w14:paraId="3DAFDE56" w14:textId="77777777" w:rsidR="008B65F6" w:rsidRPr="00B06893" w:rsidRDefault="008B65F6" w:rsidP="00501A02">
            <w:pPr>
              <w:pStyle w:val="TableText0"/>
              <w:rPr>
                <w:b/>
                <w:bCs w:val="0"/>
              </w:rPr>
            </w:pPr>
            <w:r w:rsidRPr="00B06893">
              <w:rPr>
                <w:b/>
                <w:bCs w:val="0"/>
              </w:rPr>
              <w:t>ATAGI Recommendation</w:t>
            </w:r>
          </w:p>
        </w:tc>
        <w:tc>
          <w:tcPr>
            <w:tcW w:w="1859" w:type="pct"/>
          </w:tcPr>
          <w:p w14:paraId="1EF16807" w14:textId="77777777" w:rsidR="008B65F6" w:rsidRPr="00B06893" w:rsidRDefault="008B65F6" w:rsidP="00501A02">
            <w:pPr>
              <w:pStyle w:val="TableText0"/>
              <w:rPr>
                <w:b/>
                <w:bCs w:val="0"/>
              </w:rPr>
            </w:pPr>
            <w:r w:rsidRPr="00B06893">
              <w:rPr>
                <w:b/>
                <w:bCs w:val="0"/>
              </w:rPr>
              <w:t>Requested NIP Listing</w:t>
            </w:r>
          </w:p>
        </w:tc>
      </w:tr>
      <w:tr w:rsidR="001A3315" w:rsidRPr="00B06893" w14:paraId="66FF1B5D" w14:textId="77777777" w:rsidTr="001A3315">
        <w:trPr>
          <w:cantSplit/>
        </w:trPr>
        <w:tc>
          <w:tcPr>
            <w:tcW w:w="5000" w:type="pct"/>
            <w:gridSpan w:val="3"/>
          </w:tcPr>
          <w:p w14:paraId="3690AB0E" w14:textId="46BCED39" w:rsidR="001A3315" w:rsidRPr="00B06893" w:rsidRDefault="001A3315" w:rsidP="00501A02">
            <w:pPr>
              <w:pStyle w:val="TableText0"/>
              <w:rPr>
                <w:b/>
                <w:bCs w:val="0"/>
              </w:rPr>
            </w:pPr>
            <w:r w:rsidRPr="00B06893">
              <w:rPr>
                <w:b/>
                <w:bCs w:val="0"/>
              </w:rPr>
              <w:t>No Medical Risk Conditions </w:t>
            </w:r>
          </w:p>
        </w:tc>
      </w:tr>
      <w:tr w:rsidR="008B65F6" w:rsidRPr="00B06893" w14:paraId="1F3B5B46" w14:textId="77777777" w:rsidTr="00501A02">
        <w:trPr>
          <w:cantSplit/>
        </w:trPr>
        <w:tc>
          <w:tcPr>
            <w:tcW w:w="1159" w:type="pct"/>
            <w:hideMark/>
          </w:tcPr>
          <w:p w14:paraId="1B542626" w14:textId="77777777" w:rsidR="008B65F6" w:rsidRPr="00B06893" w:rsidRDefault="008B65F6" w:rsidP="00501A02">
            <w:pPr>
              <w:pStyle w:val="TableText0"/>
            </w:pPr>
            <w:r w:rsidRPr="00B06893">
              <w:t>6 months to &lt;5 years </w:t>
            </w:r>
          </w:p>
        </w:tc>
        <w:tc>
          <w:tcPr>
            <w:tcW w:w="1982" w:type="pct"/>
            <w:vMerge w:val="restart"/>
            <w:hideMark/>
          </w:tcPr>
          <w:p w14:paraId="06484066" w14:textId="77777777" w:rsidR="008B65F6" w:rsidRPr="00B06893" w:rsidRDefault="008B65F6" w:rsidP="00501A02">
            <w:pPr>
              <w:pStyle w:val="TableText0"/>
            </w:pPr>
            <w:r w:rsidRPr="00B06893">
              <w:t>Not recommended </w:t>
            </w:r>
          </w:p>
        </w:tc>
        <w:tc>
          <w:tcPr>
            <w:tcW w:w="1859" w:type="pct"/>
            <w:vMerge w:val="restart"/>
          </w:tcPr>
          <w:p w14:paraId="1CDB2C33" w14:textId="77777777" w:rsidR="008B65F6" w:rsidRPr="00B06893" w:rsidRDefault="008B65F6" w:rsidP="00501A02">
            <w:pPr>
              <w:pStyle w:val="TableText0"/>
            </w:pPr>
            <w:r w:rsidRPr="00B06893">
              <w:t>None</w:t>
            </w:r>
          </w:p>
        </w:tc>
      </w:tr>
      <w:tr w:rsidR="008B65F6" w:rsidRPr="00B06893" w14:paraId="1A21E54F" w14:textId="77777777" w:rsidTr="00501A02">
        <w:trPr>
          <w:cantSplit/>
        </w:trPr>
        <w:tc>
          <w:tcPr>
            <w:tcW w:w="1159" w:type="pct"/>
            <w:hideMark/>
          </w:tcPr>
          <w:p w14:paraId="43294F7E" w14:textId="77777777" w:rsidR="008B65F6" w:rsidRPr="00B06893" w:rsidRDefault="008B65F6" w:rsidP="00501A02">
            <w:pPr>
              <w:pStyle w:val="TableText0"/>
            </w:pPr>
            <w:r w:rsidRPr="00B06893">
              <w:t>5 years to &lt;18 years </w:t>
            </w:r>
          </w:p>
        </w:tc>
        <w:tc>
          <w:tcPr>
            <w:tcW w:w="1982" w:type="pct"/>
            <w:vMerge/>
            <w:hideMark/>
          </w:tcPr>
          <w:p w14:paraId="22DB5E0E" w14:textId="77777777" w:rsidR="008B65F6" w:rsidRPr="00B06893" w:rsidRDefault="008B65F6" w:rsidP="00501A02">
            <w:pPr>
              <w:pStyle w:val="TableText0"/>
            </w:pPr>
          </w:p>
        </w:tc>
        <w:tc>
          <w:tcPr>
            <w:tcW w:w="1859" w:type="pct"/>
            <w:vMerge/>
          </w:tcPr>
          <w:p w14:paraId="54B40B49" w14:textId="77777777" w:rsidR="008B65F6" w:rsidRPr="00B06893" w:rsidRDefault="008B65F6" w:rsidP="00501A02">
            <w:pPr>
              <w:pStyle w:val="TableText0"/>
            </w:pPr>
          </w:p>
        </w:tc>
      </w:tr>
      <w:tr w:rsidR="008B65F6" w:rsidRPr="00B06893" w14:paraId="2FC78372" w14:textId="77777777" w:rsidTr="00501A02">
        <w:trPr>
          <w:cantSplit/>
        </w:trPr>
        <w:tc>
          <w:tcPr>
            <w:tcW w:w="1159" w:type="pct"/>
            <w:hideMark/>
          </w:tcPr>
          <w:p w14:paraId="2166CFDB" w14:textId="77777777" w:rsidR="008B65F6" w:rsidRPr="00B06893" w:rsidRDefault="008B65F6" w:rsidP="00501A02">
            <w:pPr>
              <w:pStyle w:val="TableText0"/>
            </w:pPr>
            <w:r w:rsidRPr="00B06893">
              <w:t>18–64 years </w:t>
            </w:r>
          </w:p>
        </w:tc>
        <w:tc>
          <w:tcPr>
            <w:tcW w:w="1982" w:type="pct"/>
            <w:hideMark/>
          </w:tcPr>
          <w:p w14:paraId="0040DB54" w14:textId="77777777" w:rsidR="008B65F6" w:rsidRPr="00B06893" w:rsidRDefault="008B65F6" w:rsidP="00501A02">
            <w:pPr>
              <w:pStyle w:val="TableText0"/>
            </w:pPr>
            <w:r w:rsidRPr="00B06893">
              <w:t>Consider 1 dose each year </w:t>
            </w:r>
          </w:p>
        </w:tc>
        <w:tc>
          <w:tcPr>
            <w:tcW w:w="1859" w:type="pct"/>
          </w:tcPr>
          <w:p w14:paraId="532AE607" w14:textId="77777777" w:rsidR="008B65F6" w:rsidRPr="00B06893" w:rsidRDefault="008B65F6" w:rsidP="00501A02">
            <w:pPr>
              <w:pStyle w:val="TableText0"/>
            </w:pPr>
            <w:r w:rsidRPr="00B06893">
              <w:t>None</w:t>
            </w:r>
          </w:p>
        </w:tc>
      </w:tr>
      <w:tr w:rsidR="008B65F6" w:rsidRPr="00B06893" w14:paraId="7CC300E0" w14:textId="77777777" w:rsidTr="00501A02">
        <w:trPr>
          <w:cantSplit/>
        </w:trPr>
        <w:tc>
          <w:tcPr>
            <w:tcW w:w="1159" w:type="pct"/>
            <w:hideMark/>
          </w:tcPr>
          <w:p w14:paraId="140A79AB" w14:textId="77777777" w:rsidR="008B65F6" w:rsidRPr="00B06893" w:rsidRDefault="008B65F6" w:rsidP="00501A02">
            <w:pPr>
              <w:pStyle w:val="TableText0"/>
            </w:pPr>
            <w:r w:rsidRPr="00B06893">
              <w:t>65–74 years </w:t>
            </w:r>
          </w:p>
        </w:tc>
        <w:tc>
          <w:tcPr>
            <w:tcW w:w="1982" w:type="pct"/>
            <w:hideMark/>
          </w:tcPr>
          <w:p w14:paraId="70EA5302" w14:textId="77777777" w:rsidR="008B65F6" w:rsidRPr="00B06893" w:rsidRDefault="008B65F6" w:rsidP="00501A02">
            <w:pPr>
              <w:pStyle w:val="TableText0"/>
            </w:pPr>
            <w:r w:rsidRPr="00B06893">
              <w:t>Recommend 1 dose each year </w:t>
            </w:r>
          </w:p>
        </w:tc>
        <w:tc>
          <w:tcPr>
            <w:tcW w:w="1859" w:type="pct"/>
          </w:tcPr>
          <w:p w14:paraId="687F7547" w14:textId="77777777" w:rsidR="008B65F6" w:rsidRPr="00B06893" w:rsidRDefault="008B65F6" w:rsidP="00501A02">
            <w:pPr>
              <w:pStyle w:val="TableText0"/>
            </w:pPr>
            <w:r w:rsidRPr="00B06893">
              <w:t>Eligible for 1 dose each year </w:t>
            </w:r>
          </w:p>
        </w:tc>
      </w:tr>
      <w:tr w:rsidR="008B65F6" w:rsidRPr="00B06893" w14:paraId="0C129C07" w14:textId="77777777" w:rsidTr="00501A02">
        <w:trPr>
          <w:cantSplit/>
        </w:trPr>
        <w:tc>
          <w:tcPr>
            <w:tcW w:w="1159" w:type="pct"/>
            <w:hideMark/>
          </w:tcPr>
          <w:p w14:paraId="60059AA4" w14:textId="77777777" w:rsidR="008B65F6" w:rsidRPr="00B06893" w:rsidRDefault="008B65F6" w:rsidP="00501A02">
            <w:pPr>
              <w:pStyle w:val="TableText0"/>
            </w:pPr>
            <w:r w:rsidRPr="00B06893">
              <w:t>≥75 years </w:t>
            </w:r>
          </w:p>
        </w:tc>
        <w:tc>
          <w:tcPr>
            <w:tcW w:w="1982" w:type="pct"/>
            <w:hideMark/>
          </w:tcPr>
          <w:p w14:paraId="520A7CCA" w14:textId="77777777" w:rsidR="008B65F6" w:rsidRPr="00B06893" w:rsidRDefault="008B65F6" w:rsidP="00501A02">
            <w:pPr>
              <w:pStyle w:val="TableText0"/>
            </w:pPr>
            <w:r w:rsidRPr="00B06893">
              <w:t>Recommend 2 doses each year </w:t>
            </w:r>
          </w:p>
        </w:tc>
        <w:tc>
          <w:tcPr>
            <w:tcW w:w="1859" w:type="pct"/>
          </w:tcPr>
          <w:p w14:paraId="77622AD8" w14:textId="77777777" w:rsidR="008B65F6" w:rsidRPr="00B06893" w:rsidRDefault="008B65F6" w:rsidP="00501A02">
            <w:pPr>
              <w:pStyle w:val="TableText0"/>
            </w:pPr>
            <w:r w:rsidRPr="00B06893">
              <w:t>Eligible for 2 doses each year </w:t>
            </w:r>
          </w:p>
        </w:tc>
      </w:tr>
      <w:tr w:rsidR="008B65F6" w:rsidRPr="00B06893" w14:paraId="3F9FBC47" w14:textId="77777777" w:rsidTr="00501A02">
        <w:trPr>
          <w:cantSplit/>
        </w:trPr>
        <w:tc>
          <w:tcPr>
            <w:tcW w:w="3141" w:type="pct"/>
            <w:gridSpan w:val="2"/>
            <w:hideMark/>
          </w:tcPr>
          <w:p w14:paraId="40F88040" w14:textId="77777777" w:rsidR="008B65F6" w:rsidRPr="00B06893" w:rsidRDefault="008B65F6" w:rsidP="00501A02">
            <w:pPr>
              <w:pStyle w:val="TableText0"/>
              <w:rPr>
                <w:b/>
                <w:bCs w:val="0"/>
              </w:rPr>
            </w:pPr>
            <w:r w:rsidRPr="00B06893">
              <w:rPr>
                <w:b/>
                <w:bCs w:val="0"/>
              </w:rPr>
              <w:t>Medical Risk Conditions</w:t>
            </w:r>
            <w:r w:rsidRPr="00B06893">
              <w:rPr>
                <w:b/>
                <w:bCs w:val="0"/>
                <w:vertAlign w:val="superscript"/>
              </w:rPr>
              <w:t>a</w:t>
            </w:r>
          </w:p>
        </w:tc>
        <w:tc>
          <w:tcPr>
            <w:tcW w:w="1859" w:type="pct"/>
          </w:tcPr>
          <w:p w14:paraId="185CEA93" w14:textId="77777777" w:rsidR="008B65F6" w:rsidRPr="00B06893" w:rsidRDefault="008B65F6" w:rsidP="00501A02">
            <w:pPr>
              <w:pStyle w:val="TableText0"/>
            </w:pPr>
          </w:p>
        </w:tc>
      </w:tr>
      <w:tr w:rsidR="008B65F6" w:rsidRPr="00B06893" w14:paraId="27967A74" w14:textId="77777777" w:rsidTr="00501A02">
        <w:trPr>
          <w:cantSplit/>
        </w:trPr>
        <w:tc>
          <w:tcPr>
            <w:tcW w:w="1159" w:type="pct"/>
            <w:hideMark/>
          </w:tcPr>
          <w:p w14:paraId="3FF55FF2" w14:textId="77777777" w:rsidR="008B65F6" w:rsidRPr="00B06893" w:rsidRDefault="008B65F6" w:rsidP="00501A02">
            <w:pPr>
              <w:pStyle w:val="TableText0"/>
            </w:pPr>
            <w:r w:rsidRPr="00B06893">
              <w:t>6 months to &lt;5 years </w:t>
            </w:r>
          </w:p>
        </w:tc>
        <w:tc>
          <w:tcPr>
            <w:tcW w:w="1982" w:type="pct"/>
            <w:vMerge w:val="restart"/>
            <w:hideMark/>
          </w:tcPr>
          <w:p w14:paraId="436E992F" w14:textId="77777777" w:rsidR="008B65F6" w:rsidRPr="00B06893" w:rsidRDefault="008B65F6" w:rsidP="00501A02">
            <w:pPr>
              <w:pStyle w:val="TableText0"/>
            </w:pPr>
            <w:r w:rsidRPr="00B06893">
              <w:t>Consider 1 dose each year </w:t>
            </w:r>
          </w:p>
        </w:tc>
        <w:tc>
          <w:tcPr>
            <w:tcW w:w="1859" w:type="pct"/>
            <w:vMerge w:val="restart"/>
          </w:tcPr>
          <w:p w14:paraId="04F78ADA" w14:textId="77777777" w:rsidR="008B65F6" w:rsidRPr="00B06893" w:rsidRDefault="008B65F6" w:rsidP="00501A02">
            <w:pPr>
              <w:pStyle w:val="TableText0"/>
            </w:pPr>
            <w:r w:rsidRPr="00B06893">
              <w:t>None</w:t>
            </w:r>
          </w:p>
        </w:tc>
      </w:tr>
      <w:tr w:rsidR="008B65F6" w:rsidRPr="00B06893" w14:paraId="6552BB7E" w14:textId="77777777" w:rsidTr="00501A02">
        <w:trPr>
          <w:cantSplit/>
        </w:trPr>
        <w:tc>
          <w:tcPr>
            <w:tcW w:w="1159" w:type="pct"/>
            <w:hideMark/>
          </w:tcPr>
          <w:p w14:paraId="52E482E4" w14:textId="77777777" w:rsidR="008B65F6" w:rsidRPr="00B06893" w:rsidRDefault="008B65F6" w:rsidP="00501A02">
            <w:pPr>
              <w:pStyle w:val="TableText0"/>
            </w:pPr>
            <w:r w:rsidRPr="00B06893">
              <w:t>5 years to &lt;18 years </w:t>
            </w:r>
          </w:p>
        </w:tc>
        <w:tc>
          <w:tcPr>
            <w:tcW w:w="1982" w:type="pct"/>
            <w:vMerge/>
            <w:hideMark/>
          </w:tcPr>
          <w:p w14:paraId="237E3AFF" w14:textId="77777777" w:rsidR="008B65F6" w:rsidRPr="00B06893" w:rsidRDefault="008B65F6" w:rsidP="00501A02">
            <w:pPr>
              <w:pStyle w:val="TableText0"/>
            </w:pPr>
          </w:p>
        </w:tc>
        <w:tc>
          <w:tcPr>
            <w:tcW w:w="1859" w:type="pct"/>
            <w:vMerge/>
          </w:tcPr>
          <w:p w14:paraId="3CAA1E21" w14:textId="77777777" w:rsidR="008B65F6" w:rsidRPr="00B06893" w:rsidRDefault="008B65F6" w:rsidP="00501A02">
            <w:pPr>
              <w:pStyle w:val="TableText0"/>
            </w:pPr>
          </w:p>
        </w:tc>
      </w:tr>
      <w:tr w:rsidR="008B65F6" w:rsidRPr="00B06893" w14:paraId="79F04F60" w14:textId="77777777" w:rsidTr="00501A02">
        <w:trPr>
          <w:cantSplit/>
        </w:trPr>
        <w:tc>
          <w:tcPr>
            <w:tcW w:w="1159" w:type="pct"/>
            <w:hideMark/>
          </w:tcPr>
          <w:p w14:paraId="31EFB301" w14:textId="77777777" w:rsidR="008B65F6" w:rsidRPr="00B06893" w:rsidRDefault="008B65F6" w:rsidP="00501A02">
            <w:pPr>
              <w:pStyle w:val="TableText0"/>
            </w:pPr>
            <w:r w:rsidRPr="00B06893">
              <w:t>18–64 years </w:t>
            </w:r>
          </w:p>
        </w:tc>
        <w:tc>
          <w:tcPr>
            <w:tcW w:w="1982" w:type="pct"/>
            <w:vMerge/>
            <w:hideMark/>
          </w:tcPr>
          <w:p w14:paraId="53B30C39" w14:textId="77777777" w:rsidR="008B65F6" w:rsidRPr="00B06893" w:rsidRDefault="008B65F6" w:rsidP="00501A02">
            <w:pPr>
              <w:pStyle w:val="TableText0"/>
            </w:pPr>
          </w:p>
        </w:tc>
        <w:tc>
          <w:tcPr>
            <w:tcW w:w="1859" w:type="pct"/>
            <w:vMerge/>
          </w:tcPr>
          <w:p w14:paraId="16E8BEE7" w14:textId="77777777" w:rsidR="008B65F6" w:rsidRPr="00B06893" w:rsidRDefault="008B65F6" w:rsidP="00501A02">
            <w:pPr>
              <w:pStyle w:val="TableText0"/>
            </w:pPr>
          </w:p>
        </w:tc>
      </w:tr>
      <w:tr w:rsidR="008B65F6" w:rsidRPr="00B06893" w14:paraId="20E1B091" w14:textId="77777777" w:rsidTr="00501A02">
        <w:trPr>
          <w:cantSplit/>
        </w:trPr>
        <w:tc>
          <w:tcPr>
            <w:tcW w:w="1159" w:type="pct"/>
            <w:hideMark/>
          </w:tcPr>
          <w:p w14:paraId="1321FD34" w14:textId="77777777" w:rsidR="008B65F6" w:rsidRPr="00B06893" w:rsidRDefault="008B65F6" w:rsidP="00501A02">
            <w:pPr>
              <w:pStyle w:val="TableText0"/>
            </w:pPr>
            <w:r w:rsidRPr="00B06893">
              <w:t>65–74 years </w:t>
            </w:r>
          </w:p>
        </w:tc>
        <w:tc>
          <w:tcPr>
            <w:tcW w:w="1982" w:type="pct"/>
            <w:hideMark/>
          </w:tcPr>
          <w:p w14:paraId="19FB79F4" w14:textId="77777777" w:rsidR="008B65F6" w:rsidRPr="00B06893" w:rsidRDefault="008B65F6" w:rsidP="00501A02">
            <w:pPr>
              <w:pStyle w:val="TableText0"/>
            </w:pPr>
            <w:r w:rsidRPr="00B06893">
              <w:t>Recommend 1 dose each year and consider second dose </w:t>
            </w:r>
          </w:p>
        </w:tc>
        <w:tc>
          <w:tcPr>
            <w:tcW w:w="1859" w:type="pct"/>
          </w:tcPr>
          <w:p w14:paraId="5F8232BF" w14:textId="77777777" w:rsidR="008B65F6" w:rsidRPr="00B06893" w:rsidRDefault="008B65F6" w:rsidP="00501A02">
            <w:pPr>
              <w:pStyle w:val="TableText0"/>
            </w:pPr>
            <w:r w:rsidRPr="00B06893">
              <w:t>Eligible for 1 dose each year. Privately purchase 2</w:t>
            </w:r>
            <w:r w:rsidRPr="00B06893">
              <w:rPr>
                <w:vertAlign w:val="superscript"/>
              </w:rPr>
              <w:t>nd</w:t>
            </w:r>
            <w:r w:rsidRPr="00B06893">
              <w:t xml:space="preserve"> dose if desired.</w:t>
            </w:r>
          </w:p>
        </w:tc>
      </w:tr>
      <w:tr w:rsidR="008B65F6" w:rsidRPr="00B06893" w14:paraId="514CA6BB" w14:textId="77777777" w:rsidTr="00501A02">
        <w:trPr>
          <w:cantSplit/>
        </w:trPr>
        <w:tc>
          <w:tcPr>
            <w:tcW w:w="1159" w:type="pct"/>
            <w:hideMark/>
          </w:tcPr>
          <w:p w14:paraId="0D3F62BA" w14:textId="77777777" w:rsidR="008B65F6" w:rsidRPr="00B06893" w:rsidRDefault="008B65F6" w:rsidP="00501A02">
            <w:pPr>
              <w:pStyle w:val="TableText0"/>
            </w:pPr>
            <w:r w:rsidRPr="00B06893">
              <w:t>≥75 years </w:t>
            </w:r>
          </w:p>
        </w:tc>
        <w:tc>
          <w:tcPr>
            <w:tcW w:w="1982" w:type="pct"/>
            <w:hideMark/>
          </w:tcPr>
          <w:p w14:paraId="53BB27F3" w14:textId="77777777" w:rsidR="008B65F6" w:rsidRPr="00B06893" w:rsidRDefault="008B65F6" w:rsidP="00501A02">
            <w:pPr>
              <w:pStyle w:val="TableText0"/>
            </w:pPr>
            <w:r w:rsidRPr="00B06893">
              <w:t>Recommend 2 doses each year </w:t>
            </w:r>
          </w:p>
        </w:tc>
        <w:tc>
          <w:tcPr>
            <w:tcW w:w="1859" w:type="pct"/>
          </w:tcPr>
          <w:p w14:paraId="4DF87FD3" w14:textId="77777777" w:rsidR="008B65F6" w:rsidRPr="00B06893" w:rsidRDefault="008B65F6" w:rsidP="00501A02">
            <w:pPr>
              <w:pStyle w:val="TableText0"/>
            </w:pPr>
            <w:r w:rsidRPr="00B06893">
              <w:t>Eligible for 2 doses each year </w:t>
            </w:r>
          </w:p>
        </w:tc>
      </w:tr>
      <w:tr w:rsidR="008B65F6" w:rsidRPr="00B06893" w14:paraId="45B7B37A" w14:textId="77777777" w:rsidTr="00501A02">
        <w:trPr>
          <w:cantSplit/>
        </w:trPr>
        <w:tc>
          <w:tcPr>
            <w:tcW w:w="3141" w:type="pct"/>
            <w:gridSpan w:val="2"/>
            <w:hideMark/>
          </w:tcPr>
          <w:p w14:paraId="04A52F0D" w14:textId="77777777" w:rsidR="008B65F6" w:rsidRPr="00B06893" w:rsidRDefault="008B65F6" w:rsidP="00501A02">
            <w:pPr>
              <w:pStyle w:val="TableText0"/>
              <w:rPr>
                <w:b/>
                <w:bCs w:val="0"/>
              </w:rPr>
            </w:pPr>
            <w:r w:rsidRPr="00B06893">
              <w:rPr>
                <w:b/>
                <w:bCs w:val="0"/>
              </w:rPr>
              <w:t>Severe Immunocompromise</w:t>
            </w:r>
            <w:r w:rsidRPr="00B06893">
              <w:rPr>
                <w:b/>
                <w:bCs w:val="0"/>
                <w:vertAlign w:val="superscript"/>
              </w:rPr>
              <w:t>b</w:t>
            </w:r>
          </w:p>
        </w:tc>
        <w:tc>
          <w:tcPr>
            <w:tcW w:w="1859" w:type="pct"/>
          </w:tcPr>
          <w:p w14:paraId="500AB467" w14:textId="77777777" w:rsidR="008B65F6" w:rsidRPr="00B06893" w:rsidRDefault="008B65F6" w:rsidP="00501A02">
            <w:pPr>
              <w:pStyle w:val="TableText0"/>
            </w:pPr>
          </w:p>
        </w:tc>
      </w:tr>
      <w:tr w:rsidR="008B65F6" w:rsidRPr="00B06893" w14:paraId="676FC385" w14:textId="77777777" w:rsidTr="00501A02">
        <w:trPr>
          <w:cantSplit/>
        </w:trPr>
        <w:tc>
          <w:tcPr>
            <w:tcW w:w="1159" w:type="pct"/>
            <w:hideMark/>
          </w:tcPr>
          <w:p w14:paraId="49AA6436" w14:textId="77777777" w:rsidR="008B65F6" w:rsidRPr="00B06893" w:rsidRDefault="008B65F6" w:rsidP="00501A02">
            <w:pPr>
              <w:pStyle w:val="TableText0"/>
            </w:pPr>
            <w:r w:rsidRPr="00B06893">
              <w:t>6 months to &lt;5 years</w:t>
            </w:r>
            <w:r w:rsidRPr="00B06893">
              <w:rPr>
                <w:vertAlign w:val="superscript"/>
              </w:rPr>
              <w:t>b</w:t>
            </w:r>
            <w:r w:rsidRPr="00B06893">
              <w:t> </w:t>
            </w:r>
          </w:p>
        </w:tc>
        <w:tc>
          <w:tcPr>
            <w:tcW w:w="1982" w:type="pct"/>
            <w:vMerge w:val="restart"/>
            <w:hideMark/>
          </w:tcPr>
          <w:p w14:paraId="28D34A67" w14:textId="77777777" w:rsidR="008B65F6" w:rsidRPr="00B06893" w:rsidRDefault="008B65F6" w:rsidP="00501A02">
            <w:pPr>
              <w:pStyle w:val="TableText0"/>
            </w:pPr>
            <w:r w:rsidRPr="00B06893">
              <w:t>Consider 1 dose each year </w:t>
            </w:r>
          </w:p>
        </w:tc>
        <w:tc>
          <w:tcPr>
            <w:tcW w:w="1859" w:type="pct"/>
            <w:vMerge w:val="restart"/>
          </w:tcPr>
          <w:p w14:paraId="4CDA22A4" w14:textId="77777777" w:rsidR="008B65F6" w:rsidRPr="00B06893" w:rsidRDefault="008B65F6" w:rsidP="00501A02">
            <w:pPr>
              <w:pStyle w:val="TableText0"/>
            </w:pPr>
            <w:r w:rsidRPr="00B06893">
              <w:t>None</w:t>
            </w:r>
          </w:p>
        </w:tc>
      </w:tr>
      <w:tr w:rsidR="008B65F6" w:rsidRPr="00B06893" w14:paraId="5E066ADD" w14:textId="77777777" w:rsidTr="00501A02">
        <w:trPr>
          <w:cantSplit/>
        </w:trPr>
        <w:tc>
          <w:tcPr>
            <w:tcW w:w="1159" w:type="pct"/>
            <w:hideMark/>
          </w:tcPr>
          <w:p w14:paraId="45ACAC45" w14:textId="77777777" w:rsidR="008B65F6" w:rsidRPr="00B06893" w:rsidRDefault="008B65F6" w:rsidP="00501A02">
            <w:pPr>
              <w:pStyle w:val="TableText0"/>
            </w:pPr>
            <w:r w:rsidRPr="00B06893">
              <w:t>5 years to &lt;18 years </w:t>
            </w:r>
          </w:p>
        </w:tc>
        <w:tc>
          <w:tcPr>
            <w:tcW w:w="1982" w:type="pct"/>
            <w:vMerge/>
            <w:hideMark/>
          </w:tcPr>
          <w:p w14:paraId="0C599C93" w14:textId="77777777" w:rsidR="008B65F6" w:rsidRPr="00B06893" w:rsidRDefault="008B65F6" w:rsidP="00501A02">
            <w:pPr>
              <w:pStyle w:val="TableText0"/>
            </w:pPr>
          </w:p>
        </w:tc>
        <w:tc>
          <w:tcPr>
            <w:tcW w:w="1859" w:type="pct"/>
            <w:vMerge/>
          </w:tcPr>
          <w:p w14:paraId="64D86E25" w14:textId="77777777" w:rsidR="008B65F6" w:rsidRPr="00B06893" w:rsidRDefault="008B65F6" w:rsidP="00501A02">
            <w:pPr>
              <w:pStyle w:val="TableText0"/>
            </w:pPr>
          </w:p>
        </w:tc>
      </w:tr>
      <w:tr w:rsidR="008B65F6" w:rsidRPr="00B06893" w14:paraId="21EDC93B" w14:textId="77777777" w:rsidTr="00501A02">
        <w:trPr>
          <w:cantSplit/>
        </w:trPr>
        <w:tc>
          <w:tcPr>
            <w:tcW w:w="1159" w:type="pct"/>
            <w:hideMark/>
          </w:tcPr>
          <w:p w14:paraId="373E8FEE" w14:textId="77777777" w:rsidR="008B65F6" w:rsidRPr="00B06893" w:rsidRDefault="008B65F6" w:rsidP="00501A02">
            <w:pPr>
              <w:pStyle w:val="TableText0"/>
            </w:pPr>
            <w:r w:rsidRPr="00B06893">
              <w:t>18–64 years </w:t>
            </w:r>
          </w:p>
        </w:tc>
        <w:tc>
          <w:tcPr>
            <w:tcW w:w="1982" w:type="pct"/>
            <w:vMerge w:val="restart"/>
            <w:hideMark/>
          </w:tcPr>
          <w:p w14:paraId="762469A9" w14:textId="77777777" w:rsidR="008B65F6" w:rsidRPr="00B06893" w:rsidRDefault="008B65F6" w:rsidP="00501A02">
            <w:pPr>
              <w:pStyle w:val="TableText0"/>
            </w:pPr>
            <w:r w:rsidRPr="00B06893">
              <w:t>Recommend 1 dose each year and consider second dose </w:t>
            </w:r>
          </w:p>
        </w:tc>
        <w:tc>
          <w:tcPr>
            <w:tcW w:w="1859" w:type="pct"/>
            <w:vMerge w:val="restart"/>
          </w:tcPr>
          <w:p w14:paraId="6DF66E2E" w14:textId="77777777" w:rsidR="008B65F6" w:rsidRPr="00B06893" w:rsidRDefault="008B65F6" w:rsidP="00501A02">
            <w:pPr>
              <w:pStyle w:val="TableText0"/>
            </w:pPr>
            <w:r w:rsidRPr="00B06893">
              <w:t>Eligible for 1 dose each year. Privately purchase 2</w:t>
            </w:r>
            <w:r w:rsidRPr="00B06893">
              <w:rPr>
                <w:vertAlign w:val="superscript"/>
              </w:rPr>
              <w:t>nd</w:t>
            </w:r>
            <w:r w:rsidRPr="00B06893">
              <w:t xml:space="preserve"> dose if desired.</w:t>
            </w:r>
          </w:p>
        </w:tc>
      </w:tr>
      <w:tr w:rsidR="008B65F6" w:rsidRPr="00B06893" w14:paraId="2FDDF2DC" w14:textId="77777777" w:rsidTr="00501A02">
        <w:trPr>
          <w:cantSplit/>
        </w:trPr>
        <w:tc>
          <w:tcPr>
            <w:tcW w:w="1159" w:type="pct"/>
            <w:hideMark/>
          </w:tcPr>
          <w:p w14:paraId="3A4DB347" w14:textId="77777777" w:rsidR="008B65F6" w:rsidRPr="00B06893" w:rsidRDefault="008B65F6" w:rsidP="00501A02">
            <w:pPr>
              <w:pStyle w:val="TableText0"/>
            </w:pPr>
            <w:r w:rsidRPr="00B06893">
              <w:t>65–74 years </w:t>
            </w:r>
          </w:p>
        </w:tc>
        <w:tc>
          <w:tcPr>
            <w:tcW w:w="1982" w:type="pct"/>
            <w:vMerge/>
            <w:hideMark/>
          </w:tcPr>
          <w:p w14:paraId="51E37246" w14:textId="77777777" w:rsidR="008B65F6" w:rsidRPr="00B06893" w:rsidRDefault="008B65F6" w:rsidP="00501A02">
            <w:pPr>
              <w:pStyle w:val="TableText0"/>
            </w:pPr>
          </w:p>
        </w:tc>
        <w:tc>
          <w:tcPr>
            <w:tcW w:w="1859" w:type="pct"/>
            <w:vMerge/>
          </w:tcPr>
          <w:p w14:paraId="1DA3CC36" w14:textId="77777777" w:rsidR="008B65F6" w:rsidRPr="00B06893" w:rsidRDefault="008B65F6" w:rsidP="00501A02">
            <w:pPr>
              <w:pStyle w:val="TableText0"/>
            </w:pPr>
          </w:p>
        </w:tc>
      </w:tr>
      <w:tr w:rsidR="008B65F6" w:rsidRPr="00B06893" w14:paraId="3C2275F7" w14:textId="77777777" w:rsidTr="00501A02">
        <w:trPr>
          <w:cantSplit/>
        </w:trPr>
        <w:tc>
          <w:tcPr>
            <w:tcW w:w="1159" w:type="pct"/>
          </w:tcPr>
          <w:p w14:paraId="70BAA115" w14:textId="77777777" w:rsidR="008B65F6" w:rsidRPr="00B06893" w:rsidRDefault="008B65F6" w:rsidP="00501A02">
            <w:pPr>
              <w:pStyle w:val="TableText0"/>
            </w:pPr>
            <w:r w:rsidRPr="00B06893">
              <w:t>≥75 years </w:t>
            </w:r>
          </w:p>
        </w:tc>
        <w:tc>
          <w:tcPr>
            <w:tcW w:w="1982" w:type="pct"/>
          </w:tcPr>
          <w:p w14:paraId="42C2A78D" w14:textId="77777777" w:rsidR="008B65F6" w:rsidRPr="00B06893" w:rsidRDefault="008B65F6" w:rsidP="00501A02">
            <w:pPr>
              <w:pStyle w:val="TableText0"/>
            </w:pPr>
            <w:r w:rsidRPr="00B06893">
              <w:t>Recommend 2 doses each year </w:t>
            </w:r>
          </w:p>
        </w:tc>
        <w:tc>
          <w:tcPr>
            <w:tcW w:w="1859" w:type="pct"/>
          </w:tcPr>
          <w:p w14:paraId="40A2AF0E" w14:textId="77777777" w:rsidR="008B65F6" w:rsidRPr="00B06893" w:rsidRDefault="008B65F6" w:rsidP="00501A02">
            <w:pPr>
              <w:pStyle w:val="TableText0"/>
            </w:pPr>
            <w:r w:rsidRPr="00B06893">
              <w:t>Eligible for 2 doses each year </w:t>
            </w:r>
          </w:p>
        </w:tc>
      </w:tr>
      <w:tr w:rsidR="008B65F6" w:rsidRPr="00B06893" w14:paraId="560C923E" w14:textId="77777777" w:rsidTr="00501A02">
        <w:trPr>
          <w:cantSplit/>
        </w:trPr>
        <w:tc>
          <w:tcPr>
            <w:tcW w:w="5000" w:type="pct"/>
            <w:gridSpan w:val="3"/>
          </w:tcPr>
          <w:p w14:paraId="11146252" w14:textId="77777777" w:rsidR="008B65F6" w:rsidRPr="00B06893" w:rsidRDefault="008B65F6" w:rsidP="00501A02">
            <w:pPr>
              <w:pStyle w:val="TableText0"/>
            </w:pPr>
            <w:r w:rsidRPr="00B06893">
              <w:rPr>
                <w:b/>
                <w:bCs w:val="0"/>
              </w:rPr>
              <w:t>Aboriginal and Torres Strait Islander people aged 50 to 74 years</w:t>
            </w:r>
          </w:p>
        </w:tc>
      </w:tr>
      <w:tr w:rsidR="00C25AE6" w:rsidRPr="00B06893" w14:paraId="1DEB21BD" w14:textId="77777777" w:rsidTr="00501A02">
        <w:trPr>
          <w:cantSplit/>
        </w:trPr>
        <w:tc>
          <w:tcPr>
            <w:tcW w:w="1159" w:type="pct"/>
            <w:vAlign w:val="center"/>
          </w:tcPr>
          <w:p w14:paraId="678E6C39" w14:textId="77777777" w:rsidR="008B65F6" w:rsidRPr="00B06893" w:rsidRDefault="008B65F6" w:rsidP="00501A02">
            <w:pPr>
              <w:pStyle w:val="TableText0"/>
            </w:pPr>
            <w:r w:rsidRPr="00B06893">
              <w:t>No Medical Risk Conditions </w:t>
            </w:r>
          </w:p>
        </w:tc>
        <w:tc>
          <w:tcPr>
            <w:tcW w:w="1982" w:type="pct"/>
            <w:vAlign w:val="center"/>
          </w:tcPr>
          <w:p w14:paraId="5DDAC389" w14:textId="77777777" w:rsidR="008B65F6" w:rsidRPr="00B06893" w:rsidRDefault="008B65F6" w:rsidP="00501A02">
            <w:pPr>
              <w:pStyle w:val="TableText0"/>
            </w:pPr>
            <w:r w:rsidRPr="00B06893">
              <w:t>Recommend 1 dose each year</w:t>
            </w:r>
          </w:p>
        </w:tc>
        <w:tc>
          <w:tcPr>
            <w:tcW w:w="1859" w:type="pct"/>
          </w:tcPr>
          <w:p w14:paraId="2C8C5023" w14:textId="77777777" w:rsidR="008B65F6" w:rsidRPr="00B06893" w:rsidRDefault="008B65F6" w:rsidP="00501A02">
            <w:pPr>
              <w:pStyle w:val="TableText0"/>
            </w:pPr>
            <w:r w:rsidRPr="00B06893">
              <w:t>Eligible for 1 dose each year </w:t>
            </w:r>
          </w:p>
        </w:tc>
      </w:tr>
      <w:tr w:rsidR="00C25AE6" w:rsidRPr="00B06893" w14:paraId="7834FE0C" w14:textId="77777777" w:rsidTr="00501A02">
        <w:trPr>
          <w:cantSplit/>
        </w:trPr>
        <w:tc>
          <w:tcPr>
            <w:tcW w:w="1159" w:type="pct"/>
            <w:vAlign w:val="center"/>
          </w:tcPr>
          <w:p w14:paraId="607A0D06" w14:textId="77777777" w:rsidR="008B65F6" w:rsidRPr="00B06893" w:rsidRDefault="008B65F6" w:rsidP="00501A02">
            <w:pPr>
              <w:pStyle w:val="TableText0"/>
            </w:pPr>
            <w:r w:rsidRPr="00B06893">
              <w:t>With Medical Risk Conditions </w:t>
            </w:r>
          </w:p>
        </w:tc>
        <w:tc>
          <w:tcPr>
            <w:tcW w:w="1982" w:type="pct"/>
          </w:tcPr>
          <w:p w14:paraId="45529651" w14:textId="77777777" w:rsidR="008B65F6" w:rsidRPr="00B06893" w:rsidRDefault="008B65F6" w:rsidP="00501A02">
            <w:pPr>
              <w:pStyle w:val="TableText0"/>
            </w:pPr>
            <w:r w:rsidRPr="00B06893">
              <w:t>Recommend 1 dose each year and consider second dose </w:t>
            </w:r>
          </w:p>
        </w:tc>
        <w:tc>
          <w:tcPr>
            <w:tcW w:w="1859" w:type="pct"/>
          </w:tcPr>
          <w:p w14:paraId="0C5D73ED" w14:textId="77777777" w:rsidR="008B65F6" w:rsidRPr="00B06893" w:rsidRDefault="008B65F6" w:rsidP="00501A02">
            <w:pPr>
              <w:pStyle w:val="TableText0"/>
            </w:pPr>
            <w:r w:rsidRPr="00B06893">
              <w:t>Eligible for 1 dose each year. Privately purchase 2</w:t>
            </w:r>
            <w:r w:rsidRPr="00B06893">
              <w:rPr>
                <w:vertAlign w:val="superscript"/>
              </w:rPr>
              <w:t>nd</w:t>
            </w:r>
            <w:r w:rsidRPr="00B06893">
              <w:t xml:space="preserve"> dose if desired.</w:t>
            </w:r>
          </w:p>
        </w:tc>
      </w:tr>
      <w:tr w:rsidR="00C25AE6" w:rsidRPr="00B06893" w14:paraId="22231022" w14:textId="77777777" w:rsidTr="00501A02">
        <w:trPr>
          <w:cantSplit/>
        </w:trPr>
        <w:tc>
          <w:tcPr>
            <w:tcW w:w="5000" w:type="pct"/>
            <w:gridSpan w:val="3"/>
          </w:tcPr>
          <w:p w14:paraId="2402FFFB" w14:textId="77777777" w:rsidR="008B65F6" w:rsidRPr="00B06893" w:rsidRDefault="008B65F6" w:rsidP="00501A02">
            <w:pPr>
              <w:pStyle w:val="TableText0"/>
            </w:pPr>
            <w:r w:rsidRPr="00B06893">
              <w:rPr>
                <w:b/>
                <w:bCs w:val="0"/>
              </w:rPr>
              <w:t>Pregnant People</w:t>
            </w:r>
            <w:r w:rsidRPr="00B06893">
              <w:rPr>
                <w:b/>
                <w:bCs w:val="0"/>
                <w:vertAlign w:val="superscript"/>
              </w:rPr>
              <w:t>c</w:t>
            </w:r>
          </w:p>
        </w:tc>
      </w:tr>
      <w:tr w:rsidR="00C25AE6" w:rsidRPr="00B06893" w14:paraId="5CD33E50" w14:textId="77777777" w:rsidTr="00501A02">
        <w:trPr>
          <w:cantSplit/>
        </w:trPr>
        <w:tc>
          <w:tcPr>
            <w:tcW w:w="3141" w:type="pct"/>
            <w:gridSpan w:val="2"/>
            <w:vAlign w:val="center"/>
          </w:tcPr>
          <w:p w14:paraId="0745EAE5" w14:textId="77777777" w:rsidR="008B65F6" w:rsidRPr="00B06893" w:rsidRDefault="008B65F6" w:rsidP="00501A02">
            <w:pPr>
              <w:pStyle w:val="TableText0"/>
            </w:pPr>
            <w:r w:rsidRPr="00B06893">
              <w:t>Consider a dose in the second or third trimester from 20 weeks of gestation in each pregnancy </w:t>
            </w:r>
          </w:p>
        </w:tc>
        <w:tc>
          <w:tcPr>
            <w:tcW w:w="1859" w:type="pct"/>
          </w:tcPr>
          <w:p w14:paraId="2050F4FD" w14:textId="77777777" w:rsidR="008B65F6" w:rsidRPr="00B06893" w:rsidRDefault="008B65F6" w:rsidP="00501A02">
            <w:pPr>
              <w:pStyle w:val="TableText0"/>
            </w:pPr>
            <w:r w:rsidRPr="00B06893">
              <w:t>None</w:t>
            </w:r>
          </w:p>
        </w:tc>
      </w:tr>
    </w:tbl>
    <w:p w14:paraId="2F0A69F1" w14:textId="4C58DD8D" w:rsidR="008B65F6" w:rsidRPr="00B06893" w:rsidRDefault="008B65F6" w:rsidP="008B65F6">
      <w:pPr>
        <w:pStyle w:val="TableFooter"/>
        <w:keepNext/>
        <w:rPr>
          <w:szCs w:val="18"/>
        </w:rPr>
      </w:pPr>
      <w:r w:rsidRPr="00B06893">
        <w:rPr>
          <w:szCs w:val="18"/>
        </w:rPr>
        <w:t>Source: Table of ATAGI recommendations for Covid</w:t>
      </w:r>
      <w:r w:rsidR="00193971">
        <w:rPr>
          <w:szCs w:val="18"/>
        </w:rPr>
        <w:noBreakHyphen/>
      </w:r>
      <w:r w:rsidRPr="00B06893">
        <w:rPr>
          <w:szCs w:val="18"/>
        </w:rPr>
        <w:t>19 vaccines (October 2025 pre</w:t>
      </w:r>
      <w:r w:rsidR="00193971">
        <w:rPr>
          <w:szCs w:val="18"/>
        </w:rPr>
        <w:noBreakHyphen/>
      </w:r>
      <w:r w:rsidRPr="00B06893">
        <w:rPr>
          <w:szCs w:val="18"/>
        </w:rPr>
        <w:t>submission Advice), Attachment A accompanying the submission.</w:t>
      </w:r>
    </w:p>
    <w:p w14:paraId="3D8F0516" w14:textId="77777777" w:rsidR="008B65F6" w:rsidRPr="00B06893" w:rsidRDefault="008B65F6" w:rsidP="008B65F6">
      <w:pPr>
        <w:pStyle w:val="TableFooter"/>
        <w:keepNext/>
        <w:rPr>
          <w:szCs w:val="18"/>
        </w:rPr>
      </w:pPr>
      <w:r w:rsidRPr="00B06893">
        <w:rPr>
          <w:szCs w:val="18"/>
        </w:rPr>
        <w:t>ATAGI = Australian Technical Advisory Group on Immunisation; NIP = National Immunisation Program</w:t>
      </w:r>
    </w:p>
    <w:p w14:paraId="32C30239" w14:textId="706FD8CD" w:rsidR="008B65F6" w:rsidRPr="00B06893" w:rsidRDefault="008B65F6" w:rsidP="008B65F6">
      <w:pPr>
        <w:pStyle w:val="TableFooter"/>
        <w:keepNext/>
        <w:rPr>
          <w:szCs w:val="18"/>
        </w:rPr>
      </w:pPr>
      <w:r w:rsidRPr="00B06893">
        <w:rPr>
          <w:szCs w:val="18"/>
          <w:vertAlign w:val="superscript"/>
        </w:rPr>
        <w:t>a</w:t>
      </w:r>
      <w:r w:rsidRPr="00B06893">
        <w:rPr>
          <w:szCs w:val="18"/>
        </w:rPr>
        <w:t>As specified the Australian Immunisation Handbook COVID</w:t>
      </w:r>
      <w:r w:rsidR="00193971">
        <w:rPr>
          <w:szCs w:val="18"/>
        </w:rPr>
        <w:noBreakHyphen/>
      </w:r>
      <w:r w:rsidRPr="00B06893">
        <w:rPr>
          <w:szCs w:val="18"/>
        </w:rPr>
        <w:t>19 Chapter.</w:t>
      </w:r>
    </w:p>
    <w:p w14:paraId="7E390764" w14:textId="59B6A062" w:rsidR="008B65F6" w:rsidRPr="00B06893" w:rsidRDefault="008B65F6" w:rsidP="008B65F6">
      <w:pPr>
        <w:pStyle w:val="TableFooter"/>
        <w:keepNext/>
        <w:rPr>
          <w:szCs w:val="18"/>
        </w:rPr>
      </w:pPr>
      <w:r w:rsidRPr="00B06893">
        <w:rPr>
          <w:szCs w:val="18"/>
          <w:vertAlign w:val="superscript"/>
        </w:rPr>
        <w:t>b</w:t>
      </w:r>
      <w:r w:rsidRPr="00B06893">
        <w:rPr>
          <w:szCs w:val="18"/>
        </w:rPr>
        <w:t>Children aged 6m to &lt;5y with severe immunocompromise receiving COVID</w:t>
      </w:r>
      <w:r w:rsidR="00193971">
        <w:rPr>
          <w:szCs w:val="18"/>
        </w:rPr>
        <w:noBreakHyphen/>
      </w:r>
      <w:r w:rsidRPr="00B06893">
        <w:rPr>
          <w:szCs w:val="18"/>
        </w:rPr>
        <w:t>19 vaccine for the first time or people being revaccinated after haematopoietic stem cell transplant (HSCT) or CAR</w:t>
      </w:r>
      <w:r w:rsidR="00193971">
        <w:rPr>
          <w:szCs w:val="18"/>
        </w:rPr>
        <w:noBreakHyphen/>
      </w:r>
      <w:r w:rsidRPr="00B06893">
        <w:rPr>
          <w:szCs w:val="18"/>
        </w:rPr>
        <w:t>T cell therapy should receive 2 ‘priming’ doses, 8 weeks apart.</w:t>
      </w:r>
    </w:p>
    <w:p w14:paraId="6CDD7A7E" w14:textId="38ACFA92" w:rsidR="008B65F6" w:rsidRPr="00B06893" w:rsidRDefault="008B65F6" w:rsidP="008B65F6">
      <w:pPr>
        <w:pStyle w:val="TableFooter"/>
        <w:keepNext/>
        <w:rPr>
          <w:szCs w:val="18"/>
        </w:rPr>
      </w:pPr>
      <w:r w:rsidRPr="00B06893">
        <w:rPr>
          <w:szCs w:val="18"/>
          <w:vertAlign w:val="superscript"/>
        </w:rPr>
        <w:t>c</w:t>
      </w:r>
      <w:r w:rsidRPr="00B06893">
        <w:rPr>
          <w:szCs w:val="18"/>
        </w:rPr>
        <w:t>ATAGI recommendations updated in May 2025 note the following:</w:t>
      </w:r>
      <w:r w:rsidR="00580BAD">
        <w:rPr>
          <w:szCs w:val="18"/>
        </w:rPr>
        <w:t xml:space="preserve"> </w:t>
      </w:r>
      <w:r w:rsidRPr="00B06893">
        <w:rPr>
          <w:szCs w:val="18"/>
        </w:rPr>
        <w:t>pregnant women who have previously been vaccinated are not routinely recommended to have a further dose of COVID</w:t>
      </w:r>
      <w:r w:rsidR="00193971">
        <w:rPr>
          <w:szCs w:val="18"/>
        </w:rPr>
        <w:noBreakHyphen/>
      </w:r>
      <w:r w:rsidRPr="00B06893">
        <w:rPr>
          <w:szCs w:val="18"/>
        </w:rPr>
        <w:t>19 vaccine. However, they can consider a further dose of COVID</w:t>
      </w:r>
      <w:r w:rsidR="00193971">
        <w:rPr>
          <w:szCs w:val="18"/>
        </w:rPr>
        <w:noBreakHyphen/>
      </w:r>
      <w:r w:rsidRPr="00B06893">
        <w:rPr>
          <w:szCs w:val="18"/>
        </w:rPr>
        <w:t>19 vaccine based on presence of underlying risk conditions and/or personal preference.</w:t>
      </w:r>
    </w:p>
    <w:p w14:paraId="07B114A9" w14:textId="2C1A04BC" w:rsidR="008B65F6" w:rsidRPr="00B06893" w:rsidRDefault="008B65F6" w:rsidP="008B65F6">
      <w:pPr>
        <w:pStyle w:val="TableFooter"/>
        <w:keepNext/>
        <w:rPr>
          <w:szCs w:val="18"/>
        </w:rPr>
      </w:pPr>
      <w:r w:rsidRPr="00B06893">
        <w:rPr>
          <w:szCs w:val="18"/>
        </w:rPr>
        <w:t>Previously vaccinated pregnant women who have no conditions that increase the risk of severe illness from COVID</w:t>
      </w:r>
      <w:r w:rsidR="00193971">
        <w:rPr>
          <w:szCs w:val="18"/>
        </w:rPr>
        <w:noBreakHyphen/>
      </w:r>
      <w:r w:rsidRPr="00B06893">
        <w:rPr>
          <w:szCs w:val="18"/>
        </w:rPr>
        <w:t>19 have a very low risk of severe illness and pregnancy complications from Omicron infection. However, a dose administered during pregnancy may reduce the risk of COVID</w:t>
      </w:r>
      <w:r w:rsidR="00193971">
        <w:rPr>
          <w:szCs w:val="18"/>
        </w:rPr>
        <w:noBreakHyphen/>
      </w:r>
      <w:r w:rsidRPr="00B06893">
        <w:rPr>
          <w:szCs w:val="18"/>
        </w:rPr>
        <w:t>19 infection and hospitalisation in young infants through transplacental passage of antibodies, noting that the risk of severe illness in healthy young infants is extremely low (Australian Immunisation Handbook, updated May 2025).</w:t>
      </w:r>
    </w:p>
    <w:p w14:paraId="4DE5E7BC" w14:textId="0A07472A" w:rsidR="008B65F6" w:rsidRPr="00B06893" w:rsidRDefault="008B65F6" w:rsidP="008B65F6">
      <w:pPr>
        <w:pStyle w:val="TableFooter"/>
        <w:keepNext/>
      </w:pPr>
      <w:r w:rsidRPr="00B06893">
        <w:rPr>
          <w:szCs w:val="18"/>
        </w:rPr>
        <w:t>The Australian Immunisation Handbook includes examples of conditions associated with increased risk of severe outcomes from COVID</w:t>
      </w:r>
      <w:r w:rsidR="00193971">
        <w:rPr>
          <w:szCs w:val="18"/>
        </w:rPr>
        <w:noBreakHyphen/>
      </w:r>
      <w:r w:rsidRPr="00B06893">
        <w:rPr>
          <w:szCs w:val="18"/>
        </w:rPr>
        <w:t>19 and examples of severely immunocompromising conditions for which additional doses of COVID</w:t>
      </w:r>
      <w:r w:rsidR="00193971">
        <w:rPr>
          <w:szCs w:val="18"/>
        </w:rPr>
        <w:noBreakHyphen/>
      </w:r>
      <w:r w:rsidRPr="00B06893">
        <w:rPr>
          <w:szCs w:val="18"/>
        </w:rPr>
        <w:t>19 vaccine are recommended or can be considered</w:t>
      </w:r>
      <w:r w:rsidRPr="00B06893">
        <w:t>.</w:t>
      </w:r>
    </w:p>
    <w:p w14:paraId="3BDD0134" w14:textId="77777777" w:rsidR="00221AF8" w:rsidRDefault="00221AF8" w:rsidP="00840883">
      <w:pPr>
        <w:ind w:firstLine="720"/>
        <w:rPr>
          <w:i/>
        </w:rPr>
      </w:pPr>
    </w:p>
    <w:p w14:paraId="6AF9E507" w14:textId="30167B3D" w:rsidR="008B65F6" w:rsidRPr="00221AF8" w:rsidRDefault="00840883" w:rsidP="00221AF8">
      <w:pPr>
        <w:ind w:firstLine="720"/>
        <w:rPr>
          <w:szCs w:val="24"/>
        </w:rPr>
      </w:pPr>
      <w:r w:rsidRPr="00B06893">
        <w:rPr>
          <w:i/>
        </w:rPr>
        <w:t>For more detail on PBAC’s view, see section 7 PBAC outcome.</w:t>
      </w:r>
    </w:p>
    <w:p w14:paraId="7075B85C" w14:textId="62A47B7B" w:rsidR="00B50DB8" w:rsidRPr="00B06893" w:rsidDel="00195452" w:rsidRDefault="00203181" w:rsidP="004E18E9">
      <w:pPr>
        <w:pStyle w:val="2-SectionHeading"/>
      </w:pPr>
      <w:bookmarkStart w:id="20" w:name="_Toc219898328"/>
      <w:r w:rsidRPr="00B06893" w:rsidDel="00195452">
        <w:t xml:space="preserve">Population and </w:t>
      </w:r>
      <w:r w:rsidR="008E0D3C" w:rsidRPr="00B06893" w:rsidDel="00195452">
        <w:t>d</w:t>
      </w:r>
      <w:r w:rsidRPr="00B06893" w:rsidDel="00195452">
        <w:t>isease</w:t>
      </w:r>
      <w:bookmarkEnd w:id="20"/>
    </w:p>
    <w:p w14:paraId="194B582D" w14:textId="057CD98B" w:rsidR="007A7E95" w:rsidRPr="00B06893" w:rsidRDefault="007A7E95" w:rsidP="004E18E9">
      <w:pPr>
        <w:pStyle w:val="3-BodyText"/>
      </w:pPr>
      <w:r w:rsidRPr="00B06893">
        <w:t>COVID</w:t>
      </w:r>
      <w:r w:rsidR="00193971">
        <w:noBreakHyphen/>
      </w:r>
      <w:r w:rsidRPr="00B06893">
        <w:t>19 is an infectious disease caused by SARS</w:t>
      </w:r>
      <w:r w:rsidR="00193971">
        <w:noBreakHyphen/>
      </w:r>
      <w:r w:rsidRPr="00B06893">
        <w:t>CoV</w:t>
      </w:r>
      <w:r w:rsidR="00193971">
        <w:noBreakHyphen/>
      </w:r>
      <w:r w:rsidRPr="00B06893">
        <w:t>2, an enveloped positive</w:t>
      </w:r>
      <w:r w:rsidR="00193971">
        <w:noBreakHyphen/>
      </w:r>
      <w:r w:rsidRPr="00B06893">
        <w:t>sense single</w:t>
      </w:r>
      <w:r w:rsidR="00193971">
        <w:noBreakHyphen/>
      </w:r>
      <w:r w:rsidRPr="00B06893">
        <w:t>stranded genomic RNA virus belonging to the Coronaviridae family of viruses. It was first reported in December 2019 in Wuhan, China, and soon after, the virus and the disease spread across the globe.</w:t>
      </w:r>
    </w:p>
    <w:p w14:paraId="440C7AD4" w14:textId="14C5C932" w:rsidR="008F2677" w:rsidRPr="00B06893" w:rsidRDefault="007A7E95" w:rsidP="008F2677">
      <w:pPr>
        <w:pStyle w:val="3-BodyText"/>
      </w:pPr>
      <w:r w:rsidRPr="00B06893">
        <w:lastRenderedPageBreak/>
        <w:t>The primary mode of transmission of SARS</w:t>
      </w:r>
      <w:r w:rsidR="00193971">
        <w:noBreakHyphen/>
      </w:r>
      <w:r w:rsidRPr="00B06893">
        <w:t>CoV</w:t>
      </w:r>
      <w:r w:rsidR="00193971">
        <w:noBreakHyphen/>
      </w:r>
      <w:r w:rsidRPr="00B06893">
        <w:t>2 is person to person via respiratory droplets which infect mucosal surfaces (e.g., nose, mouth and eyes). The severity of COVID</w:t>
      </w:r>
      <w:r w:rsidR="00193971">
        <w:noBreakHyphen/>
      </w:r>
      <w:r w:rsidRPr="00B06893">
        <w:t>19 ranges from asymptomatic to critical illness.</w:t>
      </w:r>
    </w:p>
    <w:p w14:paraId="48006DA7" w14:textId="41B47C2C" w:rsidR="008F2677" w:rsidRPr="00B06893" w:rsidRDefault="008F2677" w:rsidP="008F2677">
      <w:pPr>
        <w:pStyle w:val="3-BodyText"/>
      </w:pPr>
      <w:r w:rsidRPr="00B06893">
        <w:rPr>
          <w:rFonts w:cstheme="minorHAnsi"/>
          <w:szCs w:val="24"/>
        </w:rPr>
        <w:t>Older individuals ≥60 years old and those with underlying health conditions (e.g., diabetes, cardiac disease, pulmonary disease, immunosuppression) have a greater risk of developing severe or critical disease.</w:t>
      </w:r>
    </w:p>
    <w:p w14:paraId="61780656" w14:textId="503B3D15" w:rsidR="007A7E95" w:rsidRPr="00B06893" w:rsidRDefault="008F2677" w:rsidP="00501A02">
      <w:pPr>
        <w:pStyle w:val="3-BodyText"/>
      </w:pPr>
      <w:r w:rsidRPr="00B06893">
        <w:t>‘Long COVID’ (sometimes referred to as ‘post</w:t>
      </w:r>
      <w:r w:rsidR="00193971">
        <w:noBreakHyphen/>
      </w:r>
      <w:r w:rsidRPr="00B06893">
        <w:t>acute sequelae of COVID</w:t>
      </w:r>
      <w:r w:rsidR="00193971">
        <w:noBreakHyphen/>
      </w:r>
      <w:r w:rsidRPr="00B06893">
        <w:t>19’ [PACS] or post</w:t>
      </w:r>
      <w:r w:rsidR="00193971">
        <w:noBreakHyphen/>
      </w:r>
      <w:r w:rsidRPr="00B06893">
        <w:t>COVID condition) is a condition where patients experience a broad range of persistent or new symptoms following the acute phase of COVID</w:t>
      </w:r>
      <w:r w:rsidR="00193971">
        <w:noBreakHyphen/>
      </w:r>
      <w:r w:rsidRPr="00B06893">
        <w:t>19 illness. The pathogenesis and prevalence of prolonged symptoms after recovery from acute COVID</w:t>
      </w:r>
      <w:r w:rsidR="00193971">
        <w:noBreakHyphen/>
      </w:r>
      <w:r w:rsidRPr="00B06893">
        <w:t xml:space="preserve">19 remain poorly understood. </w:t>
      </w:r>
      <w:r w:rsidR="00786AC5" w:rsidRPr="00B06893">
        <w:t>P</w:t>
      </w:r>
      <w:r w:rsidRPr="00B06893">
        <w:t>ublished estimates range from 6.9% to 15.0% of all COVID</w:t>
      </w:r>
      <w:r w:rsidR="00193971">
        <w:noBreakHyphen/>
      </w:r>
      <w:r w:rsidRPr="00B06893">
        <w:t xml:space="preserve">19 cases (para 4.6, </w:t>
      </w:r>
      <w:proofErr w:type="spellStart"/>
      <w:r w:rsidRPr="00B06893">
        <w:t>raxtozinameran</w:t>
      </w:r>
      <w:proofErr w:type="spellEnd"/>
      <w:r w:rsidRPr="00B06893">
        <w:t xml:space="preserve"> PSD, May 2025 PBAC meeting).</w:t>
      </w:r>
    </w:p>
    <w:p w14:paraId="0232F50C" w14:textId="1CB3934B" w:rsidR="007A7E95" w:rsidRPr="00B06893" w:rsidRDefault="007A7E95" w:rsidP="00501A02">
      <w:pPr>
        <w:pStyle w:val="3-BodyText"/>
      </w:pPr>
      <w:r w:rsidRPr="00B06893">
        <w:t>The World Health Organisation (WHO), the United States (US) Centers for Disease Control and Prevention (CDC), and the European Centre for Disease Prevention and Control (ECDC) have developed tracking systems to characterise SARS</w:t>
      </w:r>
      <w:r w:rsidR="00193971">
        <w:noBreakHyphen/>
      </w:r>
      <w:r w:rsidRPr="00B06893">
        <w:t>CoV</w:t>
      </w:r>
      <w:r w:rsidR="00193971">
        <w:noBreakHyphen/>
      </w:r>
      <w:r w:rsidRPr="00B06893">
        <w:t>2 variants that pose a threat to global public health due to increased transmissibility and virulence. Based on regular reviews by WHO, the European Medicines Association (EMA) and the Food and Drug Administration (FDA), the authorities make recommendations for the antigenic composition of future formulations of COVID</w:t>
      </w:r>
      <w:r w:rsidR="00193971">
        <w:noBreakHyphen/>
      </w:r>
      <w:r w:rsidRPr="00B06893">
        <w:t>19 vaccines to enhance vaccine</w:t>
      </w:r>
      <w:r w:rsidR="00193971">
        <w:noBreakHyphen/>
      </w:r>
      <w:r w:rsidRPr="00B06893">
        <w:t>induced immune responses to circulating SARS</w:t>
      </w:r>
      <w:r w:rsidR="00193971">
        <w:noBreakHyphen/>
      </w:r>
      <w:r w:rsidRPr="00B06893">
        <w:t>CoV</w:t>
      </w:r>
      <w:r w:rsidR="00193971">
        <w:noBreakHyphen/>
      </w:r>
      <w:r w:rsidRPr="00B06893">
        <w:t>2 variants</w:t>
      </w:r>
      <w:r w:rsidR="006107C4" w:rsidRPr="00B06893">
        <w:t>.</w:t>
      </w:r>
    </w:p>
    <w:p w14:paraId="362A6ECE" w14:textId="22034DC9" w:rsidR="006107C4" w:rsidRPr="00B06893" w:rsidRDefault="006107C4" w:rsidP="00501A02">
      <w:pPr>
        <w:pStyle w:val="3-BodyText"/>
      </w:pPr>
      <w:r w:rsidRPr="00B06893">
        <w:t>The WHO Technical Advisory Group on COVID</w:t>
      </w:r>
      <w:r w:rsidR="00193971">
        <w:noBreakHyphen/>
      </w:r>
      <w:r w:rsidRPr="00B06893">
        <w:t>19 Vaccine Composition (TAG</w:t>
      </w:r>
      <w:r w:rsidR="00193971">
        <w:noBreakHyphen/>
      </w:r>
      <w:r w:rsidRPr="00B06893">
        <w:t>CO</w:t>
      </w:r>
      <w:r w:rsidR="00193971">
        <w:noBreakHyphen/>
      </w:r>
      <w:r w:rsidRPr="00B06893">
        <w:t>VAC) regularly assess the implications of SARS</w:t>
      </w:r>
      <w:r w:rsidR="00193971">
        <w:noBreakHyphen/>
      </w:r>
      <w:r w:rsidRPr="00B06893">
        <w:t>CoV</w:t>
      </w:r>
      <w:r w:rsidR="00193971">
        <w:noBreakHyphen/>
      </w:r>
      <w:r w:rsidRPr="00B06893">
        <w:t>2 evolution for COVID</w:t>
      </w:r>
      <w:r w:rsidR="00193971">
        <w:noBreakHyphen/>
      </w:r>
      <w:r w:rsidRPr="00B06893">
        <w:t>19 vaccine antigen composition and advise WHO on whether changes are required to the antigen composition of future COVID</w:t>
      </w:r>
      <w:r w:rsidR="00193971">
        <w:noBreakHyphen/>
      </w:r>
      <w:r w:rsidRPr="00B06893">
        <w:t>19 vaccines.</w:t>
      </w:r>
    </w:p>
    <w:p w14:paraId="0865F5AB" w14:textId="04B5B404" w:rsidR="007A7E95" w:rsidRPr="00B06893" w:rsidRDefault="007A7E95" w:rsidP="00501A02">
      <w:pPr>
        <w:pStyle w:val="3-BodyText"/>
      </w:pPr>
      <w:r w:rsidRPr="00B06893">
        <w:t>The Australian Institute for Health and Welfare (AIHW) report, Australia’s Health 2024, identified COVID</w:t>
      </w:r>
      <w:r w:rsidR="00193971">
        <w:noBreakHyphen/>
      </w:r>
      <w:r w:rsidRPr="00B06893">
        <w:t>19 as one of the top 5 leading causes of mortality in Australia in 2022. The Australian Respiratory Surveillance Report – 30 December to 26 January 2025 reported that COVID</w:t>
      </w:r>
      <w:r w:rsidR="00193971">
        <w:noBreakHyphen/>
      </w:r>
      <w:r w:rsidRPr="00B06893">
        <w:t>19 was the leading cause of acute respiratory infection mortality across 2022 – 2024</w:t>
      </w:r>
      <w:r w:rsidR="007A6D62" w:rsidRPr="00B06893">
        <w:rPr>
          <w:rStyle w:val="FootnoteReference"/>
        </w:rPr>
        <w:footnoteReference w:id="4"/>
      </w:r>
      <w:r w:rsidRPr="00B06893">
        <w:t>.</w:t>
      </w:r>
    </w:p>
    <w:p w14:paraId="48CB258A" w14:textId="3BA32EDE" w:rsidR="00B13C09" w:rsidRPr="00B06893" w:rsidRDefault="00E7469D" w:rsidP="00B13C09">
      <w:pPr>
        <w:pStyle w:val="3-BodyText"/>
      </w:pPr>
      <w:r w:rsidRPr="00B06893">
        <w:t>The Request for ATAGI pre</w:t>
      </w:r>
      <w:r w:rsidR="00193971">
        <w:noBreakHyphen/>
      </w:r>
      <w:r w:rsidRPr="00B06893">
        <w:t xml:space="preserve">submission Advice to the PBAC noted that the JN.1, KP.2, KP.3.1.1, and XEC variants were the strains most likely to cause breakthrough infections amongst previously vaccinated individuals. </w:t>
      </w:r>
      <w:r w:rsidR="00B13C09" w:rsidRPr="00B06893">
        <w:t>Of note, NB.1.8.1 (</w:t>
      </w:r>
      <w:r w:rsidR="00786AC5" w:rsidRPr="00B06893">
        <w:t xml:space="preserve">variant </w:t>
      </w:r>
      <w:r w:rsidR="00B13C09" w:rsidRPr="00B06893">
        <w:t>under monitoring) is the current dominant SARS</w:t>
      </w:r>
      <w:r w:rsidR="00193971">
        <w:noBreakHyphen/>
      </w:r>
      <w:r w:rsidR="00B13C09" w:rsidRPr="00B06893">
        <w:t>CoV</w:t>
      </w:r>
      <w:r w:rsidR="00193971">
        <w:noBreakHyphen/>
      </w:r>
      <w:r w:rsidR="00B13C09" w:rsidRPr="00B06893">
        <w:t>2 variant (14 July to 10 August 2025) accounting for 72.2% of sequences in Australia</w:t>
      </w:r>
      <w:r w:rsidR="00B13C09" w:rsidRPr="00B06893">
        <w:rPr>
          <w:vertAlign w:val="superscript"/>
        </w:rPr>
        <w:footnoteReference w:id="5"/>
      </w:r>
      <w:r w:rsidR="00B13C09" w:rsidRPr="00B06893">
        <w:t>.</w:t>
      </w:r>
    </w:p>
    <w:p w14:paraId="4BFA2C4C" w14:textId="685358A0" w:rsidR="00E7469D" w:rsidRPr="00B06893" w:rsidRDefault="00E7469D" w:rsidP="00E7469D">
      <w:pPr>
        <w:pStyle w:val="3-BodyText"/>
        <w:rPr>
          <w:rFonts w:cstheme="minorHAnsi"/>
          <w:szCs w:val="24"/>
        </w:rPr>
      </w:pPr>
      <w:r w:rsidRPr="00B06893">
        <w:rPr>
          <w:rFonts w:cstheme="minorHAnsi"/>
          <w:szCs w:val="24"/>
        </w:rPr>
        <w:lastRenderedPageBreak/>
        <w:t>The reported incidence of COVID</w:t>
      </w:r>
      <w:r w:rsidR="00193971">
        <w:rPr>
          <w:rFonts w:cstheme="minorHAnsi"/>
          <w:szCs w:val="24"/>
        </w:rPr>
        <w:noBreakHyphen/>
      </w:r>
      <w:r w:rsidRPr="00B06893">
        <w:rPr>
          <w:rFonts w:cstheme="minorHAnsi"/>
          <w:szCs w:val="24"/>
        </w:rPr>
        <w:t xml:space="preserve">19 by age group in Australia is presented in </w:t>
      </w:r>
      <w:r w:rsidRPr="00B06893">
        <w:rPr>
          <w:rFonts w:cstheme="minorHAnsi"/>
          <w:szCs w:val="24"/>
        </w:rPr>
        <w:fldChar w:fldCharType="begin"/>
      </w:r>
      <w:r w:rsidRPr="00B06893">
        <w:rPr>
          <w:rFonts w:cstheme="minorHAnsi"/>
          <w:szCs w:val="24"/>
        </w:rPr>
        <w:instrText xml:space="preserve"> REF _Ref216450716 \h </w:instrText>
      </w:r>
      <w:r w:rsidR="006475E6" w:rsidRPr="00B06893">
        <w:rPr>
          <w:rFonts w:cstheme="minorHAnsi"/>
          <w:szCs w:val="24"/>
        </w:rPr>
        <w:instrText xml:space="preserve"> \* MERGEFORMAT </w:instrText>
      </w:r>
      <w:r w:rsidRPr="00B06893">
        <w:rPr>
          <w:rFonts w:cstheme="minorHAnsi"/>
          <w:szCs w:val="24"/>
        </w:rPr>
      </w:r>
      <w:r w:rsidRPr="00B06893">
        <w:rPr>
          <w:rFonts w:cstheme="minorHAnsi"/>
          <w:szCs w:val="24"/>
        </w:rPr>
        <w:fldChar w:fldCharType="separate"/>
      </w:r>
      <w:r w:rsidR="00810177" w:rsidRPr="00B06893">
        <w:t>Table 4</w:t>
      </w:r>
      <w:r w:rsidRPr="00B06893">
        <w:rPr>
          <w:rFonts w:cstheme="minorHAnsi"/>
          <w:szCs w:val="24"/>
        </w:rPr>
        <w:fldChar w:fldCharType="end"/>
      </w:r>
      <w:r w:rsidR="00786AC5" w:rsidRPr="00B06893">
        <w:rPr>
          <w:rFonts w:cstheme="minorHAnsi"/>
          <w:szCs w:val="24"/>
        </w:rPr>
        <w:t>, noting that these numbers are likely to significantly under</w:t>
      </w:r>
      <w:r w:rsidR="00193971">
        <w:rPr>
          <w:rFonts w:cstheme="minorHAnsi"/>
          <w:szCs w:val="24"/>
        </w:rPr>
        <w:noBreakHyphen/>
      </w:r>
      <w:r w:rsidR="00786AC5" w:rsidRPr="00B06893">
        <w:rPr>
          <w:rFonts w:cstheme="minorHAnsi"/>
          <w:szCs w:val="24"/>
        </w:rPr>
        <w:t>report the true incidence of COVID</w:t>
      </w:r>
      <w:r w:rsidR="00193971">
        <w:rPr>
          <w:rFonts w:cstheme="minorHAnsi"/>
          <w:szCs w:val="24"/>
        </w:rPr>
        <w:noBreakHyphen/>
      </w:r>
      <w:r w:rsidR="00786AC5" w:rsidRPr="00B06893">
        <w:rPr>
          <w:rFonts w:cstheme="minorHAnsi"/>
          <w:szCs w:val="24"/>
        </w:rPr>
        <w:t>19, given the current self</w:t>
      </w:r>
      <w:r w:rsidR="00193971">
        <w:rPr>
          <w:rFonts w:cstheme="minorHAnsi"/>
          <w:szCs w:val="24"/>
        </w:rPr>
        <w:noBreakHyphen/>
      </w:r>
      <w:r w:rsidR="00786AC5" w:rsidRPr="00B06893">
        <w:rPr>
          <w:rFonts w:cstheme="minorHAnsi"/>
          <w:szCs w:val="24"/>
        </w:rPr>
        <w:t>testing regime</w:t>
      </w:r>
      <w:r w:rsidRPr="00B06893">
        <w:rPr>
          <w:rFonts w:cstheme="minorHAnsi"/>
          <w:szCs w:val="24"/>
        </w:rPr>
        <w:t xml:space="preserve">. </w:t>
      </w:r>
    </w:p>
    <w:p w14:paraId="57823C4B" w14:textId="77777777" w:rsidR="00E7469D" w:rsidRPr="00B06893" w:rsidRDefault="00E7469D" w:rsidP="00E7469D">
      <w:pPr>
        <w:rPr>
          <w:rFonts w:cstheme="minorHAnsi"/>
          <w:szCs w:val="24"/>
        </w:rPr>
      </w:pPr>
    </w:p>
    <w:p w14:paraId="3A4FFD89" w14:textId="0A0180C0" w:rsidR="00E7469D" w:rsidRPr="00B06893" w:rsidRDefault="00E7469D" w:rsidP="00E7469D">
      <w:pPr>
        <w:pStyle w:val="Caption"/>
      </w:pPr>
      <w:bookmarkStart w:id="21" w:name="_Ref216450716"/>
      <w:r w:rsidRPr="00B06893">
        <w:t xml:space="preserve">Table </w:t>
      </w:r>
      <w:fldSimple w:instr=" SEQ Table \* ARABIC ">
        <w:r w:rsidR="00810177" w:rsidRPr="00B06893">
          <w:t>4</w:t>
        </w:r>
      </w:fldSimple>
      <w:bookmarkEnd w:id="21"/>
      <w:r w:rsidRPr="00B06893">
        <w:t>: Incidence of COVID</w:t>
      </w:r>
      <w:r w:rsidR="00193971">
        <w:noBreakHyphen/>
      </w:r>
      <w:r w:rsidRPr="00B06893">
        <w:t>19</w:t>
      </w:r>
      <w:r w:rsidRPr="00B06893">
        <w:rPr>
          <w:vertAlign w:val="superscript"/>
        </w:rPr>
        <w:t>a</w:t>
      </w:r>
      <w:r w:rsidRPr="00B06893">
        <w:t xml:space="preserve"> in Australia by age group (2020</w:t>
      </w:r>
      <w:r w:rsidRPr="00B06893">
        <w:rPr>
          <w:rFonts w:cstheme="minorHAnsi"/>
        </w:rPr>
        <w:t xml:space="preserve"> to </w:t>
      </w:r>
      <w:r w:rsidRPr="00B06893">
        <w:t>2025</w:t>
      </w:r>
      <w:r w:rsidR="00351053" w:rsidRPr="00B06893">
        <w:t>)</w:t>
      </w:r>
    </w:p>
    <w:tbl>
      <w:tblPr>
        <w:tblStyle w:val="TableGrid"/>
        <w:tblW w:w="5000" w:type="pct"/>
        <w:tblLook w:val="04E0" w:firstRow="1" w:lastRow="1" w:firstColumn="1" w:lastColumn="0" w:noHBand="0" w:noVBand="1"/>
        <w:tblCaption w:val="Table 4: Incidence of COVID 19a in Australia by age group (2020 to 2025)"/>
      </w:tblPr>
      <w:tblGrid>
        <w:gridCol w:w="1718"/>
        <w:gridCol w:w="1216"/>
        <w:gridCol w:w="1217"/>
        <w:gridCol w:w="1217"/>
        <w:gridCol w:w="1217"/>
        <w:gridCol w:w="1217"/>
        <w:gridCol w:w="1215"/>
      </w:tblGrid>
      <w:tr w:rsidR="00E7469D" w:rsidRPr="00B06893" w14:paraId="2282729C" w14:textId="77777777" w:rsidTr="00E7469D">
        <w:trPr>
          <w:cantSplit/>
          <w:trHeight w:val="240"/>
        </w:trPr>
        <w:tc>
          <w:tcPr>
            <w:tcW w:w="952" w:type="pct"/>
          </w:tcPr>
          <w:p w14:paraId="29BE4704" w14:textId="77777777" w:rsidR="00E7469D" w:rsidRPr="00B06893" w:rsidRDefault="00E7469D" w:rsidP="00E7469D">
            <w:pPr>
              <w:pStyle w:val="TableText0"/>
            </w:pPr>
          </w:p>
        </w:tc>
        <w:tc>
          <w:tcPr>
            <w:tcW w:w="4048" w:type="pct"/>
            <w:gridSpan w:val="6"/>
            <w:noWrap/>
          </w:tcPr>
          <w:p w14:paraId="03B71A8E" w14:textId="77777777" w:rsidR="00E7469D" w:rsidRPr="00B06893" w:rsidRDefault="00E7469D" w:rsidP="00156335">
            <w:pPr>
              <w:pStyle w:val="TableText0"/>
              <w:jc w:val="center"/>
              <w:rPr>
                <w:b/>
              </w:rPr>
            </w:pPr>
            <w:r w:rsidRPr="00B06893">
              <w:rPr>
                <w:b/>
              </w:rPr>
              <w:t>Diagnosis year</w:t>
            </w:r>
          </w:p>
        </w:tc>
      </w:tr>
      <w:tr w:rsidR="00E7469D" w:rsidRPr="00B06893" w14:paraId="3E716AFD" w14:textId="77777777" w:rsidTr="00E7469D">
        <w:trPr>
          <w:cantSplit/>
          <w:trHeight w:val="240"/>
        </w:trPr>
        <w:tc>
          <w:tcPr>
            <w:tcW w:w="952" w:type="pct"/>
          </w:tcPr>
          <w:p w14:paraId="017386EB" w14:textId="77777777" w:rsidR="00E7469D" w:rsidRPr="00B06893" w:rsidRDefault="00E7469D" w:rsidP="00E7469D">
            <w:pPr>
              <w:pStyle w:val="TableText0"/>
              <w:rPr>
                <w:b/>
                <w:bCs w:val="0"/>
              </w:rPr>
            </w:pPr>
            <w:r w:rsidRPr="00B06893">
              <w:rPr>
                <w:b/>
                <w:bCs w:val="0"/>
              </w:rPr>
              <w:t>Age group (years)</w:t>
            </w:r>
          </w:p>
        </w:tc>
        <w:tc>
          <w:tcPr>
            <w:tcW w:w="674" w:type="pct"/>
            <w:noWrap/>
          </w:tcPr>
          <w:p w14:paraId="480B9A58" w14:textId="77777777" w:rsidR="00E7469D" w:rsidRPr="00B06893" w:rsidRDefault="00E7469D" w:rsidP="00156335">
            <w:pPr>
              <w:pStyle w:val="TableText0"/>
              <w:jc w:val="center"/>
              <w:rPr>
                <w:b/>
                <w:bCs w:val="0"/>
              </w:rPr>
            </w:pPr>
            <w:r w:rsidRPr="00B06893">
              <w:rPr>
                <w:b/>
                <w:bCs w:val="0"/>
              </w:rPr>
              <w:t>2020</w:t>
            </w:r>
          </w:p>
        </w:tc>
        <w:tc>
          <w:tcPr>
            <w:tcW w:w="675" w:type="pct"/>
            <w:noWrap/>
          </w:tcPr>
          <w:p w14:paraId="002D0BEC" w14:textId="77777777" w:rsidR="00E7469D" w:rsidRPr="00B06893" w:rsidRDefault="00E7469D" w:rsidP="00156335">
            <w:pPr>
              <w:pStyle w:val="TableText0"/>
              <w:jc w:val="center"/>
              <w:rPr>
                <w:b/>
                <w:bCs w:val="0"/>
              </w:rPr>
            </w:pPr>
            <w:r w:rsidRPr="00B06893">
              <w:rPr>
                <w:b/>
                <w:bCs w:val="0"/>
              </w:rPr>
              <w:t>2021</w:t>
            </w:r>
          </w:p>
        </w:tc>
        <w:tc>
          <w:tcPr>
            <w:tcW w:w="675" w:type="pct"/>
            <w:noWrap/>
          </w:tcPr>
          <w:p w14:paraId="5B2F1587" w14:textId="77777777" w:rsidR="00E7469D" w:rsidRPr="00B06893" w:rsidRDefault="00E7469D" w:rsidP="00156335">
            <w:pPr>
              <w:pStyle w:val="TableText0"/>
              <w:jc w:val="center"/>
              <w:rPr>
                <w:b/>
                <w:bCs w:val="0"/>
              </w:rPr>
            </w:pPr>
            <w:r w:rsidRPr="00B06893">
              <w:rPr>
                <w:b/>
                <w:bCs w:val="0"/>
              </w:rPr>
              <w:t>2022</w:t>
            </w:r>
          </w:p>
        </w:tc>
        <w:tc>
          <w:tcPr>
            <w:tcW w:w="675" w:type="pct"/>
            <w:noWrap/>
          </w:tcPr>
          <w:p w14:paraId="3859D01C" w14:textId="77777777" w:rsidR="00E7469D" w:rsidRPr="00B06893" w:rsidRDefault="00E7469D" w:rsidP="00156335">
            <w:pPr>
              <w:pStyle w:val="TableText0"/>
              <w:jc w:val="center"/>
              <w:rPr>
                <w:b/>
                <w:bCs w:val="0"/>
              </w:rPr>
            </w:pPr>
            <w:r w:rsidRPr="00B06893">
              <w:rPr>
                <w:b/>
                <w:bCs w:val="0"/>
              </w:rPr>
              <w:t>2023</w:t>
            </w:r>
          </w:p>
        </w:tc>
        <w:tc>
          <w:tcPr>
            <w:tcW w:w="675" w:type="pct"/>
            <w:noWrap/>
          </w:tcPr>
          <w:p w14:paraId="689191E5" w14:textId="77777777" w:rsidR="00E7469D" w:rsidRPr="00B06893" w:rsidRDefault="00E7469D" w:rsidP="00156335">
            <w:pPr>
              <w:pStyle w:val="TableText0"/>
              <w:jc w:val="center"/>
              <w:rPr>
                <w:b/>
                <w:bCs w:val="0"/>
              </w:rPr>
            </w:pPr>
            <w:r w:rsidRPr="00B06893">
              <w:rPr>
                <w:b/>
                <w:bCs w:val="0"/>
              </w:rPr>
              <w:t>2024</w:t>
            </w:r>
          </w:p>
        </w:tc>
        <w:tc>
          <w:tcPr>
            <w:tcW w:w="675" w:type="pct"/>
            <w:noWrap/>
          </w:tcPr>
          <w:p w14:paraId="3396E239" w14:textId="77777777" w:rsidR="00E7469D" w:rsidRPr="00B06893" w:rsidRDefault="00E7469D" w:rsidP="00156335">
            <w:pPr>
              <w:pStyle w:val="TableText0"/>
              <w:jc w:val="center"/>
              <w:rPr>
                <w:b/>
                <w:bCs w:val="0"/>
              </w:rPr>
            </w:pPr>
            <w:r w:rsidRPr="00B06893">
              <w:rPr>
                <w:b/>
                <w:bCs w:val="0"/>
              </w:rPr>
              <w:t>2025</w:t>
            </w:r>
            <w:r w:rsidRPr="00B06893">
              <w:rPr>
                <w:b/>
                <w:bCs w:val="0"/>
                <w:vertAlign w:val="superscript"/>
              </w:rPr>
              <w:t>a</w:t>
            </w:r>
          </w:p>
        </w:tc>
      </w:tr>
      <w:tr w:rsidR="00E7469D" w:rsidRPr="00B06893" w14:paraId="1227313E" w14:textId="77777777" w:rsidTr="00E7469D">
        <w:trPr>
          <w:cantSplit/>
          <w:trHeight w:val="240"/>
        </w:trPr>
        <w:tc>
          <w:tcPr>
            <w:tcW w:w="952" w:type="pct"/>
          </w:tcPr>
          <w:p w14:paraId="2022544A" w14:textId="77777777" w:rsidR="00E7469D" w:rsidRPr="00B06893" w:rsidRDefault="00E7469D" w:rsidP="00E7469D">
            <w:pPr>
              <w:pStyle w:val="TableText0"/>
            </w:pPr>
            <w:r w:rsidRPr="00B06893">
              <w:t>&lt;20</w:t>
            </w:r>
          </w:p>
        </w:tc>
        <w:tc>
          <w:tcPr>
            <w:tcW w:w="674" w:type="pct"/>
            <w:noWrap/>
          </w:tcPr>
          <w:p w14:paraId="60084F55" w14:textId="77777777" w:rsidR="00E7469D" w:rsidRPr="00B06893" w:rsidRDefault="00E7469D" w:rsidP="00156335">
            <w:pPr>
              <w:pStyle w:val="TableText0"/>
              <w:jc w:val="center"/>
              <w:rPr>
                <w:rFonts w:cstheme="minorHAnsi"/>
                <w:szCs w:val="18"/>
              </w:rPr>
            </w:pPr>
            <w:r w:rsidRPr="00B06893">
              <w:rPr>
                <w:rFonts w:cstheme="minorHAnsi"/>
                <w:color w:val="000000"/>
                <w:szCs w:val="18"/>
              </w:rPr>
              <w:t>3,928</w:t>
            </w:r>
          </w:p>
        </w:tc>
        <w:tc>
          <w:tcPr>
            <w:tcW w:w="675" w:type="pct"/>
            <w:noWrap/>
          </w:tcPr>
          <w:p w14:paraId="39D84F6A" w14:textId="77777777" w:rsidR="00E7469D" w:rsidRPr="00B06893" w:rsidRDefault="00E7469D" w:rsidP="00156335">
            <w:pPr>
              <w:pStyle w:val="TableText0"/>
              <w:jc w:val="center"/>
              <w:rPr>
                <w:rFonts w:cstheme="minorHAnsi"/>
                <w:szCs w:val="18"/>
              </w:rPr>
            </w:pPr>
            <w:r w:rsidRPr="00B06893">
              <w:rPr>
                <w:rFonts w:cstheme="minorHAnsi"/>
                <w:color w:val="000000"/>
                <w:szCs w:val="18"/>
              </w:rPr>
              <w:t>129,153</w:t>
            </w:r>
          </w:p>
        </w:tc>
        <w:tc>
          <w:tcPr>
            <w:tcW w:w="675" w:type="pct"/>
            <w:noWrap/>
          </w:tcPr>
          <w:p w14:paraId="3A6B5FB0" w14:textId="77777777" w:rsidR="00E7469D" w:rsidRPr="00B06893" w:rsidRDefault="00E7469D" w:rsidP="00156335">
            <w:pPr>
              <w:pStyle w:val="TableText0"/>
              <w:jc w:val="center"/>
              <w:rPr>
                <w:rFonts w:cstheme="minorHAnsi"/>
                <w:szCs w:val="18"/>
              </w:rPr>
            </w:pPr>
            <w:r w:rsidRPr="00B06893">
              <w:rPr>
                <w:rFonts w:cstheme="minorHAnsi"/>
                <w:color w:val="000000"/>
                <w:szCs w:val="18"/>
              </w:rPr>
              <w:t>2,447,967</w:t>
            </w:r>
          </w:p>
        </w:tc>
        <w:tc>
          <w:tcPr>
            <w:tcW w:w="675" w:type="pct"/>
            <w:noWrap/>
          </w:tcPr>
          <w:p w14:paraId="4442B608" w14:textId="77777777" w:rsidR="00E7469D" w:rsidRPr="00B06893" w:rsidRDefault="00E7469D" w:rsidP="00156335">
            <w:pPr>
              <w:pStyle w:val="TableText0"/>
              <w:jc w:val="center"/>
              <w:rPr>
                <w:rFonts w:cstheme="minorHAnsi"/>
                <w:szCs w:val="18"/>
              </w:rPr>
            </w:pPr>
            <w:r w:rsidRPr="00B06893">
              <w:rPr>
                <w:rFonts w:cstheme="minorHAnsi"/>
                <w:color w:val="000000"/>
                <w:szCs w:val="18"/>
              </w:rPr>
              <w:t>121,252</w:t>
            </w:r>
          </w:p>
        </w:tc>
        <w:tc>
          <w:tcPr>
            <w:tcW w:w="675" w:type="pct"/>
            <w:noWrap/>
          </w:tcPr>
          <w:p w14:paraId="4E4E3B9B" w14:textId="77777777" w:rsidR="00E7469D" w:rsidRPr="00B06893" w:rsidRDefault="00E7469D" w:rsidP="00156335">
            <w:pPr>
              <w:pStyle w:val="TableText0"/>
              <w:jc w:val="center"/>
              <w:rPr>
                <w:rFonts w:cstheme="minorHAnsi"/>
                <w:szCs w:val="18"/>
              </w:rPr>
            </w:pPr>
            <w:r w:rsidRPr="00B06893">
              <w:rPr>
                <w:rFonts w:cstheme="minorHAnsi"/>
                <w:color w:val="000000"/>
                <w:szCs w:val="18"/>
              </w:rPr>
              <w:t>52,588</w:t>
            </w:r>
          </w:p>
        </w:tc>
        <w:tc>
          <w:tcPr>
            <w:tcW w:w="675" w:type="pct"/>
            <w:noWrap/>
          </w:tcPr>
          <w:p w14:paraId="2A5175F6" w14:textId="77777777" w:rsidR="00E7469D" w:rsidRPr="00B06893" w:rsidRDefault="00E7469D" w:rsidP="00156335">
            <w:pPr>
              <w:pStyle w:val="TableText0"/>
              <w:jc w:val="center"/>
              <w:rPr>
                <w:rFonts w:cstheme="minorHAnsi"/>
                <w:szCs w:val="18"/>
              </w:rPr>
            </w:pPr>
            <w:r w:rsidRPr="00B06893">
              <w:rPr>
                <w:rFonts w:cstheme="minorHAnsi"/>
                <w:color w:val="000000"/>
                <w:szCs w:val="18"/>
              </w:rPr>
              <w:t>31,089</w:t>
            </w:r>
          </w:p>
        </w:tc>
      </w:tr>
      <w:tr w:rsidR="00E7469D" w:rsidRPr="00B06893" w14:paraId="15BC8235" w14:textId="77777777" w:rsidTr="00E7469D">
        <w:trPr>
          <w:cantSplit/>
          <w:trHeight w:val="240"/>
        </w:trPr>
        <w:tc>
          <w:tcPr>
            <w:tcW w:w="952" w:type="pct"/>
          </w:tcPr>
          <w:p w14:paraId="0498C6F5" w14:textId="77777777" w:rsidR="00E7469D" w:rsidRPr="00B06893" w:rsidRDefault="00E7469D" w:rsidP="00E7469D">
            <w:pPr>
              <w:pStyle w:val="TableText0"/>
            </w:pPr>
            <w:r w:rsidRPr="00B06893">
              <w:t>20–49</w:t>
            </w:r>
          </w:p>
        </w:tc>
        <w:tc>
          <w:tcPr>
            <w:tcW w:w="674" w:type="pct"/>
            <w:noWrap/>
          </w:tcPr>
          <w:p w14:paraId="741557A7" w14:textId="77777777" w:rsidR="00E7469D" w:rsidRPr="00B06893" w:rsidRDefault="00E7469D" w:rsidP="00156335">
            <w:pPr>
              <w:pStyle w:val="TableText0"/>
              <w:jc w:val="center"/>
              <w:rPr>
                <w:rFonts w:cstheme="minorHAnsi"/>
                <w:szCs w:val="18"/>
              </w:rPr>
            </w:pPr>
            <w:r w:rsidRPr="00B06893">
              <w:rPr>
                <w:rFonts w:cstheme="minorHAnsi"/>
                <w:color w:val="000000"/>
                <w:szCs w:val="18"/>
              </w:rPr>
              <w:t>14,888</w:t>
            </w:r>
          </w:p>
        </w:tc>
        <w:tc>
          <w:tcPr>
            <w:tcW w:w="675" w:type="pct"/>
            <w:noWrap/>
          </w:tcPr>
          <w:p w14:paraId="71D099C6" w14:textId="77777777" w:rsidR="00E7469D" w:rsidRPr="00B06893" w:rsidRDefault="00E7469D" w:rsidP="00156335">
            <w:pPr>
              <w:pStyle w:val="TableText0"/>
              <w:jc w:val="center"/>
              <w:rPr>
                <w:rFonts w:cstheme="minorHAnsi"/>
                <w:szCs w:val="18"/>
              </w:rPr>
            </w:pPr>
            <w:r w:rsidRPr="00B06893">
              <w:rPr>
                <w:rFonts w:cstheme="minorHAnsi"/>
                <w:color w:val="000000"/>
                <w:szCs w:val="18"/>
              </w:rPr>
              <w:t>308,118</w:t>
            </w:r>
          </w:p>
        </w:tc>
        <w:tc>
          <w:tcPr>
            <w:tcW w:w="675" w:type="pct"/>
            <w:noWrap/>
          </w:tcPr>
          <w:p w14:paraId="6AA847B9" w14:textId="77777777" w:rsidR="00E7469D" w:rsidRPr="00B06893" w:rsidRDefault="00E7469D" w:rsidP="00156335">
            <w:pPr>
              <w:pStyle w:val="TableText0"/>
              <w:jc w:val="center"/>
              <w:rPr>
                <w:rFonts w:cstheme="minorHAnsi"/>
                <w:szCs w:val="18"/>
              </w:rPr>
            </w:pPr>
            <w:r w:rsidRPr="00B06893">
              <w:rPr>
                <w:rFonts w:cstheme="minorHAnsi"/>
                <w:color w:val="000000"/>
                <w:szCs w:val="18"/>
              </w:rPr>
              <w:t>5,053,831</w:t>
            </w:r>
          </w:p>
        </w:tc>
        <w:tc>
          <w:tcPr>
            <w:tcW w:w="675" w:type="pct"/>
            <w:noWrap/>
          </w:tcPr>
          <w:p w14:paraId="54D47BB7" w14:textId="77777777" w:rsidR="00E7469D" w:rsidRPr="00B06893" w:rsidRDefault="00E7469D" w:rsidP="00156335">
            <w:pPr>
              <w:pStyle w:val="TableText0"/>
              <w:jc w:val="center"/>
              <w:rPr>
                <w:rFonts w:cstheme="minorHAnsi"/>
                <w:szCs w:val="18"/>
              </w:rPr>
            </w:pPr>
            <w:r w:rsidRPr="00B06893">
              <w:rPr>
                <w:rFonts w:cstheme="minorHAnsi"/>
                <w:color w:val="000000"/>
                <w:szCs w:val="18"/>
              </w:rPr>
              <w:t>349,841</w:t>
            </w:r>
          </w:p>
        </w:tc>
        <w:tc>
          <w:tcPr>
            <w:tcW w:w="675" w:type="pct"/>
            <w:noWrap/>
          </w:tcPr>
          <w:p w14:paraId="769B10D1" w14:textId="77777777" w:rsidR="00E7469D" w:rsidRPr="00B06893" w:rsidRDefault="00E7469D" w:rsidP="00156335">
            <w:pPr>
              <w:pStyle w:val="TableText0"/>
              <w:jc w:val="center"/>
              <w:rPr>
                <w:rFonts w:cstheme="minorHAnsi"/>
                <w:szCs w:val="18"/>
              </w:rPr>
            </w:pPr>
            <w:r w:rsidRPr="00B06893">
              <w:rPr>
                <w:rFonts w:cstheme="minorHAnsi"/>
                <w:color w:val="000000"/>
                <w:szCs w:val="18"/>
              </w:rPr>
              <w:t>101,473</w:t>
            </w:r>
          </w:p>
        </w:tc>
        <w:tc>
          <w:tcPr>
            <w:tcW w:w="675" w:type="pct"/>
            <w:noWrap/>
          </w:tcPr>
          <w:p w14:paraId="35E10D00" w14:textId="77777777" w:rsidR="00E7469D" w:rsidRPr="00B06893" w:rsidRDefault="00E7469D" w:rsidP="00156335">
            <w:pPr>
              <w:pStyle w:val="TableText0"/>
              <w:jc w:val="center"/>
              <w:rPr>
                <w:rFonts w:cstheme="minorHAnsi"/>
                <w:szCs w:val="18"/>
              </w:rPr>
            </w:pPr>
            <w:r w:rsidRPr="00B06893">
              <w:rPr>
                <w:rFonts w:cstheme="minorHAnsi"/>
                <w:color w:val="000000"/>
                <w:szCs w:val="18"/>
              </w:rPr>
              <w:t>47,826</w:t>
            </w:r>
          </w:p>
        </w:tc>
      </w:tr>
      <w:tr w:rsidR="00E7469D" w:rsidRPr="00B06893" w14:paraId="6164EB51" w14:textId="77777777" w:rsidTr="00E7469D">
        <w:trPr>
          <w:cantSplit/>
          <w:trHeight w:val="240"/>
        </w:trPr>
        <w:tc>
          <w:tcPr>
            <w:tcW w:w="952" w:type="pct"/>
          </w:tcPr>
          <w:p w14:paraId="7BDBF07C" w14:textId="15D5CE3F" w:rsidR="00E7469D" w:rsidRPr="00B06893" w:rsidRDefault="00E7469D" w:rsidP="00E7469D">
            <w:pPr>
              <w:pStyle w:val="TableText0"/>
            </w:pPr>
            <w:r w:rsidRPr="00B06893">
              <w:t>50</w:t>
            </w:r>
            <w:r w:rsidR="00193971">
              <w:noBreakHyphen/>
            </w:r>
            <w:r w:rsidRPr="00B06893">
              <w:t>64</w:t>
            </w:r>
          </w:p>
        </w:tc>
        <w:tc>
          <w:tcPr>
            <w:tcW w:w="674" w:type="pct"/>
            <w:noWrap/>
          </w:tcPr>
          <w:p w14:paraId="3FA5BEF5" w14:textId="77777777" w:rsidR="00E7469D" w:rsidRPr="00B06893" w:rsidRDefault="00E7469D" w:rsidP="00156335">
            <w:pPr>
              <w:pStyle w:val="TableText0"/>
              <w:jc w:val="center"/>
              <w:rPr>
                <w:rFonts w:cstheme="minorHAnsi"/>
                <w:szCs w:val="18"/>
              </w:rPr>
            </w:pPr>
            <w:r w:rsidRPr="00B06893">
              <w:rPr>
                <w:rFonts w:cstheme="minorHAnsi"/>
                <w:color w:val="000000"/>
                <w:szCs w:val="18"/>
              </w:rPr>
              <w:t>4,709</w:t>
            </w:r>
          </w:p>
        </w:tc>
        <w:tc>
          <w:tcPr>
            <w:tcW w:w="675" w:type="pct"/>
            <w:noWrap/>
          </w:tcPr>
          <w:p w14:paraId="549B84DC" w14:textId="77777777" w:rsidR="00E7469D" w:rsidRPr="00B06893" w:rsidRDefault="00E7469D" w:rsidP="00156335">
            <w:pPr>
              <w:pStyle w:val="TableText0"/>
              <w:jc w:val="center"/>
              <w:rPr>
                <w:rFonts w:cstheme="minorHAnsi"/>
                <w:szCs w:val="18"/>
              </w:rPr>
            </w:pPr>
            <w:r w:rsidRPr="00B06893">
              <w:rPr>
                <w:rFonts w:cstheme="minorHAnsi"/>
                <w:color w:val="000000"/>
                <w:szCs w:val="18"/>
              </w:rPr>
              <w:t>67,195</w:t>
            </w:r>
          </w:p>
        </w:tc>
        <w:tc>
          <w:tcPr>
            <w:tcW w:w="675" w:type="pct"/>
            <w:noWrap/>
          </w:tcPr>
          <w:p w14:paraId="6D44CD2D" w14:textId="77777777" w:rsidR="00E7469D" w:rsidRPr="00B06893" w:rsidRDefault="00E7469D" w:rsidP="00156335">
            <w:pPr>
              <w:pStyle w:val="TableText0"/>
              <w:jc w:val="center"/>
              <w:rPr>
                <w:rFonts w:cstheme="minorHAnsi"/>
                <w:szCs w:val="18"/>
              </w:rPr>
            </w:pPr>
            <w:r w:rsidRPr="00B06893">
              <w:rPr>
                <w:rFonts w:cstheme="minorHAnsi"/>
                <w:color w:val="000000"/>
                <w:szCs w:val="18"/>
              </w:rPr>
              <w:t>1,668,586</w:t>
            </w:r>
          </w:p>
        </w:tc>
        <w:tc>
          <w:tcPr>
            <w:tcW w:w="675" w:type="pct"/>
            <w:noWrap/>
          </w:tcPr>
          <w:p w14:paraId="03802EB6" w14:textId="77777777" w:rsidR="00E7469D" w:rsidRPr="00B06893" w:rsidRDefault="00E7469D" w:rsidP="00156335">
            <w:pPr>
              <w:pStyle w:val="TableText0"/>
              <w:jc w:val="center"/>
              <w:rPr>
                <w:rFonts w:cstheme="minorHAnsi"/>
                <w:szCs w:val="18"/>
              </w:rPr>
            </w:pPr>
            <w:r w:rsidRPr="00B06893">
              <w:rPr>
                <w:rFonts w:cstheme="minorHAnsi"/>
                <w:color w:val="000000"/>
                <w:szCs w:val="18"/>
              </w:rPr>
              <w:t>173,575</w:t>
            </w:r>
          </w:p>
        </w:tc>
        <w:tc>
          <w:tcPr>
            <w:tcW w:w="675" w:type="pct"/>
            <w:noWrap/>
          </w:tcPr>
          <w:p w14:paraId="678CBD3A" w14:textId="77777777" w:rsidR="00E7469D" w:rsidRPr="00B06893" w:rsidRDefault="00E7469D" w:rsidP="00156335">
            <w:pPr>
              <w:pStyle w:val="TableText0"/>
              <w:jc w:val="center"/>
              <w:rPr>
                <w:rFonts w:cstheme="minorHAnsi"/>
                <w:szCs w:val="18"/>
              </w:rPr>
            </w:pPr>
            <w:r w:rsidRPr="00B06893">
              <w:rPr>
                <w:rFonts w:cstheme="minorHAnsi"/>
                <w:color w:val="000000"/>
                <w:szCs w:val="18"/>
              </w:rPr>
              <w:t>56,063</w:t>
            </w:r>
          </w:p>
        </w:tc>
        <w:tc>
          <w:tcPr>
            <w:tcW w:w="675" w:type="pct"/>
            <w:noWrap/>
          </w:tcPr>
          <w:p w14:paraId="1D44545B" w14:textId="77777777" w:rsidR="00E7469D" w:rsidRPr="00B06893" w:rsidRDefault="00E7469D" w:rsidP="00156335">
            <w:pPr>
              <w:pStyle w:val="TableText0"/>
              <w:jc w:val="center"/>
              <w:rPr>
                <w:rFonts w:cstheme="minorHAnsi"/>
                <w:szCs w:val="18"/>
              </w:rPr>
            </w:pPr>
            <w:r w:rsidRPr="00B06893">
              <w:rPr>
                <w:rFonts w:cstheme="minorHAnsi"/>
                <w:color w:val="000000"/>
                <w:szCs w:val="18"/>
              </w:rPr>
              <w:t>23,940</w:t>
            </w:r>
          </w:p>
        </w:tc>
      </w:tr>
      <w:tr w:rsidR="00E7469D" w:rsidRPr="00B06893" w14:paraId="695FB3AA" w14:textId="77777777" w:rsidTr="00E7469D">
        <w:trPr>
          <w:cantSplit/>
          <w:trHeight w:val="240"/>
        </w:trPr>
        <w:tc>
          <w:tcPr>
            <w:tcW w:w="952" w:type="pct"/>
          </w:tcPr>
          <w:p w14:paraId="77A46E78" w14:textId="77777777" w:rsidR="00E7469D" w:rsidRPr="00B06893" w:rsidRDefault="00E7469D" w:rsidP="00E7469D">
            <w:pPr>
              <w:pStyle w:val="TableText0"/>
            </w:pPr>
            <w:r w:rsidRPr="00B06893">
              <w:t>65–74</w:t>
            </w:r>
          </w:p>
        </w:tc>
        <w:tc>
          <w:tcPr>
            <w:tcW w:w="674" w:type="pct"/>
            <w:noWrap/>
          </w:tcPr>
          <w:p w14:paraId="7A2EEEF2" w14:textId="77777777" w:rsidR="00E7469D" w:rsidRPr="00B06893" w:rsidRDefault="00E7469D" w:rsidP="00156335">
            <w:pPr>
              <w:pStyle w:val="TableText0"/>
              <w:jc w:val="center"/>
              <w:rPr>
                <w:rFonts w:cstheme="minorHAnsi"/>
                <w:szCs w:val="18"/>
              </w:rPr>
            </w:pPr>
            <w:r w:rsidRPr="00B06893">
              <w:rPr>
                <w:rFonts w:cstheme="minorHAnsi"/>
                <w:color w:val="000000"/>
                <w:szCs w:val="18"/>
              </w:rPr>
              <w:t>1,827</w:t>
            </w:r>
          </w:p>
        </w:tc>
        <w:tc>
          <w:tcPr>
            <w:tcW w:w="675" w:type="pct"/>
            <w:noWrap/>
          </w:tcPr>
          <w:p w14:paraId="7591B5C5" w14:textId="77777777" w:rsidR="00E7469D" w:rsidRPr="00B06893" w:rsidRDefault="00E7469D" w:rsidP="00156335">
            <w:pPr>
              <w:pStyle w:val="TableText0"/>
              <w:jc w:val="center"/>
              <w:rPr>
                <w:rFonts w:cstheme="minorHAnsi"/>
                <w:szCs w:val="18"/>
              </w:rPr>
            </w:pPr>
            <w:r w:rsidRPr="00B06893">
              <w:rPr>
                <w:rFonts w:cstheme="minorHAnsi"/>
                <w:color w:val="000000"/>
                <w:szCs w:val="18"/>
              </w:rPr>
              <w:t>20,371</w:t>
            </w:r>
          </w:p>
        </w:tc>
        <w:tc>
          <w:tcPr>
            <w:tcW w:w="675" w:type="pct"/>
            <w:noWrap/>
          </w:tcPr>
          <w:p w14:paraId="71F72A25" w14:textId="77777777" w:rsidR="00E7469D" w:rsidRPr="00B06893" w:rsidRDefault="00E7469D" w:rsidP="00156335">
            <w:pPr>
              <w:pStyle w:val="TableText0"/>
              <w:jc w:val="center"/>
              <w:rPr>
                <w:rFonts w:cstheme="minorHAnsi"/>
                <w:szCs w:val="18"/>
              </w:rPr>
            </w:pPr>
            <w:r w:rsidRPr="00B06893">
              <w:rPr>
                <w:rFonts w:cstheme="minorHAnsi"/>
                <w:color w:val="000000"/>
                <w:szCs w:val="18"/>
              </w:rPr>
              <w:t>622,610</w:t>
            </w:r>
          </w:p>
        </w:tc>
        <w:tc>
          <w:tcPr>
            <w:tcW w:w="675" w:type="pct"/>
            <w:noWrap/>
          </w:tcPr>
          <w:p w14:paraId="3218B6B8" w14:textId="77777777" w:rsidR="00E7469D" w:rsidRPr="00B06893" w:rsidRDefault="00E7469D" w:rsidP="00156335">
            <w:pPr>
              <w:pStyle w:val="TableText0"/>
              <w:jc w:val="center"/>
              <w:rPr>
                <w:rFonts w:cstheme="minorHAnsi"/>
                <w:szCs w:val="18"/>
              </w:rPr>
            </w:pPr>
            <w:r w:rsidRPr="00B06893">
              <w:rPr>
                <w:rFonts w:cstheme="minorHAnsi"/>
                <w:color w:val="000000"/>
                <w:szCs w:val="18"/>
              </w:rPr>
              <w:t>92,573</w:t>
            </w:r>
          </w:p>
        </w:tc>
        <w:tc>
          <w:tcPr>
            <w:tcW w:w="675" w:type="pct"/>
            <w:noWrap/>
          </w:tcPr>
          <w:p w14:paraId="79266C42" w14:textId="77777777" w:rsidR="00E7469D" w:rsidRPr="00B06893" w:rsidRDefault="00E7469D" w:rsidP="00156335">
            <w:pPr>
              <w:pStyle w:val="TableText0"/>
              <w:jc w:val="center"/>
              <w:rPr>
                <w:rFonts w:cstheme="minorHAnsi"/>
                <w:szCs w:val="18"/>
              </w:rPr>
            </w:pPr>
            <w:r w:rsidRPr="00B06893">
              <w:rPr>
                <w:rFonts w:cstheme="minorHAnsi"/>
                <w:color w:val="000000"/>
                <w:szCs w:val="18"/>
              </w:rPr>
              <w:t>40,294</w:t>
            </w:r>
          </w:p>
        </w:tc>
        <w:tc>
          <w:tcPr>
            <w:tcW w:w="675" w:type="pct"/>
            <w:noWrap/>
          </w:tcPr>
          <w:p w14:paraId="521421C0" w14:textId="77777777" w:rsidR="00E7469D" w:rsidRPr="00B06893" w:rsidRDefault="00E7469D" w:rsidP="00156335">
            <w:pPr>
              <w:pStyle w:val="TableText0"/>
              <w:jc w:val="center"/>
              <w:rPr>
                <w:rFonts w:cstheme="minorHAnsi"/>
                <w:szCs w:val="18"/>
              </w:rPr>
            </w:pPr>
            <w:r w:rsidRPr="00B06893">
              <w:rPr>
                <w:rFonts w:cstheme="minorHAnsi"/>
                <w:color w:val="000000"/>
                <w:szCs w:val="18"/>
              </w:rPr>
              <w:t>18,063</w:t>
            </w:r>
          </w:p>
        </w:tc>
      </w:tr>
      <w:tr w:rsidR="00E7469D" w:rsidRPr="00B06893" w14:paraId="688F381F" w14:textId="77777777" w:rsidTr="00E7469D">
        <w:trPr>
          <w:cantSplit/>
          <w:trHeight w:val="240"/>
        </w:trPr>
        <w:tc>
          <w:tcPr>
            <w:tcW w:w="952" w:type="pct"/>
          </w:tcPr>
          <w:p w14:paraId="177C76B3" w14:textId="77777777" w:rsidR="00E7469D" w:rsidRPr="00B06893" w:rsidRDefault="00E7469D" w:rsidP="00E7469D">
            <w:pPr>
              <w:pStyle w:val="TableText0"/>
            </w:pPr>
            <w:r w:rsidRPr="00B06893">
              <w:t>≥ 75</w:t>
            </w:r>
          </w:p>
        </w:tc>
        <w:tc>
          <w:tcPr>
            <w:tcW w:w="674" w:type="pct"/>
            <w:noWrap/>
          </w:tcPr>
          <w:p w14:paraId="1CE260C2" w14:textId="77777777" w:rsidR="00E7469D" w:rsidRPr="00B06893" w:rsidRDefault="00E7469D" w:rsidP="00156335">
            <w:pPr>
              <w:pStyle w:val="TableText0"/>
              <w:jc w:val="center"/>
              <w:rPr>
                <w:rFonts w:cstheme="minorHAnsi"/>
                <w:szCs w:val="18"/>
              </w:rPr>
            </w:pPr>
            <w:r w:rsidRPr="00B06893">
              <w:rPr>
                <w:rFonts w:cstheme="minorHAnsi"/>
                <w:color w:val="000000"/>
                <w:szCs w:val="18"/>
              </w:rPr>
              <w:t>2,799</w:t>
            </w:r>
          </w:p>
        </w:tc>
        <w:tc>
          <w:tcPr>
            <w:tcW w:w="675" w:type="pct"/>
            <w:noWrap/>
          </w:tcPr>
          <w:p w14:paraId="33A6C101" w14:textId="77777777" w:rsidR="00E7469D" w:rsidRPr="00B06893" w:rsidRDefault="00E7469D" w:rsidP="00156335">
            <w:pPr>
              <w:pStyle w:val="TableText0"/>
              <w:jc w:val="center"/>
              <w:rPr>
                <w:rFonts w:cstheme="minorHAnsi"/>
                <w:szCs w:val="18"/>
              </w:rPr>
            </w:pPr>
            <w:r w:rsidRPr="00B06893">
              <w:rPr>
                <w:rFonts w:cstheme="minorHAnsi"/>
                <w:color w:val="000000"/>
                <w:szCs w:val="18"/>
              </w:rPr>
              <w:t>13,427</w:t>
            </w:r>
          </w:p>
        </w:tc>
        <w:tc>
          <w:tcPr>
            <w:tcW w:w="675" w:type="pct"/>
            <w:noWrap/>
          </w:tcPr>
          <w:p w14:paraId="1F4704A1" w14:textId="77777777" w:rsidR="00E7469D" w:rsidRPr="00B06893" w:rsidRDefault="00E7469D" w:rsidP="00156335">
            <w:pPr>
              <w:pStyle w:val="TableText0"/>
              <w:jc w:val="center"/>
              <w:rPr>
                <w:rFonts w:cstheme="minorHAnsi"/>
                <w:szCs w:val="18"/>
              </w:rPr>
            </w:pPr>
            <w:r w:rsidRPr="00B06893">
              <w:rPr>
                <w:rFonts w:cstheme="minorHAnsi"/>
                <w:color w:val="000000"/>
                <w:szCs w:val="18"/>
              </w:rPr>
              <w:t>485,825</w:t>
            </w:r>
          </w:p>
        </w:tc>
        <w:tc>
          <w:tcPr>
            <w:tcW w:w="675" w:type="pct"/>
            <w:noWrap/>
          </w:tcPr>
          <w:p w14:paraId="02894FFC" w14:textId="77777777" w:rsidR="00E7469D" w:rsidRPr="00B06893" w:rsidRDefault="00E7469D" w:rsidP="00156335">
            <w:pPr>
              <w:pStyle w:val="TableText0"/>
              <w:jc w:val="center"/>
              <w:rPr>
                <w:rFonts w:cstheme="minorHAnsi"/>
                <w:szCs w:val="18"/>
              </w:rPr>
            </w:pPr>
            <w:r w:rsidRPr="00B06893">
              <w:rPr>
                <w:rFonts w:cstheme="minorHAnsi"/>
                <w:color w:val="000000"/>
                <w:szCs w:val="18"/>
              </w:rPr>
              <w:t>126,515</w:t>
            </w:r>
          </w:p>
        </w:tc>
        <w:tc>
          <w:tcPr>
            <w:tcW w:w="675" w:type="pct"/>
            <w:noWrap/>
          </w:tcPr>
          <w:p w14:paraId="68CE3290" w14:textId="77777777" w:rsidR="00E7469D" w:rsidRPr="00B06893" w:rsidRDefault="00E7469D" w:rsidP="00156335">
            <w:pPr>
              <w:pStyle w:val="TableText0"/>
              <w:jc w:val="center"/>
              <w:rPr>
                <w:rFonts w:cstheme="minorHAnsi"/>
                <w:szCs w:val="18"/>
              </w:rPr>
            </w:pPr>
            <w:r w:rsidRPr="00B06893">
              <w:rPr>
                <w:rFonts w:cstheme="minorHAnsi"/>
                <w:color w:val="000000"/>
                <w:szCs w:val="18"/>
              </w:rPr>
              <w:t>91,075</w:t>
            </w:r>
          </w:p>
        </w:tc>
        <w:tc>
          <w:tcPr>
            <w:tcW w:w="675" w:type="pct"/>
            <w:noWrap/>
          </w:tcPr>
          <w:p w14:paraId="4976AB1C" w14:textId="77777777" w:rsidR="00E7469D" w:rsidRPr="00B06893" w:rsidRDefault="00E7469D" w:rsidP="00156335">
            <w:pPr>
              <w:pStyle w:val="TableText0"/>
              <w:jc w:val="center"/>
              <w:rPr>
                <w:rFonts w:cstheme="minorHAnsi"/>
                <w:szCs w:val="18"/>
              </w:rPr>
            </w:pPr>
            <w:r w:rsidRPr="00B06893">
              <w:rPr>
                <w:rFonts w:cstheme="minorHAnsi"/>
                <w:color w:val="000000"/>
                <w:szCs w:val="18"/>
              </w:rPr>
              <w:t>42,971</w:t>
            </w:r>
          </w:p>
        </w:tc>
      </w:tr>
      <w:tr w:rsidR="00E7469D" w:rsidRPr="00B06893" w14:paraId="74EB6FEE" w14:textId="77777777" w:rsidTr="00E7469D">
        <w:trPr>
          <w:cantSplit/>
          <w:trHeight w:val="240"/>
        </w:trPr>
        <w:tc>
          <w:tcPr>
            <w:tcW w:w="952" w:type="pct"/>
          </w:tcPr>
          <w:p w14:paraId="5968ED21" w14:textId="77777777" w:rsidR="00E7469D" w:rsidRPr="00B06893" w:rsidRDefault="00E7469D" w:rsidP="00E7469D">
            <w:pPr>
              <w:pStyle w:val="TableText0"/>
            </w:pPr>
            <w:r w:rsidRPr="00B06893">
              <w:t>No information</w:t>
            </w:r>
          </w:p>
        </w:tc>
        <w:tc>
          <w:tcPr>
            <w:tcW w:w="674" w:type="pct"/>
            <w:noWrap/>
          </w:tcPr>
          <w:p w14:paraId="295DEC19" w14:textId="77777777" w:rsidR="00E7469D" w:rsidRPr="00B06893" w:rsidRDefault="00E7469D" w:rsidP="00156335">
            <w:pPr>
              <w:pStyle w:val="TableText0"/>
              <w:jc w:val="center"/>
              <w:rPr>
                <w:rFonts w:cstheme="minorHAnsi"/>
                <w:szCs w:val="18"/>
              </w:rPr>
            </w:pPr>
            <w:r w:rsidRPr="00B06893">
              <w:rPr>
                <w:rFonts w:cstheme="minorHAnsi"/>
                <w:color w:val="000000"/>
                <w:szCs w:val="18"/>
              </w:rPr>
              <w:t>23</w:t>
            </w:r>
          </w:p>
        </w:tc>
        <w:tc>
          <w:tcPr>
            <w:tcW w:w="675" w:type="pct"/>
            <w:noWrap/>
          </w:tcPr>
          <w:p w14:paraId="13373E25" w14:textId="77777777" w:rsidR="00E7469D" w:rsidRPr="00B06893" w:rsidRDefault="00E7469D" w:rsidP="00156335">
            <w:pPr>
              <w:pStyle w:val="TableText0"/>
              <w:jc w:val="center"/>
              <w:rPr>
                <w:rFonts w:cstheme="minorHAnsi"/>
                <w:szCs w:val="18"/>
              </w:rPr>
            </w:pPr>
            <w:r w:rsidRPr="00B06893">
              <w:rPr>
                <w:rFonts w:cstheme="minorHAnsi"/>
                <w:color w:val="000000"/>
                <w:szCs w:val="18"/>
              </w:rPr>
              <w:t>349</w:t>
            </w:r>
          </w:p>
        </w:tc>
        <w:tc>
          <w:tcPr>
            <w:tcW w:w="675" w:type="pct"/>
            <w:noWrap/>
          </w:tcPr>
          <w:p w14:paraId="4957DAB9" w14:textId="77777777" w:rsidR="00E7469D" w:rsidRPr="00B06893" w:rsidRDefault="00E7469D" w:rsidP="00156335">
            <w:pPr>
              <w:pStyle w:val="TableText0"/>
              <w:jc w:val="center"/>
              <w:rPr>
                <w:rFonts w:cstheme="minorHAnsi"/>
                <w:szCs w:val="18"/>
              </w:rPr>
            </w:pPr>
            <w:r w:rsidRPr="00B06893">
              <w:rPr>
                <w:rFonts w:cstheme="minorHAnsi"/>
                <w:color w:val="000000"/>
                <w:szCs w:val="18"/>
              </w:rPr>
              <w:t>16,915</w:t>
            </w:r>
          </w:p>
        </w:tc>
        <w:tc>
          <w:tcPr>
            <w:tcW w:w="675" w:type="pct"/>
            <w:noWrap/>
          </w:tcPr>
          <w:p w14:paraId="4A6EB769" w14:textId="77777777" w:rsidR="00E7469D" w:rsidRPr="00B06893" w:rsidRDefault="00E7469D" w:rsidP="00156335">
            <w:pPr>
              <w:pStyle w:val="TableText0"/>
              <w:jc w:val="center"/>
              <w:rPr>
                <w:rFonts w:cstheme="minorHAnsi"/>
                <w:szCs w:val="18"/>
              </w:rPr>
            </w:pPr>
            <w:r w:rsidRPr="00B06893">
              <w:rPr>
                <w:rFonts w:cstheme="minorHAnsi"/>
                <w:color w:val="000000"/>
                <w:szCs w:val="18"/>
              </w:rPr>
              <w:t>635</w:t>
            </w:r>
          </w:p>
        </w:tc>
        <w:tc>
          <w:tcPr>
            <w:tcW w:w="675" w:type="pct"/>
            <w:noWrap/>
          </w:tcPr>
          <w:p w14:paraId="147F0692" w14:textId="77777777" w:rsidR="00E7469D" w:rsidRPr="00B06893" w:rsidRDefault="00E7469D" w:rsidP="00156335">
            <w:pPr>
              <w:pStyle w:val="TableText0"/>
              <w:jc w:val="center"/>
              <w:rPr>
                <w:rFonts w:cstheme="minorHAnsi"/>
                <w:szCs w:val="18"/>
              </w:rPr>
            </w:pPr>
            <w:r w:rsidRPr="00B06893">
              <w:rPr>
                <w:rFonts w:cstheme="minorHAnsi"/>
                <w:color w:val="000000"/>
                <w:szCs w:val="18"/>
              </w:rPr>
              <w:t>347</w:t>
            </w:r>
          </w:p>
        </w:tc>
        <w:tc>
          <w:tcPr>
            <w:tcW w:w="675" w:type="pct"/>
            <w:noWrap/>
          </w:tcPr>
          <w:p w14:paraId="682BD731" w14:textId="77777777" w:rsidR="00E7469D" w:rsidRPr="00B06893" w:rsidRDefault="00E7469D" w:rsidP="00156335">
            <w:pPr>
              <w:pStyle w:val="TableText0"/>
              <w:jc w:val="center"/>
              <w:rPr>
                <w:rFonts w:cstheme="minorHAnsi"/>
                <w:szCs w:val="18"/>
              </w:rPr>
            </w:pPr>
            <w:r w:rsidRPr="00B06893">
              <w:rPr>
                <w:rFonts w:cstheme="minorHAnsi"/>
                <w:color w:val="000000"/>
                <w:szCs w:val="18"/>
              </w:rPr>
              <w:t>131</w:t>
            </w:r>
          </w:p>
        </w:tc>
      </w:tr>
      <w:tr w:rsidR="00E7469D" w:rsidRPr="00B06893" w14:paraId="4DB3E27F" w14:textId="77777777" w:rsidTr="00E7469D">
        <w:trPr>
          <w:cantSplit/>
          <w:trHeight w:val="240"/>
        </w:trPr>
        <w:tc>
          <w:tcPr>
            <w:tcW w:w="952" w:type="pct"/>
          </w:tcPr>
          <w:p w14:paraId="0731E457" w14:textId="77777777" w:rsidR="00E7469D" w:rsidRPr="00B06893" w:rsidRDefault="00E7469D" w:rsidP="00E7469D">
            <w:pPr>
              <w:pStyle w:val="TableText0"/>
            </w:pPr>
            <w:r w:rsidRPr="00B06893">
              <w:t>TOTAL</w:t>
            </w:r>
          </w:p>
        </w:tc>
        <w:tc>
          <w:tcPr>
            <w:tcW w:w="674" w:type="pct"/>
            <w:noWrap/>
          </w:tcPr>
          <w:p w14:paraId="2011A038" w14:textId="77777777" w:rsidR="00E7469D" w:rsidRPr="00B06893" w:rsidRDefault="00E7469D" w:rsidP="00156335">
            <w:pPr>
              <w:pStyle w:val="TableText0"/>
              <w:jc w:val="center"/>
              <w:rPr>
                <w:rFonts w:cstheme="minorHAnsi"/>
                <w:szCs w:val="18"/>
              </w:rPr>
            </w:pPr>
            <w:r w:rsidRPr="00B06893">
              <w:rPr>
                <w:rFonts w:cstheme="minorHAnsi"/>
                <w:color w:val="000000"/>
                <w:szCs w:val="18"/>
              </w:rPr>
              <w:t>28,174</w:t>
            </w:r>
          </w:p>
        </w:tc>
        <w:tc>
          <w:tcPr>
            <w:tcW w:w="675" w:type="pct"/>
            <w:noWrap/>
          </w:tcPr>
          <w:p w14:paraId="5F3C4A2D" w14:textId="77777777" w:rsidR="00E7469D" w:rsidRPr="00B06893" w:rsidRDefault="00E7469D" w:rsidP="00156335">
            <w:pPr>
              <w:pStyle w:val="TableText0"/>
              <w:jc w:val="center"/>
              <w:rPr>
                <w:rFonts w:cstheme="minorHAnsi"/>
                <w:szCs w:val="18"/>
              </w:rPr>
            </w:pPr>
            <w:r w:rsidRPr="00B06893">
              <w:rPr>
                <w:rFonts w:cstheme="minorHAnsi"/>
                <w:color w:val="000000"/>
                <w:szCs w:val="18"/>
              </w:rPr>
              <w:t>538,613</w:t>
            </w:r>
          </w:p>
        </w:tc>
        <w:tc>
          <w:tcPr>
            <w:tcW w:w="675" w:type="pct"/>
            <w:noWrap/>
          </w:tcPr>
          <w:p w14:paraId="26F68547" w14:textId="77777777" w:rsidR="00E7469D" w:rsidRPr="00B06893" w:rsidRDefault="00E7469D" w:rsidP="00156335">
            <w:pPr>
              <w:pStyle w:val="TableText0"/>
              <w:jc w:val="center"/>
              <w:rPr>
                <w:rFonts w:cstheme="minorHAnsi"/>
                <w:szCs w:val="18"/>
              </w:rPr>
            </w:pPr>
            <w:r w:rsidRPr="00B06893">
              <w:rPr>
                <w:rFonts w:cstheme="minorHAnsi"/>
                <w:color w:val="000000"/>
                <w:szCs w:val="18"/>
              </w:rPr>
              <w:t>10,295,734</w:t>
            </w:r>
          </w:p>
        </w:tc>
        <w:tc>
          <w:tcPr>
            <w:tcW w:w="675" w:type="pct"/>
            <w:noWrap/>
          </w:tcPr>
          <w:p w14:paraId="5A63C1F8" w14:textId="77777777" w:rsidR="00E7469D" w:rsidRPr="00B06893" w:rsidRDefault="00E7469D" w:rsidP="00156335">
            <w:pPr>
              <w:pStyle w:val="TableText0"/>
              <w:jc w:val="center"/>
              <w:rPr>
                <w:rFonts w:cstheme="minorHAnsi"/>
                <w:szCs w:val="18"/>
              </w:rPr>
            </w:pPr>
            <w:r w:rsidRPr="00B06893">
              <w:rPr>
                <w:rFonts w:cstheme="minorHAnsi"/>
                <w:color w:val="000000"/>
                <w:szCs w:val="18"/>
              </w:rPr>
              <w:t>864,391</w:t>
            </w:r>
          </w:p>
        </w:tc>
        <w:tc>
          <w:tcPr>
            <w:tcW w:w="675" w:type="pct"/>
            <w:noWrap/>
          </w:tcPr>
          <w:p w14:paraId="40152461" w14:textId="77777777" w:rsidR="00E7469D" w:rsidRPr="00B06893" w:rsidRDefault="00E7469D" w:rsidP="00156335">
            <w:pPr>
              <w:pStyle w:val="TableText0"/>
              <w:jc w:val="center"/>
              <w:rPr>
                <w:rFonts w:cstheme="minorHAnsi"/>
                <w:szCs w:val="18"/>
              </w:rPr>
            </w:pPr>
            <w:r w:rsidRPr="00B06893">
              <w:rPr>
                <w:rFonts w:cstheme="minorHAnsi"/>
                <w:color w:val="000000"/>
                <w:szCs w:val="18"/>
              </w:rPr>
              <w:t>341,840</w:t>
            </w:r>
          </w:p>
        </w:tc>
        <w:tc>
          <w:tcPr>
            <w:tcW w:w="675" w:type="pct"/>
            <w:noWrap/>
          </w:tcPr>
          <w:p w14:paraId="06217C8D" w14:textId="77777777" w:rsidR="00E7469D" w:rsidRPr="00B06893" w:rsidRDefault="00E7469D" w:rsidP="00156335">
            <w:pPr>
              <w:pStyle w:val="TableText0"/>
              <w:jc w:val="center"/>
              <w:rPr>
                <w:rFonts w:cstheme="minorHAnsi"/>
                <w:szCs w:val="18"/>
              </w:rPr>
            </w:pPr>
            <w:r w:rsidRPr="00B06893">
              <w:rPr>
                <w:rFonts w:cstheme="minorHAnsi"/>
                <w:color w:val="000000"/>
                <w:szCs w:val="18"/>
              </w:rPr>
              <w:t>164,020</w:t>
            </w:r>
          </w:p>
        </w:tc>
      </w:tr>
    </w:tbl>
    <w:p w14:paraId="09050199" w14:textId="6F5AE673" w:rsidR="00E7469D" w:rsidRPr="00B06893" w:rsidRDefault="00E7469D" w:rsidP="00E7469D">
      <w:pPr>
        <w:pStyle w:val="TableFooter"/>
        <w:keepNext/>
        <w:rPr>
          <w:szCs w:val="18"/>
        </w:rPr>
      </w:pPr>
      <w:r w:rsidRPr="00B06893">
        <w:rPr>
          <w:szCs w:val="18"/>
        </w:rPr>
        <w:t>Source: Table 1</w:t>
      </w:r>
      <w:r w:rsidR="00193971">
        <w:rPr>
          <w:szCs w:val="18"/>
        </w:rPr>
        <w:noBreakHyphen/>
      </w:r>
      <w:r w:rsidRPr="00B06893">
        <w:rPr>
          <w:szCs w:val="18"/>
        </w:rPr>
        <w:t>8, p30 of the submission.</w:t>
      </w:r>
    </w:p>
    <w:p w14:paraId="201B0DCC" w14:textId="13D7CE0F" w:rsidR="00E7469D" w:rsidRPr="00B06893" w:rsidRDefault="00E7469D" w:rsidP="00E7469D">
      <w:pPr>
        <w:pStyle w:val="TableFooter"/>
        <w:keepNext/>
        <w:rPr>
          <w:rStyle w:val="SubtleReference"/>
          <w:rFonts w:eastAsia="Calibri"/>
          <w:szCs w:val="18"/>
        </w:rPr>
      </w:pPr>
      <w:r w:rsidRPr="00B06893">
        <w:rPr>
          <w:szCs w:val="18"/>
        </w:rPr>
        <w:t>COVID</w:t>
      </w:r>
      <w:r w:rsidR="00193971">
        <w:rPr>
          <w:szCs w:val="18"/>
        </w:rPr>
        <w:noBreakHyphen/>
      </w:r>
      <w:r w:rsidRPr="00B06893">
        <w:rPr>
          <w:szCs w:val="18"/>
        </w:rPr>
        <w:t>19 = coronavirus disease 2019; NNDSS = National Notifiable (Communicable) Diseases Surveillance System 2025</w:t>
      </w:r>
    </w:p>
    <w:p w14:paraId="48ECFBF6" w14:textId="4AB052A5" w:rsidR="00E7469D" w:rsidRPr="00B06893" w:rsidRDefault="00E7469D" w:rsidP="00E7469D">
      <w:pPr>
        <w:pStyle w:val="TableFooter"/>
        <w:keepNext/>
        <w:rPr>
          <w:rFonts w:cstheme="minorHAnsi"/>
          <w:sz w:val="20"/>
        </w:rPr>
      </w:pPr>
      <w:r w:rsidRPr="00B06893">
        <w:rPr>
          <w:szCs w:val="18"/>
          <w:vertAlign w:val="superscript"/>
        </w:rPr>
        <w:t>a</w:t>
      </w:r>
      <w:r w:rsidRPr="00B06893">
        <w:rPr>
          <w:szCs w:val="18"/>
        </w:rPr>
        <w:t>Confirmed or probable up to 17 June 2025. Note: COVID</w:t>
      </w:r>
      <w:r w:rsidR="00193971">
        <w:rPr>
          <w:szCs w:val="18"/>
        </w:rPr>
        <w:noBreakHyphen/>
      </w:r>
      <w:r w:rsidRPr="00B06893">
        <w:rPr>
          <w:szCs w:val="18"/>
        </w:rPr>
        <w:t>19 case notifications in the NNDSS are now a considerable underestimate of the true incidence of COVID</w:t>
      </w:r>
      <w:r w:rsidR="00193971">
        <w:rPr>
          <w:szCs w:val="18"/>
        </w:rPr>
        <w:noBreakHyphen/>
      </w:r>
      <w:r w:rsidRPr="00B06893">
        <w:rPr>
          <w:szCs w:val="18"/>
        </w:rPr>
        <w:t>19 in Australia</w:t>
      </w:r>
      <w:r w:rsidRPr="00B06893">
        <w:rPr>
          <w:sz w:val="20"/>
        </w:rPr>
        <w:t>.</w:t>
      </w:r>
      <w:r w:rsidRPr="00B06893">
        <w:rPr>
          <w:rFonts w:cstheme="minorHAnsi"/>
          <w:sz w:val="20"/>
        </w:rPr>
        <w:t xml:space="preserve"> </w:t>
      </w:r>
    </w:p>
    <w:p w14:paraId="468AF6B1" w14:textId="77777777" w:rsidR="00E7469D" w:rsidRPr="00B06893" w:rsidRDefault="00E7469D" w:rsidP="00E7469D">
      <w:pPr>
        <w:rPr>
          <w:rFonts w:cstheme="minorHAnsi"/>
          <w:szCs w:val="24"/>
        </w:rPr>
      </w:pPr>
    </w:p>
    <w:p w14:paraId="6FA3FD7C" w14:textId="07E748DE" w:rsidR="007A7E95" w:rsidRPr="00B06893" w:rsidRDefault="00E7469D" w:rsidP="00E7469D">
      <w:pPr>
        <w:pStyle w:val="3-BodyText"/>
      </w:pPr>
      <w:r w:rsidRPr="00B06893">
        <w:rPr>
          <w:rFonts w:cstheme="minorHAnsi"/>
          <w:szCs w:val="24"/>
        </w:rPr>
        <w:t>Overall, the total of number of reported cases of COVID</w:t>
      </w:r>
      <w:r w:rsidR="00193971">
        <w:rPr>
          <w:rFonts w:cstheme="minorHAnsi"/>
          <w:szCs w:val="24"/>
        </w:rPr>
        <w:noBreakHyphen/>
      </w:r>
      <w:r w:rsidRPr="00B06893">
        <w:rPr>
          <w:rFonts w:cstheme="minorHAnsi"/>
          <w:szCs w:val="24"/>
        </w:rPr>
        <w:t>19 are decreasing</w:t>
      </w:r>
      <w:r w:rsidR="003325FD" w:rsidRPr="00B06893">
        <w:rPr>
          <w:rFonts w:cstheme="minorHAnsi"/>
          <w:szCs w:val="24"/>
        </w:rPr>
        <w:t xml:space="preserve"> since the peak in 2022</w:t>
      </w:r>
      <w:r w:rsidRPr="00B06893">
        <w:rPr>
          <w:rFonts w:cstheme="minorHAnsi"/>
          <w:szCs w:val="24"/>
        </w:rPr>
        <w:t>. The submission stated that these numbers are likely an underestimate as collection of self</w:t>
      </w:r>
      <w:r w:rsidR="00193971">
        <w:rPr>
          <w:rFonts w:cstheme="minorHAnsi"/>
          <w:szCs w:val="24"/>
        </w:rPr>
        <w:noBreakHyphen/>
      </w:r>
      <w:r w:rsidRPr="00B06893">
        <w:rPr>
          <w:rFonts w:cstheme="minorHAnsi"/>
          <w:szCs w:val="24"/>
        </w:rPr>
        <w:t xml:space="preserve">reported rapid antigen test (RAT) results had ceased in December 2023. The 2025 ATAGI Advice </w:t>
      </w:r>
      <w:r w:rsidR="00FE47C4" w:rsidRPr="00B06893">
        <w:rPr>
          <w:rFonts w:cstheme="minorHAnsi"/>
          <w:szCs w:val="24"/>
        </w:rPr>
        <w:t>considered</w:t>
      </w:r>
      <w:r w:rsidRPr="00B06893">
        <w:rPr>
          <w:rFonts w:cstheme="minorHAnsi"/>
          <w:szCs w:val="24"/>
        </w:rPr>
        <w:t xml:space="preserve"> this was reasonable; however, this is unlikely to have a significant effect on the estimated disease burden of COVID</w:t>
      </w:r>
      <w:r w:rsidR="00193971">
        <w:rPr>
          <w:rFonts w:cstheme="minorHAnsi"/>
          <w:szCs w:val="24"/>
        </w:rPr>
        <w:noBreakHyphen/>
      </w:r>
      <w:r w:rsidRPr="00B06893">
        <w:rPr>
          <w:rFonts w:cstheme="minorHAnsi"/>
          <w:szCs w:val="24"/>
        </w:rPr>
        <w:t>19 as the primary goal of vaccination is reduction in hospitalisation/mortality, and these data are likely to be accurately captured.</w:t>
      </w:r>
    </w:p>
    <w:p w14:paraId="5D4377D9" w14:textId="78499A30" w:rsidR="00362D06" w:rsidRPr="00B06893" w:rsidRDefault="00362D06" w:rsidP="00501A02">
      <w:pPr>
        <w:pStyle w:val="3-BodyText"/>
      </w:pPr>
      <w:r w:rsidRPr="00B06893">
        <w:t>According to the National Hospital Morbidity database, risk of hospitalisation due to COVID</w:t>
      </w:r>
      <w:r w:rsidR="00193971">
        <w:noBreakHyphen/>
      </w:r>
      <w:r w:rsidRPr="00B06893">
        <w:t>19 is directly related to age, with a substantial increase in risk starting from 65 years of age (Table 11, p15 of 2025 ATAGI pre</w:t>
      </w:r>
      <w:r w:rsidR="00193971">
        <w:noBreakHyphen/>
      </w:r>
      <w:r w:rsidRPr="00B06893">
        <w:t>submission Advice).</w:t>
      </w:r>
      <w:r w:rsidR="00351053" w:rsidRPr="00B06893">
        <w:t xml:space="preserve"> </w:t>
      </w:r>
      <w:r w:rsidRPr="00B06893">
        <w:t>Compared to patients who contracted influenza or respiratory syncytial virus (RSV), COVID</w:t>
      </w:r>
      <w:r w:rsidR="00193971">
        <w:noBreakHyphen/>
      </w:r>
      <w:r w:rsidRPr="00B06893">
        <w:t>19 patients tended to be older</w:t>
      </w:r>
      <w:r w:rsidR="00351053" w:rsidRPr="00B06893">
        <w:t>.</w:t>
      </w:r>
      <w:r w:rsidRPr="00B06893">
        <w:t xml:space="preserve"> </w:t>
      </w:r>
      <w:r w:rsidR="00BE05A1" w:rsidRPr="00B06893">
        <w:t>The ATAGI advice reported that l</w:t>
      </w:r>
      <w:r w:rsidRPr="00B06893">
        <w:t>ength of hospital stay was comparable to influenza patients, however, COVID</w:t>
      </w:r>
      <w:r w:rsidR="00193971">
        <w:noBreakHyphen/>
      </w:r>
      <w:r w:rsidRPr="00B06893">
        <w:t xml:space="preserve">19 patients tended to have a shorter stay in an intensive care unit (ICU) and were less likely to require mechanical ventilation. </w:t>
      </w:r>
      <w:r w:rsidR="00FE47C4" w:rsidRPr="00B06893">
        <w:t>In contrast</w:t>
      </w:r>
      <w:r w:rsidRPr="00B06893">
        <w:t>, COVID</w:t>
      </w:r>
      <w:r w:rsidR="00193971">
        <w:noBreakHyphen/>
      </w:r>
      <w:r w:rsidRPr="00B06893">
        <w:t xml:space="preserve">19 patients were </w:t>
      </w:r>
      <w:r w:rsidR="00B64D19" w:rsidRPr="00B06893">
        <w:t xml:space="preserve">more </w:t>
      </w:r>
      <w:r w:rsidRPr="00B06893">
        <w:t>likely to die in hospital, of any cause</w:t>
      </w:r>
      <w:r w:rsidR="00B64D19" w:rsidRPr="00B06893">
        <w:t>, compared with those admitted with either influenza or RSV</w:t>
      </w:r>
      <w:r w:rsidRPr="00B06893">
        <w:t>.</w:t>
      </w:r>
    </w:p>
    <w:p w14:paraId="34F9A011" w14:textId="3A52494A" w:rsidR="002C2775" w:rsidRPr="00B06893" w:rsidDel="00195452" w:rsidRDefault="00362D06" w:rsidP="00501A02">
      <w:pPr>
        <w:pStyle w:val="3-BodyText"/>
      </w:pPr>
      <w:r w:rsidRPr="00B06893">
        <w:t xml:space="preserve">The 2025 ATAGI Advice noted that deaths associated </w:t>
      </w:r>
      <w:r w:rsidR="00FE47C4" w:rsidRPr="00B06893">
        <w:t>with</w:t>
      </w:r>
      <w:r w:rsidRPr="00B06893">
        <w:t xml:space="preserve"> COVID</w:t>
      </w:r>
      <w:r w:rsidR="00193971">
        <w:noBreakHyphen/>
      </w:r>
      <w:r w:rsidRPr="00B06893">
        <w:t>19 are decreasing, and that deaths tend to peak in line with higher incidence of notified cases (i.e., more serious cases). Mortality due to COVID</w:t>
      </w:r>
      <w:r w:rsidR="00193971">
        <w:noBreakHyphen/>
      </w:r>
      <w:r w:rsidRPr="00B06893">
        <w:t xml:space="preserve">19 remains higher than </w:t>
      </w:r>
      <w:r w:rsidR="0028641B" w:rsidRPr="00B06893">
        <w:t>deaths</w:t>
      </w:r>
      <w:r w:rsidRPr="00B06893">
        <w:t xml:space="preserve"> due to influenza, with </w:t>
      </w:r>
      <w:r w:rsidR="0028641B" w:rsidRPr="00B06893">
        <w:t>most</w:t>
      </w:r>
      <w:r w:rsidRPr="00B06893">
        <w:t xml:space="preserve"> deaths occurring in individuals aged over 60</w:t>
      </w:r>
      <w:r w:rsidR="0028641B" w:rsidRPr="00B06893">
        <w:t xml:space="preserve"> years</w:t>
      </w:r>
      <w:r w:rsidRPr="00B06893">
        <w:t xml:space="preserve">. </w:t>
      </w:r>
    </w:p>
    <w:p w14:paraId="11FCAAEE" w14:textId="71B2DB8E" w:rsidR="007627BE" w:rsidRPr="00B06893" w:rsidRDefault="00292F39" w:rsidP="00501A02">
      <w:pPr>
        <w:pStyle w:val="3-BodyText"/>
      </w:pPr>
      <w:r w:rsidRPr="00B06893">
        <w:t>Spikevax (mRNA</w:t>
      </w:r>
      <w:r w:rsidR="00193971">
        <w:noBreakHyphen/>
      </w:r>
      <w:r w:rsidRPr="00B06893">
        <w:t>1273) is an mRNA vaccine, a nucleoside</w:t>
      </w:r>
      <w:r w:rsidR="00193971">
        <w:noBreakHyphen/>
      </w:r>
      <w:r w:rsidRPr="00B06893">
        <w:t>modified mRNA</w:t>
      </w:r>
      <w:r w:rsidR="00193971">
        <w:noBreakHyphen/>
      </w:r>
      <w:r w:rsidRPr="00B06893">
        <w:t>based vaccine that encodes the SARS</w:t>
      </w:r>
      <w:r w:rsidR="00193971">
        <w:noBreakHyphen/>
      </w:r>
      <w:r w:rsidRPr="00B06893">
        <w:t>CoV</w:t>
      </w:r>
      <w:r w:rsidR="00193971">
        <w:noBreakHyphen/>
      </w:r>
      <w:r w:rsidRPr="00B06893">
        <w:t xml:space="preserve">2 spike protein (S). The role of S is to mediate binding and fusion of the virus to host cell receptors, allowing the virus to enter host cells and replicate. S is a key target of neutralising antibodies (nAB) and therefore an important antigen for vaccine development. Spikevax is formulated in lipid particles, </w:t>
      </w:r>
      <w:r w:rsidRPr="00B06893">
        <w:lastRenderedPageBreak/>
        <w:t>which enable delivery of the nucleoside</w:t>
      </w:r>
      <w:r w:rsidR="00193971">
        <w:noBreakHyphen/>
      </w:r>
      <w:r w:rsidRPr="00B06893">
        <w:t>modified mRNA into host cells to allow expression of the SARS</w:t>
      </w:r>
      <w:r w:rsidR="00193971">
        <w:noBreakHyphen/>
      </w:r>
      <w:r w:rsidRPr="00B06893">
        <w:t>CoV</w:t>
      </w:r>
      <w:r w:rsidR="00193971">
        <w:noBreakHyphen/>
      </w:r>
      <w:r w:rsidRPr="00B06893">
        <w:t>2 S antigen.</w:t>
      </w:r>
    </w:p>
    <w:p w14:paraId="36F7A894" w14:textId="56B808C9" w:rsidR="00292F39" w:rsidRPr="00B06893" w:rsidRDefault="00292F39" w:rsidP="00501A02">
      <w:pPr>
        <w:pStyle w:val="3-BodyText"/>
      </w:pPr>
      <w:r w:rsidRPr="00B06893">
        <w:t xml:space="preserve">The evolution of variants of the virus over time has prompted adaptations of the original </w:t>
      </w:r>
      <w:r w:rsidR="0018366A" w:rsidRPr="00B06893">
        <w:t>Spikevax</w:t>
      </w:r>
      <w:r w:rsidRPr="00B06893">
        <w:t xml:space="preserve"> vaccine</w:t>
      </w:r>
      <w:r w:rsidR="0018366A" w:rsidRPr="00B06893">
        <w:t xml:space="preserve"> (and </w:t>
      </w:r>
      <w:r w:rsidR="00E34126" w:rsidRPr="00B06893">
        <w:t>Comirnaty</w:t>
      </w:r>
      <w:r w:rsidR="0018366A" w:rsidRPr="00B06893">
        <w:t>)</w:t>
      </w:r>
      <w:r w:rsidRPr="00B06893">
        <w:t xml:space="preserve"> so that the nucleoside</w:t>
      </w:r>
      <w:r w:rsidR="00193971">
        <w:noBreakHyphen/>
      </w:r>
      <w:r w:rsidRPr="00B06893">
        <w:t>modified RNA encoding the viral spike protein was adapted to match the prevailing strains of SARS</w:t>
      </w:r>
      <w:r w:rsidR="00193971">
        <w:noBreakHyphen/>
      </w:r>
      <w:r w:rsidRPr="00B06893">
        <w:t>CoV</w:t>
      </w:r>
      <w:r w:rsidR="00193971">
        <w:noBreakHyphen/>
      </w:r>
      <w:r w:rsidRPr="00B06893">
        <w:t>2.</w:t>
      </w:r>
      <w:r w:rsidR="0018366A" w:rsidRPr="00B06893">
        <w:t xml:space="preserve"> </w:t>
      </w:r>
      <w:r w:rsidRPr="00B06893">
        <w:t xml:space="preserve">The </w:t>
      </w:r>
      <w:r w:rsidR="0018366A" w:rsidRPr="00B06893">
        <w:t>rationale surrounding the need to match COVID</w:t>
      </w:r>
      <w:r w:rsidR="00193971">
        <w:noBreakHyphen/>
      </w:r>
      <w:r w:rsidR="0018366A" w:rsidRPr="00B06893">
        <w:t xml:space="preserve">19 vaccines to currently circulating variants is to achieve </w:t>
      </w:r>
      <w:r w:rsidRPr="00B06893">
        <w:t xml:space="preserve">enhanced protection against symptomatic and severe disease, and that vaccines matched to previous variants offer significantly reduced </w:t>
      </w:r>
      <w:r w:rsidR="0018366A" w:rsidRPr="00B06893">
        <w:t>p</w:t>
      </w:r>
      <w:r w:rsidRPr="00B06893">
        <w:t>rotection against severe COVID</w:t>
      </w:r>
      <w:r w:rsidR="00193971">
        <w:noBreakHyphen/>
      </w:r>
      <w:r w:rsidRPr="00B06893">
        <w:t xml:space="preserve">19 outcomes, given the </w:t>
      </w:r>
      <w:r w:rsidR="0018366A" w:rsidRPr="00B06893">
        <w:t>high mutagenicity of SARS</w:t>
      </w:r>
      <w:r w:rsidR="00193971">
        <w:noBreakHyphen/>
      </w:r>
      <w:r w:rsidR="0018366A" w:rsidRPr="00B06893">
        <w:t>CoV</w:t>
      </w:r>
      <w:r w:rsidR="00193971">
        <w:noBreakHyphen/>
      </w:r>
      <w:r w:rsidR="0018366A" w:rsidRPr="00B06893">
        <w:t>2.</w:t>
      </w:r>
    </w:p>
    <w:p w14:paraId="4BF7B8C6" w14:textId="54BD5650" w:rsidR="00097ECA" w:rsidRPr="00B06893" w:rsidRDefault="00292F39" w:rsidP="00501A02">
      <w:pPr>
        <w:pStyle w:val="3-BodyText"/>
      </w:pPr>
      <w:r w:rsidRPr="00B06893">
        <w:t>The submission noted that the sponsor has developed a rapid</w:t>
      </w:r>
      <w:r w:rsidR="00193971">
        <w:noBreakHyphen/>
      </w:r>
      <w:r w:rsidRPr="00B06893">
        <w:t xml:space="preserve">response proprietary vaccine platform based on </w:t>
      </w:r>
      <w:r w:rsidR="0028641B" w:rsidRPr="00B06893">
        <w:t xml:space="preserve">a </w:t>
      </w:r>
      <w:r w:rsidRPr="00B06893">
        <w:t xml:space="preserve">mRNA delivery system. The </w:t>
      </w:r>
      <w:r w:rsidR="00A93CFE" w:rsidRPr="00B06893">
        <w:t xml:space="preserve">Spikevax </w:t>
      </w:r>
      <w:r w:rsidR="00977D94" w:rsidRPr="00B06893">
        <w:t>mRNA</w:t>
      </w:r>
      <w:r w:rsidR="00193971">
        <w:noBreakHyphen/>
      </w:r>
      <w:r w:rsidR="00977D94" w:rsidRPr="00B06893">
        <w:t xml:space="preserve">1273 </w:t>
      </w:r>
      <w:r w:rsidRPr="00B06893">
        <w:t>platform is based on the principle and observations that cells in vivo can take up mRNA, translate it, and then express protein viral antigen(s).</w:t>
      </w:r>
      <w:r w:rsidR="00977D94" w:rsidRPr="00B06893">
        <w:t xml:space="preserve"> </w:t>
      </w:r>
      <w:r w:rsidR="00BE05A1" w:rsidRPr="00B06893">
        <w:t xml:space="preserve">The submission proposes </w:t>
      </w:r>
      <w:r w:rsidR="00BE05A1" w:rsidRPr="00B06893">
        <w:rPr>
          <w:lang w:eastAsia="en-GB"/>
        </w:rPr>
        <w:t>addition of mRNA</w:t>
      </w:r>
      <w:r w:rsidR="00193971">
        <w:rPr>
          <w:lang w:eastAsia="en-GB"/>
        </w:rPr>
        <w:noBreakHyphen/>
      </w:r>
      <w:r w:rsidR="00BE05A1" w:rsidRPr="00B06893">
        <w:rPr>
          <w:lang w:eastAsia="en-GB"/>
        </w:rPr>
        <w:t>1273.xxx (Spikevax), to the NIP, where the xxx refers to future variant</w:t>
      </w:r>
      <w:r w:rsidR="00193971">
        <w:rPr>
          <w:lang w:eastAsia="en-GB"/>
        </w:rPr>
        <w:noBreakHyphen/>
      </w:r>
      <w:r w:rsidR="00BE05A1" w:rsidRPr="00B06893">
        <w:rPr>
          <w:lang w:eastAsia="en-GB"/>
        </w:rPr>
        <w:t xml:space="preserve">adapted vaccines that do not yet have a specific number. Some example </w:t>
      </w:r>
      <w:r w:rsidR="00097ECA" w:rsidRPr="00B06893">
        <w:rPr>
          <w:lang w:eastAsia="en-GB"/>
        </w:rPr>
        <w:t>mRNA</w:t>
      </w:r>
      <w:r w:rsidR="00193971">
        <w:rPr>
          <w:lang w:eastAsia="en-GB"/>
        </w:rPr>
        <w:noBreakHyphen/>
      </w:r>
      <w:r w:rsidR="00097ECA" w:rsidRPr="00B06893">
        <w:rPr>
          <w:lang w:eastAsia="en-GB"/>
        </w:rPr>
        <w:t xml:space="preserve">1273 </w:t>
      </w:r>
      <w:r w:rsidR="00BE05A1" w:rsidRPr="00B06893">
        <w:rPr>
          <w:lang w:eastAsia="en-GB"/>
        </w:rPr>
        <w:t>vaccines include</w:t>
      </w:r>
      <w:r w:rsidR="00097ECA" w:rsidRPr="00B06893">
        <w:rPr>
          <w:lang w:eastAsia="en-GB"/>
        </w:rPr>
        <w:t xml:space="preserve"> (target</w:t>
      </w:r>
      <w:r w:rsidR="00BE05A1" w:rsidRPr="00B06893">
        <w:rPr>
          <w:lang w:eastAsia="en-GB"/>
        </w:rPr>
        <w:t xml:space="preserve"> </w:t>
      </w:r>
      <w:r w:rsidR="00097ECA" w:rsidRPr="00B06893">
        <w:rPr>
          <w:lang w:eastAsia="en-GB"/>
        </w:rPr>
        <w:t>variants shown in brackets):</w:t>
      </w:r>
    </w:p>
    <w:p w14:paraId="006EDA32" w14:textId="28B38545" w:rsidR="00097ECA" w:rsidRPr="00B06893" w:rsidRDefault="00097ECA" w:rsidP="00D80B33">
      <w:pPr>
        <w:pStyle w:val="3-BodyText"/>
        <w:numPr>
          <w:ilvl w:val="1"/>
          <w:numId w:val="27"/>
        </w:numPr>
        <w:ind w:left="1134"/>
        <w:rPr>
          <w:rStyle w:val="Emphasis"/>
          <w:i w:val="0"/>
          <w:iCs w:val="0"/>
        </w:rPr>
      </w:pPr>
      <w:r w:rsidRPr="00B06893">
        <w:rPr>
          <w:rStyle w:val="Emphasis"/>
          <w:i w:val="0"/>
          <w:iCs w:val="0"/>
        </w:rPr>
        <w:t>Bivalent mRNA</w:t>
      </w:r>
      <w:r w:rsidR="00193971">
        <w:rPr>
          <w:rStyle w:val="Emphasis"/>
          <w:i w:val="0"/>
          <w:iCs w:val="0"/>
        </w:rPr>
        <w:noBreakHyphen/>
      </w:r>
      <w:r w:rsidRPr="00B06893">
        <w:rPr>
          <w:rStyle w:val="Emphasis"/>
          <w:i w:val="0"/>
          <w:iCs w:val="0"/>
        </w:rPr>
        <w:t>1273.214 (ancestral Wuhan</w:t>
      </w:r>
      <w:r w:rsidR="00193971">
        <w:rPr>
          <w:rStyle w:val="Emphasis"/>
          <w:i w:val="0"/>
          <w:iCs w:val="0"/>
        </w:rPr>
        <w:noBreakHyphen/>
      </w:r>
      <w:r w:rsidRPr="00B06893">
        <w:rPr>
          <w:rStyle w:val="Emphasis"/>
          <w:i w:val="0"/>
          <w:iCs w:val="0"/>
        </w:rPr>
        <w:t>Hu</w:t>
      </w:r>
      <w:r w:rsidR="00193971">
        <w:rPr>
          <w:rStyle w:val="Emphasis"/>
          <w:i w:val="0"/>
          <w:iCs w:val="0"/>
        </w:rPr>
        <w:noBreakHyphen/>
      </w:r>
      <w:r w:rsidRPr="00B06893">
        <w:rPr>
          <w:rStyle w:val="Emphasis"/>
          <w:i w:val="0"/>
          <w:iCs w:val="0"/>
        </w:rPr>
        <w:t>1 and omicron BA.1)</w:t>
      </w:r>
    </w:p>
    <w:p w14:paraId="2F2D3079" w14:textId="146AC75E" w:rsidR="00097ECA" w:rsidRPr="00B06893" w:rsidRDefault="00097ECA" w:rsidP="00D80B33">
      <w:pPr>
        <w:pStyle w:val="3-BodyText"/>
        <w:numPr>
          <w:ilvl w:val="1"/>
          <w:numId w:val="27"/>
        </w:numPr>
        <w:ind w:left="1134"/>
      </w:pPr>
      <w:r w:rsidRPr="00B06893">
        <w:rPr>
          <w:rStyle w:val="Emphasis"/>
          <w:i w:val="0"/>
          <w:iCs w:val="0"/>
        </w:rPr>
        <w:t>Bivalent mRNA</w:t>
      </w:r>
      <w:r w:rsidR="00193971">
        <w:rPr>
          <w:rStyle w:val="Emphasis"/>
          <w:i w:val="0"/>
          <w:iCs w:val="0"/>
        </w:rPr>
        <w:noBreakHyphen/>
      </w:r>
      <w:r w:rsidRPr="00B06893">
        <w:rPr>
          <w:rStyle w:val="Emphasis"/>
          <w:i w:val="0"/>
          <w:iCs w:val="0"/>
        </w:rPr>
        <w:t>1273.222 (ancestral Wuhan</w:t>
      </w:r>
      <w:r w:rsidR="00193971">
        <w:rPr>
          <w:rStyle w:val="Emphasis"/>
          <w:i w:val="0"/>
          <w:iCs w:val="0"/>
        </w:rPr>
        <w:noBreakHyphen/>
      </w:r>
      <w:r w:rsidRPr="00B06893">
        <w:rPr>
          <w:rStyle w:val="Emphasis"/>
          <w:i w:val="0"/>
          <w:iCs w:val="0"/>
        </w:rPr>
        <w:t>Hu</w:t>
      </w:r>
      <w:r w:rsidR="00193971">
        <w:rPr>
          <w:rStyle w:val="Emphasis"/>
          <w:i w:val="0"/>
          <w:iCs w:val="0"/>
        </w:rPr>
        <w:noBreakHyphen/>
      </w:r>
      <w:r w:rsidRPr="00B06893">
        <w:rPr>
          <w:rStyle w:val="Emphasis"/>
          <w:i w:val="0"/>
          <w:iCs w:val="0"/>
        </w:rPr>
        <w:t>1 and omicron BA.4/BA.5)</w:t>
      </w:r>
    </w:p>
    <w:p w14:paraId="31A446CA" w14:textId="444EA619" w:rsidR="00097ECA" w:rsidRPr="00B06893" w:rsidRDefault="00097ECA" w:rsidP="00D80B33">
      <w:pPr>
        <w:pStyle w:val="3-BodyText"/>
        <w:numPr>
          <w:ilvl w:val="1"/>
          <w:numId w:val="27"/>
        </w:numPr>
        <w:ind w:left="1134"/>
      </w:pPr>
      <w:r w:rsidRPr="00B06893">
        <w:t>B</w:t>
      </w:r>
      <w:r w:rsidR="00BE05A1" w:rsidRPr="00B06893">
        <w:t>ivalent mRNA</w:t>
      </w:r>
      <w:r w:rsidR="00193971">
        <w:noBreakHyphen/>
      </w:r>
      <w:r w:rsidR="00BE05A1" w:rsidRPr="00B06893">
        <w:t>1273.231 vaccine (</w:t>
      </w:r>
      <w:r w:rsidRPr="00B06893">
        <w:t>o</w:t>
      </w:r>
      <w:r w:rsidR="00BE05A1" w:rsidRPr="00B06893">
        <w:t xml:space="preserve">micron BA.4/BA.5 and </w:t>
      </w:r>
      <w:r w:rsidRPr="00B06893">
        <w:t>o</w:t>
      </w:r>
      <w:r w:rsidR="00BE05A1" w:rsidRPr="00B06893">
        <w:t xml:space="preserve">micron XBB.1.5), </w:t>
      </w:r>
    </w:p>
    <w:p w14:paraId="1274D1D8" w14:textId="72B121EE" w:rsidR="00097ECA" w:rsidRPr="00B06893" w:rsidRDefault="00097ECA" w:rsidP="00D80B33">
      <w:pPr>
        <w:pStyle w:val="3-BodyText"/>
        <w:numPr>
          <w:ilvl w:val="1"/>
          <w:numId w:val="27"/>
        </w:numPr>
        <w:ind w:left="1134"/>
      </w:pPr>
      <w:r w:rsidRPr="00B06893">
        <w:t xml:space="preserve">Monovalent </w:t>
      </w:r>
      <w:r w:rsidR="00BE05A1" w:rsidRPr="00B06893">
        <w:t>mRNA</w:t>
      </w:r>
      <w:r w:rsidR="00193971">
        <w:noBreakHyphen/>
      </w:r>
      <w:r w:rsidR="00BE05A1" w:rsidRPr="00B06893">
        <w:t xml:space="preserve">1273.815 (XBB.1.5 variant vaccine), </w:t>
      </w:r>
    </w:p>
    <w:p w14:paraId="0DFC279F" w14:textId="250D2744" w:rsidR="00097ECA" w:rsidRPr="00B06893" w:rsidRDefault="00097ECA" w:rsidP="00D80B33">
      <w:pPr>
        <w:pStyle w:val="3-BodyText"/>
        <w:numPr>
          <w:ilvl w:val="1"/>
          <w:numId w:val="27"/>
        </w:numPr>
        <w:ind w:left="1134"/>
        <w:rPr>
          <w:rStyle w:val="Emphasis"/>
          <w:i w:val="0"/>
          <w:iCs w:val="0"/>
        </w:rPr>
      </w:pPr>
      <w:r w:rsidRPr="00B06893">
        <w:rPr>
          <w:rStyle w:val="Emphasis"/>
          <w:i w:val="0"/>
          <w:iCs w:val="0"/>
        </w:rPr>
        <w:t xml:space="preserve">Monovalent </w:t>
      </w:r>
      <w:r w:rsidR="00BE05A1" w:rsidRPr="00B06893">
        <w:rPr>
          <w:rStyle w:val="Emphasis"/>
          <w:i w:val="0"/>
          <w:iCs w:val="0"/>
        </w:rPr>
        <w:t>mRNA</w:t>
      </w:r>
      <w:r w:rsidR="00193971">
        <w:rPr>
          <w:rStyle w:val="Emphasis"/>
          <w:i w:val="0"/>
          <w:iCs w:val="0"/>
        </w:rPr>
        <w:noBreakHyphen/>
      </w:r>
      <w:r w:rsidR="00BE05A1" w:rsidRPr="00B06893">
        <w:rPr>
          <w:rStyle w:val="Emphasis"/>
          <w:i w:val="0"/>
          <w:iCs w:val="0"/>
        </w:rPr>
        <w:t xml:space="preserve">1273.167 (JN.1 variant vaccine), </w:t>
      </w:r>
    </w:p>
    <w:p w14:paraId="1E47A895" w14:textId="3F8EBB8C" w:rsidR="00097ECA" w:rsidRPr="00B06893" w:rsidRDefault="00097ECA" w:rsidP="00D80B33">
      <w:pPr>
        <w:pStyle w:val="3-BodyText"/>
        <w:numPr>
          <w:ilvl w:val="1"/>
          <w:numId w:val="27"/>
        </w:numPr>
        <w:ind w:left="1134"/>
        <w:rPr>
          <w:rStyle w:val="Emphasis"/>
          <w:i w:val="0"/>
          <w:iCs w:val="0"/>
        </w:rPr>
      </w:pPr>
      <w:r w:rsidRPr="00B06893">
        <w:rPr>
          <w:rStyle w:val="Emphasis"/>
          <w:i w:val="0"/>
          <w:iCs w:val="0"/>
        </w:rPr>
        <w:t xml:space="preserve">Monovalent </w:t>
      </w:r>
      <w:r w:rsidR="00BE05A1" w:rsidRPr="00B06893">
        <w:rPr>
          <w:rStyle w:val="Emphasis"/>
          <w:i w:val="0"/>
          <w:iCs w:val="0"/>
        </w:rPr>
        <w:t>mRNA</w:t>
      </w:r>
      <w:r w:rsidR="00193971">
        <w:rPr>
          <w:rStyle w:val="Emphasis"/>
          <w:i w:val="0"/>
          <w:iCs w:val="0"/>
        </w:rPr>
        <w:noBreakHyphen/>
      </w:r>
      <w:r w:rsidR="00BE05A1" w:rsidRPr="00B06893">
        <w:rPr>
          <w:rStyle w:val="Emphasis"/>
          <w:i w:val="0"/>
          <w:iCs w:val="0"/>
        </w:rPr>
        <w:t>1273.712 (KP.2 variant vaccine).</w:t>
      </w:r>
    </w:p>
    <w:p w14:paraId="57D8CF31" w14:textId="5A19C194" w:rsidR="00292F39" w:rsidRPr="00B06893" w:rsidRDefault="00977D94" w:rsidP="00501A02">
      <w:pPr>
        <w:pStyle w:val="3-BodyText"/>
      </w:pPr>
      <w:r w:rsidRPr="00B06893">
        <w:t>The submission also stated that the platform approach allows for new variant</w:t>
      </w:r>
      <w:r w:rsidR="00193971">
        <w:noBreakHyphen/>
      </w:r>
      <w:r w:rsidRPr="00B06893">
        <w:t>containing COVID</w:t>
      </w:r>
      <w:r w:rsidR="00193971">
        <w:noBreakHyphen/>
      </w:r>
      <w:r w:rsidRPr="00B06893">
        <w:t xml:space="preserve">19 vaccines to be registered based on its manufacturing/quality (CMC) and nonclinical immunogenicity data, without requiring new human clinical trial data. This process is underpinned by </w:t>
      </w:r>
      <w:r w:rsidR="00FE47C4" w:rsidRPr="00B06893">
        <w:t xml:space="preserve">evidence </w:t>
      </w:r>
      <w:r w:rsidR="0028718D" w:rsidRPr="00B06893">
        <w:t>demonstrating</w:t>
      </w:r>
      <w:r w:rsidRPr="00B06893">
        <w:t xml:space="preserve"> clinical safety and immunogenicity of </w:t>
      </w:r>
      <w:r w:rsidR="00A93CFE" w:rsidRPr="00B06893">
        <w:t>Spikevax</w:t>
      </w:r>
      <w:r w:rsidRPr="00B06893">
        <w:t xml:space="preserve">. </w:t>
      </w:r>
    </w:p>
    <w:p w14:paraId="0E7E23A4" w14:textId="47B346DA" w:rsidR="00320FC3" w:rsidRPr="00B06893" w:rsidRDefault="00320FC3" w:rsidP="00C052FB">
      <w:pPr>
        <w:pStyle w:val="3-BodyText"/>
        <w:rPr>
          <w:rFonts w:eastAsia="Calibri"/>
        </w:rPr>
      </w:pPr>
      <w:r w:rsidRPr="00B06893">
        <w:rPr>
          <w:rFonts w:eastAsia="Calibri"/>
        </w:rPr>
        <w:t>Changes in the circulating SARS</w:t>
      </w:r>
      <w:r w:rsidR="00193971">
        <w:rPr>
          <w:rFonts w:eastAsia="Calibri"/>
        </w:rPr>
        <w:noBreakHyphen/>
      </w:r>
      <w:r w:rsidRPr="00B06893">
        <w:rPr>
          <w:rFonts w:eastAsia="Calibri"/>
        </w:rPr>
        <w:t>CoV</w:t>
      </w:r>
      <w:r w:rsidR="00193971">
        <w:rPr>
          <w:rFonts w:eastAsia="Calibri"/>
        </w:rPr>
        <w:noBreakHyphen/>
      </w:r>
      <w:r w:rsidRPr="00B06893">
        <w:rPr>
          <w:rFonts w:eastAsia="Calibri"/>
        </w:rPr>
        <w:t>2 variants could result in changes in transmissibility or pathogenicity. Thus, the clinical need for further doses of Spikevax is not static and may change over time. For example, the Omicron variants of SARS</w:t>
      </w:r>
      <w:r w:rsidR="00193971">
        <w:rPr>
          <w:rFonts w:eastAsia="Calibri"/>
        </w:rPr>
        <w:noBreakHyphen/>
      </w:r>
      <w:r w:rsidRPr="00B06893">
        <w:rPr>
          <w:rFonts w:eastAsia="Calibri"/>
        </w:rPr>
        <w:t>CoV</w:t>
      </w:r>
      <w:r w:rsidR="00193971">
        <w:rPr>
          <w:rFonts w:eastAsia="Calibri"/>
        </w:rPr>
        <w:noBreakHyphen/>
      </w:r>
      <w:r w:rsidRPr="00B06893">
        <w:rPr>
          <w:rFonts w:eastAsia="Calibri"/>
        </w:rPr>
        <w:t>2 have been associated with lower hospitalisation rates and mortality compared to the Delta variant (independent of previous immunity), which may support limiting availability of COVID</w:t>
      </w:r>
      <w:r w:rsidR="00193971">
        <w:rPr>
          <w:rFonts w:eastAsia="Calibri"/>
        </w:rPr>
        <w:noBreakHyphen/>
      </w:r>
      <w:r w:rsidRPr="00B06893">
        <w:rPr>
          <w:rFonts w:eastAsia="Calibri"/>
        </w:rPr>
        <w:t>19 vaccines to those at high risk of severe COVID</w:t>
      </w:r>
      <w:r w:rsidR="00193971">
        <w:rPr>
          <w:rFonts w:eastAsia="Calibri"/>
        </w:rPr>
        <w:noBreakHyphen/>
      </w:r>
      <w:r w:rsidRPr="00B06893">
        <w:rPr>
          <w:rFonts w:eastAsia="Calibri"/>
        </w:rPr>
        <w:t xml:space="preserve">19 but, if the circulating variant becomes more pathogenic, then the populations for whom the vaccine is recommended may require expansion (paragraph 4.15, </w:t>
      </w:r>
      <w:proofErr w:type="spellStart"/>
      <w:r w:rsidRPr="00B06893">
        <w:rPr>
          <w:rFonts w:eastAsia="Calibri"/>
        </w:rPr>
        <w:t>raxtozinameran</w:t>
      </w:r>
      <w:proofErr w:type="spellEnd"/>
      <w:r w:rsidRPr="00B06893">
        <w:rPr>
          <w:rFonts w:eastAsia="Calibri"/>
        </w:rPr>
        <w:t xml:space="preserve"> PSD, May 2025 PBAC Meeting). </w:t>
      </w:r>
    </w:p>
    <w:p w14:paraId="7D545D7C" w14:textId="77777777" w:rsidR="00840883" w:rsidRPr="00B06893" w:rsidRDefault="00840883" w:rsidP="00840883">
      <w:pPr>
        <w:pStyle w:val="3-BodyText"/>
        <w:numPr>
          <w:ilvl w:val="0"/>
          <w:numId w:val="0"/>
        </w:numPr>
        <w:ind w:left="720"/>
        <w:rPr>
          <w:rFonts w:eastAsia="Calibri"/>
        </w:rPr>
      </w:pPr>
    </w:p>
    <w:p w14:paraId="636FCDFD" w14:textId="413A62FF" w:rsidR="00840883" w:rsidRPr="00B06893" w:rsidRDefault="00840883" w:rsidP="00840883">
      <w:pPr>
        <w:ind w:firstLine="720"/>
        <w:rPr>
          <w:rFonts w:eastAsia="Calibri"/>
        </w:rPr>
      </w:pPr>
      <w:r w:rsidRPr="00B06893">
        <w:rPr>
          <w:i/>
        </w:rPr>
        <w:t>For more detail on PBAC’s view, see section 7 PBAC outcome.</w:t>
      </w:r>
    </w:p>
    <w:p w14:paraId="51E5AE96" w14:textId="136A63B1" w:rsidR="00B50DB8" w:rsidRPr="00B06893" w:rsidRDefault="00B50DB8" w:rsidP="004E18E9">
      <w:pPr>
        <w:pStyle w:val="2-SectionHeading"/>
      </w:pPr>
      <w:bookmarkStart w:id="22" w:name="_Toc219898329"/>
      <w:r w:rsidRPr="00B06893">
        <w:lastRenderedPageBreak/>
        <w:t>Comparator</w:t>
      </w:r>
      <w:bookmarkEnd w:id="22"/>
    </w:p>
    <w:p w14:paraId="4E85877A" w14:textId="77777777" w:rsidR="0018366A" w:rsidRPr="00B06893" w:rsidRDefault="0018366A" w:rsidP="0018366A">
      <w:pPr>
        <w:pStyle w:val="3-BodyText"/>
      </w:pPr>
      <w:r w:rsidRPr="00B06893">
        <w:t>The sponsor has nominated the following comparators:</w:t>
      </w:r>
    </w:p>
    <w:p w14:paraId="4B6977DA" w14:textId="77777777" w:rsidR="00977D94" w:rsidRPr="00B06893" w:rsidRDefault="0018366A" w:rsidP="00D80B33">
      <w:pPr>
        <w:pStyle w:val="3-BodyText"/>
        <w:numPr>
          <w:ilvl w:val="0"/>
          <w:numId w:val="18"/>
        </w:numPr>
      </w:pPr>
      <w:r w:rsidRPr="00B06893">
        <w:t>Main: No vaccination</w:t>
      </w:r>
    </w:p>
    <w:p w14:paraId="0A43804F" w14:textId="1E759635" w:rsidR="0018366A" w:rsidRPr="00B06893" w:rsidRDefault="0018366A" w:rsidP="00D80B33">
      <w:pPr>
        <w:pStyle w:val="3-BodyText"/>
        <w:numPr>
          <w:ilvl w:val="0"/>
          <w:numId w:val="18"/>
        </w:numPr>
      </w:pPr>
      <w:r w:rsidRPr="00B06893">
        <w:t>Near market: TGA approved mRNA vaccines for the prevention of infection with SARS</w:t>
      </w:r>
      <w:r w:rsidR="00193971">
        <w:noBreakHyphen/>
      </w:r>
      <w:r w:rsidRPr="00B06893">
        <w:t>CoV</w:t>
      </w:r>
      <w:r w:rsidR="00193971">
        <w:noBreakHyphen/>
      </w:r>
      <w:r w:rsidRPr="00B06893">
        <w:t xml:space="preserve">2 updated to the latest variants, specifically, </w:t>
      </w:r>
      <w:r w:rsidR="00E34126" w:rsidRPr="00B06893">
        <w:t>Comirnaty</w:t>
      </w:r>
      <w:r w:rsidRPr="00B06893">
        <w:t xml:space="preserve"> (also known as BNT162b2 [sponsor: Pfizer Australia Pty Ltd]).</w:t>
      </w:r>
    </w:p>
    <w:p w14:paraId="747A75CC" w14:textId="0B11123E" w:rsidR="00A05472" w:rsidRPr="00B06893" w:rsidRDefault="0018366A" w:rsidP="0018366A">
      <w:pPr>
        <w:pStyle w:val="3-BodyText"/>
      </w:pPr>
      <w:r w:rsidRPr="00B06893">
        <w:t xml:space="preserve">The nominated comparators </w:t>
      </w:r>
      <w:r w:rsidR="00D45C92" w:rsidRPr="00B06893">
        <w:t>were</w:t>
      </w:r>
      <w:r w:rsidRPr="00B06893">
        <w:t xml:space="preserve"> reasonable. However, should </w:t>
      </w:r>
      <w:r w:rsidR="00E34126" w:rsidRPr="00B06893">
        <w:t>Comirnaty</w:t>
      </w:r>
      <w:r w:rsidRPr="00B06893">
        <w:t xml:space="preserve"> </w:t>
      </w:r>
      <w:r w:rsidR="00741670" w:rsidRPr="00B06893">
        <w:t>be listed on the NIP</w:t>
      </w:r>
      <w:r w:rsidRPr="00B06893">
        <w:t xml:space="preserve">, </w:t>
      </w:r>
      <w:r w:rsidR="00E34126" w:rsidRPr="00B06893">
        <w:t>Comirnaty</w:t>
      </w:r>
      <w:r w:rsidRPr="00B06893">
        <w:t xml:space="preserve"> </w:t>
      </w:r>
      <w:r w:rsidR="00741670" w:rsidRPr="00B06893">
        <w:t>adapted for the most recent variants would be the appropriate main comparator</w:t>
      </w:r>
      <w:r w:rsidRPr="00B06893">
        <w:t xml:space="preserve">. </w:t>
      </w:r>
      <w:r w:rsidR="0035159E" w:rsidRPr="00B06893">
        <w:rPr>
          <w:iCs/>
        </w:rPr>
        <w:t>The ESC noted that the PBAC recommended Comirnaty for NIP listing in December 2025.</w:t>
      </w:r>
    </w:p>
    <w:p w14:paraId="73DB94C7" w14:textId="77777777" w:rsidR="00840883" w:rsidRPr="00B06893" w:rsidRDefault="00840883" w:rsidP="00840883">
      <w:pPr>
        <w:pStyle w:val="3-BodyText"/>
        <w:numPr>
          <w:ilvl w:val="0"/>
          <w:numId w:val="0"/>
        </w:numPr>
        <w:ind w:left="720"/>
      </w:pPr>
    </w:p>
    <w:p w14:paraId="5D537010" w14:textId="44E5E861" w:rsidR="00840883" w:rsidRPr="00B06893" w:rsidRDefault="00840883" w:rsidP="00840883">
      <w:pPr>
        <w:ind w:firstLine="720"/>
        <w:rPr>
          <w:szCs w:val="24"/>
        </w:rPr>
      </w:pPr>
      <w:r w:rsidRPr="00B06893">
        <w:rPr>
          <w:i/>
        </w:rPr>
        <w:t>For more detail on PBAC’s view, see section 7 PBAC outcome.</w:t>
      </w:r>
    </w:p>
    <w:p w14:paraId="7F9C27C8" w14:textId="77777777" w:rsidR="00223D5A" w:rsidRPr="00B06893" w:rsidRDefault="00223D5A" w:rsidP="00223D5A">
      <w:pPr>
        <w:pStyle w:val="2-SectionHeading"/>
        <w:numPr>
          <w:ilvl w:val="0"/>
          <w:numId w:val="1"/>
        </w:numPr>
      </w:pPr>
      <w:bookmarkStart w:id="23" w:name="_Toc219898330"/>
      <w:bookmarkStart w:id="24" w:name="_Toc22897640"/>
      <w:r w:rsidRPr="00B06893">
        <w:t>Consideration of the evidence</w:t>
      </w:r>
      <w:bookmarkEnd w:id="23"/>
    </w:p>
    <w:p w14:paraId="4D2A7775" w14:textId="417B9C5F" w:rsidR="007A6E02" w:rsidRPr="00B06893" w:rsidRDefault="007A6E02" w:rsidP="007A6E02">
      <w:pPr>
        <w:pStyle w:val="4-SubsectionHeading"/>
      </w:pPr>
      <w:bookmarkStart w:id="25" w:name="_Hlk76375935"/>
      <w:bookmarkStart w:id="26" w:name="_Toc219898331"/>
      <w:r w:rsidRPr="00B06893">
        <w:t>Sponsor hearing</w:t>
      </w:r>
    </w:p>
    <w:p w14:paraId="4AA5D111" w14:textId="77777777" w:rsidR="00564E86" w:rsidRPr="00B06893" w:rsidRDefault="00564E86" w:rsidP="00564E86">
      <w:pPr>
        <w:widowControl w:val="0"/>
        <w:numPr>
          <w:ilvl w:val="1"/>
          <w:numId w:val="1"/>
        </w:numPr>
        <w:spacing w:after="120"/>
        <w:ind w:left="720"/>
        <w:rPr>
          <w:rFonts w:cs="Calibri"/>
          <w:bCs/>
          <w:snapToGrid w:val="0"/>
        </w:rPr>
      </w:pPr>
      <w:bookmarkStart w:id="27" w:name="_Hlk76382586"/>
      <w:r w:rsidRPr="00B06893">
        <w:rPr>
          <w:rFonts w:cs="Calibri"/>
          <w:bCs/>
          <w:snapToGrid w:val="0"/>
        </w:rPr>
        <w:t>There was no hearing for this item.</w:t>
      </w:r>
    </w:p>
    <w:bookmarkEnd w:id="27"/>
    <w:p w14:paraId="4B16BE6E" w14:textId="7C56FBC2" w:rsidR="007A6E02" w:rsidRPr="00B06893" w:rsidRDefault="007A6E02" w:rsidP="007A6E02">
      <w:pPr>
        <w:pStyle w:val="4-SubsectionHeading"/>
      </w:pPr>
      <w:r w:rsidRPr="00B06893">
        <w:t>Consumer inputs</w:t>
      </w:r>
      <w:r w:rsidR="006D5A96" w:rsidRPr="00B06893">
        <w:tab/>
      </w:r>
    </w:p>
    <w:p w14:paraId="4294591A" w14:textId="27EE5C24" w:rsidR="007A6E02" w:rsidRPr="00B06893" w:rsidRDefault="007A6E02" w:rsidP="00501A02">
      <w:pPr>
        <w:widowControl w:val="0"/>
        <w:numPr>
          <w:ilvl w:val="1"/>
          <w:numId w:val="1"/>
        </w:numPr>
        <w:spacing w:after="120"/>
        <w:ind w:left="720"/>
        <w:rPr>
          <w:rFonts w:cs="Arial"/>
          <w:bCs/>
          <w:snapToGrid w:val="0"/>
        </w:rPr>
      </w:pPr>
      <w:bookmarkStart w:id="28" w:name="_Hlk76382618"/>
      <w:r w:rsidRPr="00B06893">
        <w:rPr>
          <w:rFonts w:cs="Arial"/>
          <w:bCs/>
          <w:snapToGrid w:val="0"/>
        </w:rPr>
        <w:t xml:space="preserve">The PBAC noted and welcomed the input from </w:t>
      </w:r>
      <w:r w:rsidR="00C636D9" w:rsidRPr="00B06893">
        <w:rPr>
          <w:rFonts w:cs="Arial"/>
          <w:bCs/>
          <w:snapToGrid w:val="0"/>
        </w:rPr>
        <w:t>two</w:t>
      </w:r>
      <w:r w:rsidRPr="00B06893">
        <w:rPr>
          <w:rFonts w:cs="Arial"/>
          <w:bCs/>
          <w:snapToGrid w:val="0"/>
        </w:rPr>
        <w:t xml:space="preserve"> organisations (</w:t>
      </w:r>
      <w:r w:rsidR="00C636D9" w:rsidRPr="00B06893">
        <w:rPr>
          <w:rFonts w:cs="Arial"/>
          <w:bCs/>
          <w:snapToGrid w:val="0"/>
        </w:rPr>
        <w:t>2</w:t>
      </w:r>
      <w:r w:rsidRPr="00B06893">
        <w:rPr>
          <w:rFonts w:cs="Arial"/>
          <w:bCs/>
          <w:snapToGrid w:val="0"/>
        </w:rPr>
        <w:t>) via the Office of Health Technology Assessment Consultation Hub.</w:t>
      </w:r>
      <w:r w:rsidR="00580BAD">
        <w:rPr>
          <w:rFonts w:cs="Arial"/>
          <w:bCs/>
          <w:snapToGrid w:val="0"/>
        </w:rPr>
        <w:t xml:space="preserve"> </w:t>
      </w:r>
      <w:r w:rsidR="00A41BA2" w:rsidRPr="00B06893">
        <w:rPr>
          <w:rFonts w:cs="Arial"/>
          <w:bCs/>
          <w:snapToGrid w:val="0"/>
        </w:rPr>
        <w:t xml:space="preserve">Both organisations supported the proposed NIP listing of </w:t>
      </w:r>
      <w:proofErr w:type="gramStart"/>
      <w:r w:rsidR="00A41BA2" w:rsidRPr="00B06893">
        <w:rPr>
          <w:rFonts w:cs="Arial"/>
          <w:bCs/>
          <w:snapToGrid w:val="0"/>
        </w:rPr>
        <w:t>Spikevax</w:t>
      </w:r>
      <w:r w:rsidR="00191BC3" w:rsidRPr="00B06893">
        <w:rPr>
          <w:rFonts w:cs="Arial"/>
          <w:bCs/>
          <w:snapToGrid w:val="0"/>
        </w:rPr>
        <w:t>,</w:t>
      </w:r>
      <w:proofErr w:type="gramEnd"/>
      <w:r w:rsidR="00191BC3" w:rsidRPr="00B06893">
        <w:rPr>
          <w:rFonts w:cs="Arial"/>
          <w:bCs/>
          <w:snapToGrid w:val="0"/>
        </w:rPr>
        <w:t xml:space="preserve"> however their comments were not limited to Spikevax in isolation.</w:t>
      </w:r>
      <w:r w:rsidR="00580BAD">
        <w:rPr>
          <w:rFonts w:cs="Arial"/>
          <w:bCs/>
          <w:snapToGrid w:val="0"/>
        </w:rPr>
        <w:t xml:space="preserve"> </w:t>
      </w:r>
      <w:r w:rsidR="00191BC3" w:rsidRPr="00B06893">
        <w:rPr>
          <w:rFonts w:cs="Arial"/>
          <w:bCs/>
          <w:snapToGrid w:val="0"/>
        </w:rPr>
        <w:t>The input related to the impact of COVID</w:t>
      </w:r>
      <w:r w:rsidR="00193971">
        <w:rPr>
          <w:rFonts w:cs="Arial"/>
          <w:bCs/>
          <w:snapToGrid w:val="0"/>
        </w:rPr>
        <w:noBreakHyphen/>
      </w:r>
      <w:r w:rsidR="00191BC3" w:rsidRPr="00B06893">
        <w:rPr>
          <w:rFonts w:cs="Arial"/>
          <w:bCs/>
          <w:snapToGrid w:val="0"/>
        </w:rPr>
        <w:t>19 on individuals and the community, and the benefits of effective vaccines more generally</w:t>
      </w:r>
      <w:r w:rsidR="00A41BA2" w:rsidRPr="00B06893">
        <w:rPr>
          <w:rFonts w:cs="Arial"/>
          <w:bCs/>
          <w:snapToGrid w:val="0"/>
        </w:rPr>
        <w:t xml:space="preserve">. </w:t>
      </w:r>
    </w:p>
    <w:p w14:paraId="0FB9F18D" w14:textId="193D02EA" w:rsidR="00A41BA2" w:rsidRPr="00B06893" w:rsidRDefault="00B57370" w:rsidP="00501A02">
      <w:pPr>
        <w:pStyle w:val="3-BodyText"/>
        <w:rPr>
          <w:rFonts w:eastAsia="Times New Roman" w:cs="Arial"/>
          <w:bCs/>
          <w:snapToGrid w:val="0"/>
          <w:szCs w:val="20"/>
        </w:rPr>
      </w:pPr>
      <w:r w:rsidRPr="00B06893">
        <w:rPr>
          <w:rFonts w:eastAsia="Times New Roman" w:cs="Arial"/>
          <w:bCs/>
          <w:snapToGrid w:val="0"/>
          <w:szCs w:val="20"/>
        </w:rPr>
        <w:t xml:space="preserve">The input from the Pharmaceutical Society of Australia </w:t>
      </w:r>
      <w:r w:rsidR="00A41BA2" w:rsidRPr="00B06893">
        <w:rPr>
          <w:rFonts w:eastAsia="Times New Roman" w:cs="Arial"/>
          <w:bCs/>
          <w:snapToGrid w:val="0"/>
          <w:szCs w:val="20"/>
        </w:rPr>
        <w:t>expressed it is vital that evidence</w:t>
      </w:r>
      <w:r w:rsidR="00193971">
        <w:rPr>
          <w:rFonts w:eastAsia="Times New Roman" w:cs="Arial"/>
          <w:bCs/>
          <w:snapToGrid w:val="0"/>
          <w:szCs w:val="20"/>
        </w:rPr>
        <w:noBreakHyphen/>
      </w:r>
      <w:r w:rsidR="00A41BA2" w:rsidRPr="00B06893">
        <w:rPr>
          <w:rFonts w:eastAsia="Times New Roman" w:cs="Arial"/>
          <w:bCs/>
          <w:snapToGrid w:val="0"/>
          <w:szCs w:val="20"/>
        </w:rPr>
        <w:t xml:space="preserve">based vaccines for preventable diseases are available for all Australians, especially those </w:t>
      </w:r>
      <w:r w:rsidR="002361A0" w:rsidRPr="00B06893">
        <w:rPr>
          <w:rFonts w:eastAsia="Times New Roman" w:cs="Arial"/>
          <w:bCs/>
          <w:snapToGrid w:val="0"/>
          <w:szCs w:val="20"/>
        </w:rPr>
        <w:t>with</w:t>
      </w:r>
      <w:r w:rsidR="00A41BA2" w:rsidRPr="00B06893">
        <w:rPr>
          <w:rFonts w:eastAsia="Times New Roman" w:cs="Arial"/>
          <w:bCs/>
          <w:snapToGrid w:val="0"/>
          <w:szCs w:val="20"/>
        </w:rPr>
        <w:t xml:space="preserve"> specific medical needs.</w:t>
      </w:r>
    </w:p>
    <w:p w14:paraId="192F7865" w14:textId="0E62F82C" w:rsidR="007A6E02" w:rsidRPr="00B06893" w:rsidRDefault="002361A0" w:rsidP="006D5A96">
      <w:pPr>
        <w:pStyle w:val="3-BodyText"/>
      </w:pPr>
      <w:r w:rsidRPr="00B06893">
        <w:rPr>
          <w:rFonts w:eastAsia="Times New Roman" w:cs="Arial"/>
          <w:bCs/>
          <w:snapToGrid w:val="0"/>
          <w:szCs w:val="20"/>
        </w:rPr>
        <w:t xml:space="preserve">The input from the </w:t>
      </w:r>
      <w:r w:rsidR="00B57370" w:rsidRPr="00B06893">
        <w:rPr>
          <w:rFonts w:eastAsia="Times New Roman" w:cs="Arial"/>
          <w:bCs/>
          <w:snapToGrid w:val="0"/>
          <w:szCs w:val="20"/>
        </w:rPr>
        <w:t>Lung Foundation Australia</w:t>
      </w:r>
      <w:bookmarkEnd w:id="25"/>
      <w:bookmarkEnd w:id="28"/>
      <w:r w:rsidR="00883D46" w:rsidRPr="00B06893">
        <w:rPr>
          <w:rFonts w:eastAsia="Times New Roman" w:cs="Arial"/>
          <w:bCs/>
          <w:snapToGrid w:val="0"/>
          <w:szCs w:val="20"/>
        </w:rPr>
        <w:t xml:space="preserve"> </w:t>
      </w:r>
      <w:r w:rsidR="00A41BA2" w:rsidRPr="00B06893">
        <w:t>highlighted additional risks of COVID</w:t>
      </w:r>
      <w:r w:rsidR="00193971">
        <w:noBreakHyphen/>
      </w:r>
      <w:r w:rsidR="00A41BA2" w:rsidRPr="00B06893">
        <w:t>19 for Australians living with lung diseases including increased risk of symptom exacerbation, lung function deterioration, hospitalisation and even death.</w:t>
      </w:r>
      <w:r w:rsidR="00580BAD">
        <w:t xml:space="preserve"> </w:t>
      </w:r>
      <w:r w:rsidR="00A41BA2" w:rsidRPr="00B06893">
        <w:t>The input noted that post</w:t>
      </w:r>
      <w:r w:rsidR="00193971">
        <w:noBreakHyphen/>
      </w:r>
      <w:r w:rsidR="00A41BA2" w:rsidRPr="00B06893">
        <w:t>acute sequelae may develop after acute COVID</w:t>
      </w:r>
      <w:r w:rsidR="00193971">
        <w:noBreakHyphen/>
      </w:r>
      <w:r w:rsidR="00A41BA2" w:rsidRPr="00B06893">
        <w:t>19 and discussed key risk factors including recurrent COVID</w:t>
      </w:r>
      <w:r w:rsidR="00193971">
        <w:noBreakHyphen/>
      </w:r>
      <w:r w:rsidR="00A41BA2" w:rsidRPr="00B06893">
        <w:t>19 infections and not being vaccinated.</w:t>
      </w:r>
      <w:r w:rsidR="00580BAD">
        <w:t xml:space="preserve"> </w:t>
      </w:r>
      <w:r w:rsidR="00A41BA2" w:rsidRPr="00B06893">
        <w:t>The Foundation stated it is vital that COVID</w:t>
      </w:r>
      <w:r w:rsidR="00193971">
        <w:noBreakHyphen/>
      </w:r>
      <w:r w:rsidR="00A41BA2" w:rsidRPr="00B06893">
        <w:t>19 vaccinations are freely available, particularly among those most at risk of associated harm such as older adults, pregnant people, and people with an underlying health condition such as a lung disease. High</w:t>
      </w:r>
      <w:r w:rsidR="00193971">
        <w:noBreakHyphen/>
      </w:r>
      <w:r w:rsidR="00A41BA2" w:rsidRPr="00B06893">
        <w:t xml:space="preserve">level results from a survey of 3,352 adults living in Australia, </w:t>
      </w:r>
      <w:r w:rsidR="00883D46" w:rsidRPr="00B06893">
        <w:t>found that the number one barrier to receiving vaccination was out</w:t>
      </w:r>
      <w:r w:rsidR="00193971">
        <w:noBreakHyphen/>
      </w:r>
      <w:r w:rsidR="00883D46" w:rsidRPr="00B06893">
        <w:t>of</w:t>
      </w:r>
      <w:r w:rsidR="00193971">
        <w:noBreakHyphen/>
      </w:r>
      <w:r w:rsidR="00883D46" w:rsidRPr="00B06893">
        <w:t>pocket costs, while 90% of respondents agreed that COVID</w:t>
      </w:r>
      <w:r w:rsidR="00193971">
        <w:noBreakHyphen/>
      </w:r>
      <w:r w:rsidR="00883D46" w:rsidRPr="00B06893">
        <w:t>19 vaccines should remain free for all Australians.</w:t>
      </w:r>
      <w:r w:rsidR="00580BAD">
        <w:t xml:space="preserve"> </w:t>
      </w:r>
      <w:r w:rsidR="006D5A96" w:rsidRPr="00B06893">
        <w:t>The input considered it vital that COVID</w:t>
      </w:r>
      <w:r w:rsidR="00193971">
        <w:noBreakHyphen/>
      </w:r>
      <w:r w:rsidR="006D5A96" w:rsidRPr="00B06893">
        <w:t>19 vaccines are made available under the NIP and there should be no gap in provision when the National COVID</w:t>
      </w:r>
      <w:r w:rsidR="00193971">
        <w:noBreakHyphen/>
      </w:r>
      <w:r w:rsidR="006D5A96" w:rsidRPr="00B06893">
        <w:t>19 Vaccine Program concludes.</w:t>
      </w:r>
    </w:p>
    <w:p w14:paraId="609C0765" w14:textId="2C1ABF73" w:rsidR="00B60939" w:rsidRPr="00B06893" w:rsidRDefault="00B60939" w:rsidP="007F6A1E">
      <w:pPr>
        <w:pStyle w:val="4-SubsectionHeading"/>
      </w:pPr>
      <w:r w:rsidRPr="00B06893">
        <w:lastRenderedPageBreak/>
        <w:t xml:space="preserve">Clinical </w:t>
      </w:r>
      <w:r w:rsidR="00D5243B" w:rsidRPr="00B06893">
        <w:t>studies</w:t>
      </w:r>
      <w:bookmarkEnd w:id="24"/>
      <w:bookmarkEnd w:id="26"/>
    </w:p>
    <w:p w14:paraId="3236C5A0" w14:textId="6D4F59E1" w:rsidR="009C4872" w:rsidRPr="00B06893" w:rsidRDefault="00E627CA" w:rsidP="00501A02">
      <w:pPr>
        <w:pStyle w:val="3-BodyText"/>
      </w:pPr>
      <w:r w:rsidRPr="00B06893">
        <w:t>The submission identified 2 clinical trials and 5 real</w:t>
      </w:r>
      <w:r w:rsidR="00193971">
        <w:noBreakHyphen/>
      </w:r>
      <w:r w:rsidRPr="00B06893">
        <w:t xml:space="preserve">world </w:t>
      </w:r>
      <w:r w:rsidR="004D7376" w:rsidRPr="00B06893">
        <w:t xml:space="preserve">observational </w:t>
      </w:r>
      <w:r w:rsidRPr="00B06893">
        <w:t xml:space="preserve">studies of recent strain variants of the </w:t>
      </w:r>
      <w:r w:rsidR="00A93CFE" w:rsidRPr="00B06893">
        <w:t>Spikevax</w:t>
      </w:r>
      <w:r w:rsidRPr="00B06893">
        <w:t xml:space="preserve"> vaccine, however only the observational studies reported effectiveness.</w:t>
      </w:r>
      <w:r w:rsidR="00580BAD">
        <w:t xml:space="preserve"> </w:t>
      </w:r>
      <w:r w:rsidR="004B63EB" w:rsidRPr="00B06893">
        <w:t xml:space="preserve">The evidence </w:t>
      </w:r>
      <w:r w:rsidR="009C4872" w:rsidRPr="00B06893">
        <w:t xml:space="preserve">presented in the submission to support the clinical claim </w:t>
      </w:r>
      <w:r w:rsidR="004B63EB" w:rsidRPr="00B06893">
        <w:t xml:space="preserve">for effectiveness was </w:t>
      </w:r>
      <w:r w:rsidRPr="00B06893">
        <w:t xml:space="preserve">therefore </w:t>
      </w:r>
      <w:r w:rsidR="004B63EB" w:rsidRPr="00B06893">
        <w:t xml:space="preserve">essentially based on retrospective observational </w:t>
      </w:r>
      <w:r w:rsidR="0028641B" w:rsidRPr="00B06893">
        <w:t>real world evidence (</w:t>
      </w:r>
      <w:r w:rsidR="004B63EB" w:rsidRPr="00B06893">
        <w:t>RWE</w:t>
      </w:r>
      <w:r w:rsidR="0028641B" w:rsidRPr="00B06893">
        <w:t>)</w:t>
      </w:r>
      <w:r w:rsidR="004B63EB" w:rsidRPr="00B06893">
        <w:t xml:space="preserve">. </w:t>
      </w:r>
      <w:r w:rsidR="009C4872" w:rsidRPr="00B06893">
        <w:t xml:space="preserve">This applies to both comparisons: i) Spikevax adapted for recent strains versus no vaccination, and ii) Spikevax adapted to recent variants versus </w:t>
      </w:r>
      <w:r w:rsidR="00E34126" w:rsidRPr="00B06893">
        <w:t>Comirnaty</w:t>
      </w:r>
      <w:r w:rsidR="009C4872" w:rsidRPr="00B06893">
        <w:t xml:space="preserve"> adapted to recent variants.</w:t>
      </w:r>
    </w:p>
    <w:p w14:paraId="14AB360D" w14:textId="2823AA35" w:rsidR="00C4055A" w:rsidRPr="00B06893" w:rsidRDefault="00C4055A" w:rsidP="00501A02">
      <w:pPr>
        <w:pStyle w:val="3-BodyText"/>
      </w:pPr>
      <w:r w:rsidRPr="00B06893">
        <w:t>Two studies</w:t>
      </w:r>
      <w:r w:rsidR="00144693" w:rsidRPr="00B06893">
        <w:t xml:space="preserve"> were identified which provided a direct comparison between Spikevax and Comirnaty: </w:t>
      </w:r>
      <w:r w:rsidRPr="00B06893">
        <w:t xml:space="preserve">Mok et al. (2025) and Pan et al. (2025) provided a direct comparison of XBB.1.5 variants of </w:t>
      </w:r>
      <w:r w:rsidR="00A93CFE" w:rsidRPr="00B06893">
        <w:t>Spikevax</w:t>
      </w:r>
      <w:r w:rsidRPr="00B06893">
        <w:t xml:space="preserve"> and </w:t>
      </w:r>
      <w:r w:rsidR="00E34126" w:rsidRPr="00B06893">
        <w:t>Comirnaty</w:t>
      </w:r>
      <w:r w:rsidRPr="00B06893">
        <w:t>.</w:t>
      </w:r>
      <w:r w:rsidRPr="00B06893">
        <w:rPr>
          <w:rFonts w:ascii="Calibri" w:eastAsia="Times New Roman" w:hAnsi="Calibri" w:cs="Calibri"/>
          <w:color w:val="000000"/>
          <w:sz w:val="22"/>
        </w:rPr>
        <w:t xml:space="preserve"> </w:t>
      </w:r>
      <w:r w:rsidRPr="00B06893">
        <w:t xml:space="preserve">The trial by Mok et al. (2025) </w:t>
      </w:r>
      <w:r w:rsidR="00524F16" w:rsidRPr="00B06893">
        <w:t xml:space="preserve">was </w:t>
      </w:r>
      <w:r w:rsidRPr="00B06893">
        <w:t>a non</w:t>
      </w:r>
      <w:r w:rsidR="00193971">
        <w:noBreakHyphen/>
      </w:r>
      <w:r w:rsidRPr="00B06893">
        <w:t xml:space="preserve">randomised trial to compare the safety and immunogenicity of the </w:t>
      </w:r>
      <w:r w:rsidR="00E34126" w:rsidRPr="00B06893">
        <w:t>Comirnaty</w:t>
      </w:r>
      <w:r w:rsidRPr="00B06893">
        <w:t xml:space="preserve"> and </w:t>
      </w:r>
      <w:r w:rsidR="00A93CFE" w:rsidRPr="00B06893">
        <w:t>Spikevax</w:t>
      </w:r>
      <w:r w:rsidRPr="00B06893">
        <w:t xml:space="preserve"> monovalent XBB.1.5 COVID</w:t>
      </w:r>
      <w:r w:rsidR="00193971">
        <w:noBreakHyphen/>
      </w:r>
      <w:r w:rsidRPr="00B06893">
        <w:t xml:space="preserve">19 vaccines in an elderly population. The trial population was 129 older adults (≥60 years) who were recruited between 2 January and </w:t>
      </w:r>
      <w:r w:rsidR="006475E6" w:rsidRPr="00B06893">
        <w:t>3 February 2024 and</w:t>
      </w:r>
      <w:r w:rsidRPr="00B06893">
        <w:t xml:space="preserve"> received a dose of either </w:t>
      </w:r>
      <w:r w:rsidR="00E34126" w:rsidRPr="00B06893">
        <w:t>Comirnaty</w:t>
      </w:r>
      <w:r w:rsidRPr="00B06893">
        <w:t xml:space="preserve"> (n=59) or </w:t>
      </w:r>
      <w:r w:rsidR="00A93CFE" w:rsidRPr="00B06893">
        <w:t>Spikevax</w:t>
      </w:r>
      <w:r w:rsidRPr="00B06893">
        <w:t xml:space="preserve"> (n=70) monovalent XBB.1.5 COVID</w:t>
      </w:r>
      <w:r w:rsidR="00193971">
        <w:noBreakHyphen/>
      </w:r>
      <w:r w:rsidRPr="00B06893">
        <w:t xml:space="preserve">19 vaccine. The </w:t>
      </w:r>
      <w:r w:rsidR="00524F16" w:rsidRPr="00B06893">
        <w:t xml:space="preserve">publication did </w:t>
      </w:r>
      <w:r w:rsidRPr="00B06893">
        <w:t>not describe how patients were assigned to the intervention or comparator. Immunogenicity and safety outcomes were followed up over 1 month.</w:t>
      </w:r>
      <w:r w:rsidR="00144693" w:rsidRPr="00B06893">
        <w:t xml:space="preserve"> </w:t>
      </w:r>
      <w:r w:rsidRPr="00B06893">
        <w:t>The trial by Pan et al. (2025) was a self</w:t>
      </w:r>
      <w:r w:rsidR="00193971">
        <w:noBreakHyphen/>
      </w:r>
      <w:r w:rsidRPr="00B06893">
        <w:t>controlled case</w:t>
      </w:r>
      <w:r w:rsidR="00193971">
        <w:noBreakHyphen/>
      </w:r>
      <w:r w:rsidRPr="00B06893">
        <w:t xml:space="preserve">series </w:t>
      </w:r>
      <w:r w:rsidR="002B31CB" w:rsidRPr="00B06893">
        <w:t>which</w:t>
      </w:r>
      <w:r w:rsidR="00144693" w:rsidRPr="00B06893">
        <w:t xml:space="preserve"> assessed safety outcomes </w:t>
      </w:r>
      <w:r w:rsidRPr="00B06893">
        <w:t>(N=244,494).</w:t>
      </w:r>
    </w:p>
    <w:p w14:paraId="491E4D85" w14:textId="345DB00F" w:rsidR="00E05F59" w:rsidRPr="00B06893" w:rsidRDefault="00E05F59" w:rsidP="00261588">
      <w:pPr>
        <w:pStyle w:val="3-BodyText"/>
        <w:spacing w:after="120"/>
      </w:pPr>
      <w:r w:rsidRPr="00B06893">
        <w:t>The relevant vaccine efficacy (VE) outcomes are clinical outcomes. The ATAGI 2025 pre</w:t>
      </w:r>
      <w:r w:rsidR="00193971">
        <w:noBreakHyphen/>
      </w:r>
      <w:r w:rsidRPr="00B06893">
        <w:t>submission advice noted that prior advice given to the sponsor in 2024 considered that symptomatic COVID</w:t>
      </w:r>
      <w:r w:rsidR="00193971">
        <w:noBreakHyphen/>
      </w:r>
      <w:r w:rsidRPr="00B06893">
        <w:t xml:space="preserve">19 cases were not appropriate for estimating </w:t>
      </w:r>
      <w:r w:rsidR="000948F8" w:rsidRPr="00B06893">
        <w:t>VE</w:t>
      </w:r>
      <w:r w:rsidRPr="00B06893">
        <w:t xml:space="preserve"> against severe disease. ATAGI recommended that hospitalisation, intensive care unit (ICU) admissions, and deaths due to COVID</w:t>
      </w:r>
      <w:r w:rsidR="00193971">
        <w:noBreakHyphen/>
      </w:r>
      <w:r w:rsidRPr="00B06893">
        <w:t>19 should be used. ATAGI also noted that medical attendance was of limited utility in the assessment of this submission.</w:t>
      </w:r>
    </w:p>
    <w:p w14:paraId="0724F132" w14:textId="179EFB60" w:rsidR="005A293D" w:rsidRDefault="005A293D" w:rsidP="005A293D">
      <w:pPr>
        <w:pStyle w:val="3-BodyText"/>
      </w:pPr>
      <w:r w:rsidRPr="00B06893">
        <w:t xml:space="preserve">The included studies and associated reports are presented in </w:t>
      </w:r>
      <w:r w:rsidR="003F60A4" w:rsidRPr="00B06893">
        <w:fldChar w:fldCharType="begin"/>
      </w:r>
      <w:r w:rsidR="003F60A4" w:rsidRPr="00B06893">
        <w:instrText xml:space="preserve"> REF _Ref216260511 \h </w:instrText>
      </w:r>
      <w:r w:rsidR="006475E6" w:rsidRPr="00B06893">
        <w:instrText xml:space="preserve"> \* MERGEFORMAT </w:instrText>
      </w:r>
      <w:r w:rsidR="003F60A4" w:rsidRPr="00B06893">
        <w:fldChar w:fldCharType="separate"/>
      </w:r>
      <w:r w:rsidR="00810177" w:rsidRPr="00B06893">
        <w:t>Table 5</w:t>
      </w:r>
      <w:r w:rsidR="003F60A4" w:rsidRPr="00B06893">
        <w:fldChar w:fldCharType="end"/>
      </w:r>
      <w:r w:rsidR="003F60A4" w:rsidRPr="00B06893">
        <w:t>.</w:t>
      </w:r>
    </w:p>
    <w:p w14:paraId="154E4515" w14:textId="77777777" w:rsidR="00221AF8" w:rsidRPr="00B06893" w:rsidRDefault="00221AF8" w:rsidP="00221AF8">
      <w:pPr>
        <w:pStyle w:val="3-BodyText"/>
        <w:numPr>
          <w:ilvl w:val="0"/>
          <w:numId w:val="0"/>
        </w:numPr>
      </w:pPr>
    </w:p>
    <w:p w14:paraId="7B2CB788" w14:textId="52B2AC1E" w:rsidR="005A293D" w:rsidRPr="00B06893" w:rsidRDefault="005A293D" w:rsidP="005A293D">
      <w:pPr>
        <w:pStyle w:val="Caption"/>
      </w:pPr>
      <w:bookmarkStart w:id="29" w:name="_Ref216260511"/>
      <w:r w:rsidRPr="00B06893">
        <w:t xml:space="preserve">Table </w:t>
      </w:r>
      <w:fldSimple w:instr=" SEQ Table \* ARABIC ">
        <w:r w:rsidR="00810177" w:rsidRPr="00B06893">
          <w:t>5</w:t>
        </w:r>
      </w:fldSimple>
      <w:bookmarkEnd w:id="29"/>
      <w:r w:rsidRPr="00B06893">
        <w:t>: Key studies and associated reports of Spikevax (mRNA</w:t>
      </w:r>
      <w:r w:rsidR="00193971">
        <w:noBreakHyphen/>
      </w:r>
      <w:r w:rsidRPr="00B06893">
        <w:t xml:space="preserve">1273) and </w:t>
      </w:r>
      <w:r w:rsidR="00E34126" w:rsidRPr="00B06893">
        <w:t>Comirnaty</w:t>
      </w:r>
      <w:r w:rsidRPr="00B06893">
        <w:t xml:space="preserve"> (BNT162b2) presented in the 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Key studies and associated reports of Spikevax (mRNA 1273) and Comirnaty (BNT162b2) presented in the submission"/>
      </w:tblPr>
      <w:tblGrid>
        <w:gridCol w:w="1271"/>
        <w:gridCol w:w="4312"/>
        <w:gridCol w:w="3434"/>
      </w:tblGrid>
      <w:tr w:rsidR="005A293D" w:rsidRPr="00B06893" w14:paraId="239ABB17" w14:textId="77777777" w:rsidTr="00156335">
        <w:trPr>
          <w:cantSplit/>
          <w:tblHeader/>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7D89D0FE" w14:textId="77777777" w:rsidR="005A293D" w:rsidRPr="00B06893" w:rsidRDefault="005A293D" w:rsidP="00F625C3">
            <w:pPr>
              <w:pStyle w:val="TableFigureHeading"/>
              <w:keepNext w:val="0"/>
              <w:snapToGrid w:val="0"/>
              <w:rPr>
                <w:szCs w:val="20"/>
              </w:rPr>
            </w:pPr>
            <w:r w:rsidRPr="00B06893">
              <w:rPr>
                <w:szCs w:val="20"/>
              </w:rPr>
              <w:t>Study ID</w:t>
            </w:r>
          </w:p>
        </w:tc>
        <w:tc>
          <w:tcPr>
            <w:tcW w:w="2391" w:type="pct"/>
            <w:tcBorders>
              <w:top w:val="single" w:sz="4" w:space="0" w:color="auto"/>
              <w:left w:val="single" w:sz="4" w:space="0" w:color="auto"/>
              <w:bottom w:val="single" w:sz="4" w:space="0" w:color="auto"/>
              <w:right w:val="single" w:sz="4" w:space="0" w:color="auto"/>
            </w:tcBorders>
            <w:vAlign w:val="center"/>
            <w:hideMark/>
          </w:tcPr>
          <w:p w14:paraId="2B239264" w14:textId="77777777" w:rsidR="005A293D" w:rsidRPr="00B06893" w:rsidRDefault="005A293D" w:rsidP="00F625C3">
            <w:pPr>
              <w:pStyle w:val="TableFigureHeading"/>
              <w:keepNext w:val="0"/>
              <w:snapToGrid w:val="0"/>
              <w:rPr>
                <w:szCs w:val="20"/>
              </w:rPr>
            </w:pPr>
            <w:r w:rsidRPr="00B06893">
              <w:rPr>
                <w:szCs w:val="20"/>
              </w:rPr>
              <w:t>Protocol title/ Publication title</w:t>
            </w:r>
          </w:p>
        </w:tc>
        <w:tc>
          <w:tcPr>
            <w:tcW w:w="1904" w:type="pct"/>
            <w:tcBorders>
              <w:top w:val="single" w:sz="4" w:space="0" w:color="auto"/>
              <w:left w:val="single" w:sz="4" w:space="0" w:color="auto"/>
              <w:bottom w:val="single" w:sz="4" w:space="0" w:color="auto"/>
              <w:right w:val="single" w:sz="4" w:space="0" w:color="auto"/>
            </w:tcBorders>
            <w:vAlign w:val="center"/>
            <w:hideMark/>
          </w:tcPr>
          <w:p w14:paraId="0EB3D262" w14:textId="3E34B8EE" w:rsidR="005A293D" w:rsidRPr="00B06893" w:rsidRDefault="00C25AE6" w:rsidP="00F625C3">
            <w:pPr>
              <w:pStyle w:val="TableFigureHeading"/>
              <w:keepNext w:val="0"/>
              <w:snapToGrid w:val="0"/>
              <w:rPr>
                <w:szCs w:val="20"/>
              </w:rPr>
            </w:pPr>
            <w:r w:rsidRPr="00B06893">
              <w:t>Report/publication citation</w:t>
            </w:r>
          </w:p>
        </w:tc>
      </w:tr>
      <w:tr w:rsidR="005A293D" w:rsidRPr="00B06893" w14:paraId="0F698F22" w14:textId="77777777" w:rsidTr="00156335">
        <w:trPr>
          <w:cantSplit/>
          <w:tblHeade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20831C2" w14:textId="30D0910E" w:rsidR="005A293D" w:rsidRPr="00B06893" w:rsidRDefault="005A293D" w:rsidP="00F625C3">
            <w:pPr>
              <w:pStyle w:val="TableFigureHeading"/>
              <w:keepNext w:val="0"/>
              <w:snapToGrid w:val="0"/>
              <w:rPr>
                <w:szCs w:val="20"/>
              </w:rPr>
            </w:pPr>
            <w:r w:rsidRPr="00B06893">
              <w:rPr>
                <w:szCs w:val="20"/>
              </w:rPr>
              <w:t>Spikevax mRNA</w:t>
            </w:r>
            <w:r w:rsidR="00193971">
              <w:rPr>
                <w:szCs w:val="20"/>
              </w:rPr>
              <w:noBreakHyphen/>
            </w:r>
            <w:r w:rsidRPr="00B06893">
              <w:rPr>
                <w:szCs w:val="20"/>
              </w:rPr>
              <w:t>1273 (recent strains) vs. no vaccination</w:t>
            </w:r>
          </w:p>
        </w:tc>
      </w:tr>
      <w:tr w:rsidR="005A293D" w:rsidRPr="00B06893" w14:paraId="454A9FEE"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bottom w:val="nil"/>
            </w:tcBorders>
            <w:vAlign w:val="center"/>
          </w:tcPr>
          <w:p w14:paraId="15A2B79C" w14:textId="77777777" w:rsidR="005A293D" w:rsidRPr="00B06893" w:rsidRDefault="005A293D" w:rsidP="00F625C3">
            <w:pPr>
              <w:pStyle w:val="Tabletext"/>
              <w:snapToGrid w:val="0"/>
            </w:pPr>
            <w:r w:rsidRPr="00B06893">
              <w:t>Study P403</w:t>
            </w:r>
          </w:p>
          <w:p w14:paraId="1E6A98F7" w14:textId="77777777" w:rsidR="005A293D" w:rsidRPr="00B06893" w:rsidRDefault="005A293D" w:rsidP="00F625C3">
            <w:pPr>
              <w:pStyle w:val="Tabletext"/>
              <w:snapToGrid w:val="0"/>
            </w:pPr>
            <w:r w:rsidRPr="00B06893">
              <w:t>NCT06585241</w:t>
            </w:r>
          </w:p>
          <w:p w14:paraId="7A7B0588" w14:textId="77777777" w:rsidR="005A293D" w:rsidRPr="00B06893" w:rsidRDefault="005A293D" w:rsidP="00F625C3">
            <w:pPr>
              <w:pStyle w:val="Tabletext"/>
              <w:snapToGrid w:val="0"/>
            </w:pPr>
          </w:p>
          <w:p w14:paraId="5C902F63" w14:textId="77777777" w:rsidR="005A293D" w:rsidRPr="00B06893" w:rsidRDefault="005A293D" w:rsidP="00F625C3">
            <w:pPr>
              <w:pStyle w:val="Tabletext"/>
              <w:snapToGrid w:val="0"/>
            </w:pPr>
            <w:r w:rsidRPr="00B06893">
              <w:t>Figueroa (2025)</w:t>
            </w:r>
          </w:p>
        </w:tc>
        <w:tc>
          <w:tcPr>
            <w:tcW w:w="2391" w:type="pct"/>
            <w:tcBorders>
              <w:bottom w:val="nil"/>
            </w:tcBorders>
            <w:vAlign w:val="center"/>
          </w:tcPr>
          <w:p w14:paraId="2276C1E8" w14:textId="6E849C6C" w:rsidR="005A293D" w:rsidRPr="00B06893" w:rsidRDefault="005A293D" w:rsidP="00F625C3">
            <w:pPr>
              <w:pStyle w:val="Tabletext"/>
              <w:snapToGrid w:val="0"/>
            </w:pPr>
            <w:r w:rsidRPr="00B06893">
              <w:t>Subprotocol 01: A Phase 3b/4, Open</w:t>
            </w:r>
            <w:r w:rsidR="00193971">
              <w:noBreakHyphen/>
            </w:r>
            <w:r w:rsidRPr="00B06893">
              <w:t>label Study to Assess the Immunogenicity of mRNA</w:t>
            </w:r>
            <w:r w:rsidR="00193971">
              <w:noBreakHyphen/>
            </w:r>
            <w:r w:rsidRPr="00B06893">
              <w:t>1273.167 in Previously Vaccinated Adults Aged ≥18 Years – Subprotocol 01 to Master Protocol mRNA</w:t>
            </w:r>
            <w:r w:rsidR="00193971">
              <w:noBreakHyphen/>
            </w:r>
            <w:r w:rsidRPr="00B06893">
              <w:t>1273</w:t>
            </w:r>
            <w:r w:rsidR="00193971">
              <w:noBreakHyphen/>
            </w:r>
            <w:r w:rsidRPr="00B06893">
              <w:t>P403. Database Lock 11 Dec 2024.</w:t>
            </w:r>
          </w:p>
        </w:tc>
        <w:tc>
          <w:tcPr>
            <w:tcW w:w="1904" w:type="pct"/>
            <w:tcBorders>
              <w:bottom w:val="nil"/>
            </w:tcBorders>
            <w:vAlign w:val="center"/>
          </w:tcPr>
          <w:p w14:paraId="40F9AC0F" w14:textId="77777777" w:rsidR="005A293D" w:rsidRPr="00B06893" w:rsidRDefault="005A293D" w:rsidP="00F625C3">
            <w:pPr>
              <w:pStyle w:val="Tabletext"/>
              <w:snapToGrid w:val="0"/>
            </w:pPr>
            <w:r w:rsidRPr="00B06893">
              <w:t>9 May 2025</w:t>
            </w:r>
          </w:p>
        </w:tc>
      </w:tr>
      <w:tr w:rsidR="005A293D" w:rsidRPr="00B06893" w14:paraId="565C5267"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bottom w:val="nil"/>
            </w:tcBorders>
            <w:vAlign w:val="center"/>
          </w:tcPr>
          <w:p w14:paraId="5AE63730" w14:textId="77777777" w:rsidR="005A293D" w:rsidRPr="00B06893" w:rsidRDefault="005A293D" w:rsidP="00F625C3">
            <w:pPr>
              <w:pStyle w:val="Tabletext"/>
              <w:snapToGrid w:val="0"/>
            </w:pPr>
          </w:p>
        </w:tc>
        <w:tc>
          <w:tcPr>
            <w:tcW w:w="2391" w:type="pct"/>
            <w:tcBorders>
              <w:top w:val="nil"/>
              <w:bottom w:val="nil"/>
            </w:tcBorders>
            <w:vAlign w:val="center"/>
          </w:tcPr>
          <w:p w14:paraId="1FC06C83" w14:textId="3190EC8C" w:rsidR="005A293D" w:rsidRPr="00B06893" w:rsidRDefault="005A293D" w:rsidP="00F625C3">
            <w:pPr>
              <w:pStyle w:val="Tabletext"/>
              <w:snapToGrid w:val="0"/>
            </w:pPr>
            <w:r w:rsidRPr="00B06893">
              <w:t>Subprotocol 02: A Phase 3b/4, Open</w:t>
            </w:r>
            <w:r w:rsidR="00193971">
              <w:noBreakHyphen/>
            </w:r>
            <w:r w:rsidRPr="00B06893">
              <w:t>label Study to Assess the Immunogenicity of</w:t>
            </w:r>
            <w:r w:rsidR="00156335" w:rsidRPr="00B06893">
              <w:t xml:space="preserve"> </w:t>
            </w:r>
            <w:r w:rsidRPr="00B06893">
              <w:t>mRNA</w:t>
            </w:r>
            <w:r w:rsidR="00193971">
              <w:noBreakHyphen/>
            </w:r>
            <w:r w:rsidRPr="00B06893">
              <w:t>1273.712 in Previously Vaccinated Adults Aged ≥18 Years – Subprotocol 02 to Master Protocol mRNA</w:t>
            </w:r>
            <w:r w:rsidR="00193971">
              <w:noBreakHyphen/>
            </w:r>
            <w:r w:rsidRPr="00B06893">
              <w:t>1273</w:t>
            </w:r>
            <w:r w:rsidR="00193971">
              <w:noBreakHyphen/>
            </w:r>
            <w:r w:rsidRPr="00B06893">
              <w:t>P403.</w:t>
            </w:r>
            <w:r w:rsidR="00156335" w:rsidRPr="00B06893">
              <w:t xml:space="preserve"> </w:t>
            </w:r>
            <w:r w:rsidRPr="00B06893">
              <w:t>Database Lock 11 Nov 2024</w:t>
            </w:r>
          </w:p>
        </w:tc>
        <w:tc>
          <w:tcPr>
            <w:tcW w:w="1904" w:type="pct"/>
            <w:tcBorders>
              <w:top w:val="nil"/>
              <w:bottom w:val="nil"/>
            </w:tcBorders>
            <w:vAlign w:val="center"/>
          </w:tcPr>
          <w:p w14:paraId="340F9F3A" w14:textId="77777777" w:rsidR="005A293D" w:rsidRPr="00B06893" w:rsidRDefault="005A293D" w:rsidP="00F625C3">
            <w:pPr>
              <w:pStyle w:val="Tabletext"/>
              <w:snapToGrid w:val="0"/>
            </w:pPr>
            <w:r w:rsidRPr="00B06893">
              <w:t>16 April 2025</w:t>
            </w:r>
          </w:p>
        </w:tc>
      </w:tr>
      <w:tr w:rsidR="005A293D" w:rsidRPr="00B06893" w14:paraId="5C5B230F"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tcBorders>
            <w:vAlign w:val="center"/>
          </w:tcPr>
          <w:p w14:paraId="2ED22D8F" w14:textId="77777777" w:rsidR="005A293D" w:rsidRPr="00B06893" w:rsidRDefault="005A293D" w:rsidP="00F625C3">
            <w:pPr>
              <w:pStyle w:val="Tabletext"/>
              <w:snapToGrid w:val="0"/>
            </w:pPr>
          </w:p>
        </w:tc>
        <w:tc>
          <w:tcPr>
            <w:tcW w:w="2391" w:type="pct"/>
            <w:tcBorders>
              <w:top w:val="nil"/>
            </w:tcBorders>
            <w:vAlign w:val="center"/>
          </w:tcPr>
          <w:p w14:paraId="502A8F41" w14:textId="28039CA2" w:rsidR="005A293D" w:rsidRPr="00B06893" w:rsidRDefault="005A293D" w:rsidP="00F625C3">
            <w:pPr>
              <w:pStyle w:val="Tabletext"/>
              <w:snapToGrid w:val="0"/>
            </w:pPr>
            <w:r w:rsidRPr="00B06893">
              <w:t>Figueroa AL et al. Immunogenicity of JN.1</w:t>
            </w:r>
            <w:r w:rsidR="00193971">
              <w:noBreakHyphen/>
            </w:r>
            <w:r w:rsidRPr="00B06893">
              <w:t xml:space="preserve"> and KP.2</w:t>
            </w:r>
            <w:r w:rsidR="00193971">
              <w:noBreakHyphen/>
            </w:r>
            <w:r w:rsidRPr="00B06893">
              <w:t>Encoding mRNA COVID</w:t>
            </w:r>
            <w:r w:rsidR="00193971">
              <w:noBreakHyphen/>
            </w:r>
            <w:r w:rsidRPr="00B06893">
              <w:t>19 Vaccines Against JN.1 Subvariants in Adult Participants.</w:t>
            </w:r>
          </w:p>
        </w:tc>
        <w:tc>
          <w:tcPr>
            <w:tcW w:w="1904" w:type="pct"/>
            <w:tcBorders>
              <w:top w:val="nil"/>
            </w:tcBorders>
            <w:vAlign w:val="center"/>
          </w:tcPr>
          <w:p w14:paraId="6D0FF3AF" w14:textId="1D33F766" w:rsidR="005A293D" w:rsidRPr="00B06893" w:rsidRDefault="005A293D" w:rsidP="00F625C3">
            <w:pPr>
              <w:pStyle w:val="Tabletext"/>
              <w:snapToGrid w:val="0"/>
            </w:pPr>
            <w:r w:rsidRPr="00B06893">
              <w:t xml:space="preserve">May 6, 2025. medRxiv </w:t>
            </w:r>
            <w:hyperlink r:id="rId12" w:history="1">
              <w:r w:rsidR="003C11F9" w:rsidRPr="00B06893">
                <w:rPr>
                  <w:rStyle w:val="Hyperlink"/>
                </w:rPr>
                <w:t>https://doi.org/10.1101/2025.05.02.25325954</w:t>
              </w:r>
            </w:hyperlink>
          </w:p>
          <w:p w14:paraId="0BC69552" w14:textId="6EF2F3C4" w:rsidR="003C11F9" w:rsidRPr="00B06893" w:rsidRDefault="003C11F9" w:rsidP="00F625C3">
            <w:pPr>
              <w:pStyle w:val="Tabletext"/>
              <w:snapToGrid w:val="0"/>
            </w:pPr>
            <w:r w:rsidRPr="00B06893">
              <w:t>Final article provided with PSCR</w:t>
            </w:r>
          </w:p>
        </w:tc>
      </w:tr>
      <w:tr w:rsidR="005A293D" w:rsidRPr="00B06893" w14:paraId="37B9A3F9"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bottom w:val="nil"/>
            </w:tcBorders>
            <w:vAlign w:val="center"/>
          </w:tcPr>
          <w:p w14:paraId="2F5CE019" w14:textId="77777777" w:rsidR="005A293D" w:rsidRPr="00B06893" w:rsidRDefault="005A293D" w:rsidP="00F625C3">
            <w:pPr>
              <w:pStyle w:val="Tabletext"/>
              <w:snapToGrid w:val="0"/>
            </w:pPr>
            <w:r w:rsidRPr="00B06893">
              <w:lastRenderedPageBreak/>
              <w:t>Study P205 (Part J)</w:t>
            </w:r>
          </w:p>
          <w:p w14:paraId="190DFD45" w14:textId="77777777" w:rsidR="005A293D" w:rsidRPr="00B06893" w:rsidRDefault="005A293D" w:rsidP="00F625C3">
            <w:pPr>
              <w:pStyle w:val="Tabletext"/>
              <w:snapToGrid w:val="0"/>
            </w:pPr>
            <w:r w:rsidRPr="00B06893">
              <w:t>NCT04927065</w:t>
            </w:r>
          </w:p>
        </w:tc>
        <w:tc>
          <w:tcPr>
            <w:tcW w:w="2391" w:type="pct"/>
            <w:tcBorders>
              <w:top w:val="nil"/>
              <w:bottom w:val="nil"/>
            </w:tcBorders>
            <w:vAlign w:val="center"/>
          </w:tcPr>
          <w:p w14:paraId="48B9FFE8" w14:textId="78626622" w:rsidR="005A293D" w:rsidRPr="00B06893" w:rsidRDefault="005A293D" w:rsidP="00F625C3">
            <w:pPr>
              <w:pStyle w:val="Tabletext"/>
              <w:snapToGrid w:val="0"/>
            </w:pPr>
            <w:r w:rsidRPr="00B06893">
              <w:t>Protocol mRNA</w:t>
            </w:r>
            <w:r w:rsidR="00193971">
              <w:noBreakHyphen/>
            </w:r>
            <w:r w:rsidRPr="00B06893">
              <w:t>1273</w:t>
            </w:r>
            <w:r w:rsidR="00193971">
              <w:noBreakHyphen/>
            </w:r>
            <w:r w:rsidRPr="00B06893">
              <w:t>P205 (Amendment 10).: A Phase 2/3 Study to Evaluate the Immunogenicity and Safety of mRNA Vaccine Boosters for SARS</w:t>
            </w:r>
            <w:r w:rsidR="00193971">
              <w:noBreakHyphen/>
            </w:r>
            <w:r w:rsidRPr="00B06893">
              <w:t>CoV</w:t>
            </w:r>
            <w:r w:rsidR="00193971">
              <w:noBreakHyphen/>
            </w:r>
            <w:r w:rsidRPr="00B06893">
              <w:t>2 Variants.</w:t>
            </w:r>
          </w:p>
        </w:tc>
        <w:tc>
          <w:tcPr>
            <w:tcW w:w="1904" w:type="pct"/>
            <w:tcBorders>
              <w:top w:val="nil"/>
              <w:bottom w:val="nil"/>
            </w:tcBorders>
            <w:vAlign w:val="center"/>
          </w:tcPr>
          <w:p w14:paraId="229B37D5" w14:textId="77777777" w:rsidR="005A293D" w:rsidRPr="00B06893" w:rsidRDefault="005A293D" w:rsidP="00F625C3">
            <w:pPr>
              <w:pStyle w:val="Tabletext"/>
              <w:snapToGrid w:val="0"/>
            </w:pPr>
            <w:r w:rsidRPr="00B06893">
              <w:t>23 Mar 2023</w:t>
            </w:r>
          </w:p>
        </w:tc>
      </w:tr>
      <w:tr w:rsidR="005A293D" w:rsidRPr="00B06893" w14:paraId="44AD538F"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tcBorders>
            <w:vAlign w:val="center"/>
          </w:tcPr>
          <w:p w14:paraId="67D446C5" w14:textId="77777777" w:rsidR="005A293D" w:rsidRPr="00B06893" w:rsidRDefault="005A293D" w:rsidP="00F625C3">
            <w:pPr>
              <w:pStyle w:val="Tabletext"/>
              <w:snapToGrid w:val="0"/>
            </w:pPr>
          </w:p>
        </w:tc>
        <w:tc>
          <w:tcPr>
            <w:tcW w:w="2391" w:type="pct"/>
            <w:tcBorders>
              <w:top w:val="nil"/>
            </w:tcBorders>
            <w:vAlign w:val="center"/>
          </w:tcPr>
          <w:p w14:paraId="7B739A4D" w14:textId="100BF75D" w:rsidR="005A293D" w:rsidRPr="00B06893" w:rsidRDefault="005A293D" w:rsidP="00F625C3">
            <w:pPr>
              <w:pStyle w:val="Tabletext"/>
              <w:snapToGrid w:val="0"/>
            </w:pPr>
            <w:r w:rsidRPr="00B06893">
              <w:t>Chalkias S et al. Interim Report of the Reactogenicity and Immunogenicity</w:t>
            </w:r>
            <w:r w:rsidR="00156335" w:rsidRPr="00B06893">
              <w:t xml:space="preserve"> </w:t>
            </w:r>
            <w:r w:rsidRPr="00B06893">
              <w:t>of Severe Acute Respiratory Syndrome Coronavirus 2</w:t>
            </w:r>
            <w:r w:rsidR="00156335" w:rsidRPr="00B06893">
              <w:t xml:space="preserve"> </w:t>
            </w:r>
            <w:r w:rsidRPr="00B06893">
              <w:t>XBB–Containing Vaccines</w:t>
            </w:r>
          </w:p>
        </w:tc>
        <w:tc>
          <w:tcPr>
            <w:tcW w:w="1904" w:type="pct"/>
            <w:tcBorders>
              <w:top w:val="nil"/>
            </w:tcBorders>
            <w:vAlign w:val="center"/>
          </w:tcPr>
          <w:p w14:paraId="1CF3811F" w14:textId="5EB2C1D5" w:rsidR="005A293D" w:rsidRPr="00B06893" w:rsidRDefault="005A293D" w:rsidP="00F625C3">
            <w:pPr>
              <w:pStyle w:val="Tabletext"/>
              <w:snapToGrid w:val="0"/>
            </w:pPr>
            <w:r w:rsidRPr="00B06893">
              <w:t>The Journal of Infectious Diseases</w:t>
            </w:r>
            <w:r w:rsidR="000829FB">
              <w:t xml:space="preserve"> </w:t>
            </w:r>
            <w:r w:rsidRPr="00B06893">
              <w:t>2024; 30:e279–86</w:t>
            </w:r>
          </w:p>
        </w:tc>
      </w:tr>
      <w:tr w:rsidR="005A293D" w:rsidRPr="00B06893" w14:paraId="4599C04E"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tcBorders>
            <w:vAlign w:val="center"/>
          </w:tcPr>
          <w:p w14:paraId="486B71DC" w14:textId="77777777" w:rsidR="005A293D" w:rsidRPr="00B06893" w:rsidRDefault="005A293D" w:rsidP="00F625C3">
            <w:pPr>
              <w:pStyle w:val="Tabletext"/>
              <w:snapToGrid w:val="0"/>
            </w:pPr>
            <w:r w:rsidRPr="00B06893">
              <w:t>Hansen (2025).</w:t>
            </w:r>
          </w:p>
          <w:p w14:paraId="5CFBE7C0" w14:textId="77777777" w:rsidR="005A293D" w:rsidRPr="00B06893" w:rsidRDefault="005A293D" w:rsidP="00F625C3">
            <w:pPr>
              <w:pStyle w:val="Tabletext"/>
              <w:snapToGrid w:val="0"/>
            </w:pPr>
            <w:r w:rsidRPr="00B06893">
              <w:t>RWE</w:t>
            </w:r>
          </w:p>
        </w:tc>
        <w:tc>
          <w:tcPr>
            <w:tcW w:w="2391" w:type="pct"/>
            <w:tcBorders>
              <w:top w:val="nil"/>
            </w:tcBorders>
            <w:vAlign w:val="center"/>
          </w:tcPr>
          <w:p w14:paraId="7E8B0DDB" w14:textId="5D40F741" w:rsidR="005A293D" w:rsidRPr="00B06893" w:rsidRDefault="005A293D" w:rsidP="00F625C3">
            <w:pPr>
              <w:pStyle w:val="Tabletext"/>
              <w:snapToGrid w:val="0"/>
            </w:pPr>
            <w:r w:rsidRPr="00B06893">
              <w:t>Hansen CH et al. Effectiveness of the BNT162b2 and mRNA</w:t>
            </w:r>
            <w:r w:rsidR="00193971">
              <w:noBreakHyphen/>
            </w:r>
            <w:r w:rsidRPr="00B06893">
              <w:t>1273 JN.1</w:t>
            </w:r>
            <w:r w:rsidR="00193971">
              <w:noBreakHyphen/>
            </w:r>
            <w:r w:rsidRPr="00B06893">
              <w:t>adapted</w:t>
            </w:r>
            <w:r w:rsidR="00156335" w:rsidRPr="00B06893">
              <w:t xml:space="preserve"> </w:t>
            </w:r>
            <w:r w:rsidRPr="00B06893">
              <w:t>vaccines against COVID</w:t>
            </w:r>
            <w:r w:rsidR="00193971">
              <w:noBreakHyphen/>
            </w:r>
            <w:r w:rsidRPr="00B06893">
              <w:t>19</w:t>
            </w:r>
            <w:r w:rsidR="00193971">
              <w:noBreakHyphen/>
            </w:r>
            <w:r w:rsidRPr="00B06893">
              <w:t>associated hospitalisation and death: a Danish, nationwide, register</w:t>
            </w:r>
            <w:r w:rsidR="00193971">
              <w:noBreakHyphen/>
            </w:r>
            <w:r w:rsidRPr="00B06893">
              <w:t>based, cohort study.</w:t>
            </w:r>
          </w:p>
        </w:tc>
        <w:tc>
          <w:tcPr>
            <w:tcW w:w="1904" w:type="pct"/>
            <w:tcBorders>
              <w:top w:val="nil"/>
            </w:tcBorders>
            <w:vAlign w:val="center"/>
          </w:tcPr>
          <w:p w14:paraId="379F85BE" w14:textId="77777777" w:rsidR="005A293D" w:rsidRPr="00B06893" w:rsidRDefault="005A293D" w:rsidP="00F625C3">
            <w:pPr>
              <w:pStyle w:val="Tabletext"/>
              <w:snapToGrid w:val="0"/>
            </w:pPr>
          </w:p>
          <w:p w14:paraId="7DDA952C" w14:textId="49164464" w:rsidR="005A293D" w:rsidRPr="00B06893" w:rsidRDefault="005A293D" w:rsidP="00F625C3">
            <w:pPr>
              <w:pStyle w:val="Tabletext"/>
              <w:snapToGrid w:val="0"/>
            </w:pPr>
            <w:r w:rsidRPr="00B06893">
              <w:t>The Lancet Infectious Diseases 2025; 25:1293</w:t>
            </w:r>
            <w:r w:rsidR="00193971">
              <w:noBreakHyphen/>
            </w:r>
            <w:r w:rsidRPr="00B06893">
              <w:t>1302</w:t>
            </w:r>
          </w:p>
        </w:tc>
      </w:tr>
      <w:tr w:rsidR="005A293D" w:rsidRPr="00B06893" w14:paraId="2A8037AE"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tcBorders>
            <w:vAlign w:val="center"/>
          </w:tcPr>
          <w:p w14:paraId="36734BF9" w14:textId="77777777" w:rsidR="005A293D" w:rsidRPr="00B06893" w:rsidRDefault="005A293D" w:rsidP="00F625C3">
            <w:pPr>
              <w:pStyle w:val="Tabletext"/>
              <w:snapToGrid w:val="0"/>
            </w:pPr>
            <w:r w:rsidRPr="00B06893">
              <w:t>Kopel (2024)</w:t>
            </w:r>
          </w:p>
          <w:p w14:paraId="00366EEB" w14:textId="77777777" w:rsidR="005A293D" w:rsidRPr="00B06893" w:rsidRDefault="005A293D" w:rsidP="00F625C3">
            <w:pPr>
              <w:pStyle w:val="Tabletext"/>
              <w:snapToGrid w:val="0"/>
            </w:pPr>
            <w:r w:rsidRPr="00B06893">
              <w:t>RWE</w:t>
            </w:r>
          </w:p>
        </w:tc>
        <w:tc>
          <w:tcPr>
            <w:tcW w:w="2391" w:type="pct"/>
            <w:tcBorders>
              <w:top w:val="nil"/>
            </w:tcBorders>
            <w:vAlign w:val="center"/>
          </w:tcPr>
          <w:p w14:paraId="4349F095" w14:textId="02601A67" w:rsidR="005A293D" w:rsidRPr="00B06893" w:rsidRDefault="005A293D" w:rsidP="00F625C3">
            <w:pPr>
              <w:pStyle w:val="Tabletext"/>
              <w:snapToGrid w:val="0"/>
            </w:pPr>
            <w:r w:rsidRPr="00B06893">
              <w:t>Effectiveness of the 2023–2024 Omicron XBB.1.5</w:t>
            </w:r>
            <w:r w:rsidR="00193971">
              <w:noBreakHyphen/>
            </w:r>
            <w:r w:rsidRPr="00B06893">
              <w:t>containing mRNA COVID</w:t>
            </w:r>
            <w:r w:rsidR="00193971">
              <w:noBreakHyphen/>
            </w:r>
            <w:r w:rsidRPr="00B06893">
              <w:t>19 Vaccine (mRNA</w:t>
            </w:r>
            <w:r w:rsidR="00193971">
              <w:noBreakHyphen/>
            </w:r>
            <w:r w:rsidRPr="00B06893">
              <w:t>1273.815) in Preventing COVID</w:t>
            </w:r>
            <w:r w:rsidR="00193971">
              <w:noBreakHyphen/>
            </w:r>
            <w:r w:rsidRPr="00B06893">
              <w:t>19–related Hospitalizations and Medical Encounters Among Adults in the United States</w:t>
            </w:r>
          </w:p>
        </w:tc>
        <w:tc>
          <w:tcPr>
            <w:tcW w:w="1904" w:type="pct"/>
            <w:tcBorders>
              <w:top w:val="nil"/>
            </w:tcBorders>
            <w:vAlign w:val="center"/>
          </w:tcPr>
          <w:p w14:paraId="069F5B5A" w14:textId="5F58E232" w:rsidR="005A293D" w:rsidRPr="00B06893" w:rsidRDefault="005A293D" w:rsidP="00F625C3">
            <w:pPr>
              <w:pStyle w:val="Tabletext"/>
              <w:snapToGrid w:val="0"/>
            </w:pPr>
            <w:r w:rsidRPr="00B06893">
              <w:t>Open Forum Infect Dis 2024;11 (12): ofae695. doi: 10.1093/ofid/ofae695</w:t>
            </w:r>
          </w:p>
        </w:tc>
      </w:tr>
      <w:tr w:rsidR="005A293D" w:rsidRPr="00B06893" w14:paraId="38709E19"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bottom w:val="single" w:sz="4" w:space="0" w:color="auto"/>
            </w:tcBorders>
            <w:vAlign w:val="center"/>
          </w:tcPr>
          <w:p w14:paraId="13E4D998" w14:textId="77777777" w:rsidR="005A293D" w:rsidRPr="00B06893" w:rsidRDefault="005A293D" w:rsidP="00F625C3">
            <w:pPr>
              <w:pStyle w:val="Tabletext"/>
              <w:snapToGrid w:val="0"/>
            </w:pPr>
            <w:r w:rsidRPr="00B06893">
              <w:t>Wilson (2025) a</w:t>
            </w:r>
          </w:p>
          <w:p w14:paraId="4D7C455B" w14:textId="77777777" w:rsidR="005A293D" w:rsidRPr="00B06893" w:rsidRDefault="005A293D" w:rsidP="00F625C3">
            <w:pPr>
              <w:pStyle w:val="Tabletext"/>
              <w:snapToGrid w:val="0"/>
            </w:pPr>
            <w:r w:rsidRPr="00B06893">
              <w:t>RWE</w:t>
            </w:r>
          </w:p>
        </w:tc>
        <w:tc>
          <w:tcPr>
            <w:tcW w:w="2391" w:type="pct"/>
            <w:tcBorders>
              <w:top w:val="nil"/>
              <w:bottom w:val="single" w:sz="4" w:space="0" w:color="auto"/>
            </w:tcBorders>
            <w:vAlign w:val="center"/>
          </w:tcPr>
          <w:p w14:paraId="337D832F" w14:textId="698BCEF7" w:rsidR="005A293D" w:rsidRPr="00B06893" w:rsidRDefault="005A293D" w:rsidP="00F625C3">
            <w:pPr>
              <w:pStyle w:val="Tabletext"/>
              <w:snapToGrid w:val="0"/>
            </w:pPr>
            <w:r w:rsidRPr="00B06893">
              <w:t>Wilson A et al. Evaluating the Effectiveness of 2024</w:t>
            </w:r>
            <w:r w:rsidR="00193971">
              <w:noBreakHyphen/>
            </w:r>
            <w:r w:rsidRPr="00B06893">
              <w:t>2025 Seasonal mRNA</w:t>
            </w:r>
            <w:r w:rsidR="00193971">
              <w:noBreakHyphen/>
            </w:r>
            <w:r w:rsidRPr="00B06893">
              <w:t>1273 Vaccination Against COVID</w:t>
            </w:r>
            <w:r w:rsidR="00193971">
              <w:noBreakHyphen/>
            </w:r>
            <w:r w:rsidRPr="00B06893">
              <w:t>19</w:t>
            </w:r>
            <w:r w:rsidR="00193971">
              <w:noBreakHyphen/>
            </w:r>
            <w:r w:rsidRPr="00B06893">
              <w:t>Associated Hospitalizations and Medically Attended COVID</w:t>
            </w:r>
            <w:r w:rsidR="00193971">
              <w:noBreakHyphen/>
            </w:r>
            <w:r w:rsidRPr="00B06893">
              <w:t>19 among adults aged≥ 18 years in the United States</w:t>
            </w:r>
          </w:p>
        </w:tc>
        <w:tc>
          <w:tcPr>
            <w:tcW w:w="1904" w:type="pct"/>
            <w:tcBorders>
              <w:top w:val="nil"/>
              <w:bottom w:val="single" w:sz="4" w:space="0" w:color="auto"/>
            </w:tcBorders>
            <w:vAlign w:val="center"/>
          </w:tcPr>
          <w:p w14:paraId="711E74B8" w14:textId="77777777" w:rsidR="005A293D" w:rsidRPr="00B06893" w:rsidRDefault="005A293D" w:rsidP="00F625C3">
            <w:pPr>
              <w:pStyle w:val="Tabletext"/>
              <w:snapToGrid w:val="0"/>
            </w:pPr>
            <w:r w:rsidRPr="00B06893">
              <w:t>medRxiv 2025; 2025.03. 27.25324770</w:t>
            </w:r>
          </w:p>
        </w:tc>
      </w:tr>
      <w:tr w:rsidR="005A293D" w:rsidRPr="00B06893" w14:paraId="3A86E202"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tcBorders>
            <w:vAlign w:val="center"/>
          </w:tcPr>
          <w:p w14:paraId="536DE43F" w14:textId="77777777" w:rsidR="005A293D" w:rsidRPr="00B06893" w:rsidRDefault="005A293D" w:rsidP="00F625C3">
            <w:pPr>
              <w:pStyle w:val="Tabletext"/>
              <w:snapToGrid w:val="0"/>
            </w:pPr>
            <w:r w:rsidRPr="00B06893">
              <w:t>Wilson (2025) b</w:t>
            </w:r>
          </w:p>
          <w:p w14:paraId="39DA2372" w14:textId="77777777" w:rsidR="005A293D" w:rsidRPr="00B06893" w:rsidRDefault="005A293D" w:rsidP="00F625C3">
            <w:pPr>
              <w:pStyle w:val="Tabletext"/>
              <w:snapToGrid w:val="0"/>
            </w:pPr>
            <w:r w:rsidRPr="00B06893">
              <w:t>RWE</w:t>
            </w:r>
          </w:p>
        </w:tc>
        <w:tc>
          <w:tcPr>
            <w:tcW w:w="2391" w:type="pct"/>
            <w:tcBorders>
              <w:top w:val="single" w:sz="4" w:space="0" w:color="auto"/>
            </w:tcBorders>
            <w:vAlign w:val="center"/>
          </w:tcPr>
          <w:p w14:paraId="008EAF19" w14:textId="07A394DE" w:rsidR="005A293D" w:rsidRPr="00B06893" w:rsidRDefault="005A293D" w:rsidP="00F625C3">
            <w:pPr>
              <w:pStyle w:val="Tabletext"/>
              <w:snapToGrid w:val="0"/>
            </w:pPr>
            <w:r w:rsidRPr="00B06893">
              <w:t>Wilson A et al. Evaluating the Effectiveness of mRNA</w:t>
            </w:r>
            <w:r w:rsidR="00193971">
              <w:noBreakHyphen/>
            </w:r>
            <w:r w:rsidRPr="00B06893">
              <w:t>1273.815 Against COVID</w:t>
            </w:r>
            <w:r w:rsidR="00193971">
              <w:noBreakHyphen/>
            </w:r>
            <w:r w:rsidRPr="00B06893">
              <w:t>19 Hospitalization Among Adults Aged≥ 18 Years in the United States</w:t>
            </w:r>
          </w:p>
        </w:tc>
        <w:tc>
          <w:tcPr>
            <w:tcW w:w="1904" w:type="pct"/>
            <w:tcBorders>
              <w:top w:val="single" w:sz="4" w:space="0" w:color="auto"/>
            </w:tcBorders>
            <w:vAlign w:val="center"/>
          </w:tcPr>
          <w:p w14:paraId="7CE00E05" w14:textId="7C3F7531" w:rsidR="005A293D" w:rsidRPr="00B06893" w:rsidRDefault="005A293D" w:rsidP="00F625C3">
            <w:pPr>
              <w:pStyle w:val="Tabletext"/>
              <w:snapToGrid w:val="0"/>
            </w:pPr>
            <w:r w:rsidRPr="00B06893">
              <w:t>Infectious Diseases and Therapy 2025; 14: 199</w:t>
            </w:r>
            <w:r w:rsidR="00193971">
              <w:noBreakHyphen/>
            </w:r>
            <w:r w:rsidRPr="00B06893">
              <w:t>216</w:t>
            </w:r>
          </w:p>
        </w:tc>
      </w:tr>
      <w:tr w:rsidR="005A293D" w:rsidRPr="00B06893" w14:paraId="110DFADD"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bottom w:val="single" w:sz="4" w:space="0" w:color="auto"/>
            </w:tcBorders>
            <w:vAlign w:val="center"/>
          </w:tcPr>
          <w:p w14:paraId="63994668" w14:textId="34602A6C" w:rsidR="005A293D" w:rsidRPr="00B06893" w:rsidRDefault="005A293D" w:rsidP="00F625C3">
            <w:pPr>
              <w:pStyle w:val="Tabletext"/>
              <w:snapToGrid w:val="0"/>
            </w:pPr>
            <w:r w:rsidRPr="00B06893">
              <w:t xml:space="preserve">Zheng </w:t>
            </w:r>
            <w:r w:rsidRPr="00B06893">
              <w:fldChar w:fldCharType="begin"/>
            </w:r>
            <w:r w:rsidR="001C2BE0" w:rsidRPr="00B06893">
              <w:instrText xml:space="preserve"> ADDIN EN.CITE &lt;EndNote&gt;&lt;Cite ExcludeAuth="1"&gt;&lt;Author&gt;Zheng&lt;/Author&gt;&lt;Year&gt;2025&lt;/Year&gt;&lt;RecNum&gt;238&lt;/RecNum&gt;&lt;DisplayText&gt;&lt;style face="superscript"&gt;1&lt;/style&gt;&lt;/DisplayText&gt;&lt;record&gt;&lt;rec-number&gt;238&lt;/rec-number&gt;&lt;foreign-keys&gt;&lt;key app="EN" db-id="pwprztvdf9e2eqezpt7vapsdvt5zfw2e5pza" timestamp="1753169485"&gt;238&lt;/key&gt;&lt;/foreign-keys&gt;&lt;ref-type name="Journal Article"&gt;17&lt;/ref-type&gt;&lt;contributors&gt;&lt;authors&gt;&lt;author&gt;Zheng, Z.&lt;/author&gt;&lt;author&gt;Mitra, Y.&lt;/author&gt;&lt;author&gt;MacCormac, D.&lt;/author&gt;&lt;author&gt;Radin, J.&lt;/author&gt;&lt;author&gt;Sun, T.&lt;/author&gt;&lt;author&gt;Wilson, A.&lt;/author&gt;&lt;author&gt;Shah, R.&lt;/author&gt;&lt;author&gt;Skornicki, M.&lt;/author&gt;&lt;author&gt;Toyip, A.&lt;/author&gt;&lt;author&gt;Sheridan, P.&lt;/author&gt;&lt;author&gt;Mues, K. E.&lt;/author&gt;&lt;author&gt;Esposito, D.&lt;/author&gt;&lt;author&gt;Araujo, A. B.&lt;/author&gt;&lt;author&gt;Anderson, E.&lt;/author&gt;&lt;/authors&gt;&lt;/contributors&gt;&lt;titles&gt;&lt;title&gt;Effectiveness of 2023-2024 Mrna-1273 Xbb.1.5 Vaccine Against Covid-19 Associated Hospitalizations and Medically Attended Covid-19 in the United States&lt;/title&gt;&lt;/titles&gt;&lt;dates&gt;&lt;year&gt;2025&lt;/year&gt;&lt;/dates&gt;&lt;urls&gt;&lt;related-urls&gt;&lt;url&gt;https://ssrn.com/abstract=5258507&lt;/url&gt;&lt;/related-urls&gt;&lt;/urls&gt;&lt;/record&gt;&lt;/Cite&gt;&lt;/EndNote&gt;</w:instrText>
            </w:r>
            <w:r w:rsidRPr="00B06893">
              <w:fldChar w:fldCharType="separate"/>
            </w:r>
            <w:r w:rsidR="001C2BE0" w:rsidRPr="00B06893">
              <w:rPr>
                <w:vertAlign w:val="superscript"/>
              </w:rPr>
              <w:t>1</w:t>
            </w:r>
            <w:r w:rsidRPr="00B06893">
              <w:fldChar w:fldCharType="end"/>
            </w:r>
          </w:p>
          <w:p w14:paraId="0A2F0244" w14:textId="77777777" w:rsidR="005A293D" w:rsidRPr="00B06893" w:rsidRDefault="005A293D" w:rsidP="00F625C3">
            <w:pPr>
              <w:pStyle w:val="Tabletext"/>
              <w:snapToGrid w:val="0"/>
            </w:pPr>
            <w:r w:rsidRPr="00B06893">
              <w:t>RWE</w:t>
            </w:r>
          </w:p>
        </w:tc>
        <w:tc>
          <w:tcPr>
            <w:tcW w:w="2391" w:type="pct"/>
            <w:tcBorders>
              <w:top w:val="nil"/>
              <w:bottom w:val="single" w:sz="4" w:space="0" w:color="auto"/>
            </w:tcBorders>
            <w:vAlign w:val="center"/>
          </w:tcPr>
          <w:p w14:paraId="48768F31" w14:textId="7FF15496" w:rsidR="005A293D" w:rsidRPr="00B06893" w:rsidRDefault="005A293D" w:rsidP="00F625C3">
            <w:pPr>
              <w:pStyle w:val="Tabletext"/>
              <w:snapToGrid w:val="0"/>
            </w:pPr>
            <w:r w:rsidRPr="00B06893">
              <w:t>Zheng Z et al. Effectiveness of 2023</w:t>
            </w:r>
            <w:r w:rsidR="00193971">
              <w:noBreakHyphen/>
            </w:r>
            <w:r w:rsidRPr="00B06893">
              <w:t>2024 mRNA</w:t>
            </w:r>
            <w:r w:rsidR="00193971">
              <w:noBreakHyphen/>
            </w:r>
            <w:r w:rsidRPr="00B06893">
              <w:t>1273 Xbb.1.5 Vaccine Against Covid</w:t>
            </w:r>
            <w:r w:rsidR="00193971">
              <w:noBreakHyphen/>
            </w:r>
            <w:r w:rsidRPr="00B06893">
              <w:t>19 Associated Hospitalizations and Medically Attended Covid</w:t>
            </w:r>
            <w:r w:rsidR="00193971">
              <w:noBreakHyphen/>
            </w:r>
            <w:r w:rsidRPr="00B06893">
              <w:t>19 in the United States</w:t>
            </w:r>
          </w:p>
        </w:tc>
        <w:tc>
          <w:tcPr>
            <w:tcW w:w="1904" w:type="pct"/>
            <w:tcBorders>
              <w:top w:val="nil"/>
              <w:bottom w:val="single" w:sz="4" w:space="0" w:color="auto"/>
            </w:tcBorders>
            <w:vAlign w:val="center"/>
          </w:tcPr>
          <w:p w14:paraId="07603640" w14:textId="77777777" w:rsidR="005A293D" w:rsidRPr="00B06893" w:rsidRDefault="005A293D" w:rsidP="00F625C3">
            <w:pPr>
              <w:pStyle w:val="Tabletext"/>
              <w:snapToGrid w:val="0"/>
            </w:pPr>
            <w:r w:rsidRPr="00B06893">
              <w:t>23 May 2025. Available at SSRN (Preprint): https://ssrn.com/abstract=5258507 or http://dx.doi.org/10.2139/ssrn.5258507</w:t>
            </w:r>
          </w:p>
        </w:tc>
      </w:tr>
      <w:tr w:rsidR="005A293D" w:rsidRPr="00B06893" w14:paraId="01E7B275" w14:textId="77777777" w:rsidTr="00156335">
        <w:tblPrEx>
          <w:jc w:val="left"/>
          <w:tblCellMar>
            <w:top w:w="57" w:type="dxa"/>
            <w:left w:w="57" w:type="dxa"/>
            <w:bottom w:w="57" w:type="dxa"/>
            <w:right w:w="57" w:type="dxa"/>
          </w:tblCellMar>
          <w:tblLook w:val="04A0" w:firstRow="1" w:lastRow="0" w:firstColumn="1" w:lastColumn="0" w:noHBand="0" w:noVBand="1"/>
        </w:tblPrEx>
        <w:trPr>
          <w:cantSplit/>
          <w:trHeight w:val="262"/>
        </w:trPr>
        <w:tc>
          <w:tcPr>
            <w:tcW w:w="5000" w:type="pct"/>
            <w:gridSpan w:val="3"/>
            <w:tcBorders>
              <w:top w:val="nil"/>
              <w:bottom w:val="single" w:sz="4" w:space="0" w:color="auto"/>
            </w:tcBorders>
            <w:vAlign w:val="center"/>
          </w:tcPr>
          <w:p w14:paraId="605D99F2" w14:textId="042D60DE" w:rsidR="005A293D" w:rsidRPr="00B06893" w:rsidRDefault="00E34126" w:rsidP="00F625C3">
            <w:pPr>
              <w:pStyle w:val="Tabletext"/>
              <w:snapToGrid w:val="0"/>
            </w:pPr>
            <w:r w:rsidRPr="00B06893">
              <w:rPr>
                <w:b/>
                <w:bCs/>
              </w:rPr>
              <w:t>Comirnaty</w:t>
            </w:r>
            <w:r w:rsidR="005A293D" w:rsidRPr="00B06893">
              <w:rPr>
                <w:b/>
                <w:bCs/>
              </w:rPr>
              <w:t xml:space="preserve"> studies used to compare with Spikevax </w:t>
            </w:r>
            <w:r w:rsidR="00193971">
              <w:rPr>
                <w:b/>
                <w:bCs/>
              </w:rPr>
              <w:noBreakHyphen/>
            </w:r>
            <w:r w:rsidR="005A293D" w:rsidRPr="00B06893">
              <w:rPr>
                <w:b/>
                <w:bCs/>
              </w:rPr>
              <w:t xml:space="preserve"> recent strains (Indirect comparison of clinical outcomes)</w:t>
            </w:r>
          </w:p>
        </w:tc>
      </w:tr>
      <w:tr w:rsidR="005A293D" w:rsidRPr="00B06893" w14:paraId="20F80016"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tcBorders>
            <w:vAlign w:val="center"/>
          </w:tcPr>
          <w:p w14:paraId="30B5E84E" w14:textId="77777777" w:rsidR="005A293D" w:rsidRPr="00B06893" w:rsidRDefault="005A293D" w:rsidP="00F625C3">
            <w:pPr>
              <w:pStyle w:val="Tabletext"/>
              <w:snapToGrid w:val="0"/>
            </w:pPr>
            <w:r w:rsidRPr="00B06893">
              <w:t>Anderson (2025)</w:t>
            </w:r>
          </w:p>
        </w:tc>
        <w:tc>
          <w:tcPr>
            <w:tcW w:w="2391" w:type="pct"/>
            <w:tcBorders>
              <w:top w:val="nil"/>
            </w:tcBorders>
            <w:vAlign w:val="center"/>
          </w:tcPr>
          <w:p w14:paraId="4D9DBBD9" w14:textId="0A6529AE" w:rsidR="005A293D" w:rsidRPr="00B06893" w:rsidRDefault="005A293D" w:rsidP="00F625C3">
            <w:pPr>
              <w:pStyle w:val="Tabletext"/>
              <w:snapToGrid w:val="0"/>
            </w:pPr>
            <w:r w:rsidRPr="00B06893">
              <w:t xml:space="preserve">Andersen, KM et al. Effectiveness of BNT162b2 XBB.1.5 vaccine in immunocompetent adults using tokenization in two U.S. states. </w:t>
            </w:r>
          </w:p>
        </w:tc>
        <w:tc>
          <w:tcPr>
            <w:tcW w:w="1904" w:type="pct"/>
            <w:tcBorders>
              <w:top w:val="nil"/>
            </w:tcBorders>
            <w:vAlign w:val="center"/>
          </w:tcPr>
          <w:p w14:paraId="373C5790" w14:textId="74FC8704" w:rsidR="005A293D" w:rsidRPr="00B06893" w:rsidRDefault="005A293D" w:rsidP="00F625C3">
            <w:pPr>
              <w:pStyle w:val="Tabletext"/>
              <w:snapToGrid w:val="0"/>
            </w:pPr>
            <w:r w:rsidRPr="00B06893">
              <w:t>Vaccine 2025; 52:</w:t>
            </w:r>
            <w:r w:rsidR="000829FB">
              <w:t xml:space="preserve"> </w:t>
            </w:r>
            <w:r w:rsidRPr="00B06893">
              <w:t>p126881, https://doi.org/10.1016/j.vaccine.2025.126881</w:t>
            </w:r>
          </w:p>
        </w:tc>
      </w:tr>
      <w:tr w:rsidR="005A293D" w:rsidRPr="00B06893" w14:paraId="13EFCA5E"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nil"/>
            </w:tcBorders>
            <w:vAlign w:val="center"/>
          </w:tcPr>
          <w:p w14:paraId="65281E7C" w14:textId="77777777" w:rsidR="005A293D" w:rsidRPr="00B06893" w:rsidRDefault="005A293D" w:rsidP="00F625C3">
            <w:pPr>
              <w:pStyle w:val="Tabletext"/>
              <w:snapToGrid w:val="0"/>
            </w:pPr>
            <w:r w:rsidRPr="00B06893">
              <w:t>Hansen (2025)</w:t>
            </w:r>
          </w:p>
        </w:tc>
        <w:tc>
          <w:tcPr>
            <w:tcW w:w="2391" w:type="pct"/>
            <w:tcBorders>
              <w:top w:val="nil"/>
            </w:tcBorders>
            <w:vAlign w:val="center"/>
          </w:tcPr>
          <w:p w14:paraId="4F267AB9" w14:textId="27DBCFBF" w:rsidR="005A293D" w:rsidRPr="00B06893" w:rsidRDefault="005A293D" w:rsidP="00F625C3">
            <w:pPr>
              <w:pStyle w:val="Tabletext"/>
              <w:snapToGrid w:val="0"/>
            </w:pPr>
            <w:r w:rsidRPr="00B06893">
              <w:t>Hansen CH et al. Effectiveness of the BNT162b2 and mRNA</w:t>
            </w:r>
            <w:r w:rsidR="00193971">
              <w:noBreakHyphen/>
            </w:r>
            <w:r w:rsidRPr="00B06893">
              <w:t>1273 JN.1</w:t>
            </w:r>
            <w:r w:rsidR="00193971">
              <w:noBreakHyphen/>
            </w:r>
            <w:r w:rsidRPr="00B06893">
              <w:t>adapted</w:t>
            </w:r>
          </w:p>
          <w:p w14:paraId="123EF8D5" w14:textId="362A7691" w:rsidR="005A293D" w:rsidRPr="00B06893" w:rsidRDefault="005A293D" w:rsidP="00F625C3">
            <w:pPr>
              <w:pStyle w:val="Tabletext"/>
              <w:snapToGrid w:val="0"/>
            </w:pPr>
            <w:r w:rsidRPr="00B06893">
              <w:t>vaccines against COVID</w:t>
            </w:r>
            <w:r w:rsidR="00193971">
              <w:noBreakHyphen/>
            </w:r>
            <w:r w:rsidRPr="00B06893">
              <w:t>19</w:t>
            </w:r>
            <w:r w:rsidR="00193971">
              <w:noBreakHyphen/>
            </w:r>
            <w:r w:rsidRPr="00B06893">
              <w:t>associated hospitalisation and death: a Danish, nationwide, register</w:t>
            </w:r>
            <w:r w:rsidR="00193971">
              <w:noBreakHyphen/>
            </w:r>
            <w:r w:rsidRPr="00B06893">
              <w:t>based, cohort study.</w:t>
            </w:r>
          </w:p>
        </w:tc>
        <w:tc>
          <w:tcPr>
            <w:tcW w:w="1904" w:type="pct"/>
            <w:tcBorders>
              <w:top w:val="nil"/>
            </w:tcBorders>
            <w:vAlign w:val="center"/>
          </w:tcPr>
          <w:p w14:paraId="14DCACE4" w14:textId="77777777" w:rsidR="005A293D" w:rsidRPr="00B06893" w:rsidRDefault="005A293D" w:rsidP="00F625C3">
            <w:pPr>
              <w:pStyle w:val="Tabletext"/>
              <w:snapToGrid w:val="0"/>
            </w:pPr>
          </w:p>
          <w:p w14:paraId="70E1726E" w14:textId="02878A5B" w:rsidR="005A293D" w:rsidRPr="00B06893" w:rsidRDefault="005A293D" w:rsidP="00F625C3">
            <w:pPr>
              <w:pStyle w:val="Tabletext"/>
              <w:snapToGrid w:val="0"/>
            </w:pPr>
            <w:r w:rsidRPr="00B06893">
              <w:t>The Lancet Infectious Diseases 2025; 25:1293</w:t>
            </w:r>
            <w:r w:rsidR="00193971">
              <w:noBreakHyphen/>
            </w:r>
            <w:r w:rsidRPr="00B06893">
              <w:t>1302</w:t>
            </w:r>
          </w:p>
        </w:tc>
      </w:tr>
      <w:tr w:rsidR="005A293D" w:rsidRPr="00B06893" w14:paraId="1BF7BED5"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bottom w:val="single" w:sz="4" w:space="0" w:color="auto"/>
            </w:tcBorders>
            <w:vAlign w:val="center"/>
          </w:tcPr>
          <w:p w14:paraId="71333AE8" w14:textId="77777777" w:rsidR="005A293D" w:rsidRPr="00B06893" w:rsidRDefault="005A293D" w:rsidP="00F625C3">
            <w:pPr>
              <w:pStyle w:val="Tabletext"/>
              <w:snapToGrid w:val="0"/>
            </w:pPr>
            <w:r w:rsidRPr="00B06893">
              <w:t>Appaneal (2025)</w:t>
            </w:r>
          </w:p>
        </w:tc>
        <w:tc>
          <w:tcPr>
            <w:tcW w:w="2391" w:type="pct"/>
            <w:tcBorders>
              <w:top w:val="single" w:sz="4" w:space="0" w:color="auto"/>
              <w:bottom w:val="single" w:sz="4" w:space="0" w:color="auto"/>
            </w:tcBorders>
            <w:vAlign w:val="center"/>
          </w:tcPr>
          <w:p w14:paraId="5567D06A" w14:textId="5D514DA3" w:rsidR="005A293D" w:rsidRPr="00B06893" w:rsidRDefault="005A293D" w:rsidP="00F625C3">
            <w:pPr>
              <w:pStyle w:val="Tabletext"/>
              <w:snapToGrid w:val="0"/>
            </w:pPr>
            <w:r w:rsidRPr="00B06893">
              <w:t>Appaneal, HJ et al. Early effectiveness of the BNT162b2 KP.2 vaccine against COVID</w:t>
            </w:r>
            <w:r w:rsidR="00193971">
              <w:noBreakHyphen/>
            </w:r>
            <w:r w:rsidRPr="00B06893">
              <w:t xml:space="preserve">19 in the US Veterans Affairs Healthcare System. </w:t>
            </w:r>
          </w:p>
        </w:tc>
        <w:tc>
          <w:tcPr>
            <w:tcW w:w="1904" w:type="pct"/>
            <w:tcBorders>
              <w:top w:val="single" w:sz="4" w:space="0" w:color="auto"/>
              <w:bottom w:val="single" w:sz="4" w:space="0" w:color="auto"/>
            </w:tcBorders>
            <w:vAlign w:val="center"/>
          </w:tcPr>
          <w:p w14:paraId="0AB34F59" w14:textId="3E4452AF" w:rsidR="005A293D" w:rsidRPr="00B06893" w:rsidRDefault="005A293D" w:rsidP="00F625C3">
            <w:pPr>
              <w:pStyle w:val="Tabletext"/>
              <w:snapToGrid w:val="0"/>
            </w:pPr>
            <w:r w:rsidRPr="00B06893">
              <w:t>Nature Communications 2025; 16, p. 4033, https://doi.org/10.1038/s41467</w:t>
            </w:r>
            <w:r w:rsidR="00193971">
              <w:noBreakHyphen/>
            </w:r>
            <w:r w:rsidRPr="00B06893">
              <w:t>025</w:t>
            </w:r>
            <w:r w:rsidR="00193971">
              <w:noBreakHyphen/>
            </w:r>
            <w:r w:rsidRPr="00B06893">
              <w:t>59344</w:t>
            </w:r>
            <w:r w:rsidR="00193971">
              <w:noBreakHyphen/>
            </w:r>
            <w:r w:rsidRPr="00B06893">
              <w:t>7</w:t>
            </w:r>
          </w:p>
        </w:tc>
      </w:tr>
      <w:tr w:rsidR="005A293D" w:rsidRPr="00B06893" w14:paraId="3EE373A8"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bottom w:val="single" w:sz="4" w:space="0" w:color="auto"/>
            </w:tcBorders>
            <w:vAlign w:val="center"/>
          </w:tcPr>
          <w:p w14:paraId="0A60BF62" w14:textId="77777777" w:rsidR="005A293D" w:rsidRPr="00B06893" w:rsidRDefault="005A293D" w:rsidP="00F625C3">
            <w:pPr>
              <w:pStyle w:val="Tabletext"/>
              <w:snapToGrid w:val="0"/>
            </w:pPr>
            <w:r w:rsidRPr="00B06893">
              <w:t>Caffery (2024)</w:t>
            </w:r>
          </w:p>
        </w:tc>
        <w:tc>
          <w:tcPr>
            <w:tcW w:w="2391" w:type="pct"/>
            <w:tcBorders>
              <w:top w:val="single" w:sz="4" w:space="0" w:color="auto"/>
              <w:bottom w:val="single" w:sz="4" w:space="0" w:color="auto"/>
            </w:tcBorders>
            <w:vAlign w:val="center"/>
          </w:tcPr>
          <w:p w14:paraId="3C9AC973" w14:textId="77777777" w:rsidR="005A293D" w:rsidRPr="00B06893" w:rsidRDefault="005A293D" w:rsidP="00F625C3">
            <w:pPr>
              <w:pStyle w:val="Tabletext"/>
              <w:snapToGrid w:val="0"/>
            </w:pPr>
            <w:r w:rsidRPr="00B06893">
              <w:t xml:space="preserve">Caffrey, AR et al. Effectiveness of BNT162b2 XBB vaccine in the US Veterans Affairs Healthcare System. </w:t>
            </w:r>
          </w:p>
        </w:tc>
        <w:tc>
          <w:tcPr>
            <w:tcW w:w="1904" w:type="pct"/>
            <w:tcBorders>
              <w:top w:val="single" w:sz="4" w:space="0" w:color="auto"/>
              <w:bottom w:val="single" w:sz="4" w:space="0" w:color="auto"/>
            </w:tcBorders>
            <w:vAlign w:val="center"/>
          </w:tcPr>
          <w:p w14:paraId="192F191F" w14:textId="4BA4F353" w:rsidR="005A293D" w:rsidRPr="00B06893" w:rsidRDefault="005A293D" w:rsidP="00F625C3">
            <w:pPr>
              <w:pStyle w:val="Tabletext"/>
              <w:snapToGrid w:val="0"/>
            </w:pPr>
            <w:r w:rsidRPr="00B06893">
              <w:t>Nature Communications 2024; 15: p. 9490, https://doi.org/10.1038/s41467</w:t>
            </w:r>
            <w:r w:rsidR="00193971">
              <w:noBreakHyphen/>
            </w:r>
            <w:r w:rsidRPr="00B06893">
              <w:t>024</w:t>
            </w:r>
            <w:r w:rsidR="00193971">
              <w:noBreakHyphen/>
            </w:r>
            <w:r w:rsidRPr="00B06893">
              <w:t>53842</w:t>
            </w:r>
            <w:r w:rsidR="00193971">
              <w:noBreakHyphen/>
            </w:r>
            <w:r w:rsidRPr="00B06893">
              <w:t>w</w:t>
            </w:r>
          </w:p>
        </w:tc>
      </w:tr>
      <w:tr w:rsidR="005A293D" w:rsidRPr="00B06893" w14:paraId="52EA6726"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bottom w:val="single" w:sz="4" w:space="0" w:color="auto"/>
            </w:tcBorders>
            <w:vAlign w:val="center"/>
          </w:tcPr>
          <w:p w14:paraId="36D8D31E" w14:textId="77777777" w:rsidR="005A293D" w:rsidRPr="00B06893" w:rsidRDefault="005A293D" w:rsidP="00F625C3">
            <w:pPr>
              <w:pStyle w:val="Tabletext"/>
              <w:snapToGrid w:val="0"/>
            </w:pPr>
            <w:r w:rsidRPr="00B06893">
              <w:t>Tartof (2024) a</w:t>
            </w:r>
          </w:p>
        </w:tc>
        <w:tc>
          <w:tcPr>
            <w:tcW w:w="2391" w:type="pct"/>
            <w:tcBorders>
              <w:top w:val="single" w:sz="4" w:space="0" w:color="auto"/>
              <w:bottom w:val="single" w:sz="4" w:space="0" w:color="auto"/>
            </w:tcBorders>
            <w:vAlign w:val="center"/>
          </w:tcPr>
          <w:p w14:paraId="3727ECA2" w14:textId="77777777" w:rsidR="005A293D" w:rsidRPr="00B06893" w:rsidRDefault="005A293D" w:rsidP="00F625C3">
            <w:pPr>
              <w:pStyle w:val="Tabletext"/>
              <w:snapToGrid w:val="0"/>
            </w:pPr>
            <w:r w:rsidRPr="00B06893">
              <w:t xml:space="preserve">Tartof, SY et al. Effectiveness of BNT162b2 XBB Vaccine Against XBB and JN.1 Sublineages. </w:t>
            </w:r>
          </w:p>
        </w:tc>
        <w:tc>
          <w:tcPr>
            <w:tcW w:w="1904" w:type="pct"/>
            <w:tcBorders>
              <w:top w:val="single" w:sz="4" w:space="0" w:color="auto"/>
              <w:bottom w:val="single" w:sz="4" w:space="0" w:color="auto"/>
            </w:tcBorders>
            <w:vAlign w:val="center"/>
          </w:tcPr>
          <w:p w14:paraId="11ADC850" w14:textId="77777777" w:rsidR="005A293D" w:rsidRPr="00B06893" w:rsidRDefault="005A293D" w:rsidP="00F625C3">
            <w:pPr>
              <w:pStyle w:val="Tabletext"/>
              <w:snapToGrid w:val="0"/>
            </w:pPr>
            <w:r w:rsidRPr="00B06893">
              <w:t>Open Forum Infectious Diseases 2024; 11: no. 7, https://doi.org/10.1101/2023.12.24.23300512</w:t>
            </w:r>
          </w:p>
        </w:tc>
      </w:tr>
      <w:tr w:rsidR="005A293D" w:rsidRPr="00B06893" w14:paraId="6E0A2A50"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bottom w:val="single" w:sz="4" w:space="0" w:color="auto"/>
            </w:tcBorders>
            <w:vAlign w:val="center"/>
          </w:tcPr>
          <w:p w14:paraId="0583FE97" w14:textId="77777777" w:rsidR="005A293D" w:rsidRPr="00B06893" w:rsidRDefault="005A293D" w:rsidP="00F625C3">
            <w:pPr>
              <w:pStyle w:val="Tabletext"/>
              <w:snapToGrid w:val="0"/>
            </w:pPr>
            <w:r w:rsidRPr="00B06893">
              <w:t>Tartof (2024) b</w:t>
            </w:r>
          </w:p>
        </w:tc>
        <w:tc>
          <w:tcPr>
            <w:tcW w:w="2391" w:type="pct"/>
            <w:tcBorders>
              <w:top w:val="single" w:sz="4" w:space="0" w:color="auto"/>
              <w:bottom w:val="single" w:sz="4" w:space="0" w:color="auto"/>
            </w:tcBorders>
            <w:vAlign w:val="center"/>
          </w:tcPr>
          <w:p w14:paraId="33CA9BE8" w14:textId="2FA3351B" w:rsidR="005A293D" w:rsidRPr="00B06893" w:rsidRDefault="005A293D" w:rsidP="00F625C3">
            <w:pPr>
              <w:pStyle w:val="Tabletext"/>
              <w:snapToGrid w:val="0"/>
            </w:pPr>
            <w:r w:rsidRPr="00B06893">
              <w:t>Tartof, SY et al. Estimated Effectiveness of the BNT162b2 XBB Vaccine Against COVID</w:t>
            </w:r>
            <w:r w:rsidR="00193971">
              <w:noBreakHyphen/>
            </w:r>
            <w:r w:rsidRPr="00B06893">
              <w:t xml:space="preserve">19 </w:t>
            </w:r>
          </w:p>
        </w:tc>
        <w:tc>
          <w:tcPr>
            <w:tcW w:w="1904" w:type="pct"/>
            <w:tcBorders>
              <w:top w:val="single" w:sz="4" w:space="0" w:color="auto"/>
              <w:bottom w:val="single" w:sz="4" w:space="0" w:color="auto"/>
            </w:tcBorders>
            <w:vAlign w:val="center"/>
          </w:tcPr>
          <w:p w14:paraId="7ECBDDD5" w14:textId="62BD5DC7" w:rsidR="005A293D" w:rsidRPr="00B06893" w:rsidRDefault="005A293D" w:rsidP="00F625C3">
            <w:pPr>
              <w:pStyle w:val="Tabletext"/>
              <w:snapToGrid w:val="0"/>
            </w:pPr>
            <w:r w:rsidRPr="00B06893">
              <w:t>JAMA Intern Med 2024; 184: 932</w:t>
            </w:r>
            <w:r w:rsidR="00193971">
              <w:noBreakHyphen/>
            </w:r>
            <w:r w:rsidRPr="00B06893">
              <w:t>940</w:t>
            </w:r>
          </w:p>
        </w:tc>
      </w:tr>
      <w:tr w:rsidR="005A293D" w:rsidRPr="00B06893" w14:paraId="4FBCF816"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bottom w:val="single" w:sz="4" w:space="0" w:color="auto"/>
            </w:tcBorders>
            <w:vAlign w:val="center"/>
          </w:tcPr>
          <w:p w14:paraId="17063BAC" w14:textId="77777777" w:rsidR="005A293D" w:rsidRPr="00B06893" w:rsidRDefault="005A293D" w:rsidP="00F625C3">
            <w:pPr>
              <w:pStyle w:val="Tabletext"/>
              <w:snapToGrid w:val="0"/>
            </w:pPr>
            <w:r w:rsidRPr="00B06893">
              <w:lastRenderedPageBreak/>
              <w:t>Nguyen (2025)</w:t>
            </w:r>
          </w:p>
        </w:tc>
        <w:tc>
          <w:tcPr>
            <w:tcW w:w="2391" w:type="pct"/>
            <w:tcBorders>
              <w:top w:val="single" w:sz="4" w:space="0" w:color="auto"/>
              <w:bottom w:val="single" w:sz="4" w:space="0" w:color="auto"/>
            </w:tcBorders>
            <w:vAlign w:val="center"/>
          </w:tcPr>
          <w:p w14:paraId="652BEBA8" w14:textId="4D3357D0" w:rsidR="005A293D" w:rsidRPr="00B06893" w:rsidRDefault="005A293D" w:rsidP="00F625C3">
            <w:pPr>
              <w:pStyle w:val="Tabletext"/>
              <w:snapToGrid w:val="0"/>
            </w:pPr>
            <w:r w:rsidRPr="00B06893">
              <w:t>Nguyen, JL, et al. Effectiveness of the BNT162b2 XBB.1.5</w:t>
            </w:r>
            <w:r w:rsidR="00193971">
              <w:noBreakHyphen/>
            </w:r>
            <w:r w:rsidRPr="00B06893">
              <w:t>adapted vaccine against COVID</w:t>
            </w:r>
            <w:r w:rsidR="00193971">
              <w:noBreakHyphen/>
            </w:r>
            <w:r w:rsidRPr="00B06893">
              <w:t>19 hospitalization related to the JN.1 variant in Europe: a test</w:t>
            </w:r>
            <w:r w:rsidR="00193971">
              <w:noBreakHyphen/>
            </w:r>
            <w:r w:rsidRPr="00B06893">
              <w:t>negative case</w:t>
            </w:r>
            <w:r w:rsidR="00193971">
              <w:noBreakHyphen/>
            </w:r>
            <w:r w:rsidRPr="00B06893">
              <w:t xml:space="preserve">control study using the id.DRIVE platform. </w:t>
            </w:r>
          </w:p>
        </w:tc>
        <w:tc>
          <w:tcPr>
            <w:tcW w:w="1904" w:type="pct"/>
            <w:tcBorders>
              <w:top w:val="single" w:sz="4" w:space="0" w:color="auto"/>
              <w:bottom w:val="single" w:sz="4" w:space="0" w:color="auto"/>
            </w:tcBorders>
            <w:vAlign w:val="center"/>
          </w:tcPr>
          <w:p w14:paraId="60FC7262" w14:textId="3A36B44B" w:rsidR="005A293D" w:rsidRPr="00B06893" w:rsidRDefault="005A293D" w:rsidP="00F625C3">
            <w:pPr>
              <w:pStyle w:val="Tabletext"/>
              <w:snapToGrid w:val="0"/>
            </w:pPr>
            <w:r w:rsidRPr="00B06893">
              <w:t>EClinicalMedicine 2025; 79: p102995, https://doi.org/10.1016/j.eclinm.2024.102995</w:t>
            </w:r>
          </w:p>
        </w:tc>
      </w:tr>
      <w:tr w:rsidR="005A293D" w:rsidRPr="00B06893" w14:paraId="7C46C2D0"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5000" w:type="pct"/>
            <w:gridSpan w:val="3"/>
            <w:tcBorders>
              <w:top w:val="single" w:sz="4" w:space="0" w:color="auto"/>
              <w:bottom w:val="single" w:sz="4" w:space="0" w:color="auto"/>
            </w:tcBorders>
            <w:vAlign w:val="center"/>
          </w:tcPr>
          <w:p w14:paraId="1F863FB5" w14:textId="2805B100" w:rsidR="005A293D" w:rsidRPr="00B06893" w:rsidRDefault="005A293D" w:rsidP="00F625C3">
            <w:pPr>
              <w:pStyle w:val="Tabletext"/>
              <w:snapToGrid w:val="0"/>
            </w:pPr>
            <w:r w:rsidRPr="00B06893">
              <w:rPr>
                <w:b/>
                <w:bCs/>
              </w:rPr>
              <w:t xml:space="preserve">Direct comparison between Spikevax and </w:t>
            </w:r>
            <w:r w:rsidR="00E34126" w:rsidRPr="00B06893">
              <w:rPr>
                <w:b/>
                <w:bCs/>
              </w:rPr>
              <w:t>Comirnaty</w:t>
            </w:r>
            <w:r w:rsidRPr="00B06893">
              <w:rPr>
                <w:b/>
                <w:bCs/>
              </w:rPr>
              <w:t xml:space="preserve"> – Immunogenicity and safety</w:t>
            </w:r>
          </w:p>
        </w:tc>
      </w:tr>
      <w:tr w:rsidR="005A293D" w:rsidRPr="00B06893" w14:paraId="2C5AFBA4"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bottom w:val="single" w:sz="4" w:space="0" w:color="auto"/>
            </w:tcBorders>
            <w:vAlign w:val="center"/>
          </w:tcPr>
          <w:p w14:paraId="41ACB161" w14:textId="77777777" w:rsidR="005A293D" w:rsidRPr="00B06893" w:rsidRDefault="005A293D" w:rsidP="00F625C3">
            <w:pPr>
              <w:pStyle w:val="Tabletext"/>
              <w:snapToGrid w:val="0"/>
            </w:pPr>
            <w:r w:rsidRPr="00B06893">
              <w:t>Mok (2025)</w:t>
            </w:r>
          </w:p>
        </w:tc>
        <w:tc>
          <w:tcPr>
            <w:tcW w:w="2391" w:type="pct"/>
            <w:tcBorders>
              <w:top w:val="single" w:sz="4" w:space="0" w:color="auto"/>
              <w:bottom w:val="single" w:sz="4" w:space="0" w:color="auto"/>
            </w:tcBorders>
            <w:vAlign w:val="center"/>
          </w:tcPr>
          <w:p w14:paraId="191DADFB" w14:textId="7056E19B" w:rsidR="005A293D" w:rsidRPr="00B06893" w:rsidRDefault="005A293D" w:rsidP="00F625C3">
            <w:pPr>
              <w:pStyle w:val="Tabletext"/>
              <w:snapToGrid w:val="0"/>
            </w:pPr>
            <w:r w:rsidRPr="00B06893">
              <w:t>Mok, CKP et al. Comparison of safety and immunogenicity in the elderly after receiving either Comirnaty or Spikevax monovalent XBB1.5 COVID</w:t>
            </w:r>
            <w:r w:rsidR="00193971">
              <w:noBreakHyphen/>
            </w:r>
            <w:r w:rsidRPr="00B06893">
              <w:t xml:space="preserve">19 vaccine. </w:t>
            </w:r>
          </w:p>
        </w:tc>
        <w:tc>
          <w:tcPr>
            <w:tcW w:w="1904" w:type="pct"/>
            <w:tcBorders>
              <w:top w:val="single" w:sz="4" w:space="0" w:color="auto"/>
              <w:bottom w:val="single" w:sz="4" w:space="0" w:color="auto"/>
            </w:tcBorders>
            <w:vAlign w:val="center"/>
          </w:tcPr>
          <w:p w14:paraId="22A84490" w14:textId="74CC5EAC" w:rsidR="005A293D" w:rsidRPr="00B06893" w:rsidRDefault="005A293D" w:rsidP="00F625C3">
            <w:pPr>
              <w:pStyle w:val="Tabletext"/>
              <w:snapToGrid w:val="0"/>
            </w:pPr>
            <w:r w:rsidRPr="00B06893">
              <w:t>Journal of Infection 2025; 90 (no. 1), p106374, https://doi.org/10.1016/j.jinf.2024.106374</w:t>
            </w:r>
          </w:p>
        </w:tc>
      </w:tr>
      <w:tr w:rsidR="005A293D" w:rsidRPr="00B06893" w14:paraId="32E875E0" w14:textId="77777777" w:rsidTr="00156335">
        <w:tblPrEx>
          <w:jc w:val="left"/>
          <w:tblCellMar>
            <w:top w:w="57" w:type="dxa"/>
            <w:left w:w="57" w:type="dxa"/>
            <w:bottom w:w="57" w:type="dxa"/>
            <w:right w:w="57" w:type="dxa"/>
          </w:tblCellMar>
          <w:tblLook w:val="04A0" w:firstRow="1" w:lastRow="0" w:firstColumn="1" w:lastColumn="0" w:noHBand="0" w:noVBand="1"/>
        </w:tblPrEx>
        <w:trPr>
          <w:cantSplit/>
        </w:trPr>
        <w:tc>
          <w:tcPr>
            <w:tcW w:w="705" w:type="pct"/>
            <w:tcBorders>
              <w:top w:val="single" w:sz="4" w:space="0" w:color="auto"/>
              <w:bottom w:val="single" w:sz="4" w:space="0" w:color="auto"/>
            </w:tcBorders>
            <w:vAlign w:val="center"/>
          </w:tcPr>
          <w:p w14:paraId="39748650" w14:textId="77777777" w:rsidR="005A293D" w:rsidRPr="00B06893" w:rsidRDefault="005A293D" w:rsidP="00F625C3">
            <w:pPr>
              <w:pStyle w:val="TableFooter"/>
              <w:snapToGrid w:val="0"/>
              <w:rPr>
                <w:sz w:val="20"/>
              </w:rPr>
            </w:pPr>
            <w:r w:rsidRPr="00B06893">
              <w:rPr>
                <w:sz w:val="20"/>
              </w:rPr>
              <w:t>Pan (2025)</w:t>
            </w:r>
          </w:p>
        </w:tc>
        <w:tc>
          <w:tcPr>
            <w:tcW w:w="2391" w:type="pct"/>
            <w:tcBorders>
              <w:top w:val="single" w:sz="4" w:space="0" w:color="auto"/>
              <w:bottom w:val="single" w:sz="4" w:space="0" w:color="auto"/>
            </w:tcBorders>
            <w:vAlign w:val="center"/>
          </w:tcPr>
          <w:p w14:paraId="46518CB2" w14:textId="54CB42AE" w:rsidR="005A293D" w:rsidRPr="00B06893" w:rsidRDefault="005A293D" w:rsidP="00F625C3">
            <w:pPr>
              <w:pStyle w:val="TableFooter"/>
              <w:snapToGrid w:val="0"/>
              <w:rPr>
                <w:sz w:val="20"/>
              </w:rPr>
            </w:pPr>
            <w:r w:rsidRPr="00B06893">
              <w:rPr>
                <w:sz w:val="20"/>
              </w:rPr>
              <w:t>Pan, Y et al. Evaluating the safety of XBB.1.5</w:t>
            </w:r>
            <w:r w:rsidR="00193971">
              <w:rPr>
                <w:sz w:val="20"/>
              </w:rPr>
              <w:noBreakHyphen/>
            </w:r>
            <w:r w:rsidRPr="00B06893">
              <w:rPr>
                <w:sz w:val="20"/>
              </w:rPr>
              <w:t>containing COVID</w:t>
            </w:r>
            <w:r w:rsidR="00193971">
              <w:rPr>
                <w:sz w:val="20"/>
              </w:rPr>
              <w:noBreakHyphen/>
            </w:r>
            <w:r w:rsidRPr="00B06893">
              <w:rPr>
                <w:sz w:val="20"/>
              </w:rPr>
              <w:t>19 mRNA vaccines using a self</w:t>
            </w:r>
            <w:r w:rsidR="00193971">
              <w:rPr>
                <w:sz w:val="20"/>
              </w:rPr>
              <w:noBreakHyphen/>
            </w:r>
            <w:r w:rsidRPr="00B06893">
              <w:rPr>
                <w:sz w:val="20"/>
              </w:rPr>
              <w:t xml:space="preserve">controlled case series study. </w:t>
            </w:r>
          </w:p>
        </w:tc>
        <w:tc>
          <w:tcPr>
            <w:tcW w:w="1904" w:type="pct"/>
            <w:tcBorders>
              <w:top w:val="single" w:sz="4" w:space="0" w:color="auto"/>
              <w:bottom w:val="single" w:sz="4" w:space="0" w:color="auto"/>
            </w:tcBorders>
            <w:vAlign w:val="center"/>
          </w:tcPr>
          <w:p w14:paraId="418F5624" w14:textId="2FA9D30E" w:rsidR="005A293D" w:rsidRPr="00B06893" w:rsidRDefault="005A293D" w:rsidP="00F625C3">
            <w:pPr>
              <w:pStyle w:val="TableFooter"/>
              <w:snapToGrid w:val="0"/>
              <w:rPr>
                <w:sz w:val="20"/>
              </w:rPr>
            </w:pPr>
            <w:r w:rsidRPr="00B06893">
              <w:rPr>
                <w:sz w:val="20"/>
              </w:rPr>
              <w:t>Nature Communications 2025. 16 (1), p 6514, https://doi.org/10.1038/s41467</w:t>
            </w:r>
            <w:r w:rsidR="00193971">
              <w:rPr>
                <w:sz w:val="20"/>
              </w:rPr>
              <w:noBreakHyphen/>
            </w:r>
            <w:r w:rsidRPr="00B06893">
              <w:rPr>
                <w:sz w:val="20"/>
              </w:rPr>
              <w:t>025</w:t>
            </w:r>
            <w:r w:rsidR="00193971">
              <w:rPr>
                <w:sz w:val="20"/>
              </w:rPr>
              <w:noBreakHyphen/>
            </w:r>
            <w:r w:rsidRPr="00B06893">
              <w:rPr>
                <w:sz w:val="20"/>
              </w:rPr>
              <w:t>61613</w:t>
            </w:r>
            <w:r w:rsidR="00193971">
              <w:rPr>
                <w:sz w:val="20"/>
              </w:rPr>
              <w:noBreakHyphen/>
            </w:r>
            <w:r w:rsidRPr="00B06893">
              <w:rPr>
                <w:sz w:val="20"/>
              </w:rPr>
              <w:t>4</w:t>
            </w:r>
          </w:p>
        </w:tc>
      </w:tr>
    </w:tbl>
    <w:p w14:paraId="1AFEE134" w14:textId="72CCC4C9" w:rsidR="005A293D" w:rsidRPr="00B06893" w:rsidRDefault="005A293D" w:rsidP="005A293D">
      <w:pPr>
        <w:pStyle w:val="TableFooter"/>
        <w:keepNext/>
      </w:pPr>
      <w:r w:rsidRPr="00B06893">
        <w:t>Source: Sections 2.1</w:t>
      </w:r>
      <w:r w:rsidR="00193971">
        <w:noBreakHyphen/>
      </w:r>
      <w:r w:rsidRPr="00B06893">
        <w:t>2.2, pp53</w:t>
      </w:r>
      <w:r w:rsidR="00193971">
        <w:noBreakHyphen/>
      </w:r>
      <w:r w:rsidRPr="00B06893">
        <w:t>60 of the submission and Section 4 of the ATAGI Pre</w:t>
      </w:r>
      <w:r w:rsidR="00193971">
        <w:noBreakHyphen/>
      </w:r>
      <w:r w:rsidRPr="00B06893">
        <w:t>Submission Advice.</w:t>
      </w:r>
    </w:p>
    <w:p w14:paraId="26041EF9" w14:textId="7510F1C7" w:rsidR="005A293D" w:rsidRPr="00B06893" w:rsidRDefault="005A293D" w:rsidP="006475E6">
      <w:pPr>
        <w:pStyle w:val="TableFooter"/>
        <w:keepNext/>
      </w:pPr>
      <w:r w:rsidRPr="00B06893">
        <w:t xml:space="preserve">ATAGI = Australian Technical Advisory Group on Immunisation; BNT162b2 = </w:t>
      </w:r>
      <w:r w:rsidR="00E34126" w:rsidRPr="00B06893">
        <w:t>Comirnaty</w:t>
      </w:r>
      <w:r w:rsidRPr="00B06893">
        <w:t>; COVID</w:t>
      </w:r>
      <w:r w:rsidR="00193971">
        <w:noBreakHyphen/>
      </w:r>
      <w:r w:rsidRPr="00B06893">
        <w:t>19 = coronavirus disease 2019; RWE = Real World Evidence; SARS</w:t>
      </w:r>
      <w:r w:rsidR="00193971">
        <w:noBreakHyphen/>
      </w:r>
      <w:r w:rsidRPr="00B06893">
        <w:t>CoV</w:t>
      </w:r>
      <w:r w:rsidR="00193971">
        <w:noBreakHyphen/>
      </w:r>
      <w:r w:rsidRPr="00B06893">
        <w:t>2 = severe acute respiratory syndrome coronavirus 2</w:t>
      </w:r>
      <w:r w:rsidR="00ED724C" w:rsidRPr="00B06893">
        <w:t>.</w:t>
      </w:r>
    </w:p>
    <w:p w14:paraId="69C3950A" w14:textId="6E49DB0B" w:rsidR="001C6D5A" w:rsidRDefault="00CE7B34" w:rsidP="002E4F02">
      <w:pPr>
        <w:pStyle w:val="3-BodyText"/>
      </w:pPr>
      <w:r w:rsidRPr="00B06893">
        <w:t xml:space="preserve">The key features of the </w:t>
      </w:r>
      <w:r w:rsidR="003F60A4" w:rsidRPr="00B06893">
        <w:t xml:space="preserve">included </w:t>
      </w:r>
      <w:r w:rsidRPr="00B06893">
        <w:t xml:space="preserve">studies are presented in </w:t>
      </w:r>
      <w:r w:rsidR="003B2DF9" w:rsidRPr="00B06893">
        <w:fldChar w:fldCharType="begin"/>
      </w:r>
      <w:r w:rsidR="003B2DF9" w:rsidRPr="00B06893">
        <w:instrText xml:space="preserve"> REF _Ref216240944 \h </w:instrText>
      </w:r>
      <w:r w:rsidR="003B2DF9" w:rsidRPr="00B06893">
        <w:fldChar w:fldCharType="separate"/>
      </w:r>
      <w:r w:rsidR="00810177" w:rsidRPr="00B06893">
        <w:t>Table 6</w:t>
      </w:r>
      <w:r w:rsidR="003B2DF9" w:rsidRPr="00B06893">
        <w:fldChar w:fldCharType="end"/>
      </w:r>
      <w:r w:rsidR="003B2DF9" w:rsidRPr="00B06893">
        <w:t>.</w:t>
      </w:r>
    </w:p>
    <w:p w14:paraId="4A0BCCDB" w14:textId="77777777" w:rsidR="00221AF8" w:rsidRPr="00B06893" w:rsidRDefault="00221AF8" w:rsidP="00221AF8">
      <w:pPr>
        <w:pStyle w:val="3-BodyText"/>
        <w:numPr>
          <w:ilvl w:val="0"/>
          <w:numId w:val="0"/>
        </w:numPr>
      </w:pPr>
    </w:p>
    <w:p w14:paraId="6C19555A" w14:textId="041270E8" w:rsidR="00CE7B34" w:rsidRPr="00B06893" w:rsidRDefault="00CE7B34" w:rsidP="00860BFB">
      <w:pPr>
        <w:pStyle w:val="Caption"/>
      </w:pPr>
      <w:bookmarkStart w:id="30" w:name="_Ref216240944"/>
      <w:r w:rsidRPr="00B06893">
        <w:t xml:space="preserve">Table </w:t>
      </w:r>
      <w:fldSimple w:instr=" SEQ Table \* ARABIC ">
        <w:r w:rsidR="00810177" w:rsidRPr="00B06893">
          <w:t>6</w:t>
        </w:r>
      </w:fldSimple>
      <w:bookmarkEnd w:id="30"/>
      <w:r w:rsidRPr="00B06893">
        <w:t xml:space="preserve">: Key features of the RWE studies </w:t>
      </w:r>
      <w:r w:rsidR="003B2DF9" w:rsidRPr="00B06893">
        <w:t xml:space="preserve">presented in the submission </w:t>
      </w:r>
      <w:r w:rsidRPr="00B06893">
        <w:t xml:space="preserve">providing evidence of effectiveness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6: Key features of the RWE studies presented in the submission providing evidence of effectiveness "/>
      </w:tblPr>
      <w:tblGrid>
        <w:gridCol w:w="1415"/>
        <w:gridCol w:w="3545"/>
        <w:gridCol w:w="1841"/>
        <w:gridCol w:w="2216"/>
      </w:tblGrid>
      <w:tr w:rsidR="00CE7B34" w:rsidRPr="00B06893" w14:paraId="016E4FD5" w14:textId="77777777" w:rsidTr="00860BFB">
        <w:trPr>
          <w:cantSplit/>
          <w:tblHeader/>
        </w:trPr>
        <w:tc>
          <w:tcPr>
            <w:tcW w:w="784" w:type="pct"/>
            <w:vAlign w:val="center"/>
          </w:tcPr>
          <w:p w14:paraId="22EC5FEC" w14:textId="77777777" w:rsidR="00CE7B34" w:rsidRPr="00B06893" w:rsidRDefault="00CE7B34" w:rsidP="00860BFB">
            <w:pPr>
              <w:pStyle w:val="Tabletext"/>
              <w:keepNext/>
              <w:keepLines/>
              <w:snapToGrid w:val="0"/>
              <w:rPr>
                <w:b/>
                <w:bCs/>
              </w:rPr>
            </w:pPr>
            <w:r w:rsidRPr="00B06893">
              <w:rPr>
                <w:b/>
                <w:bCs/>
              </w:rPr>
              <w:t>Study ID</w:t>
            </w:r>
          </w:p>
        </w:tc>
        <w:tc>
          <w:tcPr>
            <w:tcW w:w="1966" w:type="pct"/>
          </w:tcPr>
          <w:p w14:paraId="6128AEE2" w14:textId="77777777" w:rsidR="00CE7B34" w:rsidRPr="00B06893" w:rsidRDefault="00CE7B34" w:rsidP="00860BFB">
            <w:pPr>
              <w:pStyle w:val="Tabletext"/>
              <w:keepNext/>
              <w:keepLines/>
              <w:snapToGrid w:val="0"/>
              <w:rPr>
                <w:b/>
                <w:bCs/>
              </w:rPr>
            </w:pPr>
            <w:r w:rsidRPr="00B06893">
              <w:rPr>
                <w:b/>
                <w:bCs/>
              </w:rPr>
              <w:t>Study design</w:t>
            </w:r>
          </w:p>
          <w:p w14:paraId="70C9FF3F" w14:textId="77777777" w:rsidR="00CE7B34" w:rsidRPr="00B06893" w:rsidRDefault="00CE7B34" w:rsidP="00860BFB">
            <w:pPr>
              <w:pStyle w:val="Tabletext"/>
              <w:keepNext/>
              <w:keepLines/>
              <w:snapToGrid w:val="0"/>
              <w:rPr>
                <w:b/>
                <w:bCs/>
              </w:rPr>
            </w:pPr>
            <w:r w:rsidRPr="00B06893">
              <w:rPr>
                <w:b/>
                <w:bCs/>
              </w:rPr>
              <w:t>Outcomes</w:t>
            </w:r>
          </w:p>
        </w:tc>
        <w:tc>
          <w:tcPr>
            <w:tcW w:w="1021" w:type="pct"/>
            <w:vAlign w:val="center"/>
          </w:tcPr>
          <w:p w14:paraId="10520A5A" w14:textId="77777777" w:rsidR="00CE7B34" w:rsidRPr="00B06893" w:rsidRDefault="00CE7B34" w:rsidP="00860BFB">
            <w:pPr>
              <w:pStyle w:val="Tabletext"/>
              <w:keepNext/>
              <w:keepLines/>
              <w:snapToGrid w:val="0"/>
              <w:rPr>
                <w:b/>
                <w:bCs/>
              </w:rPr>
            </w:pPr>
            <w:r w:rsidRPr="00B06893">
              <w:rPr>
                <w:b/>
                <w:bCs/>
              </w:rPr>
              <w:t>Relevant strain</w:t>
            </w:r>
          </w:p>
          <w:p w14:paraId="3663D8EA" w14:textId="77777777" w:rsidR="00CE7B34" w:rsidRPr="00B06893" w:rsidRDefault="00CE7B34" w:rsidP="00860BFB">
            <w:pPr>
              <w:pStyle w:val="Tabletext"/>
              <w:keepNext/>
              <w:keepLines/>
              <w:snapToGrid w:val="0"/>
              <w:rPr>
                <w:b/>
                <w:bCs/>
              </w:rPr>
            </w:pPr>
            <w:r w:rsidRPr="00B06893">
              <w:rPr>
                <w:b/>
                <w:bCs/>
              </w:rPr>
              <w:t>[Age groups assessed]</w:t>
            </w:r>
          </w:p>
        </w:tc>
        <w:tc>
          <w:tcPr>
            <w:tcW w:w="1230" w:type="pct"/>
            <w:vAlign w:val="center"/>
          </w:tcPr>
          <w:p w14:paraId="2F856805" w14:textId="77777777" w:rsidR="00CE7B34" w:rsidRPr="00B06893" w:rsidRDefault="00CE7B34" w:rsidP="00860BFB">
            <w:pPr>
              <w:pStyle w:val="Tabletext"/>
              <w:keepNext/>
              <w:keepLines/>
              <w:snapToGrid w:val="0"/>
              <w:rPr>
                <w:b/>
                <w:bCs/>
              </w:rPr>
            </w:pPr>
            <w:r w:rsidRPr="00B06893">
              <w:rPr>
                <w:b/>
                <w:bCs/>
              </w:rPr>
              <w:t>Study setting</w:t>
            </w:r>
          </w:p>
          <w:p w14:paraId="2BF44795" w14:textId="77777777" w:rsidR="00CE7B34" w:rsidRPr="00B06893" w:rsidRDefault="00CE7B34" w:rsidP="00860BFB">
            <w:pPr>
              <w:pStyle w:val="Tabletext"/>
              <w:keepNext/>
              <w:keepLines/>
              <w:snapToGrid w:val="0"/>
              <w:rPr>
                <w:b/>
                <w:bCs/>
              </w:rPr>
            </w:pPr>
            <w:r w:rsidRPr="00B06893">
              <w:rPr>
                <w:b/>
                <w:bCs/>
              </w:rPr>
              <w:t>Time period</w:t>
            </w:r>
          </w:p>
          <w:p w14:paraId="556AE8B5" w14:textId="77777777" w:rsidR="00CE7B34" w:rsidRPr="00B06893" w:rsidRDefault="00CE7B34" w:rsidP="00860BFB">
            <w:pPr>
              <w:pStyle w:val="Tabletext"/>
              <w:keepNext/>
              <w:keepLines/>
              <w:snapToGrid w:val="0"/>
              <w:rPr>
                <w:b/>
                <w:bCs/>
              </w:rPr>
            </w:pPr>
            <w:r w:rsidRPr="00B06893">
              <w:rPr>
                <w:b/>
                <w:bCs/>
              </w:rPr>
              <w:t>N (number of participants)</w:t>
            </w:r>
          </w:p>
        </w:tc>
      </w:tr>
      <w:tr w:rsidR="00CE7B34" w:rsidRPr="00B06893" w14:paraId="1C7DDC72" w14:textId="77777777" w:rsidTr="00F625C3">
        <w:trPr>
          <w:cantSplit/>
        </w:trPr>
        <w:tc>
          <w:tcPr>
            <w:tcW w:w="5000" w:type="pct"/>
            <w:gridSpan w:val="4"/>
          </w:tcPr>
          <w:p w14:paraId="7FF95D51" w14:textId="0C378960" w:rsidR="00CE7B34" w:rsidRPr="00B06893" w:rsidRDefault="00CE7B34" w:rsidP="00860BFB">
            <w:pPr>
              <w:pStyle w:val="Tabletext"/>
              <w:keepNext/>
              <w:keepLines/>
              <w:snapToGrid w:val="0"/>
              <w:rPr>
                <w:b/>
                <w:bCs/>
              </w:rPr>
            </w:pPr>
            <w:r w:rsidRPr="00B06893">
              <w:rPr>
                <w:b/>
                <w:bCs/>
              </w:rPr>
              <w:t>Spikevax (mRNA</w:t>
            </w:r>
            <w:r w:rsidR="00193971">
              <w:rPr>
                <w:b/>
                <w:bCs/>
              </w:rPr>
              <w:noBreakHyphen/>
            </w:r>
            <w:r w:rsidRPr="00B06893">
              <w:rPr>
                <w:b/>
                <w:bCs/>
              </w:rPr>
              <w:t>1273) updated for recent strains vs. no vaccination</w:t>
            </w:r>
          </w:p>
        </w:tc>
      </w:tr>
      <w:tr w:rsidR="00B01CEB" w:rsidRPr="00B06893" w14:paraId="404593F0" w14:textId="77777777" w:rsidTr="00F625C3">
        <w:trPr>
          <w:cantSplit/>
        </w:trPr>
        <w:tc>
          <w:tcPr>
            <w:tcW w:w="784" w:type="pct"/>
            <w:vAlign w:val="center"/>
          </w:tcPr>
          <w:p w14:paraId="718D8E3C" w14:textId="77777777" w:rsidR="00B01CEB" w:rsidRPr="00B06893" w:rsidRDefault="00B01CEB" w:rsidP="00860BFB">
            <w:pPr>
              <w:pStyle w:val="Tabletext"/>
              <w:keepNext/>
              <w:keepLines/>
              <w:snapToGrid w:val="0"/>
            </w:pPr>
            <w:r w:rsidRPr="00B06893">
              <w:t>Study P403 (Parts1, 2, 3)</w:t>
            </w:r>
          </w:p>
          <w:p w14:paraId="5E9677C0" w14:textId="77777777" w:rsidR="00B01CEB" w:rsidRPr="00B06893" w:rsidRDefault="00B01CEB" w:rsidP="00860BFB">
            <w:pPr>
              <w:pStyle w:val="Tabletext"/>
              <w:keepNext/>
              <w:keepLines/>
              <w:snapToGrid w:val="0"/>
            </w:pPr>
            <w:r w:rsidRPr="00B06893">
              <w:t>NCT06585241</w:t>
            </w:r>
          </w:p>
          <w:p w14:paraId="299DF1C5" w14:textId="4D7CE694" w:rsidR="00B01CEB" w:rsidRPr="00B06893" w:rsidRDefault="00B01CEB" w:rsidP="00860BFB">
            <w:pPr>
              <w:pStyle w:val="Tabletext"/>
              <w:keepNext/>
              <w:keepLines/>
              <w:snapToGrid w:val="0"/>
            </w:pPr>
            <w:r w:rsidRPr="00B06893">
              <w:t>Figueroa. (2025)</w:t>
            </w:r>
          </w:p>
        </w:tc>
        <w:tc>
          <w:tcPr>
            <w:tcW w:w="1966" w:type="pct"/>
            <w:vAlign w:val="center"/>
          </w:tcPr>
          <w:p w14:paraId="4BA68FD6" w14:textId="77777777" w:rsidR="00B01CEB" w:rsidRPr="00B06893" w:rsidRDefault="00B01CEB" w:rsidP="00860BFB">
            <w:pPr>
              <w:pStyle w:val="Tabletext"/>
              <w:keepNext/>
              <w:keepLines/>
              <w:snapToGrid w:val="0"/>
            </w:pPr>
            <w:r w:rsidRPr="00B06893">
              <w:t>Clinical trial</w:t>
            </w:r>
          </w:p>
          <w:p w14:paraId="4FE8D6F0" w14:textId="77777777" w:rsidR="00B01CEB" w:rsidRPr="00B06893" w:rsidRDefault="00B01CEB" w:rsidP="00860BFB">
            <w:pPr>
              <w:pStyle w:val="Tabletext"/>
              <w:keepNext/>
              <w:keepLines/>
              <w:snapToGrid w:val="0"/>
            </w:pPr>
            <w:r w:rsidRPr="00B06893">
              <w:t xml:space="preserve">Phase 3/4 </w:t>
            </w:r>
          </w:p>
          <w:p w14:paraId="328A98FE" w14:textId="77777777" w:rsidR="00B01CEB" w:rsidRPr="00B06893" w:rsidRDefault="00B01CEB" w:rsidP="00860BFB">
            <w:pPr>
              <w:pStyle w:val="Tabletext"/>
              <w:keepNext/>
              <w:keepLines/>
              <w:snapToGrid w:val="0"/>
            </w:pPr>
          </w:p>
          <w:p w14:paraId="0A1C2005" w14:textId="77777777" w:rsidR="00B01CEB" w:rsidRPr="00B06893" w:rsidRDefault="00B01CEB" w:rsidP="00860BFB">
            <w:pPr>
              <w:pStyle w:val="Tabletext"/>
              <w:keepNext/>
              <w:keepLines/>
              <w:snapToGrid w:val="0"/>
            </w:pPr>
            <w:r w:rsidRPr="00B06893">
              <w:t>Immunogenicity</w:t>
            </w:r>
          </w:p>
          <w:p w14:paraId="740507D3" w14:textId="77777777" w:rsidR="00B01CEB" w:rsidRPr="00B06893" w:rsidRDefault="00B01CEB" w:rsidP="00860BFB">
            <w:pPr>
              <w:pStyle w:val="Tabletext"/>
              <w:keepNext/>
              <w:keepLines/>
              <w:snapToGrid w:val="0"/>
            </w:pPr>
            <w:r w:rsidRPr="00B06893">
              <w:t>Safety</w:t>
            </w:r>
          </w:p>
          <w:p w14:paraId="000A29B6" w14:textId="77777777" w:rsidR="00B01CEB" w:rsidRPr="00B06893" w:rsidRDefault="00B01CEB" w:rsidP="00860BFB">
            <w:pPr>
              <w:pStyle w:val="Tabletext"/>
              <w:keepNext/>
              <w:keepLines/>
              <w:snapToGrid w:val="0"/>
            </w:pPr>
          </w:p>
          <w:p w14:paraId="2B50E464" w14:textId="33EC9695" w:rsidR="00B01CEB" w:rsidRPr="00B06893" w:rsidRDefault="00B01CEB" w:rsidP="00860BFB">
            <w:pPr>
              <w:pStyle w:val="Tabletext"/>
              <w:keepNext/>
              <w:keepLines/>
              <w:snapToGrid w:val="0"/>
            </w:pPr>
            <w:r w:rsidRPr="00B06893">
              <w:t xml:space="preserve">Risk of bias: low for immunogenicity but high for safety. </w:t>
            </w:r>
            <w:r w:rsidR="0028641B" w:rsidRPr="00B06893">
              <w:t>T</w:t>
            </w:r>
            <w:r w:rsidR="00312F4B" w:rsidRPr="00B06893">
              <w:t>here was no pre</w:t>
            </w:r>
            <w:r w:rsidR="00193971">
              <w:noBreakHyphen/>
            </w:r>
            <w:r w:rsidR="00312F4B" w:rsidRPr="00B06893">
              <w:t>defined threshold or titre level, as an appropriate measure of protection, identified in the submission, immunogenicity data from these studies were based on short follow</w:t>
            </w:r>
            <w:r w:rsidR="00193971">
              <w:noBreakHyphen/>
            </w:r>
            <w:r w:rsidR="00312F4B" w:rsidRPr="00B06893">
              <w:t>up periods (up to 6 months). Longer</w:t>
            </w:r>
            <w:r w:rsidR="00193971">
              <w:noBreakHyphen/>
            </w:r>
            <w:r w:rsidR="00312F4B" w:rsidRPr="00B06893">
              <w:t>term data are required to assess response.</w:t>
            </w:r>
          </w:p>
        </w:tc>
        <w:tc>
          <w:tcPr>
            <w:tcW w:w="1021" w:type="pct"/>
            <w:vAlign w:val="center"/>
          </w:tcPr>
          <w:p w14:paraId="039124EB" w14:textId="77777777" w:rsidR="00B01CEB" w:rsidRPr="00B06893" w:rsidRDefault="00B01CEB" w:rsidP="00860BFB">
            <w:pPr>
              <w:pStyle w:val="Tabletext"/>
              <w:keepNext/>
              <w:keepLines/>
              <w:snapToGrid w:val="0"/>
              <w:rPr>
                <w:b/>
                <w:bCs/>
                <w:u w:val="single"/>
              </w:rPr>
            </w:pPr>
            <w:r w:rsidRPr="00B06893">
              <w:rPr>
                <w:b/>
                <w:bCs/>
                <w:u w:val="single"/>
              </w:rPr>
              <w:t>NI</w:t>
            </w:r>
          </w:p>
          <w:p w14:paraId="7241FBFF" w14:textId="77777777" w:rsidR="00B01CEB" w:rsidRPr="00B06893" w:rsidRDefault="00B01CEB" w:rsidP="00860BFB">
            <w:pPr>
              <w:pStyle w:val="Tabletext"/>
              <w:keepNext/>
              <w:keepLines/>
              <w:snapToGrid w:val="0"/>
            </w:pPr>
            <w:r w:rsidRPr="00B06893">
              <w:t>JN.1 (Part 1)</w:t>
            </w:r>
          </w:p>
          <w:p w14:paraId="686D616B" w14:textId="77777777" w:rsidR="00B01CEB" w:rsidRPr="00B06893" w:rsidRDefault="00B01CEB" w:rsidP="00860BFB">
            <w:pPr>
              <w:pStyle w:val="Tabletext"/>
              <w:keepNext/>
              <w:keepLines/>
              <w:snapToGrid w:val="0"/>
            </w:pPr>
            <w:r w:rsidRPr="00B06893">
              <w:t>[≥18 years]</w:t>
            </w:r>
          </w:p>
          <w:p w14:paraId="473F2268" w14:textId="77777777" w:rsidR="00B01CEB" w:rsidRPr="00B06893" w:rsidRDefault="00B01CEB" w:rsidP="00860BFB">
            <w:pPr>
              <w:pStyle w:val="Tabletext"/>
              <w:keepNext/>
              <w:keepLines/>
              <w:snapToGrid w:val="0"/>
            </w:pPr>
            <w:r w:rsidRPr="00B06893">
              <w:t>[≥65 years]</w:t>
            </w:r>
          </w:p>
          <w:p w14:paraId="5C17D622" w14:textId="77777777" w:rsidR="00B01CEB" w:rsidRPr="00B06893" w:rsidRDefault="00B01CEB" w:rsidP="00860BFB">
            <w:pPr>
              <w:pStyle w:val="Tabletext"/>
              <w:keepNext/>
              <w:keepLines/>
              <w:snapToGrid w:val="0"/>
            </w:pPr>
          </w:p>
          <w:p w14:paraId="197EB4D7" w14:textId="77777777" w:rsidR="00B01CEB" w:rsidRPr="00B06893" w:rsidRDefault="00B01CEB" w:rsidP="00860BFB">
            <w:pPr>
              <w:pStyle w:val="Tabletext"/>
              <w:keepNext/>
              <w:keepLines/>
              <w:snapToGrid w:val="0"/>
            </w:pPr>
            <w:r w:rsidRPr="00B06893">
              <w:t>XBB.1.5 (Part 2)</w:t>
            </w:r>
          </w:p>
          <w:p w14:paraId="2CEC5175" w14:textId="77777777" w:rsidR="00B01CEB" w:rsidRPr="00B06893" w:rsidRDefault="00B01CEB" w:rsidP="00860BFB">
            <w:pPr>
              <w:pStyle w:val="Tabletext"/>
              <w:keepNext/>
              <w:keepLines/>
              <w:snapToGrid w:val="0"/>
            </w:pPr>
            <w:r w:rsidRPr="00B06893">
              <w:t>[≥18 years]</w:t>
            </w:r>
          </w:p>
          <w:p w14:paraId="00FDB592" w14:textId="77777777" w:rsidR="00B01CEB" w:rsidRPr="00B06893" w:rsidRDefault="00B01CEB" w:rsidP="00860BFB">
            <w:pPr>
              <w:pStyle w:val="Tabletext"/>
              <w:keepNext/>
              <w:keepLines/>
              <w:snapToGrid w:val="0"/>
            </w:pPr>
          </w:p>
          <w:p w14:paraId="202B6122" w14:textId="77777777" w:rsidR="00B01CEB" w:rsidRPr="00B06893" w:rsidRDefault="00B01CEB" w:rsidP="00860BFB">
            <w:pPr>
              <w:pStyle w:val="Tabletext"/>
              <w:keepNext/>
              <w:keepLines/>
              <w:snapToGrid w:val="0"/>
            </w:pPr>
            <w:r w:rsidRPr="00B06893">
              <w:t>LP.8.1 (Part 3)</w:t>
            </w:r>
          </w:p>
          <w:p w14:paraId="3B3A0695" w14:textId="77777777" w:rsidR="00B01CEB" w:rsidRPr="00B06893" w:rsidRDefault="00B01CEB" w:rsidP="00860BFB">
            <w:pPr>
              <w:pStyle w:val="Tabletext"/>
              <w:keepNext/>
              <w:keepLines/>
              <w:snapToGrid w:val="0"/>
            </w:pPr>
            <w:r w:rsidRPr="00B06893">
              <w:t>[≥18 years]</w:t>
            </w:r>
          </w:p>
          <w:p w14:paraId="3C1B4E12" w14:textId="77777777" w:rsidR="00B01CEB" w:rsidRPr="00B06893" w:rsidRDefault="00B01CEB" w:rsidP="00860BFB">
            <w:pPr>
              <w:pStyle w:val="Tabletext"/>
              <w:keepNext/>
              <w:keepLines/>
              <w:snapToGrid w:val="0"/>
            </w:pPr>
            <w:r w:rsidRPr="00B06893">
              <w:t>[≥65 years]</w:t>
            </w:r>
          </w:p>
          <w:p w14:paraId="7E8ED2B7" w14:textId="77777777" w:rsidR="00B01CEB" w:rsidRPr="00B06893" w:rsidRDefault="00B01CEB" w:rsidP="00860BFB">
            <w:pPr>
              <w:pStyle w:val="Tabletext"/>
              <w:keepNext/>
              <w:keepLines/>
              <w:snapToGrid w:val="0"/>
            </w:pPr>
          </w:p>
          <w:p w14:paraId="4836AFF0" w14:textId="77777777" w:rsidR="00B01CEB" w:rsidRPr="00B06893" w:rsidRDefault="00B01CEB" w:rsidP="00860BFB">
            <w:pPr>
              <w:pStyle w:val="Tabletext"/>
              <w:keepNext/>
              <w:keepLines/>
              <w:snapToGrid w:val="0"/>
            </w:pPr>
            <w:r w:rsidRPr="00B06893">
              <w:t>KP.2 (Part 2)</w:t>
            </w:r>
          </w:p>
          <w:p w14:paraId="5956914A" w14:textId="750874F5" w:rsidR="00B01CEB" w:rsidRPr="00B06893" w:rsidRDefault="00B01CEB" w:rsidP="00860BFB">
            <w:pPr>
              <w:pStyle w:val="Tabletext"/>
              <w:keepNext/>
              <w:keepLines/>
              <w:snapToGrid w:val="0"/>
              <w:rPr>
                <w:b/>
                <w:bCs/>
                <w:u w:val="single"/>
              </w:rPr>
            </w:pPr>
            <w:r w:rsidRPr="00B06893">
              <w:t>[≥18 years]</w:t>
            </w:r>
          </w:p>
        </w:tc>
        <w:tc>
          <w:tcPr>
            <w:tcW w:w="1230" w:type="pct"/>
            <w:vAlign w:val="center"/>
          </w:tcPr>
          <w:p w14:paraId="607BD4FC" w14:textId="77777777" w:rsidR="00B01CEB" w:rsidRPr="00B06893" w:rsidRDefault="00B01CEB" w:rsidP="00860BFB">
            <w:pPr>
              <w:pStyle w:val="Tabletext"/>
              <w:keepNext/>
              <w:keepLines/>
              <w:snapToGrid w:val="0"/>
            </w:pPr>
            <w:r w:rsidRPr="00B06893">
              <w:t>USA</w:t>
            </w:r>
          </w:p>
          <w:p w14:paraId="09A6BCAA" w14:textId="77777777" w:rsidR="00B01CEB" w:rsidRPr="00B06893" w:rsidRDefault="00B01CEB" w:rsidP="00860BFB">
            <w:pPr>
              <w:pStyle w:val="Tabletext"/>
              <w:keepNext/>
              <w:keepLines/>
              <w:snapToGrid w:val="0"/>
            </w:pPr>
            <w:r w:rsidRPr="00B06893">
              <w:t>Approximately 12 months</w:t>
            </w:r>
          </w:p>
          <w:p w14:paraId="5CA07590" w14:textId="77777777" w:rsidR="00B01CEB" w:rsidRPr="00B06893" w:rsidRDefault="00B01CEB" w:rsidP="00860BFB">
            <w:pPr>
              <w:pStyle w:val="Tabletext"/>
              <w:keepNext/>
              <w:keepLines/>
              <w:snapToGrid w:val="0"/>
            </w:pPr>
            <w:r w:rsidRPr="00B06893">
              <w:t>JN.1: N=50</w:t>
            </w:r>
          </w:p>
          <w:p w14:paraId="6910B03A" w14:textId="12CAEACF" w:rsidR="00B01CEB" w:rsidRPr="00B06893" w:rsidRDefault="00B01CEB" w:rsidP="00860BFB">
            <w:pPr>
              <w:pStyle w:val="Tabletext"/>
              <w:keepNext/>
              <w:keepLines/>
              <w:snapToGrid w:val="0"/>
            </w:pPr>
            <w:r w:rsidRPr="00B06893">
              <w:t>KP.2: N=50</w:t>
            </w:r>
          </w:p>
        </w:tc>
      </w:tr>
      <w:tr w:rsidR="00B01CEB" w:rsidRPr="00B06893" w14:paraId="173C2F04" w14:textId="77777777" w:rsidTr="00F625C3">
        <w:trPr>
          <w:cantSplit/>
          <w:trHeight w:val="1795"/>
        </w:trPr>
        <w:tc>
          <w:tcPr>
            <w:tcW w:w="784" w:type="pct"/>
            <w:vAlign w:val="center"/>
          </w:tcPr>
          <w:p w14:paraId="0D9EC458" w14:textId="77777777" w:rsidR="00B01CEB" w:rsidRPr="00B06893" w:rsidRDefault="00B01CEB" w:rsidP="009216D5">
            <w:pPr>
              <w:pStyle w:val="Tabletext"/>
              <w:snapToGrid w:val="0"/>
            </w:pPr>
            <w:r w:rsidRPr="00B06893">
              <w:t>Study P205 (Part J)</w:t>
            </w:r>
          </w:p>
          <w:p w14:paraId="1EDF1FD7" w14:textId="77777777" w:rsidR="00B01CEB" w:rsidRPr="00B06893" w:rsidRDefault="00B01CEB" w:rsidP="009216D5">
            <w:pPr>
              <w:pStyle w:val="Tabletext"/>
              <w:snapToGrid w:val="0"/>
            </w:pPr>
            <w:r w:rsidRPr="00B06893">
              <w:t>NCT04927065</w:t>
            </w:r>
          </w:p>
          <w:p w14:paraId="70D53399" w14:textId="77777777" w:rsidR="00B01CEB" w:rsidRPr="00B06893" w:rsidRDefault="00B01CEB" w:rsidP="009216D5">
            <w:pPr>
              <w:pStyle w:val="Tabletext"/>
              <w:snapToGrid w:val="0"/>
            </w:pPr>
          </w:p>
          <w:p w14:paraId="1D519A75" w14:textId="3E297323" w:rsidR="00B01CEB" w:rsidRPr="00B06893" w:rsidRDefault="00B01CEB" w:rsidP="009216D5">
            <w:pPr>
              <w:pStyle w:val="Tabletext"/>
              <w:snapToGrid w:val="0"/>
            </w:pPr>
            <w:r w:rsidRPr="00B06893">
              <w:t>Chalkias (2024)</w:t>
            </w:r>
          </w:p>
        </w:tc>
        <w:tc>
          <w:tcPr>
            <w:tcW w:w="1966" w:type="pct"/>
          </w:tcPr>
          <w:p w14:paraId="5732D79C" w14:textId="77777777" w:rsidR="00B01CEB" w:rsidRPr="00B06893" w:rsidRDefault="00B01CEB" w:rsidP="009216D5">
            <w:pPr>
              <w:pStyle w:val="Tabletext"/>
              <w:snapToGrid w:val="0"/>
            </w:pPr>
            <w:r w:rsidRPr="00B06893">
              <w:t>Clinical trial</w:t>
            </w:r>
          </w:p>
          <w:p w14:paraId="548669F7" w14:textId="77777777" w:rsidR="00B01CEB" w:rsidRPr="00B06893" w:rsidRDefault="00B01CEB" w:rsidP="009216D5">
            <w:pPr>
              <w:pStyle w:val="Tabletext"/>
              <w:snapToGrid w:val="0"/>
            </w:pPr>
            <w:r w:rsidRPr="00B06893">
              <w:t>Phase 2/3</w:t>
            </w:r>
          </w:p>
          <w:p w14:paraId="439C10F5" w14:textId="77777777" w:rsidR="00B01CEB" w:rsidRPr="00B06893" w:rsidRDefault="00B01CEB" w:rsidP="009216D5">
            <w:pPr>
              <w:pStyle w:val="Tabletext"/>
              <w:snapToGrid w:val="0"/>
            </w:pPr>
          </w:p>
          <w:p w14:paraId="554353E1" w14:textId="77777777" w:rsidR="00B01CEB" w:rsidRPr="00B06893" w:rsidRDefault="00B01CEB" w:rsidP="009216D5">
            <w:pPr>
              <w:pStyle w:val="Tabletext"/>
              <w:snapToGrid w:val="0"/>
            </w:pPr>
            <w:r w:rsidRPr="00B06893">
              <w:t>Immunogenicity</w:t>
            </w:r>
          </w:p>
          <w:p w14:paraId="12F5C684" w14:textId="77777777" w:rsidR="00B01CEB" w:rsidRPr="00B06893" w:rsidRDefault="00B01CEB" w:rsidP="009216D5">
            <w:pPr>
              <w:pStyle w:val="Tabletext"/>
              <w:snapToGrid w:val="0"/>
            </w:pPr>
            <w:r w:rsidRPr="00B06893">
              <w:t>Safety</w:t>
            </w:r>
          </w:p>
          <w:p w14:paraId="79CD7F61" w14:textId="77777777" w:rsidR="00B01CEB" w:rsidRPr="00B06893" w:rsidRDefault="00B01CEB" w:rsidP="009216D5">
            <w:pPr>
              <w:pStyle w:val="Tabletext"/>
              <w:snapToGrid w:val="0"/>
            </w:pPr>
          </w:p>
          <w:p w14:paraId="5E9F3BD7" w14:textId="462FB4A5" w:rsidR="00B01CEB" w:rsidRPr="00B06893" w:rsidRDefault="00B01CEB" w:rsidP="009216D5">
            <w:pPr>
              <w:pStyle w:val="Tabletext"/>
              <w:snapToGrid w:val="0"/>
            </w:pPr>
            <w:r w:rsidRPr="00B06893">
              <w:t>Risk of bias: low for immunogenicity but high for safety.</w:t>
            </w:r>
          </w:p>
        </w:tc>
        <w:tc>
          <w:tcPr>
            <w:tcW w:w="1021" w:type="pct"/>
            <w:vAlign w:val="center"/>
          </w:tcPr>
          <w:p w14:paraId="249BBC48" w14:textId="77777777" w:rsidR="00B01CEB" w:rsidRPr="00B06893" w:rsidRDefault="00B01CEB" w:rsidP="009216D5">
            <w:pPr>
              <w:pStyle w:val="Tabletext"/>
              <w:snapToGrid w:val="0"/>
              <w:rPr>
                <w:b/>
                <w:bCs/>
                <w:u w:val="single"/>
              </w:rPr>
            </w:pPr>
            <w:r w:rsidRPr="00B06893">
              <w:rPr>
                <w:b/>
                <w:bCs/>
                <w:u w:val="single"/>
              </w:rPr>
              <w:t>NI</w:t>
            </w:r>
          </w:p>
          <w:p w14:paraId="0592E609" w14:textId="77777777" w:rsidR="00B01CEB" w:rsidRPr="00B06893" w:rsidRDefault="00B01CEB" w:rsidP="009216D5">
            <w:pPr>
              <w:pStyle w:val="Tabletext"/>
              <w:snapToGrid w:val="0"/>
            </w:pPr>
            <w:r w:rsidRPr="00B06893">
              <w:t>XBB.1.5</w:t>
            </w:r>
          </w:p>
          <w:p w14:paraId="1DC78FEF" w14:textId="6F8F8C82" w:rsidR="00B01CEB" w:rsidRPr="00B06893" w:rsidRDefault="00B01CEB" w:rsidP="009216D5">
            <w:pPr>
              <w:pStyle w:val="Tabletext"/>
              <w:snapToGrid w:val="0"/>
              <w:rPr>
                <w:b/>
                <w:bCs/>
                <w:u w:val="single"/>
              </w:rPr>
            </w:pPr>
            <w:r w:rsidRPr="00B06893">
              <w:t>[≥18 years]</w:t>
            </w:r>
          </w:p>
        </w:tc>
        <w:tc>
          <w:tcPr>
            <w:tcW w:w="1230" w:type="pct"/>
            <w:vAlign w:val="center"/>
          </w:tcPr>
          <w:p w14:paraId="710E3BA1" w14:textId="77777777" w:rsidR="00B01CEB" w:rsidRPr="00B06893" w:rsidRDefault="00B01CEB" w:rsidP="009216D5">
            <w:pPr>
              <w:pStyle w:val="Tabletext"/>
              <w:snapToGrid w:val="0"/>
            </w:pPr>
            <w:r w:rsidRPr="00B06893">
              <w:t>United States</w:t>
            </w:r>
          </w:p>
          <w:p w14:paraId="4A12789D" w14:textId="77777777" w:rsidR="00B01CEB" w:rsidRPr="00B06893" w:rsidRDefault="00B01CEB" w:rsidP="009216D5">
            <w:pPr>
              <w:pStyle w:val="Tabletext"/>
              <w:snapToGrid w:val="0"/>
            </w:pPr>
            <w:r w:rsidRPr="00B06893">
              <w:t>Approximately 12 months</w:t>
            </w:r>
          </w:p>
          <w:p w14:paraId="0BE97BB9" w14:textId="41A9F2E1" w:rsidR="00B01CEB" w:rsidRPr="00B06893" w:rsidRDefault="00B01CEB" w:rsidP="009216D5">
            <w:pPr>
              <w:pStyle w:val="Tabletext"/>
              <w:snapToGrid w:val="0"/>
            </w:pPr>
            <w:r w:rsidRPr="00B06893">
              <w:t>N=50</w:t>
            </w:r>
          </w:p>
        </w:tc>
      </w:tr>
      <w:tr w:rsidR="00CE7B34" w:rsidRPr="00B06893" w14:paraId="7503D87A" w14:textId="77777777" w:rsidTr="00F625C3">
        <w:trPr>
          <w:cantSplit/>
        </w:trPr>
        <w:tc>
          <w:tcPr>
            <w:tcW w:w="784" w:type="pct"/>
            <w:vAlign w:val="center"/>
          </w:tcPr>
          <w:p w14:paraId="1B2631B4" w14:textId="77777777" w:rsidR="00CE7B34" w:rsidRPr="00B06893" w:rsidRDefault="00CE7B34" w:rsidP="009216D5">
            <w:pPr>
              <w:pStyle w:val="Tabletext"/>
              <w:snapToGrid w:val="0"/>
            </w:pPr>
            <w:r w:rsidRPr="00B06893">
              <w:lastRenderedPageBreak/>
              <w:t>Hansen (2025)</w:t>
            </w:r>
          </w:p>
        </w:tc>
        <w:tc>
          <w:tcPr>
            <w:tcW w:w="1966" w:type="pct"/>
          </w:tcPr>
          <w:p w14:paraId="234D78D2" w14:textId="77777777" w:rsidR="00CE7B34" w:rsidRPr="00B06893" w:rsidRDefault="00CE7B34" w:rsidP="009216D5">
            <w:pPr>
              <w:pStyle w:val="Tabletext"/>
              <w:snapToGrid w:val="0"/>
            </w:pPr>
            <w:r w:rsidRPr="00B06893">
              <w:t>RWE</w:t>
            </w:r>
          </w:p>
          <w:p w14:paraId="6E20CD21" w14:textId="77777777" w:rsidR="00CE7B34" w:rsidRPr="00B06893" w:rsidRDefault="00CE7B34" w:rsidP="009216D5">
            <w:pPr>
              <w:pStyle w:val="Tabletext"/>
              <w:snapToGrid w:val="0"/>
            </w:pPr>
            <w:r w:rsidRPr="00B06893">
              <w:t>Retrospective cohort</w:t>
            </w:r>
          </w:p>
          <w:p w14:paraId="7B6A57B5" w14:textId="77777777" w:rsidR="00CE7B34" w:rsidRPr="00B06893" w:rsidRDefault="00CE7B34" w:rsidP="009216D5">
            <w:pPr>
              <w:pStyle w:val="Tabletext"/>
              <w:snapToGrid w:val="0"/>
            </w:pPr>
          </w:p>
          <w:p w14:paraId="39B3AA2C" w14:textId="77777777" w:rsidR="00CE7B34" w:rsidRPr="00B06893" w:rsidRDefault="00CE7B34" w:rsidP="009216D5">
            <w:pPr>
              <w:pStyle w:val="Tabletext"/>
              <w:snapToGrid w:val="0"/>
            </w:pPr>
            <w:r w:rsidRPr="00B06893">
              <w:t>Mortality</w:t>
            </w:r>
          </w:p>
          <w:p w14:paraId="3C9437B8" w14:textId="77777777" w:rsidR="00CE7B34" w:rsidRPr="00B06893" w:rsidRDefault="00CE7B34" w:rsidP="009216D5">
            <w:pPr>
              <w:pStyle w:val="Tabletext"/>
              <w:snapToGrid w:val="0"/>
            </w:pPr>
            <w:r w:rsidRPr="00B06893">
              <w:t>Hospitalisation</w:t>
            </w:r>
          </w:p>
          <w:p w14:paraId="1D2A709A" w14:textId="77777777" w:rsidR="00CE7B34" w:rsidRPr="00B06893" w:rsidRDefault="00CE7B34" w:rsidP="009216D5">
            <w:pPr>
              <w:pStyle w:val="Tabletext"/>
              <w:snapToGrid w:val="0"/>
            </w:pPr>
          </w:p>
          <w:p w14:paraId="002E86DC" w14:textId="77777777" w:rsidR="00CE7B34" w:rsidRPr="00B06893" w:rsidRDefault="00CE7B34" w:rsidP="009216D5">
            <w:pPr>
              <w:pStyle w:val="Tabletext"/>
              <w:snapToGrid w:val="0"/>
            </w:pPr>
            <w:r w:rsidRPr="00B06893">
              <w:t>Risk of selection bias and confounding</w:t>
            </w:r>
          </w:p>
        </w:tc>
        <w:tc>
          <w:tcPr>
            <w:tcW w:w="1021" w:type="pct"/>
            <w:vAlign w:val="center"/>
          </w:tcPr>
          <w:p w14:paraId="13F86145" w14:textId="77777777" w:rsidR="00CE7B34" w:rsidRPr="00B06893" w:rsidRDefault="00CE7B34" w:rsidP="009216D5">
            <w:pPr>
              <w:pStyle w:val="Tabletext"/>
              <w:snapToGrid w:val="0"/>
              <w:rPr>
                <w:b/>
                <w:bCs/>
                <w:u w:val="single"/>
              </w:rPr>
            </w:pPr>
            <w:r w:rsidRPr="00B06893">
              <w:rPr>
                <w:b/>
                <w:bCs/>
                <w:u w:val="single"/>
              </w:rPr>
              <w:t>NI</w:t>
            </w:r>
          </w:p>
          <w:p w14:paraId="3AB84226" w14:textId="77777777" w:rsidR="00CE7B34" w:rsidRPr="00B06893" w:rsidRDefault="00CE7B34" w:rsidP="009216D5">
            <w:pPr>
              <w:pStyle w:val="Tabletext"/>
              <w:snapToGrid w:val="0"/>
            </w:pPr>
            <w:r w:rsidRPr="00B06893">
              <w:t>JN.1</w:t>
            </w:r>
          </w:p>
          <w:p w14:paraId="49CE88D9" w14:textId="77777777" w:rsidR="00CE7B34" w:rsidRPr="00B06893" w:rsidRDefault="00CE7B34" w:rsidP="009216D5">
            <w:pPr>
              <w:pStyle w:val="Tabletext"/>
              <w:snapToGrid w:val="0"/>
            </w:pPr>
            <w:r w:rsidRPr="00B06893">
              <w:t>[≥65 years]</w:t>
            </w:r>
          </w:p>
        </w:tc>
        <w:tc>
          <w:tcPr>
            <w:tcW w:w="1230" w:type="pct"/>
            <w:vAlign w:val="center"/>
          </w:tcPr>
          <w:p w14:paraId="1364BF1B" w14:textId="77777777" w:rsidR="00CE7B34" w:rsidRPr="00B06893" w:rsidRDefault="00CE7B34" w:rsidP="009216D5">
            <w:pPr>
              <w:pStyle w:val="Tabletext"/>
              <w:snapToGrid w:val="0"/>
            </w:pPr>
            <w:r w:rsidRPr="00B06893">
              <w:t>Denmark</w:t>
            </w:r>
          </w:p>
          <w:p w14:paraId="1B043339" w14:textId="77777777" w:rsidR="00CE7B34" w:rsidRPr="00B06893" w:rsidRDefault="00CE7B34" w:rsidP="009216D5">
            <w:pPr>
              <w:pStyle w:val="Tabletext"/>
              <w:snapToGrid w:val="0"/>
            </w:pPr>
            <w:r w:rsidRPr="00B06893">
              <w:t>1 October 2024 to 31 January 2025</w:t>
            </w:r>
          </w:p>
          <w:p w14:paraId="0B2DBEF8" w14:textId="77777777" w:rsidR="00CE7B34" w:rsidRPr="00B06893" w:rsidRDefault="00CE7B34" w:rsidP="009216D5">
            <w:pPr>
              <w:pStyle w:val="Tabletext"/>
              <w:snapToGrid w:val="0"/>
            </w:pPr>
            <w:r w:rsidRPr="00B06893">
              <w:t>N=894,560</w:t>
            </w:r>
          </w:p>
        </w:tc>
      </w:tr>
      <w:tr w:rsidR="00CE7B34" w:rsidRPr="00B06893" w14:paraId="6FAB5D10" w14:textId="77777777" w:rsidTr="00F625C3">
        <w:trPr>
          <w:cantSplit/>
        </w:trPr>
        <w:tc>
          <w:tcPr>
            <w:tcW w:w="784" w:type="pct"/>
            <w:vAlign w:val="center"/>
          </w:tcPr>
          <w:p w14:paraId="2F94BCDA" w14:textId="1CA3BB36" w:rsidR="00CE7B34" w:rsidRPr="00B06893" w:rsidRDefault="00CE7B34" w:rsidP="009216D5">
            <w:pPr>
              <w:pStyle w:val="Tabletext"/>
              <w:snapToGrid w:val="0"/>
            </w:pPr>
            <w:r w:rsidRPr="00B06893">
              <w:t>Kopel</w:t>
            </w:r>
            <w:r w:rsidR="00F625C3" w:rsidRPr="00B06893">
              <w:t xml:space="preserve"> (2024) </w:t>
            </w:r>
          </w:p>
        </w:tc>
        <w:tc>
          <w:tcPr>
            <w:tcW w:w="1966" w:type="pct"/>
          </w:tcPr>
          <w:p w14:paraId="781DCCD6" w14:textId="77777777" w:rsidR="00CE7B34" w:rsidRPr="00B06893" w:rsidRDefault="00CE7B34" w:rsidP="009216D5">
            <w:pPr>
              <w:pStyle w:val="Tabletext"/>
              <w:snapToGrid w:val="0"/>
            </w:pPr>
            <w:r w:rsidRPr="00B06893">
              <w:t>RWE</w:t>
            </w:r>
          </w:p>
          <w:p w14:paraId="2A481F2F" w14:textId="77777777" w:rsidR="00CE7B34" w:rsidRPr="00B06893" w:rsidRDefault="00CE7B34" w:rsidP="009216D5">
            <w:pPr>
              <w:pStyle w:val="Tabletext"/>
              <w:snapToGrid w:val="0"/>
            </w:pPr>
            <w:r w:rsidRPr="00B06893">
              <w:t>Retrospective cohort</w:t>
            </w:r>
          </w:p>
          <w:p w14:paraId="2BE12837" w14:textId="77777777" w:rsidR="00CE7B34" w:rsidRPr="00B06893" w:rsidRDefault="00CE7B34" w:rsidP="009216D5">
            <w:pPr>
              <w:pStyle w:val="Tabletext"/>
              <w:snapToGrid w:val="0"/>
            </w:pPr>
          </w:p>
          <w:p w14:paraId="77D08D29" w14:textId="77777777" w:rsidR="00CE7B34" w:rsidRPr="00B06893" w:rsidRDefault="00CE7B34" w:rsidP="009216D5">
            <w:pPr>
              <w:pStyle w:val="Tabletext"/>
              <w:snapToGrid w:val="0"/>
            </w:pPr>
            <w:r w:rsidRPr="00B06893">
              <w:t>Hospitalisation</w:t>
            </w:r>
          </w:p>
          <w:p w14:paraId="16C44D2A" w14:textId="77777777" w:rsidR="00CE7B34" w:rsidRPr="00B06893" w:rsidRDefault="00CE7B34" w:rsidP="009216D5">
            <w:pPr>
              <w:pStyle w:val="Tabletext"/>
              <w:snapToGrid w:val="0"/>
            </w:pPr>
            <w:r w:rsidRPr="00B06893">
              <w:t>Medical attendance</w:t>
            </w:r>
          </w:p>
          <w:p w14:paraId="03D1140F" w14:textId="77777777" w:rsidR="00CE7B34" w:rsidRPr="00B06893" w:rsidRDefault="00CE7B34" w:rsidP="009216D5">
            <w:pPr>
              <w:pStyle w:val="Tabletext"/>
              <w:snapToGrid w:val="0"/>
            </w:pPr>
          </w:p>
          <w:p w14:paraId="06FB4816" w14:textId="4B7381D7" w:rsidR="00CE7B34" w:rsidRPr="00B06893" w:rsidRDefault="003B2DF9" w:rsidP="009216D5">
            <w:pPr>
              <w:pStyle w:val="Tabletext"/>
              <w:snapToGrid w:val="0"/>
            </w:pPr>
            <w:r w:rsidRPr="00B06893">
              <w:t>High r</w:t>
            </w:r>
            <w:r w:rsidR="00CE7B34" w:rsidRPr="00B06893">
              <w:t>isk of selection bias and confounding. Medical attendance has limited utility.</w:t>
            </w:r>
          </w:p>
        </w:tc>
        <w:tc>
          <w:tcPr>
            <w:tcW w:w="1021" w:type="pct"/>
            <w:vAlign w:val="center"/>
          </w:tcPr>
          <w:p w14:paraId="71093627" w14:textId="77777777" w:rsidR="00CE7B34" w:rsidRPr="00B06893" w:rsidRDefault="00CE7B34" w:rsidP="009216D5">
            <w:pPr>
              <w:pStyle w:val="Tabletext"/>
              <w:snapToGrid w:val="0"/>
              <w:rPr>
                <w:b/>
                <w:bCs/>
                <w:u w:val="single"/>
              </w:rPr>
            </w:pPr>
            <w:r w:rsidRPr="00B06893">
              <w:rPr>
                <w:b/>
                <w:bCs/>
                <w:u w:val="single"/>
              </w:rPr>
              <w:t>NI</w:t>
            </w:r>
          </w:p>
          <w:p w14:paraId="096F5EEC" w14:textId="77777777" w:rsidR="00CE7B34" w:rsidRPr="00B06893" w:rsidRDefault="00CE7B34" w:rsidP="009216D5">
            <w:pPr>
              <w:pStyle w:val="Tabletext"/>
              <w:snapToGrid w:val="0"/>
            </w:pPr>
            <w:r w:rsidRPr="00B06893">
              <w:t>XBB.1.5</w:t>
            </w:r>
          </w:p>
          <w:p w14:paraId="109934D1" w14:textId="77777777" w:rsidR="00CE7B34" w:rsidRPr="00B06893" w:rsidRDefault="00CE7B34" w:rsidP="009216D5">
            <w:pPr>
              <w:pStyle w:val="Tabletext"/>
              <w:snapToGrid w:val="0"/>
            </w:pPr>
            <w:r w:rsidRPr="00B06893">
              <w:t>[≥18 years]</w:t>
            </w:r>
          </w:p>
          <w:p w14:paraId="608BE86D" w14:textId="77777777" w:rsidR="00CE7B34" w:rsidRPr="00B06893" w:rsidRDefault="00CE7B34" w:rsidP="009216D5">
            <w:pPr>
              <w:pStyle w:val="Tabletext"/>
              <w:snapToGrid w:val="0"/>
            </w:pPr>
            <w:r w:rsidRPr="00B06893">
              <w:t>[≥65 years]</w:t>
            </w:r>
          </w:p>
        </w:tc>
        <w:tc>
          <w:tcPr>
            <w:tcW w:w="1230" w:type="pct"/>
            <w:vAlign w:val="center"/>
          </w:tcPr>
          <w:p w14:paraId="726087C5" w14:textId="77777777" w:rsidR="00CE7B34" w:rsidRPr="00B06893" w:rsidRDefault="00CE7B34" w:rsidP="009216D5">
            <w:pPr>
              <w:pStyle w:val="Tabletext"/>
              <w:snapToGrid w:val="0"/>
            </w:pPr>
            <w:r w:rsidRPr="00B06893">
              <w:t>United States</w:t>
            </w:r>
          </w:p>
          <w:p w14:paraId="7C45792A" w14:textId="77777777" w:rsidR="00CE7B34" w:rsidRPr="00B06893" w:rsidRDefault="00CE7B34" w:rsidP="009216D5">
            <w:pPr>
              <w:pStyle w:val="Tabletext"/>
              <w:snapToGrid w:val="0"/>
            </w:pPr>
            <w:r w:rsidRPr="00B06893">
              <w:t>12 September 2023 to 15 December 2023</w:t>
            </w:r>
          </w:p>
          <w:p w14:paraId="10462FFB" w14:textId="77777777" w:rsidR="00CE7B34" w:rsidRPr="00B06893" w:rsidRDefault="00CE7B34" w:rsidP="009216D5">
            <w:pPr>
              <w:pStyle w:val="Tabletext"/>
              <w:snapToGrid w:val="0"/>
              <w:rPr>
                <w:highlight w:val="green"/>
              </w:rPr>
            </w:pPr>
            <w:r w:rsidRPr="00B06893">
              <w:t>N=859,335 matched pairs</w:t>
            </w:r>
          </w:p>
        </w:tc>
      </w:tr>
      <w:tr w:rsidR="00CC1B1A" w:rsidRPr="00B06893" w14:paraId="734F9AFE" w14:textId="77777777" w:rsidTr="00F625C3">
        <w:trPr>
          <w:cantSplit/>
        </w:trPr>
        <w:tc>
          <w:tcPr>
            <w:tcW w:w="784" w:type="pct"/>
            <w:vAlign w:val="center"/>
          </w:tcPr>
          <w:p w14:paraId="1C1E2773" w14:textId="77777777" w:rsidR="00CC1B1A" w:rsidRPr="00B06893" w:rsidRDefault="00CC1B1A" w:rsidP="009216D5">
            <w:pPr>
              <w:pStyle w:val="Tabletext"/>
              <w:snapToGrid w:val="0"/>
            </w:pPr>
            <w:r w:rsidRPr="00B06893">
              <w:t>Wilson (2025)</w:t>
            </w:r>
          </w:p>
        </w:tc>
        <w:tc>
          <w:tcPr>
            <w:tcW w:w="1966" w:type="pct"/>
            <w:vMerge w:val="restart"/>
          </w:tcPr>
          <w:p w14:paraId="4BDC2B56" w14:textId="77777777" w:rsidR="00CC1B1A" w:rsidRPr="00B06893" w:rsidRDefault="00CC1B1A" w:rsidP="009216D5">
            <w:pPr>
              <w:pStyle w:val="Tabletext"/>
              <w:snapToGrid w:val="0"/>
            </w:pPr>
            <w:r w:rsidRPr="00B06893">
              <w:t>RWE</w:t>
            </w:r>
          </w:p>
          <w:p w14:paraId="587763CC" w14:textId="77777777" w:rsidR="00CC1B1A" w:rsidRPr="00B06893" w:rsidRDefault="00CC1B1A" w:rsidP="009216D5">
            <w:pPr>
              <w:pStyle w:val="Tabletext"/>
              <w:snapToGrid w:val="0"/>
            </w:pPr>
            <w:r w:rsidRPr="00B06893">
              <w:t>Retrospective cohort</w:t>
            </w:r>
          </w:p>
          <w:p w14:paraId="773C75FA" w14:textId="77777777" w:rsidR="00CC1B1A" w:rsidRPr="00B06893" w:rsidRDefault="00CC1B1A" w:rsidP="009216D5">
            <w:pPr>
              <w:pStyle w:val="Tabletext"/>
              <w:snapToGrid w:val="0"/>
            </w:pPr>
          </w:p>
          <w:p w14:paraId="6586F519" w14:textId="77777777" w:rsidR="00CC1B1A" w:rsidRPr="00B06893" w:rsidRDefault="00CC1B1A" w:rsidP="009216D5">
            <w:pPr>
              <w:pStyle w:val="Tabletext"/>
              <w:snapToGrid w:val="0"/>
            </w:pPr>
            <w:r w:rsidRPr="00B06893">
              <w:t>Hospitalisation</w:t>
            </w:r>
          </w:p>
          <w:p w14:paraId="0575B4E6" w14:textId="77777777" w:rsidR="00CC1B1A" w:rsidRPr="00B06893" w:rsidRDefault="00CC1B1A" w:rsidP="009216D5">
            <w:pPr>
              <w:pStyle w:val="Tabletext"/>
              <w:snapToGrid w:val="0"/>
            </w:pPr>
            <w:r w:rsidRPr="00B06893">
              <w:t>Medical attendance</w:t>
            </w:r>
          </w:p>
          <w:p w14:paraId="0FA995DA" w14:textId="77777777" w:rsidR="00CC1B1A" w:rsidRPr="00B06893" w:rsidRDefault="00CC1B1A" w:rsidP="009216D5">
            <w:pPr>
              <w:pStyle w:val="Tabletext"/>
              <w:snapToGrid w:val="0"/>
            </w:pPr>
          </w:p>
          <w:p w14:paraId="77E68BCE" w14:textId="00474894" w:rsidR="00CC1B1A" w:rsidRPr="00B06893" w:rsidRDefault="0028641B" w:rsidP="009216D5">
            <w:pPr>
              <w:pStyle w:val="Tabletext"/>
              <w:snapToGrid w:val="0"/>
            </w:pPr>
            <w:r w:rsidRPr="00B06893">
              <w:t>Moderate or h</w:t>
            </w:r>
            <w:r w:rsidR="00CC1B1A" w:rsidRPr="00B06893">
              <w:t>igh risk of selection bias and confounding. Medical attendance has limited utility.</w:t>
            </w:r>
          </w:p>
        </w:tc>
        <w:tc>
          <w:tcPr>
            <w:tcW w:w="1021" w:type="pct"/>
            <w:vAlign w:val="center"/>
          </w:tcPr>
          <w:p w14:paraId="628E6634" w14:textId="77777777" w:rsidR="00CC1B1A" w:rsidRPr="00B06893" w:rsidRDefault="00CC1B1A" w:rsidP="009216D5">
            <w:pPr>
              <w:pStyle w:val="Tabletext"/>
              <w:snapToGrid w:val="0"/>
              <w:rPr>
                <w:b/>
                <w:bCs/>
                <w:u w:val="single"/>
              </w:rPr>
            </w:pPr>
            <w:r w:rsidRPr="00B06893">
              <w:rPr>
                <w:b/>
                <w:bCs/>
                <w:u w:val="single"/>
              </w:rPr>
              <w:t>Immunocompromised (Hospitalisation)</w:t>
            </w:r>
          </w:p>
          <w:p w14:paraId="0BF3C936" w14:textId="77777777" w:rsidR="00CC1B1A" w:rsidRPr="00B06893" w:rsidRDefault="00CC1B1A" w:rsidP="009216D5">
            <w:pPr>
              <w:pStyle w:val="Tabletext"/>
              <w:snapToGrid w:val="0"/>
            </w:pPr>
            <w:r w:rsidRPr="00B06893">
              <w:t>XBB.1.5</w:t>
            </w:r>
          </w:p>
          <w:p w14:paraId="227ADACF" w14:textId="77777777" w:rsidR="00CC1B1A" w:rsidRPr="00B06893" w:rsidRDefault="00CC1B1A" w:rsidP="009216D5">
            <w:pPr>
              <w:pStyle w:val="Tabletext"/>
              <w:snapToGrid w:val="0"/>
            </w:pPr>
            <w:r w:rsidRPr="00B06893">
              <w:t>[≥18 years]</w:t>
            </w:r>
          </w:p>
          <w:p w14:paraId="5E2907E5" w14:textId="77777777" w:rsidR="00CC1B1A" w:rsidRPr="00B06893" w:rsidRDefault="00CC1B1A" w:rsidP="009216D5">
            <w:pPr>
              <w:pStyle w:val="Tabletext"/>
              <w:snapToGrid w:val="0"/>
            </w:pPr>
            <w:r w:rsidRPr="00B06893">
              <w:t>[≥65 years]</w:t>
            </w:r>
          </w:p>
        </w:tc>
        <w:tc>
          <w:tcPr>
            <w:tcW w:w="1230" w:type="pct"/>
            <w:vAlign w:val="center"/>
          </w:tcPr>
          <w:p w14:paraId="6720CE15" w14:textId="77777777" w:rsidR="00CC1B1A" w:rsidRPr="00B06893" w:rsidRDefault="00CC1B1A" w:rsidP="009216D5">
            <w:pPr>
              <w:pStyle w:val="Tabletext"/>
              <w:snapToGrid w:val="0"/>
            </w:pPr>
            <w:r w:rsidRPr="00B06893">
              <w:t>United States</w:t>
            </w:r>
          </w:p>
          <w:p w14:paraId="708ED910" w14:textId="77777777" w:rsidR="00CC1B1A" w:rsidRPr="00B06893" w:rsidRDefault="00CC1B1A" w:rsidP="009216D5">
            <w:pPr>
              <w:pStyle w:val="Tabletext"/>
              <w:snapToGrid w:val="0"/>
            </w:pPr>
            <w:r w:rsidRPr="00B06893">
              <w:t>12 September 2023 to 31 December 2023</w:t>
            </w:r>
          </w:p>
          <w:p w14:paraId="332A280F" w14:textId="77777777" w:rsidR="00CC1B1A" w:rsidRPr="00B06893" w:rsidRDefault="00CC1B1A" w:rsidP="009216D5">
            <w:pPr>
              <w:pStyle w:val="Tabletext"/>
              <w:snapToGrid w:val="0"/>
              <w:rPr>
                <w:highlight w:val="green"/>
              </w:rPr>
            </w:pPr>
            <w:r w:rsidRPr="00B06893">
              <w:t>N=903,349 matched pairs</w:t>
            </w:r>
          </w:p>
        </w:tc>
      </w:tr>
      <w:tr w:rsidR="00CC1B1A" w:rsidRPr="00B06893" w14:paraId="458A0B5E" w14:textId="77777777" w:rsidTr="00F625C3">
        <w:trPr>
          <w:cantSplit/>
        </w:trPr>
        <w:tc>
          <w:tcPr>
            <w:tcW w:w="784" w:type="pct"/>
            <w:vAlign w:val="center"/>
          </w:tcPr>
          <w:p w14:paraId="4FF9F06B" w14:textId="77777777" w:rsidR="00CC1B1A" w:rsidRPr="00B06893" w:rsidRDefault="00CC1B1A" w:rsidP="009216D5">
            <w:pPr>
              <w:pStyle w:val="Tabletext"/>
              <w:snapToGrid w:val="0"/>
            </w:pPr>
            <w:r w:rsidRPr="00B06893">
              <w:t>Wilson (2025)</w:t>
            </w:r>
          </w:p>
        </w:tc>
        <w:tc>
          <w:tcPr>
            <w:tcW w:w="1966" w:type="pct"/>
            <w:vMerge/>
          </w:tcPr>
          <w:p w14:paraId="239DBD42" w14:textId="29AC1850" w:rsidR="00CC1B1A" w:rsidRPr="00B06893" w:rsidRDefault="00CC1B1A" w:rsidP="009216D5">
            <w:pPr>
              <w:pStyle w:val="Tabletext"/>
              <w:snapToGrid w:val="0"/>
            </w:pPr>
          </w:p>
        </w:tc>
        <w:tc>
          <w:tcPr>
            <w:tcW w:w="1021" w:type="pct"/>
            <w:vAlign w:val="center"/>
          </w:tcPr>
          <w:p w14:paraId="757247B8" w14:textId="77777777" w:rsidR="00CC1B1A" w:rsidRPr="00B06893" w:rsidRDefault="00CC1B1A" w:rsidP="009216D5">
            <w:pPr>
              <w:pStyle w:val="Tabletext"/>
              <w:snapToGrid w:val="0"/>
              <w:rPr>
                <w:b/>
                <w:bCs/>
                <w:u w:val="single"/>
              </w:rPr>
            </w:pPr>
            <w:r w:rsidRPr="00B06893">
              <w:rPr>
                <w:b/>
                <w:bCs/>
                <w:u w:val="single"/>
              </w:rPr>
              <w:t>NI</w:t>
            </w:r>
          </w:p>
          <w:p w14:paraId="3C364745" w14:textId="77777777" w:rsidR="00CC1B1A" w:rsidRPr="00B06893" w:rsidRDefault="00CC1B1A" w:rsidP="009216D5">
            <w:pPr>
              <w:pStyle w:val="Tabletext"/>
              <w:snapToGrid w:val="0"/>
            </w:pPr>
            <w:r w:rsidRPr="00B06893">
              <w:t>KP.2</w:t>
            </w:r>
          </w:p>
          <w:p w14:paraId="0958EB6D" w14:textId="77777777" w:rsidR="00CC1B1A" w:rsidRPr="00B06893" w:rsidRDefault="00CC1B1A" w:rsidP="009216D5">
            <w:pPr>
              <w:pStyle w:val="Tabletext"/>
              <w:snapToGrid w:val="0"/>
            </w:pPr>
            <w:r w:rsidRPr="00B06893">
              <w:t>[≥18 years]</w:t>
            </w:r>
          </w:p>
          <w:p w14:paraId="334C6168" w14:textId="77777777" w:rsidR="00CC1B1A" w:rsidRPr="00B06893" w:rsidRDefault="00CC1B1A" w:rsidP="009216D5">
            <w:pPr>
              <w:pStyle w:val="Tabletext"/>
              <w:snapToGrid w:val="0"/>
            </w:pPr>
            <w:r w:rsidRPr="00B06893">
              <w:t>[≥65 years]</w:t>
            </w:r>
          </w:p>
        </w:tc>
        <w:tc>
          <w:tcPr>
            <w:tcW w:w="1230" w:type="pct"/>
            <w:vAlign w:val="center"/>
          </w:tcPr>
          <w:p w14:paraId="14419E16" w14:textId="77777777" w:rsidR="00CC1B1A" w:rsidRPr="00B06893" w:rsidRDefault="00CC1B1A" w:rsidP="009216D5">
            <w:pPr>
              <w:pStyle w:val="Tabletext"/>
              <w:snapToGrid w:val="0"/>
            </w:pPr>
            <w:r w:rsidRPr="00B06893">
              <w:t>United States</w:t>
            </w:r>
          </w:p>
          <w:p w14:paraId="345A7A86" w14:textId="77777777" w:rsidR="00CC1B1A" w:rsidRPr="00B06893" w:rsidRDefault="00CC1B1A" w:rsidP="009216D5">
            <w:pPr>
              <w:pStyle w:val="Tabletext"/>
              <w:snapToGrid w:val="0"/>
            </w:pPr>
            <w:r w:rsidRPr="00B06893">
              <w:t>23 August 2024 to 24 December 2024</w:t>
            </w:r>
          </w:p>
          <w:p w14:paraId="0E1B39EE" w14:textId="77777777" w:rsidR="00CC1B1A" w:rsidRPr="00B06893" w:rsidRDefault="00CC1B1A" w:rsidP="009216D5">
            <w:pPr>
              <w:pStyle w:val="Tabletext"/>
              <w:snapToGrid w:val="0"/>
              <w:rPr>
                <w:highlight w:val="green"/>
              </w:rPr>
            </w:pPr>
            <w:r w:rsidRPr="00B06893">
              <w:t>N=465,073 matched pairs</w:t>
            </w:r>
          </w:p>
        </w:tc>
      </w:tr>
      <w:tr w:rsidR="00CE7B34" w:rsidRPr="00B06893" w14:paraId="36C07311" w14:textId="77777777" w:rsidTr="00F625C3">
        <w:trPr>
          <w:cantSplit/>
        </w:trPr>
        <w:tc>
          <w:tcPr>
            <w:tcW w:w="784" w:type="pct"/>
            <w:vAlign w:val="center"/>
          </w:tcPr>
          <w:p w14:paraId="5BE2FFEB" w14:textId="77777777" w:rsidR="00CE7B34" w:rsidRPr="00B06893" w:rsidRDefault="00CE7B34" w:rsidP="009216D5">
            <w:pPr>
              <w:pStyle w:val="Tabletext"/>
              <w:snapToGrid w:val="0"/>
            </w:pPr>
            <w:r w:rsidRPr="00B06893">
              <w:t>Zheng (2025)</w:t>
            </w:r>
          </w:p>
        </w:tc>
        <w:tc>
          <w:tcPr>
            <w:tcW w:w="1966" w:type="pct"/>
          </w:tcPr>
          <w:p w14:paraId="2E80D45B" w14:textId="77777777" w:rsidR="00CE7B34" w:rsidRPr="00B06893" w:rsidRDefault="00CE7B34" w:rsidP="009216D5">
            <w:pPr>
              <w:pStyle w:val="Tabletext"/>
              <w:snapToGrid w:val="0"/>
            </w:pPr>
            <w:r w:rsidRPr="00B06893">
              <w:t>RWE</w:t>
            </w:r>
          </w:p>
          <w:p w14:paraId="1F5F75D0" w14:textId="77777777" w:rsidR="00CE7B34" w:rsidRPr="00B06893" w:rsidRDefault="00CE7B34" w:rsidP="009216D5">
            <w:pPr>
              <w:pStyle w:val="Tabletext"/>
              <w:snapToGrid w:val="0"/>
            </w:pPr>
            <w:r w:rsidRPr="00B06893">
              <w:t>Retrospective cohort</w:t>
            </w:r>
          </w:p>
          <w:p w14:paraId="2C375C5E" w14:textId="77777777" w:rsidR="00CE7B34" w:rsidRPr="00B06893" w:rsidRDefault="00CE7B34" w:rsidP="009216D5">
            <w:pPr>
              <w:pStyle w:val="Tabletext"/>
              <w:snapToGrid w:val="0"/>
            </w:pPr>
          </w:p>
          <w:p w14:paraId="62DF57A4" w14:textId="77777777" w:rsidR="00CE7B34" w:rsidRPr="00B06893" w:rsidRDefault="00CE7B34" w:rsidP="009216D5">
            <w:pPr>
              <w:pStyle w:val="Tabletext"/>
              <w:snapToGrid w:val="0"/>
            </w:pPr>
            <w:r w:rsidRPr="00B06893">
              <w:t>Hospitalisation</w:t>
            </w:r>
          </w:p>
          <w:p w14:paraId="2D321216" w14:textId="77777777" w:rsidR="00CE7B34" w:rsidRPr="00B06893" w:rsidRDefault="00CE7B34" w:rsidP="009216D5">
            <w:pPr>
              <w:pStyle w:val="Tabletext"/>
              <w:snapToGrid w:val="0"/>
            </w:pPr>
            <w:r w:rsidRPr="00B06893">
              <w:t>Medical attendance</w:t>
            </w:r>
          </w:p>
          <w:p w14:paraId="74EC91DB" w14:textId="77777777" w:rsidR="00CE7B34" w:rsidRPr="00B06893" w:rsidRDefault="00CE7B34" w:rsidP="009216D5">
            <w:pPr>
              <w:pStyle w:val="Tabletext"/>
              <w:snapToGrid w:val="0"/>
            </w:pPr>
          </w:p>
          <w:p w14:paraId="32A483C8" w14:textId="0431C11F" w:rsidR="00CE7B34" w:rsidRPr="00B06893" w:rsidRDefault="0028641B" w:rsidP="009216D5">
            <w:pPr>
              <w:pStyle w:val="Tabletext"/>
              <w:snapToGrid w:val="0"/>
            </w:pPr>
            <w:r w:rsidRPr="00B06893">
              <w:t>Moderate to h</w:t>
            </w:r>
            <w:r w:rsidR="003B2DF9" w:rsidRPr="00B06893">
              <w:t>igh risk of selection bias and confounding. Medical attendance has limited utility.</w:t>
            </w:r>
          </w:p>
        </w:tc>
        <w:tc>
          <w:tcPr>
            <w:tcW w:w="1021" w:type="pct"/>
            <w:vAlign w:val="center"/>
          </w:tcPr>
          <w:p w14:paraId="6C6067FF" w14:textId="77777777" w:rsidR="00CE7B34" w:rsidRPr="00B06893" w:rsidRDefault="00CE7B34" w:rsidP="009216D5">
            <w:pPr>
              <w:pStyle w:val="Tabletext"/>
              <w:snapToGrid w:val="0"/>
              <w:rPr>
                <w:b/>
                <w:bCs/>
                <w:u w:val="single"/>
              </w:rPr>
            </w:pPr>
            <w:r w:rsidRPr="00B06893">
              <w:rPr>
                <w:b/>
                <w:bCs/>
                <w:u w:val="single"/>
              </w:rPr>
              <w:t>Immunocompromised</w:t>
            </w:r>
          </w:p>
          <w:p w14:paraId="49828165" w14:textId="77777777" w:rsidR="00CE7B34" w:rsidRPr="00B06893" w:rsidRDefault="00CE7B34" w:rsidP="009216D5">
            <w:pPr>
              <w:pStyle w:val="Tabletext"/>
              <w:snapToGrid w:val="0"/>
            </w:pPr>
            <w:r w:rsidRPr="00B06893">
              <w:t>XBB.1.5</w:t>
            </w:r>
          </w:p>
          <w:p w14:paraId="2EAADEED" w14:textId="77777777" w:rsidR="00CE7B34" w:rsidRPr="00B06893" w:rsidRDefault="00CE7B34" w:rsidP="009216D5">
            <w:pPr>
              <w:pStyle w:val="Tabletext"/>
              <w:snapToGrid w:val="0"/>
            </w:pPr>
            <w:r w:rsidRPr="00B06893">
              <w:t>[≥18 years]</w:t>
            </w:r>
          </w:p>
          <w:p w14:paraId="6C36FEC4" w14:textId="77777777" w:rsidR="00CE7B34" w:rsidRPr="00B06893" w:rsidRDefault="00CE7B34" w:rsidP="009216D5">
            <w:pPr>
              <w:pStyle w:val="Tabletext"/>
              <w:snapToGrid w:val="0"/>
            </w:pPr>
            <w:r w:rsidRPr="00B06893">
              <w:t>[≥65 years]</w:t>
            </w:r>
          </w:p>
        </w:tc>
        <w:tc>
          <w:tcPr>
            <w:tcW w:w="1230" w:type="pct"/>
            <w:vAlign w:val="center"/>
          </w:tcPr>
          <w:p w14:paraId="14D888C9" w14:textId="77777777" w:rsidR="00CE7B34" w:rsidRPr="00B06893" w:rsidRDefault="00CE7B34" w:rsidP="009216D5">
            <w:pPr>
              <w:pStyle w:val="Tabletext"/>
              <w:snapToGrid w:val="0"/>
            </w:pPr>
            <w:r w:rsidRPr="00B06893">
              <w:t>United States</w:t>
            </w:r>
          </w:p>
          <w:p w14:paraId="520449EE" w14:textId="77777777" w:rsidR="00CE7B34" w:rsidRPr="00B06893" w:rsidRDefault="00CE7B34" w:rsidP="009216D5">
            <w:pPr>
              <w:pStyle w:val="Tabletext"/>
              <w:snapToGrid w:val="0"/>
            </w:pPr>
            <w:r w:rsidRPr="00B06893">
              <w:t>1 September 2022 to 21 February 2024</w:t>
            </w:r>
          </w:p>
          <w:p w14:paraId="0995112C" w14:textId="77777777" w:rsidR="00CE7B34" w:rsidRPr="00B06893" w:rsidRDefault="00CE7B34" w:rsidP="009216D5">
            <w:pPr>
              <w:pStyle w:val="Tabletext"/>
              <w:snapToGrid w:val="0"/>
              <w:rPr>
                <w:highlight w:val="green"/>
              </w:rPr>
            </w:pPr>
            <w:r w:rsidRPr="00B06893">
              <w:t>N=903,349 matched pairs</w:t>
            </w:r>
          </w:p>
        </w:tc>
      </w:tr>
      <w:tr w:rsidR="00CE7B34" w:rsidRPr="00B06893" w14:paraId="161E7766" w14:textId="77777777" w:rsidTr="00F625C3">
        <w:trPr>
          <w:cantSplit/>
        </w:trPr>
        <w:tc>
          <w:tcPr>
            <w:tcW w:w="5000" w:type="pct"/>
            <w:gridSpan w:val="4"/>
            <w:vAlign w:val="center"/>
          </w:tcPr>
          <w:p w14:paraId="100B21DB" w14:textId="06FC53BB" w:rsidR="00CE7B34" w:rsidRPr="00B06893" w:rsidRDefault="00E34126" w:rsidP="009216D5">
            <w:pPr>
              <w:pStyle w:val="Tabletext"/>
              <w:snapToGrid w:val="0"/>
            </w:pPr>
            <w:r w:rsidRPr="00B06893">
              <w:rPr>
                <w:b/>
                <w:bCs/>
              </w:rPr>
              <w:t>Comirnaty</w:t>
            </w:r>
            <w:r w:rsidR="00CE7B34" w:rsidRPr="00B06893">
              <w:rPr>
                <w:b/>
                <w:bCs/>
              </w:rPr>
              <w:t xml:space="preserve"> studies used to compare with Spikevax </w:t>
            </w:r>
            <w:r w:rsidR="00193971">
              <w:rPr>
                <w:b/>
                <w:bCs/>
              </w:rPr>
              <w:noBreakHyphen/>
            </w:r>
            <w:r w:rsidR="00CE7B34" w:rsidRPr="00B06893">
              <w:rPr>
                <w:b/>
                <w:bCs/>
              </w:rPr>
              <w:t xml:space="preserve"> recent strains (Indirect comparison of clinical outcomes)</w:t>
            </w:r>
          </w:p>
        </w:tc>
      </w:tr>
      <w:tr w:rsidR="00CE7B34" w:rsidRPr="00B06893" w14:paraId="05144667" w14:textId="77777777" w:rsidTr="00F625C3">
        <w:trPr>
          <w:cantSplit/>
        </w:trPr>
        <w:tc>
          <w:tcPr>
            <w:tcW w:w="784" w:type="pct"/>
            <w:tcBorders>
              <w:top w:val="nil"/>
            </w:tcBorders>
            <w:vAlign w:val="center"/>
          </w:tcPr>
          <w:p w14:paraId="29D7374F" w14:textId="77777777" w:rsidR="00CE7B34" w:rsidRPr="00B06893" w:rsidRDefault="00CE7B34" w:rsidP="009216D5">
            <w:pPr>
              <w:pStyle w:val="Tabletext"/>
              <w:snapToGrid w:val="0"/>
            </w:pPr>
            <w:r w:rsidRPr="00B06893">
              <w:t>Anderson (2025)</w:t>
            </w:r>
          </w:p>
        </w:tc>
        <w:tc>
          <w:tcPr>
            <w:tcW w:w="1966" w:type="pct"/>
          </w:tcPr>
          <w:p w14:paraId="40718E77" w14:textId="77777777" w:rsidR="00CE7B34" w:rsidRPr="00B06893" w:rsidRDefault="00CE7B34" w:rsidP="009216D5">
            <w:pPr>
              <w:pStyle w:val="Tabletext"/>
              <w:snapToGrid w:val="0"/>
            </w:pPr>
            <w:r w:rsidRPr="00B06893">
              <w:t>RWE</w:t>
            </w:r>
          </w:p>
          <w:p w14:paraId="5F7350FB" w14:textId="77777777" w:rsidR="00CE7B34" w:rsidRPr="00B06893" w:rsidRDefault="00CE7B34" w:rsidP="009216D5">
            <w:pPr>
              <w:pStyle w:val="Tabletext"/>
              <w:snapToGrid w:val="0"/>
            </w:pPr>
            <w:r w:rsidRPr="00B06893">
              <w:t>Retrospective cohort</w:t>
            </w:r>
          </w:p>
          <w:p w14:paraId="65F6A0A5" w14:textId="77777777" w:rsidR="00CE7B34" w:rsidRPr="00B06893" w:rsidRDefault="00CE7B34" w:rsidP="009216D5">
            <w:pPr>
              <w:pStyle w:val="Tabletext"/>
              <w:snapToGrid w:val="0"/>
            </w:pPr>
          </w:p>
          <w:p w14:paraId="417DD69F" w14:textId="77777777" w:rsidR="00CE7B34" w:rsidRPr="00B06893" w:rsidRDefault="00CE7B34" w:rsidP="009216D5">
            <w:pPr>
              <w:pStyle w:val="Tabletext"/>
              <w:snapToGrid w:val="0"/>
            </w:pPr>
            <w:r w:rsidRPr="00B06893">
              <w:t>Hospitalisation</w:t>
            </w:r>
          </w:p>
          <w:p w14:paraId="139F7532" w14:textId="77777777" w:rsidR="00CE7B34" w:rsidRPr="00B06893" w:rsidRDefault="00CE7B34" w:rsidP="009216D5">
            <w:pPr>
              <w:pStyle w:val="Tabletext"/>
              <w:snapToGrid w:val="0"/>
            </w:pPr>
          </w:p>
          <w:p w14:paraId="675FB410" w14:textId="7579C9D5" w:rsidR="00CE7B34" w:rsidRPr="00B06893" w:rsidRDefault="003B2DF9" w:rsidP="009216D5">
            <w:pPr>
              <w:pStyle w:val="Tabletext"/>
              <w:snapToGrid w:val="0"/>
            </w:pPr>
            <w:r w:rsidRPr="00B06893">
              <w:t>High r</w:t>
            </w:r>
            <w:r w:rsidR="00CE7B34" w:rsidRPr="00B06893">
              <w:t>isk of selection bias and confounding.</w:t>
            </w:r>
          </w:p>
        </w:tc>
        <w:tc>
          <w:tcPr>
            <w:tcW w:w="1021" w:type="pct"/>
            <w:vAlign w:val="center"/>
          </w:tcPr>
          <w:p w14:paraId="5D8BACCB" w14:textId="77777777" w:rsidR="00CE7B34" w:rsidRPr="00B06893" w:rsidRDefault="00CE7B34" w:rsidP="009216D5">
            <w:pPr>
              <w:pStyle w:val="Tabletext"/>
              <w:snapToGrid w:val="0"/>
              <w:rPr>
                <w:b/>
                <w:bCs/>
                <w:u w:val="single"/>
              </w:rPr>
            </w:pPr>
            <w:r w:rsidRPr="00B06893">
              <w:rPr>
                <w:b/>
                <w:bCs/>
                <w:u w:val="single"/>
              </w:rPr>
              <w:t>NI</w:t>
            </w:r>
          </w:p>
          <w:p w14:paraId="5270BF90" w14:textId="77777777" w:rsidR="00CE7B34" w:rsidRPr="00B06893" w:rsidRDefault="00CE7B34" w:rsidP="009216D5">
            <w:pPr>
              <w:pStyle w:val="Tabletext"/>
              <w:snapToGrid w:val="0"/>
            </w:pPr>
            <w:r w:rsidRPr="00B06893">
              <w:t>XBB.1.5</w:t>
            </w:r>
          </w:p>
          <w:p w14:paraId="4A71CCA8" w14:textId="77777777" w:rsidR="00CE7B34" w:rsidRPr="00B06893" w:rsidRDefault="00CE7B34" w:rsidP="009216D5">
            <w:pPr>
              <w:pStyle w:val="Tabletext"/>
              <w:snapToGrid w:val="0"/>
            </w:pPr>
            <w:r w:rsidRPr="00B06893">
              <w:t>[≥18 years]</w:t>
            </w:r>
          </w:p>
        </w:tc>
        <w:tc>
          <w:tcPr>
            <w:tcW w:w="1230" w:type="pct"/>
            <w:vAlign w:val="center"/>
          </w:tcPr>
          <w:p w14:paraId="0AC51E9A" w14:textId="77777777" w:rsidR="00CE7B34" w:rsidRPr="00B06893" w:rsidRDefault="00CE7B34" w:rsidP="009216D5">
            <w:pPr>
              <w:pStyle w:val="Tabletext"/>
              <w:snapToGrid w:val="0"/>
            </w:pPr>
            <w:r w:rsidRPr="00B06893">
              <w:t>United States</w:t>
            </w:r>
          </w:p>
          <w:p w14:paraId="4733BE0E" w14:textId="77777777" w:rsidR="00CE7B34" w:rsidRPr="00B06893" w:rsidRDefault="00CE7B34" w:rsidP="009216D5">
            <w:pPr>
              <w:pStyle w:val="Tabletext"/>
              <w:snapToGrid w:val="0"/>
            </w:pPr>
            <w:r w:rsidRPr="00B06893">
              <w:t>25 September 2023 to 31 March 2024</w:t>
            </w:r>
          </w:p>
          <w:p w14:paraId="270EFD33" w14:textId="77777777" w:rsidR="00CE7B34" w:rsidRPr="00B06893" w:rsidRDefault="00CE7B34" w:rsidP="009216D5">
            <w:pPr>
              <w:pStyle w:val="Tabletext"/>
              <w:snapToGrid w:val="0"/>
            </w:pPr>
            <w:r w:rsidRPr="00B06893">
              <w:t>N=6,344,448</w:t>
            </w:r>
          </w:p>
        </w:tc>
      </w:tr>
      <w:tr w:rsidR="00CE7B34" w:rsidRPr="00B06893" w14:paraId="4DB298E6" w14:textId="77777777" w:rsidTr="00F625C3">
        <w:trPr>
          <w:cantSplit/>
        </w:trPr>
        <w:tc>
          <w:tcPr>
            <w:tcW w:w="784" w:type="pct"/>
            <w:tcBorders>
              <w:top w:val="nil"/>
            </w:tcBorders>
            <w:vAlign w:val="center"/>
          </w:tcPr>
          <w:p w14:paraId="75DD8BB8" w14:textId="77777777" w:rsidR="00CE7B34" w:rsidRPr="00B06893" w:rsidRDefault="00CE7B34" w:rsidP="009216D5">
            <w:pPr>
              <w:pStyle w:val="Tabletext"/>
              <w:snapToGrid w:val="0"/>
            </w:pPr>
            <w:r w:rsidRPr="00B06893">
              <w:t>Hansen (2025)</w:t>
            </w:r>
          </w:p>
        </w:tc>
        <w:tc>
          <w:tcPr>
            <w:tcW w:w="1966" w:type="pct"/>
          </w:tcPr>
          <w:p w14:paraId="4F461BC9" w14:textId="77777777" w:rsidR="00CE7B34" w:rsidRPr="00B06893" w:rsidRDefault="00CE7B34" w:rsidP="009216D5">
            <w:pPr>
              <w:pStyle w:val="Tabletext"/>
              <w:snapToGrid w:val="0"/>
            </w:pPr>
            <w:r w:rsidRPr="00B06893">
              <w:t>RWE</w:t>
            </w:r>
          </w:p>
          <w:p w14:paraId="4FA4D74B" w14:textId="77777777" w:rsidR="00CE7B34" w:rsidRPr="00B06893" w:rsidRDefault="00CE7B34" w:rsidP="009216D5">
            <w:pPr>
              <w:pStyle w:val="Tabletext"/>
              <w:snapToGrid w:val="0"/>
            </w:pPr>
            <w:r w:rsidRPr="00B06893">
              <w:t xml:space="preserve">Retrospective cohort </w:t>
            </w:r>
          </w:p>
          <w:p w14:paraId="01E439F5" w14:textId="77777777" w:rsidR="00CE7B34" w:rsidRPr="00B06893" w:rsidRDefault="00CE7B34" w:rsidP="009216D5">
            <w:pPr>
              <w:pStyle w:val="Tabletext"/>
              <w:snapToGrid w:val="0"/>
            </w:pPr>
          </w:p>
          <w:p w14:paraId="2B901A16" w14:textId="77777777" w:rsidR="00CE7B34" w:rsidRPr="00B06893" w:rsidRDefault="00CE7B34" w:rsidP="009216D5">
            <w:pPr>
              <w:pStyle w:val="Tabletext"/>
              <w:snapToGrid w:val="0"/>
            </w:pPr>
            <w:r w:rsidRPr="00B06893">
              <w:t>Mortality/Hospitalisation</w:t>
            </w:r>
          </w:p>
          <w:p w14:paraId="52458CAB" w14:textId="77777777" w:rsidR="00CE7B34" w:rsidRPr="00B06893" w:rsidRDefault="00CE7B34" w:rsidP="009216D5">
            <w:pPr>
              <w:pStyle w:val="Tabletext"/>
              <w:snapToGrid w:val="0"/>
            </w:pPr>
          </w:p>
          <w:p w14:paraId="51326253" w14:textId="05EF7F64" w:rsidR="00CE7B34" w:rsidRPr="00B06893" w:rsidRDefault="003B2DF9" w:rsidP="009216D5">
            <w:pPr>
              <w:pStyle w:val="Tabletext"/>
              <w:snapToGrid w:val="0"/>
            </w:pPr>
            <w:r w:rsidRPr="00B06893">
              <w:t xml:space="preserve">High risk of </w:t>
            </w:r>
            <w:r w:rsidR="00CE7B34" w:rsidRPr="00B06893">
              <w:t>selection bias and confounding.</w:t>
            </w:r>
          </w:p>
        </w:tc>
        <w:tc>
          <w:tcPr>
            <w:tcW w:w="1021" w:type="pct"/>
            <w:vAlign w:val="center"/>
          </w:tcPr>
          <w:p w14:paraId="14F2DAB4" w14:textId="77777777" w:rsidR="00CE7B34" w:rsidRPr="00B06893" w:rsidRDefault="00CE7B34" w:rsidP="009216D5">
            <w:pPr>
              <w:pStyle w:val="Tabletext"/>
              <w:snapToGrid w:val="0"/>
              <w:rPr>
                <w:b/>
                <w:bCs/>
                <w:u w:val="single"/>
              </w:rPr>
            </w:pPr>
            <w:r w:rsidRPr="00B06893">
              <w:rPr>
                <w:b/>
                <w:bCs/>
                <w:u w:val="single"/>
              </w:rPr>
              <w:t>NI</w:t>
            </w:r>
          </w:p>
          <w:p w14:paraId="43BCE8FB" w14:textId="77777777" w:rsidR="00CE7B34" w:rsidRPr="00B06893" w:rsidRDefault="00CE7B34" w:rsidP="009216D5">
            <w:pPr>
              <w:pStyle w:val="Tabletext"/>
              <w:snapToGrid w:val="0"/>
            </w:pPr>
            <w:r w:rsidRPr="00B06893">
              <w:t>JN.1</w:t>
            </w:r>
          </w:p>
          <w:p w14:paraId="4142CADD" w14:textId="77777777" w:rsidR="00CE7B34" w:rsidRPr="00B06893" w:rsidRDefault="00CE7B34" w:rsidP="009216D5">
            <w:pPr>
              <w:pStyle w:val="Tabletext"/>
              <w:snapToGrid w:val="0"/>
            </w:pPr>
            <w:r w:rsidRPr="00B06893">
              <w:t>[≥65 years]</w:t>
            </w:r>
          </w:p>
        </w:tc>
        <w:tc>
          <w:tcPr>
            <w:tcW w:w="1230" w:type="pct"/>
            <w:vAlign w:val="center"/>
          </w:tcPr>
          <w:p w14:paraId="3A6D466B" w14:textId="77777777" w:rsidR="00CE7B34" w:rsidRPr="00B06893" w:rsidRDefault="00CE7B34" w:rsidP="009216D5">
            <w:pPr>
              <w:pStyle w:val="Tabletext"/>
              <w:snapToGrid w:val="0"/>
            </w:pPr>
            <w:r w:rsidRPr="00B06893">
              <w:t>Denmark</w:t>
            </w:r>
          </w:p>
          <w:p w14:paraId="0D335150" w14:textId="77777777" w:rsidR="00CE7B34" w:rsidRPr="00B06893" w:rsidRDefault="00CE7B34" w:rsidP="009216D5">
            <w:pPr>
              <w:pStyle w:val="Tabletext"/>
              <w:snapToGrid w:val="0"/>
            </w:pPr>
            <w:r w:rsidRPr="00B06893">
              <w:t>1 October 2024 to 31 January 2025</w:t>
            </w:r>
          </w:p>
          <w:p w14:paraId="04C326C2" w14:textId="77777777" w:rsidR="00CE7B34" w:rsidRPr="00B06893" w:rsidRDefault="00CE7B34" w:rsidP="009216D5">
            <w:pPr>
              <w:pStyle w:val="Tabletext"/>
              <w:snapToGrid w:val="0"/>
            </w:pPr>
            <w:r w:rsidRPr="00B06893">
              <w:t>N=894,560</w:t>
            </w:r>
          </w:p>
        </w:tc>
      </w:tr>
      <w:tr w:rsidR="00CE7B34" w:rsidRPr="00B06893" w14:paraId="422E9603" w14:textId="77777777" w:rsidTr="00F625C3">
        <w:trPr>
          <w:cantSplit/>
        </w:trPr>
        <w:tc>
          <w:tcPr>
            <w:tcW w:w="784" w:type="pct"/>
            <w:tcBorders>
              <w:top w:val="single" w:sz="4" w:space="0" w:color="auto"/>
              <w:bottom w:val="single" w:sz="4" w:space="0" w:color="auto"/>
            </w:tcBorders>
            <w:vAlign w:val="center"/>
          </w:tcPr>
          <w:p w14:paraId="57A080C7" w14:textId="77777777" w:rsidR="00CE7B34" w:rsidRPr="00B06893" w:rsidRDefault="00CE7B34" w:rsidP="009216D5">
            <w:pPr>
              <w:pStyle w:val="Tabletext"/>
              <w:snapToGrid w:val="0"/>
            </w:pPr>
            <w:r w:rsidRPr="00B06893">
              <w:lastRenderedPageBreak/>
              <w:t>Appaneal (2025)</w:t>
            </w:r>
          </w:p>
        </w:tc>
        <w:tc>
          <w:tcPr>
            <w:tcW w:w="1966" w:type="pct"/>
          </w:tcPr>
          <w:p w14:paraId="4379283C" w14:textId="77777777" w:rsidR="00CE7B34" w:rsidRPr="00B06893" w:rsidRDefault="00CE7B34" w:rsidP="009216D5">
            <w:pPr>
              <w:pStyle w:val="Tabletext"/>
              <w:snapToGrid w:val="0"/>
            </w:pPr>
            <w:r w:rsidRPr="00B06893">
              <w:t>RWE</w:t>
            </w:r>
          </w:p>
          <w:p w14:paraId="1A096CC0" w14:textId="3526E050" w:rsidR="00CE7B34" w:rsidRPr="00B06893" w:rsidRDefault="00CE7B34" w:rsidP="009216D5">
            <w:pPr>
              <w:pStyle w:val="Tabletext"/>
              <w:snapToGrid w:val="0"/>
            </w:pPr>
            <w:r w:rsidRPr="00B06893">
              <w:t>Case</w:t>
            </w:r>
            <w:r w:rsidR="00193971">
              <w:noBreakHyphen/>
            </w:r>
            <w:r w:rsidRPr="00B06893">
              <w:t>control</w:t>
            </w:r>
          </w:p>
          <w:p w14:paraId="769DCB40" w14:textId="77777777" w:rsidR="00CE7B34" w:rsidRPr="00B06893" w:rsidRDefault="00CE7B34" w:rsidP="009216D5">
            <w:pPr>
              <w:pStyle w:val="Tabletext"/>
              <w:snapToGrid w:val="0"/>
            </w:pPr>
          </w:p>
          <w:p w14:paraId="1E8B5DB9" w14:textId="77777777" w:rsidR="00CE7B34" w:rsidRPr="00B06893" w:rsidRDefault="00CE7B34" w:rsidP="009216D5">
            <w:pPr>
              <w:pStyle w:val="Tabletext"/>
              <w:snapToGrid w:val="0"/>
            </w:pPr>
            <w:r w:rsidRPr="00B06893">
              <w:t>Hospitalisation</w:t>
            </w:r>
          </w:p>
          <w:p w14:paraId="63974544" w14:textId="77777777" w:rsidR="00CE7B34" w:rsidRPr="00B06893" w:rsidRDefault="00CE7B34" w:rsidP="009216D5">
            <w:pPr>
              <w:pStyle w:val="Tabletext"/>
              <w:snapToGrid w:val="0"/>
            </w:pPr>
            <w:r w:rsidRPr="00B06893">
              <w:t>Medical attendance</w:t>
            </w:r>
          </w:p>
          <w:p w14:paraId="3D493159" w14:textId="77777777" w:rsidR="00CE7B34" w:rsidRPr="00B06893" w:rsidRDefault="00CE7B34" w:rsidP="009216D5">
            <w:pPr>
              <w:pStyle w:val="Tabletext"/>
              <w:snapToGrid w:val="0"/>
            </w:pPr>
          </w:p>
          <w:p w14:paraId="3BF6EF89" w14:textId="76B9F0BB" w:rsidR="00CE7B34" w:rsidRPr="00B06893" w:rsidRDefault="003B2DF9" w:rsidP="009216D5">
            <w:pPr>
              <w:pStyle w:val="Tabletext"/>
              <w:snapToGrid w:val="0"/>
            </w:pPr>
            <w:r w:rsidRPr="00B06893">
              <w:t xml:space="preserve">High risk of </w:t>
            </w:r>
            <w:r w:rsidR="00CE7B34" w:rsidRPr="00B06893">
              <w:t>selection bias and confounding. Medical attendance has limited utility.</w:t>
            </w:r>
          </w:p>
        </w:tc>
        <w:tc>
          <w:tcPr>
            <w:tcW w:w="1021" w:type="pct"/>
            <w:vAlign w:val="center"/>
          </w:tcPr>
          <w:p w14:paraId="0B502A32" w14:textId="77777777" w:rsidR="00CE7B34" w:rsidRPr="00B06893" w:rsidRDefault="00CE7B34" w:rsidP="009216D5">
            <w:pPr>
              <w:pStyle w:val="Tabletext"/>
              <w:snapToGrid w:val="0"/>
              <w:rPr>
                <w:b/>
                <w:bCs/>
                <w:u w:val="single"/>
              </w:rPr>
            </w:pPr>
            <w:r w:rsidRPr="00B06893">
              <w:rPr>
                <w:b/>
                <w:bCs/>
                <w:u w:val="single"/>
              </w:rPr>
              <w:t>Immunocompromised</w:t>
            </w:r>
            <w:r w:rsidRPr="00B06893">
              <w:t>= 40.9%</w:t>
            </w:r>
          </w:p>
          <w:p w14:paraId="1D6F8853" w14:textId="77777777" w:rsidR="00CE7B34" w:rsidRPr="00B06893" w:rsidRDefault="00CE7B34" w:rsidP="009216D5">
            <w:pPr>
              <w:pStyle w:val="Tabletext"/>
              <w:snapToGrid w:val="0"/>
            </w:pPr>
            <w:r w:rsidRPr="00B06893">
              <w:t>JN.1/KP.2</w:t>
            </w:r>
          </w:p>
          <w:p w14:paraId="5ACD888E" w14:textId="77777777" w:rsidR="00CE7B34" w:rsidRPr="00B06893" w:rsidRDefault="00CE7B34" w:rsidP="009216D5">
            <w:pPr>
              <w:pStyle w:val="Tabletext"/>
              <w:snapToGrid w:val="0"/>
            </w:pPr>
            <w:r w:rsidRPr="00B06893">
              <w:t>[≥18 years]</w:t>
            </w:r>
          </w:p>
        </w:tc>
        <w:tc>
          <w:tcPr>
            <w:tcW w:w="1230" w:type="pct"/>
            <w:vAlign w:val="center"/>
          </w:tcPr>
          <w:p w14:paraId="19FC9677" w14:textId="77777777" w:rsidR="00CE7B34" w:rsidRPr="00B06893" w:rsidRDefault="00CE7B34" w:rsidP="009216D5">
            <w:pPr>
              <w:pStyle w:val="Tabletext"/>
              <w:snapToGrid w:val="0"/>
            </w:pPr>
            <w:r w:rsidRPr="00B06893">
              <w:t>United States</w:t>
            </w:r>
          </w:p>
          <w:p w14:paraId="0A2515C5" w14:textId="77777777" w:rsidR="00CE7B34" w:rsidRPr="00B06893" w:rsidRDefault="00CE7B34" w:rsidP="009216D5">
            <w:pPr>
              <w:pStyle w:val="Tabletext"/>
              <w:snapToGrid w:val="0"/>
            </w:pPr>
            <w:r w:rsidRPr="00B06893">
              <w:t>5 September 2024 to 30 November 2024</w:t>
            </w:r>
          </w:p>
          <w:p w14:paraId="4BC0E56E" w14:textId="77777777" w:rsidR="00CE7B34" w:rsidRPr="00B06893" w:rsidRDefault="00CE7B34" w:rsidP="009216D5">
            <w:pPr>
              <w:pStyle w:val="Tabletext"/>
              <w:snapToGrid w:val="0"/>
            </w:pPr>
            <w:r w:rsidRPr="00B06893">
              <w:t>N=44,598 ARI episodes</w:t>
            </w:r>
          </w:p>
        </w:tc>
      </w:tr>
      <w:tr w:rsidR="00CE7B34" w:rsidRPr="00B06893" w14:paraId="563A0C8C" w14:textId="77777777" w:rsidTr="00F625C3">
        <w:trPr>
          <w:cantSplit/>
        </w:trPr>
        <w:tc>
          <w:tcPr>
            <w:tcW w:w="784" w:type="pct"/>
            <w:tcBorders>
              <w:top w:val="single" w:sz="4" w:space="0" w:color="auto"/>
              <w:bottom w:val="single" w:sz="4" w:space="0" w:color="auto"/>
            </w:tcBorders>
            <w:vAlign w:val="center"/>
          </w:tcPr>
          <w:p w14:paraId="103DBDE5" w14:textId="77777777" w:rsidR="00CE7B34" w:rsidRPr="00B06893" w:rsidRDefault="00CE7B34" w:rsidP="009216D5">
            <w:pPr>
              <w:pStyle w:val="Tabletext"/>
              <w:snapToGrid w:val="0"/>
            </w:pPr>
            <w:r w:rsidRPr="00B06893">
              <w:t>Caffery (2024)</w:t>
            </w:r>
          </w:p>
        </w:tc>
        <w:tc>
          <w:tcPr>
            <w:tcW w:w="1966" w:type="pct"/>
          </w:tcPr>
          <w:p w14:paraId="2BAAB4A3" w14:textId="77777777" w:rsidR="00CE7B34" w:rsidRPr="00B06893" w:rsidRDefault="00CE7B34" w:rsidP="009216D5">
            <w:pPr>
              <w:pStyle w:val="Tabletext"/>
              <w:snapToGrid w:val="0"/>
            </w:pPr>
            <w:r w:rsidRPr="00B06893">
              <w:t>RWE</w:t>
            </w:r>
          </w:p>
          <w:p w14:paraId="4EE09EC4" w14:textId="2E21D8A8" w:rsidR="00CE7B34" w:rsidRPr="00B06893" w:rsidRDefault="00CE7B34" w:rsidP="009216D5">
            <w:pPr>
              <w:pStyle w:val="Tabletext"/>
              <w:snapToGrid w:val="0"/>
            </w:pPr>
            <w:r w:rsidRPr="00B06893">
              <w:t>Case</w:t>
            </w:r>
            <w:r w:rsidR="00193971">
              <w:noBreakHyphen/>
            </w:r>
            <w:r w:rsidRPr="00B06893">
              <w:t>control</w:t>
            </w:r>
          </w:p>
          <w:p w14:paraId="1A379EF8" w14:textId="77777777" w:rsidR="00CE7B34" w:rsidRPr="00B06893" w:rsidRDefault="00CE7B34" w:rsidP="009216D5">
            <w:pPr>
              <w:pStyle w:val="Tabletext"/>
              <w:snapToGrid w:val="0"/>
            </w:pPr>
          </w:p>
          <w:p w14:paraId="62DA5ACC" w14:textId="77777777" w:rsidR="00CE7B34" w:rsidRPr="00B06893" w:rsidRDefault="00CE7B34" w:rsidP="009216D5">
            <w:pPr>
              <w:pStyle w:val="Tabletext"/>
              <w:snapToGrid w:val="0"/>
            </w:pPr>
            <w:r w:rsidRPr="00B06893">
              <w:t>Hospitalisation</w:t>
            </w:r>
          </w:p>
          <w:p w14:paraId="6DDA219E" w14:textId="77777777" w:rsidR="00CE7B34" w:rsidRPr="00B06893" w:rsidRDefault="00CE7B34" w:rsidP="009216D5">
            <w:pPr>
              <w:pStyle w:val="Tabletext"/>
              <w:snapToGrid w:val="0"/>
            </w:pPr>
            <w:r w:rsidRPr="00B06893">
              <w:t>Medical attendance</w:t>
            </w:r>
          </w:p>
          <w:p w14:paraId="64489E9C" w14:textId="77777777" w:rsidR="00CE7B34" w:rsidRPr="00B06893" w:rsidRDefault="00CE7B34" w:rsidP="009216D5">
            <w:pPr>
              <w:pStyle w:val="Tabletext"/>
              <w:snapToGrid w:val="0"/>
            </w:pPr>
          </w:p>
          <w:p w14:paraId="50F9BC62" w14:textId="53794968" w:rsidR="00CE7B34" w:rsidRPr="00B06893" w:rsidRDefault="003B2DF9" w:rsidP="009216D5">
            <w:pPr>
              <w:pStyle w:val="Tabletext"/>
              <w:snapToGrid w:val="0"/>
            </w:pPr>
            <w:r w:rsidRPr="00B06893">
              <w:t>High risk of selection bias and confounding. Medical attendance has limited utility</w:t>
            </w:r>
            <w:r w:rsidR="00CE7B34" w:rsidRPr="00B06893">
              <w:t>.</w:t>
            </w:r>
          </w:p>
        </w:tc>
        <w:tc>
          <w:tcPr>
            <w:tcW w:w="1021" w:type="pct"/>
            <w:vAlign w:val="center"/>
          </w:tcPr>
          <w:p w14:paraId="17BCE328" w14:textId="77777777" w:rsidR="00CE7B34" w:rsidRPr="00B06893" w:rsidRDefault="00CE7B34" w:rsidP="009216D5">
            <w:pPr>
              <w:pStyle w:val="Tabletext"/>
              <w:snapToGrid w:val="0"/>
            </w:pPr>
            <w:r w:rsidRPr="00B06893">
              <w:rPr>
                <w:b/>
                <w:bCs/>
                <w:u w:val="single"/>
              </w:rPr>
              <w:t>Immunocompromised</w:t>
            </w:r>
            <w:r w:rsidRPr="00B06893">
              <w:t>= 35.6%</w:t>
            </w:r>
          </w:p>
          <w:p w14:paraId="44632A0E" w14:textId="77777777" w:rsidR="00CE7B34" w:rsidRPr="00B06893" w:rsidRDefault="00CE7B34" w:rsidP="009216D5">
            <w:pPr>
              <w:pStyle w:val="Tabletext"/>
              <w:snapToGrid w:val="0"/>
            </w:pPr>
            <w:r w:rsidRPr="00B06893">
              <w:t>XBB.1.5</w:t>
            </w:r>
          </w:p>
          <w:p w14:paraId="2B514197" w14:textId="77777777" w:rsidR="00CE7B34" w:rsidRPr="00B06893" w:rsidRDefault="00CE7B34" w:rsidP="009216D5">
            <w:pPr>
              <w:pStyle w:val="Tabletext"/>
              <w:snapToGrid w:val="0"/>
            </w:pPr>
            <w:r w:rsidRPr="00B06893">
              <w:t>[≥18 years]</w:t>
            </w:r>
          </w:p>
        </w:tc>
        <w:tc>
          <w:tcPr>
            <w:tcW w:w="1230" w:type="pct"/>
            <w:vAlign w:val="center"/>
          </w:tcPr>
          <w:p w14:paraId="674E03E9" w14:textId="77777777" w:rsidR="00CE7B34" w:rsidRPr="00B06893" w:rsidRDefault="00CE7B34" w:rsidP="009216D5">
            <w:pPr>
              <w:pStyle w:val="Tabletext"/>
              <w:snapToGrid w:val="0"/>
            </w:pPr>
            <w:r w:rsidRPr="00B06893">
              <w:t>United States</w:t>
            </w:r>
          </w:p>
          <w:p w14:paraId="36F8FB7B" w14:textId="77777777" w:rsidR="00CE7B34" w:rsidRPr="00B06893" w:rsidRDefault="00CE7B34" w:rsidP="009216D5">
            <w:pPr>
              <w:pStyle w:val="Tabletext"/>
              <w:snapToGrid w:val="0"/>
            </w:pPr>
            <w:r w:rsidRPr="00B06893">
              <w:t>25 September 2023 to 31 January 2024</w:t>
            </w:r>
          </w:p>
          <w:p w14:paraId="08D45E80" w14:textId="77777777" w:rsidR="00CE7B34" w:rsidRPr="00B06893" w:rsidRDefault="00CE7B34" w:rsidP="009216D5">
            <w:pPr>
              <w:pStyle w:val="Tabletext"/>
              <w:snapToGrid w:val="0"/>
            </w:pPr>
            <w:r w:rsidRPr="00B06893">
              <w:t>N=113,147 ARI episodes</w:t>
            </w:r>
          </w:p>
        </w:tc>
      </w:tr>
      <w:tr w:rsidR="00CE7B34" w:rsidRPr="00B06893" w14:paraId="73BA5EA6" w14:textId="77777777" w:rsidTr="00F625C3">
        <w:trPr>
          <w:cantSplit/>
        </w:trPr>
        <w:tc>
          <w:tcPr>
            <w:tcW w:w="784" w:type="pct"/>
            <w:tcBorders>
              <w:top w:val="single" w:sz="4" w:space="0" w:color="auto"/>
              <w:bottom w:val="single" w:sz="4" w:space="0" w:color="auto"/>
            </w:tcBorders>
            <w:vAlign w:val="center"/>
          </w:tcPr>
          <w:p w14:paraId="0C002B9B" w14:textId="77777777" w:rsidR="00CE7B34" w:rsidRPr="00B06893" w:rsidRDefault="00CE7B34" w:rsidP="009216D5">
            <w:pPr>
              <w:pStyle w:val="Tabletext"/>
              <w:snapToGrid w:val="0"/>
            </w:pPr>
            <w:r w:rsidRPr="00B06893">
              <w:t>Tartof (2024)</w:t>
            </w:r>
          </w:p>
        </w:tc>
        <w:tc>
          <w:tcPr>
            <w:tcW w:w="1966" w:type="pct"/>
            <w:vMerge w:val="restart"/>
          </w:tcPr>
          <w:p w14:paraId="7D959D7D" w14:textId="77777777" w:rsidR="00CE7B34" w:rsidRPr="00B06893" w:rsidRDefault="00CE7B34" w:rsidP="009216D5">
            <w:pPr>
              <w:pStyle w:val="Tabletext"/>
              <w:snapToGrid w:val="0"/>
            </w:pPr>
            <w:r w:rsidRPr="00B06893">
              <w:t>RWE</w:t>
            </w:r>
          </w:p>
          <w:p w14:paraId="6FC7CFD9" w14:textId="788B7296" w:rsidR="00CE7B34" w:rsidRPr="00B06893" w:rsidRDefault="00CE7B34" w:rsidP="009216D5">
            <w:pPr>
              <w:pStyle w:val="Tabletext"/>
              <w:snapToGrid w:val="0"/>
            </w:pPr>
            <w:r w:rsidRPr="00B06893">
              <w:t>Case</w:t>
            </w:r>
            <w:r w:rsidR="00193971">
              <w:noBreakHyphen/>
            </w:r>
            <w:r w:rsidRPr="00B06893">
              <w:t>control</w:t>
            </w:r>
          </w:p>
          <w:p w14:paraId="5F7DB962" w14:textId="77777777" w:rsidR="00CE7B34" w:rsidRPr="00B06893" w:rsidRDefault="00CE7B34" w:rsidP="009216D5">
            <w:pPr>
              <w:pStyle w:val="Tabletext"/>
              <w:snapToGrid w:val="0"/>
            </w:pPr>
          </w:p>
          <w:p w14:paraId="753DC0AF" w14:textId="77777777" w:rsidR="00CE7B34" w:rsidRPr="00B06893" w:rsidRDefault="00CE7B34" w:rsidP="009216D5">
            <w:pPr>
              <w:pStyle w:val="Tabletext"/>
              <w:snapToGrid w:val="0"/>
            </w:pPr>
            <w:r w:rsidRPr="00B06893">
              <w:t>Hospitalisation</w:t>
            </w:r>
          </w:p>
          <w:p w14:paraId="5D1602D7" w14:textId="77777777" w:rsidR="00CE7B34" w:rsidRPr="00B06893" w:rsidRDefault="00CE7B34" w:rsidP="009216D5">
            <w:pPr>
              <w:pStyle w:val="Tabletext"/>
              <w:snapToGrid w:val="0"/>
            </w:pPr>
            <w:r w:rsidRPr="00B06893">
              <w:t>Medical attendance</w:t>
            </w:r>
          </w:p>
          <w:p w14:paraId="3077E951" w14:textId="77777777" w:rsidR="00CE7B34" w:rsidRPr="00B06893" w:rsidRDefault="00CE7B34" w:rsidP="009216D5">
            <w:pPr>
              <w:pStyle w:val="Tabletext"/>
              <w:snapToGrid w:val="0"/>
            </w:pPr>
          </w:p>
          <w:p w14:paraId="033EA1E5" w14:textId="6DCE6A57" w:rsidR="00CE7B34" w:rsidRPr="00B06893" w:rsidRDefault="003B2DF9" w:rsidP="009216D5">
            <w:pPr>
              <w:pStyle w:val="Tabletext"/>
              <w:snapToGrid w:val="0"/>
            </w:pPr>
            <w:r w:rsidRPr="00B06893">
              <w:t>High risk of selection bias and confounding. Medical attendance has limited utility.</w:t>
            </w:r>
          </w:p>
        </w:tc>
        <w:tc>
          <w:tcPr>
            <w:tcW w:w="1021" w:type="pct"/>
            <w:vMerge w:val="restart"/>
            <w:vAlign w:val="center"/>
          </w:tcPr>
          <w:p w14:paraId="14D57D06" w14:textId="7EE7A85C" w:rsidR="00CE7B34" w:rsidRPr="00B06893" w:rsidRDefault="00CE7B34" w:rsidP="009216D5">
            <w:pPr>
              <w:pStyle w:val="Tabletext"/>
              <w:snapToGrid w:val="0"/>
              <w:rPr>
                <w:b/>
                <w:bCs/>
                <w:u w:val="single"/>
              </w:rPr>
            </w:pPr>
            <w:r w:rsidRPr="00B06893">
              <w:rPr>
                <w:b/>
                <w:bCs/>
                <w:u w:val="single"/>
              </w:rPr>
              <w:t>Immunocompromise</w:t>
            </w:r>
            <w:r w:rsidR="00CC1B1A" w:rsidRPr="00B06893">
              <w:rPr>
                <w:b/>
                <w:bCs/>
                <w:u w:val="single"/>
              </w:rPr>
              <w:t>d</w:t>
            </w:r>
            <w:r w:rsidRPr="00B06893">
              <w:rPr>
                <w:b/>
                <w:bCs/>
                <w:u w:val="single"/>
              </w:rPr>
              <w:t xml:space="preserve"> </w:t>
            </w:r>
            <w:r w:rsidRPr="00B06893">
              <w:t>not reported</w:t>
            </w:r>
          </w:p>
          <w:p w14:paraId="5D2A16D0" w14:textId="77777777" w:rsidR="00CE7B34" w:rsidRPr="00B06893" w:rsidRDefault="00CE7B34" w:rsidP="009216D5">
            <w:pPr>
              <w:pStyle w:val="Tabletext"/>
              <w:snapToGrid w:val="0"/>
            </w:pPr>
            <w:r w:rsidRPr="00B06893">
              <w:t>XBB.1.5</w:t>
            </w:r>
          </w:p>
          <w:p w14:paraId="32BA0CEB" w14:textId="77777777" w:rsidR="00CE7B34" w:rsidRPr="00B06893" w:rsidRDefault="00CE7B34" w:rsidP="009216D5">
            <w:pPr>
              <w:pStyle w:val="Tabletext"/>
              <w:snapToGrid w:val="0"/>
            </w:pPr>
            <w:r w:rsidRPr="00B06893">
              <w:t>[≥18 years]</w:t>
            </w:r>
          </w:p>
        </w:tc>
        <w:tc>
          <w:tcPr>
            <w:tcW w:w="1230" w:type="pct"/>
            <w:vAlign w:val="center"/>
          </w:tcPr>
          <w:p w14:paraId="268E67AB" w14:textId="77777777" w:rsidR="00CE7B34" w:rsidRPr="00B06893" w:rsidRDefault="00CE7B34" w:rsidP="009216D5">
            <w:pPr>
              <w:pStyle w:val="Tabletext"/>
              <w:snapToGrid w:val="0"/>
            </w:pPr>
            <w:r w:rsidRPr="00B06893">
              <w:t>United States</w:t>
            </w:r>
          </w:p>
          <w:p w14:paraId="402BCBDC" w14:textId="77777777" w:rsidR="00CE7B34" w:rsidRPr="00B06893" w:rsidRDefault="00CE7B34" w:rsidP="009216D5">
            <w:pPr>
              <w:pStyle w:val="Tabletext"/>
              <w:snapToGrid w:val="0"/>
            </w:pPr>
            <w:r w:rsidRPr="00B06893">
              <w:t>10 October 2023 to 10 December 2023</w:t>
            </w:r>
          </w:p>
          <w:p w14:paraId="6B388E5C" w14:textId="77777777" w:rsidR="00CE7B34" w:rsidRPr="00B06893" w:rsidRDefault="00CE7B34" w:rsidP="009216D5">
            <w:pPr>
              <w:pStyle w:val="Tabletext"/>
              <w:snapToGrid w:val="0"/>
            </w:pPr>
            <w:r w:rsidRPr="00B06893">
              <w:t>N=8,199 ARI (16.4% (2,977) hospitalised)</w:t>
            </w:r>
          </w:p>
        </w:tc>
      </w:tr>
      <w:tr w:rsidR="00CE7B34" w:rsidRPr="00B06893" w14:paraId="3A8060BF" w14:textId="77777777" w:rsidTr="00F625C3">
        <w:trPr>
          <w:cantSplit/>
        </w:trPr>
        <w:tc>
          <w:tcPr>
            <w:tcW w:w="784" w:type="pct"/>
            <w:tcBorders>
              <w:top w:val="single" w:sz="4" w:space="0" w:color="auto"/>
              <w:bottom w:val="single" w:sz="4" w:space="0" w:color="auto"/>
            </w:tcBorders>
            <w:vAlign w:val="center"/>
          </w:tcPr>
          <w:p w14:paraId="4FCDF0A1" w14:textId="77777777" w:rsidR="00CE7B34" w:rsidRPr="00B06893" w:rsidRDefault="00CE7B34" w:rsidP="009216D5">
            <w:pPr>
              <w:pStyle w:val="Tabletext"/>
              <w:snapToGrid w:val="0"/>
            </w:pPr>
            <w:r w:rsidRPr="00B06893">
              <w:t>Tartof (2024)</w:t>
            </w:r>
          </w:p>
        </w:tc>
        <w:tc>
          <w:tcPr>
            <w:tcW w:w="1966" w:type="pct"/>
            <w:vMerge/>
          </w:tcPr>
          <w:p w14:paraId="2A9520BD" w14:textId="77777777" w:rsidR="00CE7B34" w:rsidRPr="00B06893" w:rsidRDefault="00CE7B34" w:rsidP="009216D5">
            <w:pPr>
              <w:pStyle w:val="Tabletext"/>
              <w:snapToGrid w:val="0"/>
            </w:pPr>
          </w:p>
        </w:tc>
        <w:tc>
          <w:tcPr>
            <w:tcW w:w="1021" w:type="pct"/>
            <w:vMerge/>
            <w:vAlign w:val="center"/>
          </w:tcPr>
          <w:p w14:paraId="3615BABE" w14:textId="77777777" w:rsidR="00CE7B34" w:rsidRPr="00B06893" w:rsidRDefault="00CE7B34" w:rsidP="009216D5">
            <w:pPr>
              <w:pStyle w:val="Tabletext"/>
              <w:snapToGrid w:val="0"/>
              <w:rPr>
                <w:b/>
                <w:bCs/>
                <w:u w:val="single"/>
              </w:rPr>
            </w:pPr>
          </w:p>
        </w:tc>
        <w:tc>
          <w:tcPr>
            <w:tcW w:w="1230" w:type="pct"/>
            <w:vAlign w:val="center"/>
          </w:tcPr>
          <w:p w14:paraId="7AA9DAD2" w14:textId="77777777" w:rsidR="00CE7B34" w:rsidRPr="00B06893" w:rsidRDefault="00CE7B34" w:rsidP="009216D5">
            <w:pPr>
              <w:pStyle w:val="Tabletext"/>
              <w:snapToGrid w:val="0"/>
            </w:pPr>
            <w:r w:rsidRPr="00B06893">
              <w:t>United States</w:t>
            </w:r>
          </w:p>
          <w:p w14:paraId="613C9549" w14:textId="77777777" w:rsidR="00CE7B34" w:rsidRPr="00B06893" w:rsidRDefault="00CE7B34" w:rsidP="009216D5">
            <w:pPr>
              <w:pStyle w:val="Tabletext"/>
              <w:snapToGrid w:val="0"/>
            </w:pPr>
            <w:r w:rsidRPr="00B06893">
              <w:t>10 October 2023 to 29 February 2023</w:t>
            </w:r>
          </w:p>
          <w:p w14:paraId="6C37FA0B" w14:textId="77777777" w:rsidR="00CE7B34" w:rsidRPr="00B06893" w:rsidRDefault="00CE7B34" w:rsidP="009216D5">
            <w:pPr>
              <w:pStyle w:val="Tabletext"/>
              <w:snapToGrid w:val="0"/>
            </w:pPr>
            <w:r w:rsidRPr="00B06893">
              <w:t>N=52,036 ARI (16.8% (8,732) hospitalised)</w:t>
            </w:r>
          </w:p>
        </w:tc>
      </w:tr>
      <w:tr w:rsidR="00CE7B34" w:rsidRPr="00B06893" w14:paraId="697A7E5A" w14:textId="77777777" w:rsidTr="00F625C3">
        <w:trPr>
          <w:cantSplit/>
        </w:trPr>
        <w:tc>
          <w:tcPr>
            <w:tcW w:w="784" w:type="pct"/>
            <w:tcBorders>
              <w:top w:val="single" w:sz="4" w:space="0" w:color="auto"/>
              <w:bottom w:val="single" w:sz="4" w:space="0" w:color="auto"/>
            </w:tcBorders>
            <w:vAlign w:val="center"/>
          </w:tcPr>
          <w:p w14:paraId="6A0C56D3" w14:textId="77777777" w:rsidR="00CE7B34" w:rsidRPr="00B06893" w:rsidRDefault="00CE7B34" w:rsidP="009216D5">
            <w:pPr>
              <w:pStyle w:val="Tabletext"/>
              <w:snapToGrid w:val="0"/>
            </w:pPr>
            <w:r w:rsidRPr="00B06893">
              <w:t>Nguyen (2025)</w:t>
            </w:r>
          </w:p>
        </w:tc>
        <w:tc>
          <w:tcPr>
            <w:tcW w:w="1966" w:type="pct"/>
          </w:tcPr>
          <w:p w14:paraId="766BDBE1" w14:textId="77777777" w:rsidR="00CE7B34" w:rsidRPr="00B06893" w:rsidRDefault="00CE7B34" w:rsidP="009216D5">
            <w:pPr>
              <w:pStyle w:val="Tabletext"/>
              <w:snapToGrid w:val="0"/>
            </w:pPr>
            <w:r w:rsidRPr="00B06893">
              <w:t>RWE</w:t>
            </w:r>
          </w:p>
          <w:p w14:paraId="22DF30EA" w14:textId="62F5652A" w:rsidR="00CE7B34" w:rsidRPr="00B06893" w:rsidRDefault="00CE7B34" w:rsidP="009216D5">
            <w:pPr>
              <w:pStyle w:val="Tabletext"/>
              <w:snapToGrid w:val="0"/>
            </w:pPr>
            <w:r w:rsidRPr="00B06893">
              <w:t>Case</w:t>
            </w:r>
            <w:r w:rsidR="00193971">
              <w:noBreakHyphen/>
            </w:r>
            <w:r w:rsidRPr="00B06893">
              <w:t>control</w:t>
            </w:r>
          </w:p>
          <w:p w14:paraId="67644351" w14:textId="77777777" w:rsidR="00CE7B34" w:rsidRPr="00B06893" w:rsidRDefault="00CE7B34" w:rsidP="009216D5">
            <w:pPr>
              <w:pStyle w:val="Tabletext"/>
              <w:snapToGrid w:val="0"/>
            </w:pPr>
          </w:p>
          <w:p w14:paraId="11EDBB08" w14:textId="77777777" w:rsidR="00CE7B34" w:rsidRPr="00B06893" w:rsidRDefault="00CE7B34" w:rsidP="009216D5">
            <w:pPr>
              <w:pStyle w:val="Tabletext"/>
              <w:snapToGrid w:val="0"/>
            </w:pPr>
            <w:r w:rsidRPr="00B06893">
              <w:t>Hospitalisation</w:t>
            </w:r>
          </w:p>
          <w:p w14:paraId="1A988710" w14:textId="77777777" w:rsidR="00B01CEB" w:rsidRPr="00B06893" w:rsidRDefault="00B01CEB" w:rsidP="009216D5">
            <w:pPr>
              <w:pStyle w:val="Tabletext"/>
              <w:snapToGrid w:val="0"/>
            </w:pPr>
          </w:p>
          <w:p w14:paraId="0C77711E" w14:textId="688222DD" w:rsidR="00B01CEB" w:rsidRPr="00B06893" w:rsidRDefault="00B01CEB" w:rsidP="009216D5">
            <w:pPr>
              <w:pStyle w:val="Tabletext"/>
              <w:snapToGrid w:val="0"/>
            </w:pPr>
            <w:r w:rsidRPr="00B06893">
              <w:t>High risk of selection bias and confounding.</w:t>
            </w:r>
          </w:p>
        </w:tc>
        <w:tc>
          <w:tcPr>
            <w:tcW w:w="1021" w:type="pct"/>
            <w:vAlign w:val="center"/>
          </w:tcPr>
          <w:p w14:paraId="5D3B3495" w14:textId="0366DBBF" w:rsidR="00CE7B34" w:rsidRPr="00B06893" w:rsidRDefault="00CE7B34" w:rsidP="009216D5">
            <w:pPr>
              <w:pStyle w:val="Tabletext"/>
              <w:snapToGrid w:val="0"/>
              <w:rPr>
                <w:b/>
                <w:bCs/>
                <w:u w:val="single"/>
              </w:rPr>
            </w:pPr>
            <w:r w:rsidRPr="00B06893">
              <w:rPr>
                <w:b/>
                <w:bCs/>
                <w:u w:val="single"/>
              </w:rPr>
              <w:t>Immunocompromised</w:t>
            </w:r>
            <w:r w:rsidRPr="00B06893">
              <w:t>2.4 to 7.4% (across vaccinated and non</w:t>
            </w:r>
            <w:r w:rsidR="00193971">
              <w:noBreakHyphen/>
            </w:r>
            <w:r w:rsidRPr="00B06893">
              <w:t>vaccinated cohorts)</w:t>
            </w:r>
          </w:p>
          <w:p w14:paraId="51E8B158" w14:textId="77777777" w:rsidR="00CC1B1A" w:rsidRPr="00B06893" w:rsidRDefault="00CC1B1A" w:rsidP="009216D5">
            <w:pPr>
              <w:pStyle w:val="Tabletext"/>
              <w:snapToGrid w:val="0"/>
            </w:pPr>
          </w:p>
          <w:p w14:paraId="435D2A2B" w14:textId="728E232F" w:rsidR="00CE7B34" w:rsidRPr="00B06893" w:rsidRDefault="00CE7B34" w:rsidP="009216D5">
            <w:pPr>
              <w:pStyle w:val="Tabletext"/>
              <w:snapToGrid w:val="0"/>
            </w:pPr>
            <w:r w:rsidRPr="00B06893">
              <w:t>XBB.1.5</w:t>
            </w:r>
          </w:p>
          <w:p w14:paraId="68279EFE" w14:textId="63805F03" w:rsidR="00CE7B34" w:rsidRPr="00B06893" w:rsidRDefault="00CE7B34" w:rsidP="009216D5">
            <w:pPr>
              <w:pStyle w:val="Tabletext"/>
              <w:snapToGrid w:val="0"/>
            </w:pPr>
            <w:r w:rsidRPr="00B06893">
              <w:t>[≥18 years</w:t>
            </w:r>
            <w:r w:rsidR="00B01CEB" w:rsidRPr="00B06893">
              <w:t>]</w:t>
            </w:r>
          </w:p>
        </w:tc>
        <w:tc>
          <w:tcPr>
            <w:tcW w:w="1230" w:type="pct"/>
            <w:vAlign w:val="center"/>
          </w:tcPr>
          <w:p w14:paraId="530B5B47" w14:textId="77777777" w:rsidR="00CE7B34" w:rsidRPr="00B06893" w:rsidRDefault="00CE7B34" w:rsidP="009216D5">
            <w:pPr>
              <w:pStyle w:val="Tabletext"/>
              <w:snapToGrid w:val="0"/>
            </w:pPr>
            <w:r w:rsidRPr="00B06893">
              <w:t>Belgium Denmark, Italy, Navarra (Spain), The Netherlands, Norway, Portugal.</w:t>
            </w:r>
          </w:p>
          <w:p w14:paraId="75B986EF" w14:textId="77777777" w:rsidR="00CE7B34" w:rsidRPr="00B06893" w:rsidRDefault="00CE7B34" w:rsidP="009216D5">
            <w:pPr>
              <w:pStyle w:val="Tabletext"/>
              <w:snapToGrid w:val="0"/>
            </w:pPr>
            <w:r w:rsidRPr="00B06893">
              <w:t>N=1425 (21.6% [308] test positive cases)</w:t>
            </w:r>
          </w:p>
        </w:tc>
      </w:tr>
      <w:tr w:rsidR="00CE7B34" w:rsidRPr="00B06893" w14:paraId="1F8F7B19" w14:textId="77777777" w:rsidTr="00F625C3">
        <w:trPr>
          <w:cantSplit/>
        </w:trPr>
        <w:tc>
          <w:tcPr>
            <w:tcW w:w="5000" w:type="pct"/>
            <w:gridSpan w:val="4"/>
            <w:tcBorders>
              <w:top w:val="single" w:sz="4" w:space="0" w:color="auto"/>
              <w:bottom w:val="single" w:sz="4" w:space="0" w:color="auto"/>
            </w:tcBorders>
            <w:vAlign w:val="center"/>
          </w:tcPr>
          <w:p w14:paraId="1B4E2288" w14:textId="2375B4E9" w:rsidR="00CE7B34" w:rsidRPr="00B06893" w:rsidRDefault="00CE7B34" w:rsidP="009216D5">
            <w:pPr>
              <w:pStyle w:val="Tabletext"/>
              <w:snapToGrid w:val="0"/>
            </w:pPr>
            <w:r w:rsidRPr="00B06893">
              <w:rPr>
                <w:b/>
                <w:bCs/>
              </w:rPr>
              <w:t xml:space="preserve">Direct comparison between Spikevax and </w:t>
            </w:r>
            <w:r w:rsidR="00E34126" w:rsidRPr="00B06893">
              <w:rPr>
                <w:b/>
                <w:bCs/>
              </w:rPr>
              <w:t>Comirnaty</w:t>
            </w:r>
          </w:p>
        </w:tc>
      </w:tr>
      <w:tr w:rsidR="00CE7B34" w:rsidRPr="00B06893" w14:paraId="70B22F70" w14:textId="77777777" w:rsidTr="00F625C3">
        <w:trPr>
          <w:cantSplit/>
        </w:trPr>
        <w:tc>
          <w:tcPr>
            <w:tcW w:w="784" w:type="pct"/>
            <w:tcBorders>
              <w:top w:val="single" w:sz="4" w:space="0" w:color="auto"/>
              <w:bottom w:val="single" w:sz="4" w:space="0" w:color="auto"/>
            </w:tcBorders>
            <w:vAlign w:val="center"/>
          </w:tcPr>
          <w:p w14:paraId="5E7230B1" w14:textId="77777777" w:rsidR="00CE7B34" w:rsidRPr="00B06893" w:rsidRDefault="00CE7B34" w:rsidP="009216D5">
            <w:pPr>
              <w:pStyle w:val="Tabletext"/>
              <w:snapToGrid w:val="0"/>
            </w:pPr>
            <w:r w:rsidRPr="00B06893">
              <w:t>Mok (2025)</w:t>
            </w:r>
          </w:p>
        </w:tc>
        <w:tc>
          <w:tcPr>
            <w:tcW w:w="1966" w:type="pct"/>
          </w:tcPr>
          <w:p w14:paraId="5DC2E27F" w14:textId="77777777" w:rsidR="00CE7B34" w:rsidRPr="00B06893" w:rsidRDefault="00CE7B34" w:rsidP="009216D5">
            <w:pPr>
              <w:pStyle w:val="Tabletext"/>
              <w:snapToGrid w:val="0"/>
            </w:pPr>
            <w:r w:rsidRPr="00B06893">
              <w:t>Clinical trial</w:t>
            </w:r>
          </w:p>
          <w:p w14:paraId="18780711" w14:textId="77777777" w:rsidR="00CE7B34" w:rsidRPr="00B06893" w:rsidRDefault="00CE7B34" w:rsidP="009216D5">
            <w:pPr>
              <w:pStyle w:val="Tabletext"/>
              <w:snapToGrid w:val="0"/>
            </w:pPr>
          </w:p>
          <w:p w14:paraId="4FB3E45A" w14:textId="77777777" w:rsidR="00CE7B34" w:rsidRPr="00B06893" w:rsidRDefault="00CE7B34" w:rsidP="009216D5">
            <w:pPr>
              <w:pStyle w:val="Tabletext"/>
              <w:snapToGrid w:val="0"/>
            </w:pPr>
            <w:r w:rsidRPr="00B06893">
              <w:t>Immunogenicity</w:t>
            </w:r>
          </w:p>
          <w:p w14:paraId="434C2DFB" w14:textId="77777777" w:rsidR="00CE7B34" w:rsidRPr="00B06893" w:rsidRDefault="00CE7B34" w:rsidP="009216D5">
            <w:pPr>
              <w:pStyle w:val="Tabletext"/>
              <w:snapToGrid w:val="0"/>
            </w:pPr>
            <w:r w:rsidRPr="00B06893">
              <w:t>Safety</w:t>
            </w:r>
          </w:p>
          <w:p w14:paraId="5C8CD57E" w14:textId="77777777" w:rsidR="00CE7B34" w:rsidRPr="00B06893" w:rsidRDefault="00CE7B34" w:rsidP="009216D5">
            <w:pPr>
              <w:pStyle w:val="Tabletext"/>
              <w:snapToGrid w:val="0"/>
            </w:pPr>
          </w:p>
          <w:p w14:paraId="21E71E6A" w14:textId="0693CF5C" w:rsidR="00CE7B34" w:rsidRPr="00B06893" w:rsidRDefault="00CE7B34" w:rsidP="009216D5">
            <w:pPr>
              <w:pStyle w:val="Tabletext"/>
              <w:snapToGrid w:val="0"/>
            </w:pPr>
            <w:r w:rsidRPr="00B06893">
              <w:t xml:space="preserve">Low risk of bias for immunogenicity and high risk of bias for safety ((knowledge of allocation) but not informative for </w:t>
            </w:r>
            <w:r w:rsidR="00DA49EE" w:rsidRPr="00B06893">
              <w:t xml:space="preserve">vaccine </w:t>
            </w:r>
            <w:r w:rsidRPr="00B06893">
              <w:t>effectiveness.</w:t>
            </w:r>
          </w:p>
        </w:tc>
        <w:tc>
          <w:tcPr>
            <w:tcW w:w="1021" w:type="pct"/>
            <w:vAlign w:val="center"/>
          </w:tcPr>
          <w:p w14:paraId="3A86819B" w14:textId="77777777" w:rsidR="00CE7B34" w:rsidRPr="00B06893" w:rsidRDefault="00CE7B34" w:rsidP="009216D5">
            <w:pPr>
              <w:pStyle w:val="Tabletext"/>
              <w:snapToGrid w:val="0"/>
              <w:rPr>
                <w:b/>
                <w:bCs/>
                <w:u w:val="single"/>
              </w:rPr>
            </w:pPr>
            <w:r w:rsidRPr="00B06893">
              <w:rPr>
                <w:b/>
                <w:bCs/>
                <w:u w:val="single"/>
              </w:rPr>
              <w:t>Immunocompromised</w:t>
            </w:r>
          </w:p>
          <w:p w14:paraId="5526DA85" w14:textId="77777777" w:rsidR="00CE7B34" w:rsidRPr="00B06893" w:rsidRDefault="00CE7B34" w:rsidP="009216D5">
            <w:pPr>
              <w:pStyle w:val="Tabletext"/>
              <w:snapToGrid w:val="0"/>
            </w:pPr>
            <w:r w:rsidRPr="00B06893">
              <w:t>XBB.1.5</w:t>
            </w:r>
          </w:p>
          <w:p w14:paraId="4E99F788" w14:textId="77777777" w:rsidR="00CE7B34" w:rsidRPr="00B06893" w:rsidRDefault="00CE7B34" w:rsidP="009216D5">
            <w:pPr>
              <w:pStyle w:val="Tabletext"/>
              <w:snapToGrid w:val="0"/>
            </w:pPr>
            <w:r w:rsidRPr="00B06893">
              <w:t>[≥60 years]</w:t>
            </w:r>
          </w:p>
        </w:tc>
        <w:tc>
          <w:tcPr>
            <w:tcW w:w="1230" w:type="pct"/>
            <w:vAlign w:val="center"/>
          </w:tcPr>
          <w:p w14:paraId="03BA06BC" w14:textId="77777777" w:rsidR="00CE7B34" w:rsidRPr="00B06893" w:rsidRDefault="00CE7B34" w:rsidP="009216D5">
            <w:pPr>
              <w:pStyle w:val="Tabletext"/>
              <w:snapToGrid w:val="0"/>
            </w:pPr>
            <w:r w:rsidRPr="00B06893">
              <w:t>Chinese University of Hong Kong Medical Centre or Prince of Wales Hospital in Hong Kong</w:t>
            </w:r>
          </w:p>
          <w:p w14:paraId="12A1041C" w14:textId="77777777" w:rsidR="00CE7B34" w:rsidRPr="00B06893" w:rsidRDefault="00CE7B34" w:rsidP="009216D5">
            <w:pPr>
              <w:pStyle w:val="Tabletext"/>
              <w:snapToGrid w:val="0"/>
            </w:pPr>
            <w:r w:rsidRPr="00B06893">
              <w:t>2 January 2024 to 3 February 2024.</w:t>
            </w:r>
          </w:p>
          <w:p w14:paraId="46276749" w14:textId="77777777" w:rsidR="00CE7B34" w:rsidRPr="00B06893" w:rsidRDefault="00CE7B34" w:rsidP="009216D5">
            <w:pPr>
              <w:pStyle w:val="Tabletext"/>
              <w:snapToGrid w:val="0"/>
            </w:pPr>
            <w:r w:rsidRPr="00B06893">
              <w:t>N=70</w:t>
            </w:r>
          </w:p>
        </w:tc>
      </w:tr>
      <w:tr w:rsidR="00CE7B34" w:rsidRPr="00B06893" w14:paraId="66A50231" w14:textId="77777777" w:rsidTr="00F625C3">
        <w:trPr>
          <w:cantSplit/>
        </w:trPr>
        <w:tc>
          <w:tcPr>
            <w:tcW w:w="784" w:type="pct"/>
            <w:tcBorders>
              <w:top w:val="single" w:sz="4" w:space="0" w:color="auto"/>
              <w:bottom w:val="single" w:sz="4" w:space="0" w:color="auto"/>
            </w:tcBorders>
            <w:vAlign w:val="center"/>
          </w:tcPr>
          <w:p w14:paraId="7ED2C64F" w14:textId="77777777" w:rsidR="00CE7B34" w:rsidRPr="00B06893" w:rsidRDefault="00CE7B34" w:rsidP="009216D5">
            <w:pPr>
              <w:pStyle w:val="Tabletext"/>
              <w:snapToGrid w:val="0"/>
            </w:pPr>
            <w:r w:rsidRPr="00B06893">
              <w:t>Pan (2025)</w:t>
            </w:r>
          </w:p>
        </w:tc>
        <w:tc>
          <w:tcPr>
            <w:tcW w:w="1966" w:type="pct"/>
          </w:tcPr>
          <w:p w14:paraId="770EB0D1" w14:textId="1CF2DFC5" w:rsidR="00CE7B34" w:rsidRPr="00B06893" w:rsidRDefault="00CE7B34" w:rsidP="009216D5">
            <w:pPr>
              <w:pStyle w:val="Tabletext"/>
              <w:snapToGrid w:val="0"/>
            </w:pPr>
            <w:r w:rsidRPr="00B06893">
              <w:t>Retrospective observational self</w:t>
            </w:r>
            <w:r w:rsidR="00193971">
              <w:noBreakHyphen/>
            </w:r>
            <w:r w:rsidRPr="00B06893">
              <w:t>controlled case series</w:t>
            </w:r>
          </w:p>
          <w:p w14:paraId="09A24654" w14:textId="77777777" w:rsidR="00CE7B34" w:rsidRPr="00B06893" w:rsidRDefault="00CE7B34" w:rsidP="009216D5">
            <w:pPr>
              <w:pStyle w:val="Tabletext"/>
              <w:snapToGrid w:val="0"/>
            </w:pPr>
          </w:p>
          <w:p w14:paraId="3170B67E" w14:textId="77777777" w:rsidR="00CE7B34" w:rsidRPr="00B06893" w:rsidRDefault="00CE7B34" w:rsidP="009216D5">
            <w:pPr>
              <w:pStyle w:val="Tabletext"/>
              <w:snapToGrid w:val="0"/>
            </w:pPr>
            <w:r w:rsidRPr="00B06893">
              <w:t>Safety</w:t>
            </w:r>
          </w:p>
          <w:p w14:paraId="4C15DF88" w14:textId="77777777" w:rsidR="00CE7B34" w:rsidRPr="00B06893" w:rsidRDefault="00CE7B34" w:rsidP="009216D5">
            <w:pPr>
              <w:pStyle w:val="Tabletext"/>
              <w:snapToGrid w:val="0"/>
            </w:pPr>
          </w:p>
          <w:p w14:paraId="7E2D437D" w14:textId="285D419A" w:rsidR="00CE7B34" w:rsidRPr="00B06893" w:rsidRDefault="00CE7B34" w:rsidP="009216D5">
            <w:pPr>
              <w:pStyle w:val="Tabletext"/>
              <w:snapToGrid w:val="0"/>
            </w:pPr>
            <w:r w:rsidRPr="00B06893">
              <w:t>Non</w:t>
            </w:r>
            <w:r w:rsidR="00193971">
              <w:noBreakHyphen/>
            </w:r>
            <w:r w:rsidRPr="00B06893">
              <w:t>randomised. High risk of bias for safety (knowledge of allocation).</w:t>
            </w:r>
          </w:p>
        </w:tc>
        <w:tc>
          <w:tcPr>
            <w:tcW w:w="1021" w:type="pct"/>
            <w:vAlign w:val="center"/>
          </w:tcPr>
          <w:p w14:paraId="2982FF82" w14:textId="46E86508" w:rsidR="00CE7B34" w:rsidRPr="00B06893" w:rsidRDefault="00CE7B34" w:rsidP="009216D5">
            <w:pPr>
              <w:pStyle w:val="Tabletext"/>
              <w:snapToGrid w:val="0"/>
            </w:pPr>
            <w:r w:rsidRPr="00B06893">
              <w:rPr>
                <w:b/>
                <w:bCs/>
                <w:u w:val="single"/>
              </w:rPr>
              <w:t>Immunocompromise</w:t>
            </w:r>
            <w:r w:rsidR="00CC1B1A" w:rsidRPr="00B06893">
              <w:rPr>
                <w:b/>
                <w:bCs/>
                <w:u w:val="single"/>
              </w:rPr>
              <w:t>d</w:t>
            </w:r>
            <w:r w:rsidRPr="00B06893">
              <w:rPr>
                <w:b/>
                <w:bCs/>
                <w:u w:val="single"/>
              </w:rPr>
              <w:t xml:space="preserve"> </w:t>
            </w:r>
            <w:r w:rsidRPr="00B06893">
              <w:t xml:space="preserve">not reported </w:t>
            </w:r>
          </w:p>
          <w:p w14:paraId="2190E3B0" w14:textId="77777777" w:rsidR="00CE7B34" w:rsidRPr="00B06893" w:rsidRDefault="00CE7B34" w:rsidP="009216D5">
            <w:pPr>
              <w:pStyle w:val="Tabletext"/>
              <w:snapToGrid w:val="0"/>
            </w:pPr>
            <w:r w:rsidRPr="00B06893">
              <w:t xml:space="preserve">XBB.1.5 </w:t>
            </w:r>
          </w:p>
          <w:p w14:paraId="4E7B9906" w14:textId="77777777" w:rsidR="00CE7B34" w:rsidRPr="00B06893" w:rsidRDefault="00CE7B34" w:rsidP="009216D5">
            <w:pPr>
              <w:pStyle w:val="Tabletext"/>
              <w:snapToGrid w:val="0"/>
            </w:pPr>
            <w:r w:rsidRPr="00B06893">
              <w:t>[≥18 years]</w:t>
            </w:r>
          </w:p>
        </w:tc>
        <w:tc>
          <w:tcPr>
            <w:tcW w:w="1230" w:type="pct"/>
            <w:vAlign w:val="center"/>
          </w:tcPr>
          <w:p w14:paraId="76AA5CF5" w14:textId="77777777" w:rsidR="00CE7B34" w:rsidRPr="00B06893" w:rsidRDefault="00CE7B34" w:rsidP="009216D5">
            <w:pPr>
              <w:pStyle w:val="Tabletext"/>
              <w:snapToGrid w:val="0"/>
            </w:pPr>
            <w:r w:rsidRPr="00B06893">
              <w:t>United states</w:t>
            </w:r>
          </w:p>
          <w:p w14:paraId="00BD24C9" w14:textId="77777777" w:rsidR="00CE7B34" w:rsidRPr="00B06893" w:rsidRDefault="00CE7B34" w:rsidP="009216D5">
            <w:pPr>
              <w:pStyle w:val="Tabletext"/>
              <w:snapToGrid w:val="0"/>
            </w:pPr>
            <w:r w:rsidRPr="00B06893">
              <w:t>11 September 2023 to June 1, 2024</w:t>
            </w:r>
          </w:p>
          <w:p w14:paraId="7338D735" w14:textId="77777777" w:rsidR="00CE7B34" w:rsidRPr="00B06893" w:rsidRDefault="00CE7B34" w:rsidP="009216D5">
            <w:pPr>
              <w:pStyle w:val="Tabletext"/>
              <w:snapToGrid w:val="0"/>
            </w:pPr>
            <w:r w:rsidRPr="00B06893">
              <w:t>N=244,494</w:t>
            </w:r>
          </w:p>
        </w:tc>
      </w:tr>
    </w:tbl>
    <w:p w14:paraId="6351F36E" w14:textId="3D624E14" w:rsidR="00CE7B34" w:rsidRPr="00B06893" w:rsidRDefault="00CE7B34" w:rsidP="00B01CEB">
      <w:pPr>
        <w:pStyle w:val="TableFooter"/>
      </w:pPr>
      <w:r w:rsidRPr="00B06893">
        <w:t>Source: Sections 2.1</w:t>
      </w:r>
      <w:r w:rsidR="00193971">
        <w:noBreakHyphen/>
      </w:r>
      <w:r w:rsidRPr="00B06893">
        <w:t>2.4, pp53</w:t>
      </w:r>
      <w:r w:rsidR="00193971">
        <w:noBreakHyphen/>
      </w:r>
      <w:r w:rsidRPr="00B06893">
        <w:t>75 of the submission, Section 4 of the ATAGI Pre</w:t>
      </w:r>
      <w:r w:rsidR="00193971">
        <w:noBreakHyphen/>
      </w:r>
      <w:r w:rsidRPr="00B06893">
        <w:t>Submission Advice, and main publications of the included studies.</w:t>
      </w:r>
    </w:p>
    <w:p w14:paraId="59F4B6CC" w14:textId="57B8E082" w:rsidR="00CE7B34" w:rsidRPr="00B06893" w:rsidRDefault="00CE7B34" w:rsidP="00B01CEB">
      <w:pPr>
        <w:pStyle w:val="TableFooter"/>
      </w:pPr>
      <w:r w:rsidRPr="00B06893">
        <w:lastRenderedPageBreak/>
        <w:t>ARI</w:t>
      </w:r>
      <w:r w:rsidR="00B01CEB" w:rsidRPr="00B06893">
        <w:t xml:space="preserve"> </w:t>
      </w:r>
      <w:r w:rsidRPr="00B06893">
        <w:t>= acute respiratory infections; COVID</w:t>
      </w:r>
      <w:r w:rsidR="00193971">
        <w:noBreakHyphen/>
      </w:r>
      <w:r w:rsidRPr="00B06893">
        <w:t>19 = coronavirus disease 2019; NI = non</w:t>
      </w:r>
      <w:r w:rsidR="00193971">
        <w:noBreakHyphen/>
      </w:r>
      <w:r w:rsidRPr="00B06893">
        <w:t>immunocompromised (</w:t>
      </w:r>
      <w:r w:rsidRPr="00B06893">
        <w:rPr>
          <w:iCs/>
        </w:rPr>
        <w:t>immunocompetent</w:t>
      </w:r>
      <w:r w:rsidRPr="00B06893">
        <w:t>); RWE = Real World Evidence; SARS</w:t>
      </w:r>
      <w:r w:rsidR="00193971">
        <w:noBreakHyphen/>
      </w:r>
      <w:r w:rsidRPr="00B06893">
        <w:t>CoV</w:t>
      </w:r>
      <w:r w:rsidR="00193971">
        <w:noBreakHyphen/>
      </w:r>
      <w:r w:rsidRPr="00B06893">
        <w:t>2</w:t>
      </w:r>
      <w:r w:rsidR="00580BAD">
        <w:t xml:space="preserve"> </w:t>
      </w:r>
      <w:r w:rsidRPr="00B06893">
        <w:t>= severe acute respiratory syndrome coronavirus 2</w:t>
      </w:r>
    </w:p>
    <w:p w14:paraId="1C15A945" w14:textId="3DEFD783" w:rsidR="00CE7B34" w:rsidRPr="00B06893" w:rsidRDefault="00CE7B34" w:rsidP="00B01CEB">
      <w:pPr>
        <w:pStyle w:val="TableFooter"/>
      </w:pPr>
      <w:r w:rsidRPr="00B06893">
        <w:rPr>
          <w:vertAlign w:val="superscript"/>
        </w:rPr>
        <w:t>a</w:t>
      </w:r>
      <w:r w:rsidRPr="00B06893">
        <w:t>Gilbert PB et al. Immune correlates analysis of the mRNA</w:t>
      </w:r>
      <w:r w:rsidR="00193971">
        <w:noBreakHyphen/>
      </w:r>
      <w:r w:rsidRPr="00B06893">
        <w:t>1273 COVID</w:t>
      </w:r>
      <w:r w:rsidR="00193971">
        <w:noBreakHyphen/>
      </w:r>
      <w:r w:rsidRPr="00B06893">
        <w:t>19 vaccine efficacy clinical trial. Science 2022; 375:43–50.</w:t>
      </w:r>
    </w:p>
    <w:p w14:paraId="503260C5" w14:textId="6A7820A6" w:rsidR="001C6D5A" w:rsidRPr="00B06893" w:rsidRDefault="00CE7B34" w:rsidP="00B01CEB">
      <w:pPr>
        <w:pStyle w:val="TableFooter"/>
      </w:pPr>
      <w:r w:rsidRPr="00B06893">
        <w:rPr>
          <w:vertAlign w:val="superscript"/>
        </w:rPr>
        <w:t>b</w:t>
      </w:r>
      <w:r w:rsidRPr="00B06893">
        <w:t>Khoury DS et al. Neutralizing antibody levels are highly predictive of immune protection from symptomatic SARS</w:t>
      </w:r>
      <w:r w:rsidR="00193971">
        <w:noBreakHyphen/>
      </w:r>
      <w:r w:rsidRPr="00B06893">
        <w:t>CoV</w:t>
      </w:r>
      <w:r w:rsidR="00193971">
        <w:noBreakHyphen/>
      </w:r>
      <w:r w:rsidRPr="00B06893">
        <w:t>2 infection. Nat Med 2021; 27:1205–11.</w:t>
      </w:r>
    </w:p>
    <w:p w14:paraId="4AF8B035" w14:textId="3EA691D0" w:rsidR="005D1567" w:rsidRPr="00B06893" w:rsidRDefault="005D1567" w:rsidP="005D1567">
      <w:pPr>
        <w:pStyle w:val="3-BodyText"/>
      </w:pPr>
      <w:r w:rsidRPr="00B06893">
        <w:t>Two direct trials of Spikevax versus no vaccination were included in the submission as ‘pivotal evidence’. However, these trials only assessed short</w:t>
      </w:r>
      <w:r w:rsidR="00193971">
        <w:noBreakHyphen/>
      </w:r>
      <w:r w:rsidRPr="00B06893">
        <w:t>term immunogenicity and safety with analyses based on small sample sizes. These studies did not assess effectiveness outcomes such as hospitalisations or intensive care admissions, or mortality.</w:t>
      </w:r>
    </w:p>
    <w:p w14:paraId="418CBE51" w14:textId="77777777" w:rsidR="005D1567" w:rsidRPr="00B06893" w:rsidRDefault="005D1567" w:rsidP="00D80B33">
      <w:pPr>
        <w:pStyle w:val="3-BodyText"/>
        <w:numPr>
          <w:ilvl w:val="0"/>
          <w:numId w:val="19"/>
        </w:numPr>
      </w:pPr>
      <w:r w:rsidRPr="00B06893">
        <w:t>Study P403 (Figueroa [2025]) had three parts based on type of variant (Part 1: JN.1; Part 2: XBB.1.5 and KP.2; Part 3: LP.8.1).</w:t>
      </w:r>
    </w:p>
    <w:p w14:paraId="4F6DF3D4" w14:textId="77777777" w:rsidR="005D1567" w:rsidRPr="00B06893" w:rsidRDefault="005D1567" w:rsidP="00D80B33">
      <w:pPr>
        <w:pStyle w:val="3-BodyText"/>
        <w:numPr>
          <w:ilvl w:val="0"/>
          <w:numId w:val="19"/>
        </w:numPr>
      </w:pPr>
      <w:r w:rsidRPr="00B06893">
        <w:t>Study P205 (Chalkias (2024) (Part J: XBB.1.5).</w:t>
      </w:r>
    </w:p>
    <w:p w14:paraId="0D52DB96" w14:textId="238C2AFE" w:rsidR="001C6D5A" w:rsidRPr="00B06893" w:rsidRDefault="00DA49EE" w:rsidP="002E4F02">
      <w:pPr>
        <w:pStyle w:val="3-BodyText"/>
      </w:pPr>
      <w:r w:rsidRPr="00B06893">
        <w:t>The observational and non</w:t>
      </w:r>
      <w:r w:rsidR="00193971">
        <w:noBreakHyphen/>
      </w:r>
      <w:r w:rsidRPr="00B06893">
        <w:t>randomised studies are inherently subject to a high risk of selection bias and confounding, although attempts were made to mitigate confounding in some of the studies. Furthermore, different durations of follow</w:t>
      </w:r>
      <w:r w:rsidR="00193971">
        <w:noBreakHyphen/>
      </w:r>
      <w:r w:rsidRPr="00B06893">
        <w:t>up and differences in circulating variants made it difficult to conduct cross</w:t>
      </w:r>
      <w:r w:rsidR="00193971">
        <w:noBreakHyphen/>
      </w:r>
      <w:r w:rsidRPr="00B06893">
        <w:t>study comparisons</w:t>
      </w:r>
      <w:r w:rsidR="005D1567" w:rsidRPr="00B06893">
        <w:t>.</w:t>
      </w:r>
      <w:r w:rsidRPr="00B06893">
        <w:t xml:space="preserve"> </w:t>
      </w:r>
      <w:r w:rsidR="00BB18D0" w:rsidRPr="00B06893">
        <w:t xml:space="preserve">The evaluation stated it was </w:t>
      </w:r>
      <w:r w:rsidRPr="00B06893">
        <w:t>unclear whether there were differences between variants of concern or variants under monitoring.</w:t>
      </w:r>
    </w:p>
    <w:p w14:paraId="4033C5B0" w14:textId="389692C9" w:rsidR="00620C25" w:rsidRPr="00B06893" w:rsidRDefault="0076221E" w:rsidP="007F6A1E">
      <w:pPr>
        <w:pStyle w:val="4-SubsectionHeading"/>
        <w:rPr>
          <w:iCs/>
        </w:rPr>
      </w:pPr>
      <w:bookmarkStart w:id="31" w:name="_Toc219898332"/>
      <w:r w:rsidRPr="00B06893">
        <w:t>Immunogenicity</w:t>
      </w:r>
      <w:bookmarkEnd w:id="31"/>
    </w:p>
    <w:p w14:paraId="408048E8" w14:textId="1ECFD666" w:rsidR="00FD74F1" w:rsidRPr="00B06893" w:rsidRDefault="00FD74F1" w:rsidP="0076221E">
      <w:pPr>
        <w:pStyle w:val="3-BodyText"/>
      </w:pPr>
      <w:r w:rsidRPr="00B06893">
        <w:t xml:space="preserve">Overall, nAb titre levels rose considerably against each of the strains assayed. However, </w:t>
      </w:r>
      <w:r w:rsidR="00074070" w:rsidRPr="00B06893">
        <w:t xml:space="preserve">as noted in </w:t>
      </w:r>
      <w:r w:rsidRPr="00B06893">
        <w:t>the 2025 ATAGI Pre</w:t>
      </w:r>
      <w:r w:rsidR="00193971">
        <w:noBreakHyphen/>
      </w:r>
      <w:r w:rsidRPr="00B06893">
        <w:t xml:space="preserve">Submission Advice noted </w:t>
      </w:r>
      <w:r w:rsidR="00074070" w:rsidRPr="00B06893">
        <w:t xml:space="preserve">, </w:t>
      </w:r>
      <w:r w:rsidRPr="00B06893">
        <w:t>the sponsor has not pre</w:t>
      </w:r>
      <w:r w:rsidR="00193971">
        <w:noBreakHyphen/>
      </w:r>
      <w:r w:rsidRPr="00B06893">
        <w:t>defined a threshold or titre level as an appropriate measure of protection or immunogenicity. The submission acknowledged that a definitive protective threshold for nAb titres has not been established, making it challenging to define minimal clinically important differences (MCIDs) in immunogenicity outcomes.</w:t>
      </w:r>
    </w:p>
    <w:p w14:paraId="6037E81E" w14:textId="4686E808" w:rsidR="0076221E" w:rsidRPr="00B06893" w:rsidRDefault="0076221E" w:rsidP="0076221E">
      <w:pPr>
        <w:pStyle w:val="3-BodyText"/>
      </w:pPr>
      <w:r w:rsidRPr="00B06893">
        <w:t>LP.8.1 variant: The submission noted that immunogenicity data from Study P403 Part 3 will be provided by the sponsor once available.</w:t>
      </w:r>
    </w:p>
    <w:p w14:paraId="7A73BF8A" w14:textId="279420A7" w:rsidR="0076221E" w:rsidRPr="00B06893" w:rsidRDefault="0076221E" w:rsidP="0076221E">
      <w:pPr>
        <w:pStyle w:val="3-BodyText"/>
      </w:pPr>
      <w:r w:rsidRPr="00B06893">
        <w:t>JN.1 variant: At 29 days of follow up, participants who received the Spikevax reported substantial immunogenic responses, in terms of geometric mean titre (GMT) and geometric mean fold</w:t>
      </w:r>
      <w:r w:rsidR="00193971">
        <w:noBreakHyphen/>
      </w:r>
      <w:r w:rsidRPr="00B06893">
        <w:t>rise (GMFR) across all SARS</w:t>
      </w:r>
      <w:r w:rsidR="00193971">
        <w:noBreakHyphen/>
      </w:r>
      <w:r w:rsidRPr="00B06893">
        <w:t>CoV</w:t>
      </w:r>
      <w:r w:rsidR="00193971">
        <w:noBreakHyphen/>
      </w:r>
      <w:r w:rsidRPr="00B06893">
        <w:t>2 pseudovirus strains, with the strongest responses against JN.1. Seroresponse rate (SRR) ranged from 81.3% against the JN.1 strain to 70.8% against the KP.2 strain.</w:t>
      </w:r>
    </w:p>
    <w:p w14:paraId="5B99FEED" w14:textId="7C801D9F" w:rsidR="0076221E" w:rsidRPr="00B06893" w:rsidRDefault="0076221E" w:rsidP="0076221E">
      <w:pPr>
        <w:pStyle w:val="3-BodyText"/>
      </w:pPr>
      <w:r w:rsidRPr="00B06893">
        <w:t>KP.2 variant: At 29 days of follow up, participants who received Spikevax (KP.2 variant adapted) reported substantial immunogenic responses. SRR ranged from 81.6% against the XEC strain to 71.4% against the KP.2 strain.</w:t>
      </w:r>
    </w:p>
    <w:p w14:paraId="720032CC" w14:textId="240189FA" w:rsidR="0076221E" w:rsidRPr="00B06893" w:rsidRDefault="0076221E" w:rsidP="00EC5836">
      <w:pPr>
        <w:pStyle w:val="3-BodyText"/>
        <w:rPr>
          <w:szCs w:val="18"/>
        </w:rPr>
      </w:pPr>
      <w:r w:rsidRPr="00B06893">
        <w:t>XBB.1.5 variant: At 29 days of follow up, participants who received Spikevax (XBB.1.5 variant adapted) reported substantial immunogenic responses across all SARS</w:t>
      </w:r>
      <w:r w:rsidR="00193971">
        <w:noBreakHyphen/>
      </w:r>
      <w:r w:rsidRPr="00B06893">
        <w:t>CoV</w:t>
      </w:r>
      <w:r w:rsidR="00193971">
        <w:noBreakHyphen/>
      </w:r>
      <w:r w:rsidRPr="00B06893">
        <w:t>2 pseudovirus strains.</w:t>
      </w:r>
      <w:r w:rsidR="00FD74F1" w:rsidRPr="00B06893">
        <w:t xml:space="preserve"> It was noted in the submission that total response was lowest against the JN.1 strain in terms of GMT.</w:t>
      </w:r>
    </w:p>
    <w:p w14:paraId="039F31F4" w14:textId="2D65EA0A" w:rsidR="00905688" w:rsidRPr="00B06893" w:rsidRDefault="00930C59" w:rsidP="00501A02">
      <w:pPr>
        <w:pStyle w:val="3-BodyText"/>
        <w:rPr>
          <w:iCs/>
        </w:rPr>
      </w:pPr>
      <w:r w:rsidRPr="00B06893">
        <w:rPr>
          <w:iCs/>
        </w:rPr>
        <w:t xml:space="preserve">The </w:t>
      </w:r>
      <w:r w:rsidR="00D723D4">
        <w:rPr>
          <w:iCs/>
        </w:rPr>
        <w:t>Pre-Sub-Committee Response (</w:t>
      </w:r>
      <w:r w:rsidRPr="00B06893">
        <w:rPr>
          <w:iCs/>
        </w:rPr>
        <w:t>PSCR</w:t>
      </w:r>
      <w:r w:rsidR="00D723D4">
        <w:rPr>
          <w:iCs/>
        </w:rPr>
        <w:t>)</w:t>
      </w:r>
      <w:r w:rsidRPr="00B06893">
        <w:rPr>
          <w:iCs/>
        </w:rPr>
        <w:t xml:space="preserve"> stated that the sponsor had provided clarification to ATAGI regarding the titre threshold at which clinical protection is </w:t>
      </w:r>
      <w:r w:rsidRPr="00B06893">
        <w:rPr>
          <w:iCs/>
        </w:rPr>
        <w:lastRenderedPageBreak/>
        <w:t>maintained</w:t>
      </w:r>
      <w:r w:rsidR="006A5B9F" w:rsidRPr="00B06893">
        <w:rPr>
          <w:iCs/>
        </w:rPr>
        <w:t>, and provided a copy of the sponsor’s response to ATAGI as Attachment 1 to the PSCR</w:t>
      </w:r>
      <w:r w:rsidRPr="00B06893">
        <w:rPr>
          <w:iCs/>
        </w:rPr>
        <w:t>.</w:t>
      </w:r>
      <w:r w:rsidR="00580BAD">
        <w:rPr>
          <w:iCs/>
        </w:rPr>
        <w:t xml:space="preserve"> </w:t>
      </w:r>
      <w:r w:rsidRPr="00B06893">
        <w:rPr>
          <w:iCs/>
        </w:rPr>
        <w:t xml:space="preserve">However, the ESC noted that neither the PSCR, nor </w:t>
      </w:r>
      <w:r w:rsidR="006A5B9F" w:rsidRPr="00B06893">
        <w:rPr>
          <w:iCs/>
        </w:rPr>
        <w:t>the provided attachment adequately addressed the concern raised in the evaluation.</w:t>
      </w:r>
      <w:r w:rsidR="00580BAD">
        <w:rPr>
          <w:iCs/>
        </w:rPr>
        <w:t xml:space="preserve"> </w:t>
      </w:r>
      <w:r w:rsidR="009F156C" w:rsidRPr="00B06893">
        <w:rPr>
          <w:iCs/>
        </w:rPr>
        <w:t xml:space="preserve">The situation </w:t>
      </w:r>
      <w:r w:rsidR="00074070" w:rsidRPr="00B06893">
        <w:rPr>
          <w:iCs/>
        </w:rPr>
        <w:t xml:space="preserve">remained </w:t>
      </w:r>
      <w:r w:rsidR="00331392" w:rsidRPr="00B06893">
        <w:rPr>
          <w:iCs/>
        </w:rPr>
        <w:t>that no pre</w:t>
      </w:r>
      <w:r w:rsidR="00193971">
        <w:rPr>
          <w:iCs/>
        </w:rPr>
        <w:noBreakHyphen/>
      </w:r>
      <w:r w:rsidR="00331392" w:rsidRPr="00B06893">
        <w:rPr>
          <w:iCs/>
        </w:rPr>
        <w:t>defined threshold or titre level, has been defined as an appropriate measure of protection. The PSCR did not provided an adequate discussion of how the immunogenicity data can inform estimation of clinical benefit in terms of mortality and COVID</w:t>
      </w:r>
      <w:r w:rsidR="00193971">
        <w:rPr>
          <w:iCs/>
        </w:rPr>
        <w:noBreakHyphen/>
      </w:r>
      <w:r w:rsidR="00331392" w:rsidRPr="00B06893">
        <w:rPr>
          <w:iCs/>
        </w:rPr>
        <w:t>19 related hospitalisation versus no vaccine or versus Comirnaty.</w:t>
      </w:r>
      <w:r w:rsidR="00580BAD">
        <w:rPr>
          <w:iCs/>
        </w:rPr>
        <w:t xml:space="preserve"> </w:t>
      </w:r>
      <w:r w:rsidR="00331392" w:rsidRPr="00B06893">
        <w:rPr>
          <w:iCs/>
        </w:rPr>
        <w:t>As such, t</w:t>
      </w:r>
      <w:r w:rsidR="00905688" w:rsidRPr="00B06893">
        <w:rPr>
          <w:iCs/>
        </w:rPr>
        <w:t xml:space="preserve">he ESC </w:t>
      </w:r>
      <w:r w:rsidR="00331392" w:rsidRPr="00B06893">
        <w:rPr>
          <w:iCs/>
        </w:rPr>
        <w:t xml:space="preserve">agreed with the evaluation that the </w:t>
      </w:r>
      <w:r w:rsidR="00905688" w:rsidRPr="00B06893">
        <w:rPr>
          <w:iCs/>
        </w:rPr>
        <w:t>interpretation of immunogenicity data was limited by lack of established thresholds.</w:t>
      </w:r>
    </w:p>
    <w:p w14:paraId="4A4FE085" w14:textId="1C5613CC" w:rsidR="00B60939" w:rsidRPr="00B06893" w:rsidRDefault="00B60939" w:rsidP="007F6A1E">
      <w:pPr>
        <w:pStyle w:val="4-SubsectionHeading"/>
        <w:rPr>
          <w:iCs/>
        </w:rPr>
      </w:pPr>
      <w:bookmarkStart w:id="32" w:name="_Toc22897641"/>
      <w:bookmarkStart w:id="33" w:name="_Toc219898333"/>
      <w:r w:rsidRPr="00B06893">
        <w:t>Comparative effectiveness</w:t>
      </w:r>
      <w:bookmarkEnd w:id="32"/>
      <w:bookmarkEnd w:id="33"/>
    </w:p>
    <w:p w14:paraId="7576D718" w14:textId="6F952A95" w:rsidR="00C8588F" w:rsidRPr="00B06893" w:rsidRDefault="00892998" w:rsidP="00171565">
      <w:pPr>
        <w:pStyle w:val="3-BodyText"/>
      </w:pPr>
      <w:r w:rsidRPr="00B06893">
        <w:t>The evaluation focussed on results of studies that presented an estimate of VE in terms of hospitalisations, intensive care admissions or death. ‘Medical Attendance’ was also assessed in the included studies. As noted in the 2025 ATAGI Pre</w:t>
      </w:r>
      <w:r w:rsidR="00193971">
        <w:noBreakHyphen/>
      </w:r>
      <w:r w:rsidRPr="00B06893">
        <w:t>Submission Advice, the outcome of Medical Attendance has limited utility regarding the current assessment of the effectiveness of Spikevax.</w:t>
      </w:r>
      <w:r w:rsidR="00905688" w:rsidRPr="00B06893">
        <w:rPr>
          <w:iCs/>
        </w:rPr>
        <w:t xml:space="preserve"> The ESC agreed with the ATAGI that ‘Medical Attendance’ was a less relevant outcome compared with hospitalisation and mortality.</w:t>
      </w:r>
    </w:p>
    <w:p w14:paraId="4E035A0E" w14:textId="4B2B4D5C" w:rsidR="00892998" w:rsidRPr="00B06893" w:rsidRDefault="00C8588F" w:rsidP="00171565">
      <w:pPr>
        <w:pStyle w:val="3-BodyText"/>
      </w:pPr>
      <w:r w:rsidRPr="00B06893">
        <w:t>Effectiveness results are presented by outcome</w:t>
      </w:r>
      <w:r w:rsidR="00032CBA" w:rsidRPr="00B06893">
        <w:t>,</w:t>
      </w:r>
      <w:r w:rsidRPr="00B06893">
        <w:t xml:space="preserve"> vaccine adapted variant</w:t>
      </w:r>
      <w:r w:rsidR="00032CBA" w:rsidRPr="00B06893">
        <w:t>, and by age group where available.</w:t>
      </w:r>
    </w:p>
    <w:p w14:paraId="24CDE77E" w14:textId="658E07EE" w:rsidR="00892998" w:rsidRPr="00B06893" w:rsidRDefault="00892998" w:rsidP="006475E6">
      <w:pPr>
        <w:pStyle w:val="5-SubsectionSubheading"/>
        <w:spacing w:before="160"/>
        <w:rPr>
          <w:lang w:eastAsia="en-US"/>
        </w:rPr>
      </w:pPr>
      <w:bookmarkStart w:id="34" w:name="_Toc219898334"/>
      <w:r w:rsidRPr="00B06893">
        <w:rPr>
          <w:lang w:eastAsia="en-US"/>
        </w:rPr>
        <w:t>Spikevax versus no vaccination</w:t>
      </w:r>
      <w:bookmarkEnd w:id="34"/>
    </w:p>
    <w:p w14:paraId="5C8A3B17" w14:textId="69BD78BD" w:rsidR="00892998" w:rsidRPr="00B06893" w:rsidRDefault="00892998" w:rsidP="006475E6">
      <w:pPr>
        <w:spacing w:before="160"/>
        <w:rPr>
          <w:u w:val="single"/>
          <w:lang w:eastAsia="en-US"/>
        </w:rPr>
      </w:pPr>
      <w:r w:rsidRPr="00B06893">
        <w:rPr>
          <w:u w:val="single"/>
          <w:lang w:eastAsia="en-US"/>
        </w:rPr>
        <w:t>Mortality</w:t>
      </w:r>
    </w:p>
    <w:p w14:paraId="712EB5F9" w14:textId="66B5278C" w:rsidR="00892998" w:rsidRPr="00B06893" w:rsidRDefault="00892998" w:rsidP="00EC5836">
      <w:pPr>
        <w:pStyle w:val="3-BodyText"/>
      </w:pPr>
      <w:r w:rsidRPr="00B06893">
        <w:t xml:space="preserve">JN.1 variant: A single study of Spikevax (JN.1 variant) reported </w:t>
      </w:r>
      <w:r w:rsidR="009619E4" w:rsidRPr="00B06893">
        <w:t>VE</w:t>
      </w:r>
      <w:r w:rsidRPr="00B06893">
        <w:t xml:space="preserve"> against COVID</w:t>
      </w:r>
      <w:r w:rsidR="00193971">
        <w:noBreakHyphen/>
      </w:r>
      <w:r w:rsidRPr="00B06893">
        <w:t>19</w:t>
      </w:r>
      <w:r w:rsidR="00193971">
        <w:noBreakHyphen/>
      </w:r>
      <w:r w:rsidRPr="00B06893">
        <w:t>related mortality</w:t>
      </w:r>
      <w:r w:rsidR="00C8588F" w:rsidRPr="00B06893">
        <w:t xml:space="preserve"> (</w:t>
      </w:r>
      <w:r w:rsidR="00C8588F" w:rsidRPr="00B06893">
        <w:fldChar w:fldCharType="begin"/>
      </w:r>
      <w:r w:rsidR="00C8588F" w:rsidRPr="00B06893">
        <w:instrText xml:space="preserve"> REF _Ref216262800 \h </w:instrText>
      </w:r>
      <w:r w:rsidR="006475E6" w:rsidRPr="00B06893">
        <w:instrText xml:space="preserve"> \* MERGEFORMAT </w:instrText>
      </w:r>
      <w:r w:rsidR="00C8588F" w:rsidRPr="00B06893">
        <w:fldChar w:fldCharType="separate"/>
      </w:r>
      <w:r w:rsidR="00810177" w:rsidRPr="00B06893">
        <w:t>Table 7</w:t>
      </w:r>
      <w:r w:rsidR="00C8588F" w:rsidRPr="00B06893">
        <w:fldChar w:fldCharType="end"/>
      </w:r>
      <w:r w:rsidR="00C8588F" w:rsidRPr="00B06893">
        <w:t>)</w:t>
      </w:r>
      <w:r w:rsidRPr="00B06893">
        <w:t>.</w:t>
      </w:r>
    </w:p>
    <w:p w14:paraId="59D27BD8" w14:textId="77777777" w:rsidR="00892998" w:rsidRPr="00B06893" w:rsidRDefault="00892998" w:rsidP="00892998">
      <w:pPr>
        <w:pStyle w:val="3-BodyText"/>
        <w:numPr>
          <w:ilvl w:val="0"/>
          <w:numId w:val="0"/>
        </w:numPr>
        <w:ind w:left="720"/>
      </w:pPr>
    </w:p>
    <w:p w14:paraId="7AE5EA61" w14:textId="7B6E13F7" w:rsidR="00892998" w:rsidRPr="00B06893" w:rsidRDefault="00892998" w:rsidP="00452EA3">
      <w:pPr>
        <w:pStyle w:val="Caption"/>
      </w:pPr>
      <w:bookmarkStart w:id="35" w:name="_Ref216262800"/>
      <w:r w:rsidRPr="00B06893">
        <w:t xml:space="preserve">Table </w:t>
      </w:r>
      <w:fldSimple w:instr=" SEQ Table \* ARABIC ">
        <w:r w:rsidR="00810177" w:rsidRPr="00B06893">
          <w:t>7</w:t>
        </w:r>
      </w:fldSimple>
      <w:bookmarkEnd w:id="35"/>
      <w:r w:rsidRPr="00B06893">
        <w:t>: Summary of vaccine effectiveness of Spikevax (JN.1 variant) to prevent COVID</w:t>
      </w:r>
      <w:r w:rsidR="00193971">
        <w:noBreakHyphen/>
      </w:r>
      <w:r w:rsidRPr="00B06893">
        <w:t>19 related mortality</w:t>
      </w:r>
    </w:p>
    <w:tbl>
      <w:tblPr>
        <w:tblStyle w:val="TableGrid"/>
        <w:tblW w:w="5000" w:type="pct"/>
        <w:tblCellMar>
          <w:left w:w="57" w:type="dxa"/>
          <w:right w:w="57" w:type="dxa"/>
        </w:tblCellMar>
        <w:tblLook w:val="04A0" w:firstRow="1" w:lastRow="0" w:firstColumn="1" w:lastColumn="0" w:noHBand="0" w:noVBand="1"/>
        <w:tblCaption w:val="Table 7: Summary of vaccine effectiveness of Spikevax (JN.1 variant) to prevent COVID 19 related mortality"/>
      </w:tblPr>
      <w:tblGrid>
        <w:gridCol w:w="1383"/>
        <w:gridCol w:w="2662"/>
        <w:gridCol w:w="1573"/>
        <w:gridCol w:w="1642"/>
        <w:gridCol w:w="1757"/>
      </w:tblGrid>
      <w:tr w:rsidR="00892998" w:rsidRPr="00B06893" w14:paraId="13B291FB" w14:textId="77777777" w:rsidTr="00F625C3">
        <w:tc>
          <w:tcPr>
            <w:tcW w:w="0" w:type="auto"/>
            <w:vAlign w:val="center"/>
          </w:tcPr>
          <w:p w14:paraId="615D7988" w14:textId="77777777" w:rsidR="00892998" w:rsidRPr="00B06893" w:rsidRDefault="00892998" w:rsidP="00452EA3">
            <w:pPr>
              <w:pStyle w:val="Tabletext"/>
              <w:keepNext/>
              <w:keepLines/>
              <w:snapToGrid w:val="0"/>
              <w:rPr>
                <w:b/>
                <w:bCs/>
              </w:rPr>
            </w:pPr>
            <w:r w:rsidRPr="00B06893">
              <w:rPr>
                <w:b/>
                <w:bCs/>
              </w:rPr>
              <w:t>Study</w:t>
            </w:r>
          </w:p>
        </w:tc>
        <w:tc>
          <w:tcPr>
            <w:tcW w:w="0" w:type="auto"/>
            <w:vAlign w:val="center"/>
          </w:tcPr>
          <w:p w14:paraId="5A0C3EA1" w14:textId="77777777" w:rsidR="00892998" w:rsidRPr="00B06893" w:rsidRDefault="00892998" w:rsidP="00452EA3">
            <w:pPr>
              <w:pStyle w:val="Tabletext"/>
              <w:keepNext/>
              <w:keepLines/>
              <w:snapToGrid w:val="0"/>
              <w:rPr>
                <w:b/>
                <w:bCs/>
              </w:rPr>
            </w:pPr>
            <w:r w:rsidRPr="00B06893">
              <w:rPr>
                <w:b/>
                <w:bCs/>
              </w:rPr>
              <w:t>Population</w:t>
            </w:r>
          </w:p>
        </w:tc>
        <w:tc>
          <w:tcPr>
            <w:tcW w:w="0" w:type="auto"/>
            <w:vAlign w:val="center"/>
          </w:tcPr>
          <w:p w14:paraId="22CB99BB" w14:textId="435E6347" w:rsidR="00892998" w:rsidRPr="00B06893" w:rsidRDefault="00892998" w:rsidP="00452EA3">
            <w:pPr>
              <w:pStyle w:val="Tabletext"/>
              <w:keepNext/>
              <w:keepLines/>
              <w:snapToGrid w:val="0"/>
              <w:rPr>
                <w:b/>
                <w:bCs/>
              </w:rPr>
            </w:pPr>
            <w:r w:rsidRPr="00B06893">
              <w:rPr>
                <w:b/>
                <w:bCs/>
              </w:rPr>
              <w:t>COVID</w:t>
            </w:r>
            <w:r w:rsidR="00193971">
              <w:rPr>
                <w:b/>
                <w:bCs/>
              </w:rPr>
              <w:noBreakHyphen/>
            </w:r>
            <w:r w:rsidRPr="00B06893">
              <w:rPr>
                <w:b/>
                <w:bCs/>
              </w:rPr>
              <w:t>19 strain</w:t>
            </w:r>
          </w:p>
        </w:tc>
        <w:tc>
          <w:tcPr>
            <w:tcW w:w="0" w:type="auto"/>
            <w:vAlign w:val="center"/>
          </w:tcPr>
          <w:p w14:paraId="77D55C58" w14:textId="77777777" w:rsidR="00892998" w:rsidRPr="00B06893" w:rsidRDefault="00892998" w:rsidP="00452EA3">
            <w:pPr>
              <w:pStyle w:val="Tabletext"/>
              <w:keepNext/>
              <w:keepLines/>
              <w:snapToGrid w:val="0"/>
              <w:rPr>
                <w:b/>
                <w:bCs/>
              </w:rPr>
            </w:pPr>
            <w:r w:rsidRPr="00B06893">
              <w:rPr>
                <w:b/>
                <w:bCs/>
              </w:rPr>
              <w:t>Timepoint</w:t>
            </w:r>
          </w:p>
        </w:tc>
        <w:tc>
          <w:tcPr>
            <w:tcW w:w="0" w:type="auto"/>
            <w:vAlign w:val="center"/>
          </w:tcPr>
          <w:p w14:paraId="4F448BC3" w14:textId="77777777" w:rsidR="00892998" w:rsidRPr="00B06893" w:rsidRDefault="00892998" w:rsidP="00452EA3">
            <w:pPr>
              <w:pStyle w:val="Tabletext"/>
              <w:keepNext/>
              <w:keepLines/>
              <w:snapToGrid w:val="0"/>
              <w:rPr>
                <w:b/>
                <w:bCs/>
              </w:rPr>
            </w:pPr>
            <w:r w:rsidRPr="00B06893">
              <w:rPr>
                <w:b/>
                <w:bCs/>
              </w:rPr>
              <w:t>VE (95% CI)</w:t>
            </w:r>
          </w:p>
        </w:tc>
      </w:tr>
      <w:tr w:rsidR="00892998" w:rsidRPr="00B06893" w14:paraId="72820C0D" w14:textId="77777777" w:rsidTr="00F625C3">
        <w:tc>
          <w:tcPr>
            <w:tcW w:w="0" w:type="auto"/>
            <w:gridSpan w:val="5"/>
            <w:vAlign w:val="center"/>
          </w:tcPr>
          <w:p w14:paraId="4497115E" w14:textId="40758553" w:rsidR="00892998" w:rsidRPr="00B06893" w:rsidRDefault="004D4C2F" w:rsidP="00452EA3">
            <w:pPr>
              <w:pStyle w:val="Tabletext"/>
              <w:keepNext/>
              <w:keepLines/>
              <w:snapToGrid w:val="0"/>
              <w:rPr>
                <w:b/>
                <w:bCs/>
              </w:rPr>
            </w:pPr>
            <w:r w:rsidRPr="00B06893">
              <w:rPr>
                <w:b/>
                <w:bCs/>
              </w:rPr>
              <w:t xml:space="preserve">Age </w:t>
            </w:r>
            <w:r w:rsidR="00892998" w:rsidRPr="00B06893">
              <w:rPr>
                <w:b/>
                <w:bCs/>
              </w:rPr>
              <w:t>≥65 years</w:t>
            </w:r>
          </w:p>
        </w:tc>
      </w:tr>
      <w:tr w:rsidR="00892998" w:rsidRPr="00B06893" w14:paraId="571CDA02" w14:textId="77777777" w:rsidTr="00F625C3">
        <w:trPr>
          <w:trHeight w:val="360"/>
        </w:trPr>
        <w:tc>
          <w:tcPr>
            <w:tcW w:w="0" w:type="auto"/>
            <w:vAlign w:val="center"/>
          </w:tcPr>
          <w:p w14:paraId="021544D0" w14:textId="77777777" w:rsidR="00892998" w:rsidRPr="00B06893" w:rsidRDefault="00892998" w:rsidP="00452EA3">
            <w:pPr>
              <w:pStyle w:val="Tabletext"/>
              <w:keepNext/>
              <w:keepLines/>
              <w:snapToGrid w:val="0"/>
            </w:pPr>
            <w:r w:rsidRPr="00B06893">
              <w:t xml:space="preserve">Hansen (2025) </w:t>
            </w:r>
          </w:p>
        </w:tc>
        <w:tc>
          <w:tcPr>
            <w:tcW w:w="0" w:type="auto"/>
            <w:vAlign w:val="center"/>
          </w:tcPr>
          <w:p w14:paraId="04FD9D3B" w14:textId="77777777" w:rsidR="00892998" w:rsidRPr="00B06893" w:rsidRDefault="00892998" w:rsidP="00452EA3">
            <w:pPr>
              <w:pStyle w:val="Tabletext"/>
              <w:keepNext/>
              <w:keepLines/>
              <w:snapToGrid w:val="0"/>
            </w:pPr>
            <w:r w:rsidRPr="00B06893">
              <w:t>JN.1 vaccinated= 91,461</w:t>
            </w:r>
          </w:p>
          <w:p w14:paraId="1085A6B9" w14:textId="77777777" w:rsidR="00892998" w:rsidRPr="00B06893" w:rsidRDefault="00892998" w:rsidP="00452EA3">
            <w:pPr>
              <w:pStyle w:val="Tabletext"/>
              <w:keepNext/>
              <w:keepLines/>
              <w:snapToGrid w:val="0"/>
            </w:pPr>
            <w:r w:rsidRPr="00B06893">
              <w:t>No JN.1 vaccination= 859,216</w:t>
            </w:r>
          </w:p>
        </w:tc>
        <w:tc>
          <w:tcPr>
            <w:tcW w:w="0" w:type="auto"/>
            <w:vAlign w:val="center"/>
          </w:tcPr>
          <w:p w14:paraId="7259B9D9" w14:textId="77777777" w:rsidR="00892998" w:rsidRPr="00B06893" w:rsidRDefault="00892998" w:rsidP="00452EA3">
            <w:pPr>
              <w:pStyle w:val="Tabletext"/>
              <w:keepNext/>
              <w:keepLines/>
              <w:snapToGrid w:val="0"/>
            </w:pPr>
            <w:r w:rsidRPr="00B06893">
              <w:t>Any lineage</w:t>
            </w:r>
            <w:r w:rsidRPr="00B06893">
              <w:br/>
              <w:t>(2024–2025)</w:t>
            </w:r>
          </w:p>
        </w:tc>
        <w:tc>
          <w:tcPr>
            <w:tcW w:w="0" w:type="auto"/>
            <w:vAlign w:val="center"/>
          </w:tcPr>
          <w:p w14:paraId="773BA2B1" w14:textId="77777777" w:rsidR="00892998" w:rsidRPr="00B06893" w:rsidRDefault="00892998" w:rsidP="00452EA3">
            <w:pPr>
              <w:pStyle w:val="Tabletext"/>
              <w:keepNext/>
              <w:keepLines/>
              <w:snapToGrid w:val="0"/>
            </w:pPr>
            <w:r w:rsidRPr="00B06893">
              <w:t>Mean=100.4 days</w:t>
            </w:r>
          </w:p>
        </w:tc>
        <w:tc>
          <w:tcPr>
            <w:tcW w:w="0" w:type="auto"/>
            <w:vAlign w:val="center"/>
          </w:tcPr>
          <w:p w14:paraId="45DD5544" w14:textId="77777777" w:rsidR="00892998" w:rsidRPr="00B06893" w:rsidRDefault="00892998" w:rsidP="00452EA3">
            <w:pPr>
              <w:pStyle w:val="Tabletext"/>
              <w:keepNext/>
              <w:keepLines/>
              <w:snapToGrid w:val="0"/>
            </w:pPr>
            <w:r w:rsidRPr="00B06893">
              <w:t>95.8% (69.2; 99.4)</w:t>
            </w:r>
            <w:r w:rsidRPr="00B06893">
              <w:rPr>
                <w:vertAlign w:val="superscript"/>
              </w:rPr>
              <w:t>a</w:t>
            </w:r>
          </w:p>
        </w:tc>
      </w:tr>
    </w:tbl>
    <w:p w14:paraId="08E4636F" w14:textId="60FB162F" w:rsidR="00892998" w:rsidRPr="00B06893" w:rsidRDefault="00892998" w:rsidP="00452EA3">
      <w:pPr>
        <w:pStyle w:val="TableFooter"/>
        <w:keepNext/>
        <w:keepLines/>
      </w:pPr>
      <w:r w:rsidRPr="00B06893">
        <w:t>Source: Table 2</w:t>
      </w:r>
      <w:r w:rsidR="00193971">
        <w:noBreakHyphen/>
      </w:r>
      <w:r w:rsidRPr="00B06893">
        <w:t>25, p93 of the submission</w:t>
      </w:r>
    </w:p>
    <w:p w14:paraId="3CC75199" w14:textId="57CE6CB3" w:rsidR="00892998" w:rsidRPr="00B06893" w:rsidRDefault="00892998" w:rsidP="00892998">
      <w:pPr>
        <w:pStyle w:val="TableFooter"/>
      </w:pPr>
      <w:r w:rsidRPr="00B06893">
        <w:t>CI= confidence interval; COVID</w:t>
      </w:r>
      <w:r w:rsidR="00193971">
        <w:noBreakHyphen/>
      </w:r>
      <w:r w:rsidRPr="00B06893">
        <w:t xml:space="preserve">19= coronavirus disease 2019; VE= vaccine effectiveness. </w:t>
      </w:r>
    </w:p>
    <w:p w14:paraId="6529ABF5" w14:textId="7A04988C" w:rsidR="00DF6341" w:rsidRPr="00B06893" w:rsidRDefault="00892998" w:rsidP="00892998">
      <w:pPr>
        <w:pStyle w:val="TableFooter"/>
      </w:pPr>
      <w:r w:rsidRPr="00B06893">
        <w:rPr>
          <w:vertAlign w:val="superscript"/>
        </w:rPr>
        <w:t>a</w:t>
      </w:r>
      <w:r w:rsidRPr="00B06893">
        <w:t>Except where otherwise indicated, model adjustment was for age, sex, geographical region, comorbidities (none, one, two, three or more), number of previous COVID</w:t>
      </w:r>
      <w:r w:rsidR="00193971">
        <w:noBreakHyphen/>
      </w:r>
      <w:r w:rsidRPr="00B06893">
        <w:t>19 booster vaccines, migration heritage, whether previously hospitalised for COVID</w:t>
      </w:r>
      <w:r w:rsidR="00193971">
        <w:noBreakHyphen/>
      </w:r>
      <w:r w:rsidRPr="00B06893">
        <w:t>19, and whether previously tested positive for SARS</w:t>
      </w:r>
      <w:r w:rsidR="00193971">
        <w:noBreakHyphen/>
      </w:r>
      <w:r w:rsidRPr="00B06893">
        <w:t>CoV</w:t>
      </w:r>
      <w:r w:rsidR="00193971">
        <w:noBreakHyphen/>
      </w:r>
      <w:r w:rsidRPr="00B06893">
        <w:t>2. Adjustment variables restricted to age, comorbidities (none, one, two, three or more), number of previous COVID</w:t>
      </w:r>
      <w:r w:rsidR="00193971">
        <w:noBreakHyphen/>
      </w:r>
      <w:r w:rsidRPr="00B06893">
        <w:t>19 booster vaccines, and whether previously hospitalised for COVID</w:t>
      </w:r>
      <w:r w:rsidR="00193971">
        <w:noBreakHyphen/>
      </w:r>
      <w:r w:rsidRPr="00B06893">
        <w:t>1</w:t>
      </w:r>
      <w:r w:rsidR="0070194E" w:rsidRPr="00B06893">
        <w:t>9</w:t>
      </w:r>
    </w:p>
    <w:p w14:paraId="172021AE" w14:textId="02BC9165" w:rsidR="004D4C2F" w:rsidRPr="00B06893" w:rsidRDefault="00DB3E78" w:rsidP="00EC5836">
      <w:pPr>
        <w:pStyle w:val="3-BodyText"/>
      </w:pPr>
      <w:r w:rsidRPr="00B06893">
        <w:t xml:space="preserve">In individuals aged ≥65 years who were vaccinated with Spikevax versus those who were not, Spikevax was associated with a VE against mortality </w:t>
      </w:r>
      <w:r w:rsidR="00C24FD0" w:rsidRPr="00B06893">
        <w:t>of 95.5%</w:t>
      </w:r>
      <w:r w:rsidR="004D4C2F" w:rsidRPr="00B06893">
        <w:t>.</w:t>
      </w:r>
    </w:p>
    <w:p w14:paraId="7CE16708" w14:textId="7D5E8F85" w:rsidR="00C8588F" w:rsidRPr="00B06893" w:rsidRDefault="009619E4" w:rsidP="006475E6">
      <w:pPr>
        <w:pStyle w:val="3-BodyText"/>
        <w:spacing w:before="160"/>
      </w:pPr>
      <w:r w:rsidRPr="00B06893">
        <w:t>KP.2</w:t>
      </w:r>
      <w:r w:rsidR="00C24FD0" w:rsidRPr="00B06893">
        <w:t>,</w:t>
      </w:r>
      <w:r w:rsidR="0070194E" w:rsidRPr="00B06893">
        <w:t xml:space="preserve"> </w:t>
      </w:r>
      <w:r w:rsidRPr="00B06893">
        <w:t>XBB.1.5</w:t>
      </w:r>
      <w:r w:rsidR="00C24FD0" w:rsidRPr="00B06893">
        <w:t>, and LP.8.1</w:t>
      </w:r>
      <w:r w:rsidRPr="00B06893">
        <w:t xml:space="preserve"> variants: There were no studies of Spikevax that reported on VE against COVID</w:t>
      </w:r>
      <w:r w:rsidR="00193971">
        <w:noBreakHyphen/>
      </w:r>
      <w:r w:rsidRPr="00B06893">
        <w:t>19</w:t>
      </w:r>
      <w:r w:rsidR="00193971">
        <w:noBreakHyphen/>
      </w:r>
      <w:r w:rsidRPr="00B06893">
        <w:t>related mortality</w:t>
      </w:r>
      <w:r w:rsidR="00C24FD0" w:rsidRPr="00B06893">
        <w:t xml:space="preserve"> for these variants</w:t>
      </w:r>
      <w:r w:rsidRPr="00B06893">
        <w:t>.</w:t>
      </w:r>
    </w:p>
    <w:p w14:paraId="25D3FAA2" w14:textId="6995DEA5" w:rsidR="00C8588F" w:rsidRPr="00B06893" w:rsidRDefault="00032CBA" w:rsidP="006475E6">
      <w:pPr>
        <w:pStyle w:val="3-BodyText"/>
        <w:numPr>
          <w:ilvl w:val="0"/>
          <w:numId w:val="0"/>
        </w:numPr>
        <w:spacing w:before="160"/>
        <w:rPr>
          <w:u w:val="single"/>
        </w:rPr>
      </w:pPr>
      <w:r w:rsidRPr="00B06893">
        <w:rPr>
          <w:u w:val="single"/>
        </w:rPr>
        <w:t>COVID</w:t>
      </w:r>
      <w:r w:rsidR="00193971">
        <w:rPr>
          <w:u w:val="single"/>
        </w:rPr>
        <w:noBreakHyphen/>
      </w:r>
      <w:r w:rsidRPr="00B06893">
        <w:rPr>
          <w:u w:val="single"/>
        </w:rPr>
        <w:t>19</w:t>
      </w:r>
      <w:r w:rsidR="00193971">
        <w:rPr>
          <w:u w:val="single"/>
        </w:rPr>
        <w:noBreakHyphen/>
      </w:r>
      <w:r w:rsidRPr="00B06893">
        <w:rPr>
          <w:u w:val="single"/>
        </w:rPr>
        <w:t>related h</w:t>
      </w:r>
      <w:r w:rsidR="00C8588F" w:rsidRPr="00B06893">
        <w:rPr>
          <w:u w:val="single"/>
        </w:rPr>
        <w:t>ospitalisations</w:t>
      </w:r>
    </w:p>
    <w:p w14:paraId="61E0C602" w14:textId="6EAC75F7" w:rsidR="00247925" w:rsidRPr="00B06893" w:rsidRDefault="00C8588F" w:rsidP="00EC5836">
      <w:pPr>
        <w:pStyle w:val="3-BodyText"/>
      </w:pPr>
      <w:bookmarkStart w:id="36" w:name="_Ref221805251"/>
      <w:r w:rsidRPr="00B06893">
        <w:t xml:space="preserve">JN.1 variant: Results are presented in </w:t>
      </w:r>
      <w:r w:rsidRPr="00B06893">
        <w:fldChar w:fldCharType="begin"/>
      </w:r>
      <w:r w:rsidRPr="00B06893">
        <w:instrText xml:space="preserve"> REF _Ref216262905 \h </w:instrText>
      </w:r>
      <w:r w:rsidRPr="00B06893">
        <w:fldChar w:fldCharType="separate"/>
      </w:r>
      <w:r w:rsidR="00810177" w:rsidRPr="00B06893">
        <w:t>Table 8</w:t>
      </w:r>
      <w:r w:rsidRPr="00B06893">
        <w:fldChar w:fldCharType="end"/>
      </w:r>
      <w:r w:rsidRPr="00B06893">
        <w:t>.</w:t>
      </w:r>
      <w:bookmarkEnd w:id="36"/>
    </w:p>
    <w:p w14:paraId="642626A4" w14:textId="399EF18C" w:rsidR="00C8588F" w:rsidRPr="00B06893" w:rsidRDefault="00C8588F" w:rsidP="00C8588F">
      <w:pPr>
        <w:pStyle w:val="Caption"/>
      </w:pPr>
      <w:bookmarkStart w:id="37" w:name="_Ref216262905"/>
      <w:r w:rsidRPr="00B06893">
        <w:lastRenderedPageBreak/>
        <w:t xml:space="preserve">Table </w:t>
      </w:r>
      <w:fldSimple w:instr=" SEQ Table \* ARABIC ">
        <w:r w:rsidR="00810177" w:rsidRPr="00B06893">
          <w:t>8</w:t>
        </w:r>
      </w:fldSimple>
      <w:bookmarkEnd w:id="37"/>
      <w:r w:rsidRPr="00B06893">
        <w:t>: Summary of vaccine effectiveness Spikevax (JN.1) to prevent COVID</w:t>
      </w:r>
      <w:r w:rsidR="00193971">
        <w:noBreakHyphen/>
      </w:r>
      <w:r w:rsidRPr="00B06893">
        <w:t>19 related hospitalisation</w:t>
      </w:r>
    </w:p>
    <w:tbl>
      <w:tblPr>
        <w:tblStyle w:val="TableGrid"/>
        <w:tblW w:w="5000" w:type="pct"/>
        <w:tblCellMar>
          <w:left w:w="57" w:type="dxa"/>
          <w:right w:w="57" w:type="dxa"/>
        </w:tblCellMar>
        <w:tblLook w:val="04A0" w:firstRow="1" w:lastRow="0" w:firstColumn="1" w:lastColumn="0" w:noHBand="0" w:noVBand="1"/>
        <w:tblCaption w:val="Table 8: Summary of vaccine effectiveness Spikevax (JN.1) to prevent COVID 19 related hospitalisation"/>
      </w:tblPr>
      <w:tblGrid>
        <w:gridCol w:w="1376"/>
        <w:gridCol w:w="2646"/>
        <w:gridCol w:w="1563"/>
        <w:gridCol w:w="1685"/>
        <w:gridCol w:w="1747"/>
      </w:tblGrid>
      <w:tr w:rsidR="009216D5" w:rsidRPr="00B06893" w14:paraId="1BA6659B" w14:textId="77777777" w:rsidTr="00F625C3">
        <w:trPr>
          <w:trHeight w:val="130"/>
        </w:trPr>
        <w:tc>
          <w:tcPr>
            <w:tcW w:w="0" w:type="auto"/>
            <w:vAlign w:val="center"/>
          </w:tcPr>
          <w:p w14:paraId="28B1CF93" w14:textId="77777777" w:rsidR="009216D5" w:rsidRPr="00B06893" w:rsidRDefault="009216D5" w:rsidP="00501A02">
            <w:pPr>
              <w:pStyle w:val="Caption"/>
              <w:snapToGrid w:val="0"/>
            </w:pPr>
            <w:r w:rsidRPr="00B06893">
              <w:t>Study</w:t>
            </w:r>
          </w:p>
        </w:tc>
        <w:tc>
          <w:tcPr>
            <w:tcW w:w="0" w:type="auto"/>
            <w:vAlign w:val="center"/>
          </w:tcPr>
          <w:p w14:paraId="487510A5" w14:textId="77777777" w:rsidR="009216D5" w:rsidRPr="00B06893" w:rsidRDefault="009216D5" w:rsidP="00501A02">
            <w:pPr>
              <w:pStyle w:val="Caption"/>
              <w:snapToGrid w:val="0"/>
            </w:pPr>
            <w:r w:rsidRPr="00B06893">
              <w:t>Population</w:t>
            </w:r>
          </w:p>
        </w:tc>
        <w:tc>
          <w:tcPr>
            <w:tcW w:w="0" w:type="auto"/>
            <w:vAlign w:val="center"/>
          </w:tcPr>
          <w:p w14:paraId="4E0C6667" w14:textId="5F5A3071" w:rsidR="009216D5" w:rsidRPr="00B06893" w:rsidRDefault="009216D5" w:rsidP="00501A02">
            <w:pPr>
              <w:pStyle w:val="Caption"/>
              <w:snapToGrid w:val="0"/>
            </w:pPr>
            <w:r w:rsidRPr="00B06893">
              <w:t>COVID</w:t>
            </w:r>
            <w:r w:rsidR="00193971">
              <w:noBreakHyphen/>
            </w:r>
            <w:r w:rsidRPr="00B06893">
              <w:t>19 strain</w:t>
            </w:r>
          </w:p>
        </w:tc>
        <w:tc>
          <w:tcPr>
            <w:tcW w:w="0" w:type="auto"/>
            <w:vAlign w:val="center"/>
          </w:tcPr>
          <w:p w14:paraId="4CC15CCD" w14:textId="77777777" w:rsidR="009216D5" w:rsidRPr="00B06893" w:rsidRDefault="009216D5" w:rsidP="00501A02">
            <w:pPr>
              <w:pStyle w:val="Caption"/>
              <w:snapToGrid w:val="0"/>
            </w:pPr>
            <w:r w:rsidRPr="00B06893">
              <w:t>Timepoint</w:t>
            </w:r>
          </w:p>
        </w:tc>
        <w:tc>
          <w:tcPr>
            <w:tcW w:w="0" w:type="auto"/>
            <w:vAlign w:val="center"/>
          </w:tcPr>
          <w:p w14:paraId="31120714" w14:textId="77777777" w:rsidR="009216D5" w:rsidRPr="00B06893" w:rsidRDefault="009216D5" w:rsidP="00501A02">
            <w:pPr>
              <w:pStyle w:val="Caption"/>
              <w:snapToGrid w:val="0"/>
            </w:pPr>
            <w:r w:rsidRPr="00B06893">
              <w:t>VE (95%CI)</w:t>
            </w:r>
          </w:p>
        </w:tc>
      </w:tr>
      <w:tr w:rsidR="009216D5" w:rsidRPr="00B06893" w14:paraId="38065AE3" w14:textId="77777777" w:rsidTr="00F625C3">
        <w:trPr>
          <w:trHeight w:val="50"/>
        </w:trPr>
        <w:tc>
          <w:tcPr>
            <w:tcW w:w="0" w:type="auto"/>
            <w:gridSpan w:val="5"/>
            <w:vAlign w:val="center"/>
          </w:tcPr>
          <w:p w14:paraId="5994AEE5" w14:textId="77777777" w:rsidR="009216D5" w:rsidRPr="00B06893" w:rsidRDefault="009216D5" w:rsidP="00501A02">
            <w:pPr>
              <w:pStyle w:val="Tabletext"/>
              <w:snapToGrid w:val="0"/>
              <w:rPr>
                <w:b/>
                <w:bCs/>
              </w:rPr>
            </w:pPr>
            <w:r w:rsidRPr="00B06893">
              <w:rPr>
                <w:b/>
                <w:bCs/>
              </w:rPr>
              <w:t>≥65 years</w:t>
            </w:r>
          </w:p>
        </w:tc>
      </w:tr>
      <w:tr w:rsidR="009216D5" w:rsidRPr="00B06893" w14:paraId="2B62375F" w14:textId="77777777" w:rsidTr="00F625C3">
        <w:tc>
          <w:tcPr>
            <w:tcW w:w="0" w:type="auto"/>
            <w:vAlign w:val="center"/>
          </w:tcPr>
          <w:p w14:paraId="66D98C2E" w14:textId="77777777" w:rsidR="009216D5" w:rsidRPr="00B06893" w:rsidRDefault="009216D5" w:rsidP="00501A02">
            <w:pPr>
              <w:pStyle w:val="Tabletext"/>
              <w:snapToGrid w:val="0"/>
            </w:pPr>
            <w:r w:rsidRPr="00B06893">
              <w:t>Hansen (2025)</w:t>
            </w:r>
          </w:p>
        </w:tc>
        <w:tc>
          <w:tcPr>
            <w:tcW w:w="0" w:type="auto"/>
            <w:vAlign w:val="center"/>
          </w:tcPr>
          <w:p w14:paraId="42E3B91F" w14:textId="77777777" w:rsidR="009216D5" w:rsidRPr="00B06893" w:rsidRDefault="009216D5" w:rsidP="00501A02">
            <w:pPr>
              <w:pStyle w:val="Tabletext"/>
              <w:snapToGrid w:val="0"/>
            </w:pPr>
            <w:r w:rsidRPr="00B06893">
              <w:t>JN.1 vaccinated= 91,461</w:t>
            </w:r>
          </w:p>
          <w:p w14:paraId="3541B021" w14:textId="77777777" w:rsidR="009216D5" w:rsidRPr="00B06893" w:rsidRDefault="009216D5" w:rsidP="00501A02">
            <w:pPr>
              <w:pStyle w:val="Tabletext"/>
              <w:snapToGrid w:val="0"/>
            </w:pPr>
            <w:r w:rsidRPr="00B06893">
              <w:t>No JN.1 vaccination= 859,216</w:t>
            </w:r>
          </w:p>
        </w:tc>
        <w:tc>
          <w:tcPr>
            <w:tcW w:w="0" w:type="auto"/>
            <w:vAlign w:val="center"/>
          </w:tcPr>
          <w:p w14:paraId="340EC1F9" w14:textId="77777777" w:rsidR="009216D5" w:rsidRPr="00B06893" w:rsidRDefault="009216D5" w:rsidP="00501A02">
            <w:pPr>
              <w:pStyle w:val="Tabletext"/>
              <w:snapToGrid w:val="0"/>
            </w:pPr>
            <w:r w:rsidRPr="00B06893">
              <w:t>Any lineage</w:t>
            </w:r>
          </w:p>
        </w:tc>
        <w:tc>
          <w:tcPr>
            <w:tcW w:w="0" w:type="auto"/>
            <w:vAlign w:val="center"/>
          </w:tcPr>
          <w:p w14:paraId="35343B15" w14:textId="77777777" w:rsidR="009216D5" w:rsidRPr="00B06893" w:rsidRDefault="009216D5" w:rsidP="00501A02">
            <w:pPr>
              <w:pStyle w:val="Tabletext"/>
              <w:snapToGrid w:val="0"/>
            </w:pPr>
            <w:r w:rsidRPr="00B06893">
              <w:t>Mean= 100.4 days</w:t>
            </w:r>
          </w:p>
        </w:tc>
        <w:tc>
          <w:tcPr>
            <w:tcW w:w="0" w:type="auto"/>
            <w:vAlign w:val="center"/>
          </w:tcPr>
          <w:p w14:paraId="2FCB755D" w14:textId="77777777" w:rsidR="009216D5" w:rsidRPr="00B06893" w:rsidRDefault="009216D5" w:rsidP="00501A02">
            <w:pPr>
              <w:pStyle w:val="Tabletext"/>
              <w:snapToGrid w:val="0"/>
              <w:rPr>
                <w:vertAlign w:val="superscript"/>
              </w:rPr>
            </w:pPr>
            <w:r w:rsidRPr="00B06893">
              <w:t>84.9% (70.9; 92.2)</w:t>
            </w:r>
            <w:r w:rsidRPr="00B06893">
              <w:rPr>
                <w:vertAlign w:val="superscript"/>
              </w:rPr>
              <w:t>a</w:t>
            </w:r>
          </w:p>
        </w:tc>
      </w:tr>
    </w:tbl>
    <w:p w14:paraId="1572A2C1" w14:textId="254944FC" w:rsidR="00C8588F" w:rsidRPr="00B06893" w:rsidRDefault="00C8588F" w:rsidP="00C8588F">
      <w:pPr>
        <w:pStyle w:val="TableFooter"/>
      </w:pPr>
      <w:r w:rsidRPr="00B06893">
        <w:t>Source: Table 2</w:t>
      </w:r>
      <w:r w:rsidR="00193971">
        <w:noBreakHyphen/>
      </w:r>
      <w:r w:rsidRPr="00B06893">
        <w:t>25, p93 of the submission</w:t>
      </w:r>
    </w:p>
    <w:p w14:paraId="69DA8EA4" w14:textId="14571063" w:rsidR="00C8588F" w:rsidRPr="00B06893" w:rsidRDefault="00C8588F" w:rsidP="00C8588F">
      <w:pPr>
        <w:pStyle w:val="TableFooter"/>
      </w:pPr>
      <w:r w:rsidRPr="00B06893">
        <w:t>CI= confidence interval; COVID</w:t>
      </w:r>
      <w:r w:rsidR="00193971">
        <w:noBreakHyphen/>
      </w:r>
      <w:r w:rsidRPr="00B06893">
        <w:t xml:space="preserve">19= coronavirus disease 2019; HR= hazard ratio; VE= vaccine effectiveness </w:t>
      </w:r>
    </w:p>
    <w:p w14:paraId="09527D4F" w14:textId="3D2C6CDB" w:rsidR="00C8588F" w:rsidRPr="00B06893" w:rsidRDefault="00C8588F" w:rsidP="00C8588F">
      <w:pPr>
        <w:pStyle w:val="TableFooter"/>
      </w:pPr>
      <w:r w:rsidRPr="00B06893">
        <w:rPr>
          <w:vertAlign w:val="superscript"/>
        </w:rPr>
        <w:t>a</w:t>
      </w:r>
      <w:r w:rsidRPr="00B06893">
        <w:t>Adjusted ratios were calculated for the weighted sample using a weighted Cox regression model that included mRNA</w:t>
      </w:r>
      <w:r w:rsidR="00193971">
        <w:noBreakHyphen/>
      </w:r>
      <w:r w:rsidRPr="00B06893">
        <w:t>1273 KP.2 vaccination status and any covariates with a standardised mean difference greater than 0.1 after inverse probability of treatment weighting.</w:t>
      </w:r>
    </w:p>
    <w:p w14:paraId="5CA17290" w14:textId="29F702A0" w:rsidR="00760C4E" w:rsidRPr="00B06893" w:rsidRDefault="00C24FD0" w:rsidP="00EC5836">
      <w:pPr>
        <w:pStyle w:val="3-BodyText"/>
      </w:pPr>
      <w:r w:rsidRPr="00B06893">
        <w:t>In individuals aged ≥65 years who were vaccinated with Spikevax versus those who were not, Spikevax was associated with a VE against hospitalisation of 84.9% a</w:t>
      </w:r>
      <w:r w:rsidR="00C8588F" w:rsidRPr="00B06893">
        <w:t>t a median follow</w:t>
      </w:r>
      <w:r w:rsidR="00193971">
        <w:noBreakHyphen/>
      </w:r>
      <w:r w:rsidR="00C8588F" w:rsidRPr="00B06893">
        <w:t>up of 100.4 days</w:t>
      </w:r>
      <w:r w:rsidRPr="00B06893">
        <w:t xml:space="preserve">. </w:t>
      </w:r>
    </w:p>
    <w:p w14:paraId="2A223E67" w14:textId="0D8372BE" w:rsidR="00032CBA" w:rsidRPr="00B06893" w:rsidRDefault="00032CBA" w:rsidP="00EC5836">
      <w:pPr>
        <w:pStyle w:val="3-BodyText"/>
      </w:pPr>
      <w:r w:rsidRPr="00B06893">
        <w:t xml:space="preserve">KP.2 variant: Results are presented in </w:t>
      </w:r>
      <w:r w:rsidRPr="00B06893">
        <w:fldChar w:fldCharType="begin"/>
      </w:r>
      <w:r w:rsidRPr="00B06893">
        <w:instrText xml:space="preserve"> REF _Ref216263224 \h </w:instrText>
      </w:r>
      <w:r w:rsidRPr="00B06893">
        <w:fldChar w:fldCharType="separate"/>
      </w:r>
      <w:r w:rsidR="00810177" w:rsidRPr="00B06893">
        <w:t>Table 9</w:t>
      </w:r>
      <w:r w:rsidRPr="00B06893">
        <w:fldChar w:fldCharType="end"/>
      </w:r>
      <w:r w:rsidRPr="00B06893">
        <w:t>.</w:t>
      </w:r>
    </w:p>
    <w:p w14:paraId="69A95FCE" w14:textId="38F0B533" w:rsidR="00032CBA" w:rsidRPr="00B06893" w:rsidRDefault="00032CBA" w:rsidP="004268F7">
      <w:pPr>
        <w:pStyle w:val="Caption"/>
      </w:pPr>
      <w:bookmarkStart w:id="38" w:name="_Ref216263224"/>
      <w:r w:rsidRPr="00B06893">
        <w:t xml:space="preserve">Table </w:t>
      </w:r>
      <w:fldSimple w:instr=" SEQ Table \* ARABIC ">
        <w:r w:rsidR="00810177" w:rsidRPr="00B06893">
          <w:t>9</w:t>
        </w:r>
      </w:fldSimple>
      <w:bookmarkEnd w:id="38"/>
      <w:r w:rsidRPr="00B06893">
        <w:t xml:space="preserve">: Summary of vaccine effectiveness of </w:t>
      </w:r>
      <w:r w:rsidR="00A93CFE" w:rsidRPr="00B06893">
        <w:t>Spikevax</w:t>
      </w:r>
      <w:r w:rsidRPr="00B06893">
        <w:t xml:space="preserve"> (KP.2 variant) to prevent COVID</w:t>
      </w:r>
      <w:r w:rsidR="00193971">
        <w:noBreakHyphen/>
      </w:r>
      <w:r w:rsidRPr="00B06893">
        <w:t>19 related hospitalisation</w:t>
      </w:r>
    </w:p>
    <w:tbl>
      <w:tblPr>
        <w:tblStyle w:val="TableGrid"/>
        <w:tblW w:w="5000" w:type="pct"/>
        <w:tblCellMar>
          <w:left w:w="57" w:type="dxa"/>
          <w:right w:w="57" w:type="dxa"/>
        </w:tblCellMar>
        <w:tblLook w:val="04A0" w:firstRow="1" w:lastRow="0" w:firstColumn="1" w:lastColumn="0" w:noHBand="0" w:noVBand="1"/>
        <w:tblCaption w:val="Table 9: Summary of vaccine effectiveness of Spikevax (KP.2 variant) to prevent COVID 19 related hospitalisation"/>
      </w:tblPr>
      <w:tblGrid>
        <w:gridCol w:w="1244"/>
        <w:gridCol w:w="3042"/>
        <w:gridCol w:w="1506"/>
        <w:gridCol w:w="1542"/>
        <w:gridCol w:w="1683"/>
      </w:tblGrid>
      <w:tr w:rsidR="00032CBA" w:rsidRPr="00B06893" w14:paraId="03DA39D9" w14:textId="77777777" w:rsidTr="00F625C3">
        <w:tc>
          <w:tcPr>
            <w:tcW w:w="0" w:type="auto"/>
            <w:vAlign w:val="center"/>
          </w:tcPr>
          <w:p w14:paraId="21CD4C03" w14:textId="77777777" w:rsidR="00032CBA" w:rsidRPr="00B06893" w:rsidRDefault="00032CBA" w:rsidP="004268F7">
            <w:pPr>
              <w:pStyle w:val="Caption"/>
              <w:snapToGrid w:val="0"/>
            </w:pPr>
            <w:r w:rsidRPr="00B06893">
              <w:t>Study</w:t>
            </w:r>
          </w:p>
        </w:tc>
        <w:tc>
          <w:tcPr>
            <w:tcW w:w="0" w:type="auto"/>
            <w:vAlign w:val="center"/>
          </w:tcPr>
          <w:p w14:paraId="5BE9D153" w14:textId="77777777" w:rsidR="00032CBA" w:rsidRPr="00B06893" w:rsidRDefault="00032CBA" w:rsidP="004268F7">
            <w:pPr>
              <w:pStyle w:val="Caption"/>
              <w:snapToGrid w:val="0"/>
            </w:pPr>
            <w:r w:rsidRPr="00B06893">
              <w:t>Population</w:t>
            </w:r>
          </w:p>
        </w:tc>
        <w:tc>
          <w:tcPr>
            <w:tcW w:w="0" w:type="auto"/>
            <w:vAlign w:val="center"/>
          </w:tcPr>
          <w:p w14:paraId="34104CDF" w14:textId="731BFC97" w:rsidR="00032CBA" w:rsidRPr="00B06893" w:rsidRDefault="00032CBA" w:rsidP="004268F7">
            <w:pPr>
              <w:pStyle w:val="Caption"/>
              <w:snapToGrid w:val="0"/>
            </w:pPr>
            <w:r w:rsidRPr="00B06893">
              <w:t>COVID</w:t>
            </w:r>
            <w:r w:rsidR="00193971">
              <w:noBreakHyphen/>
            </w:r>
            <w:r w:rsidRPr="00B06893">
              <w:t>19 strain</w:t>
            </w:r>
          </w:p>
        </w:tc>
        <w:tc>
          <w:tcPr>
            <w:tcW w:w="0" w:type="auto"/>
            <w:vAlign w:val="center"/>
          </w:tcPr>
          <w:p w14:paraId="7061DA2E" w14:textId="77777777" w:rsidR="00032CBA" w:rsidRPr="00B06893" w:rsidRDefault="00032CBA" w:rsidP="004268F7">
            <w:pPr>
              <w:pStyle w:val="Caption"/>
              <w:snapToGrid w:val="0"/>
            </w:pPr>
            <w:r w:rsidRPr="00B06893">
              <w:t>Timepoint</w:t>
            </w:r>
          </w:p>
        </w:tc>
        <w:tc>
          <w:tcPr>
            <w:tcW w:w="0" w:type="auto"/>
            <w:vAlign w:val="center"/>
          </w:tcPr>
          <w:p w14:paraId="74FC0860" w14:textId="77777777" w:rsidR="00032CBA" w:rsidRPr="00B06893" w:rsidRDefault="00032CBA" w:rsidP="004268F7">
            <w:pPr>
              <w:pStyle w:val="Caption"/>
              <w:snapToGrid w:val="0"/>
            </w:pPr>
            <w:r w:rsidRPr="00B06893">
              <w:t>VE (95%CI)</w:t>
            </w:r>
          </w:p>
        </w:tc>
      </w:tr>
      <w:tr w:rsidR="00032CBA" w:rsidRPr="00B06893" w14:paraId="5A530098" w14:textId="77777777" w:rsidTr="00F625C3">
        <w:tc>
          <w:tcPr>
            <w:tcW w:w="0" w:type="auto"/>
            <w:gridSpan w:val="5"/>
            <w:vAlign w:val="center"/>
          </w:tcPr>
          <w:p w14:paraId="65E9EDC1" w14:textId="77777777" w:rsidR="00032CBA" w:rsidRPr="00B06893" w:rsidRDefault="00032CBA" w:rsidP="004268F7">
            <w:pPr>
              <w:pStyle w:val="Tabletext"/>
              <w:keepNext/>
              <w:keepLines/>
              <w:snapToGrid w:val="0"/>
              <w:rPr>
                <w:b/>
                <w:bCs/>
              </w:rPr>
            </w:pPr>
            <w:r w:rsidRPr="00B06893">
              <w:rPr>
                <w:b/>
                <w:bCs/>
              </w:rPr>
              <w:t>≥18 years</w:t>
            </w:r>
          </w:p>
        </w:tc>
      </w:tr>
      <w:tr w:rsidR="00032CBA" w:rsidRPr="00B06893" w14:paraId="78AABE78" w14:textId="77777777" w:rsidTr="00F625C3">
        <w:tc>
          <w:tcPr>
            <w:tcW w:w="0" w:type="auto"/>
            <w:vAlign w:val="center"/>
          </w:tcPr>
          <w:p w14:paraId="3D4AAE3F" w14:textId="77777777" w:rsidR="00032CBA" w:rsidRPr="00B06893" w:rsidRDefault="00032CBA" w:rsidP="004268F7">
            <w:pPr>
              <w:pStyle w:val="Tabletext"/>
              <w:keepNext/>
              <w:keepLines/>
              <w:snapToGrid w:val="0"/>
            </w:pPr>
            <w:r w:rsidRPr="00B06893">
              <w:t>Wilson (2025)</w:t>
            </w:r>
          </w:p>
        </w:tc>
        <w:tc>
          <w:tcPr>
            <w:tcW w:w="0" w:type="auto"/>
            <w:vAlign w:val="center"/>
          </w:tcPr>
          <w:p w14:paraId="750B775B" w14:textId="77777777" w:rsidR="00032CBA" w:rsidRPr="00B06893" w:rsidRDefault="00032CBA" w:rsidP="004268F7">
            <w:pPr>
              <w:pStyle w:val="Tabletext"/>
              <w:keepNext/>
              <w:keepLines/>
              <w:snapToGrid w:val="0"/>
            </w:pPr>
            <w:r w:rsidRPr="00B06893">
              <w:t>KP.2 vaccinated= 465,073</w:t>
            </w:r>
          </w:p>
          <w:p w14:paraId="53EEE168" w14:textId="4FE85ED1" w:rsidR="00032CBA" w:rsidRPr="00B06893" w:rsidRDefault="00032CBA" w:rsidP="004268F7">
            <w:pPr>
              <w:pStyle w:val="Tabletext"/>
              <w:keepNext/>
              <w:keepLines/>
              <w:snapToGrid w:val="0"/>
            </w:pPr>
            <w:r w:rsidRPr="00B06893">
              <w:t>No 2024</w:t>
            </w:r>
            <w:r w:rsidR="00193971">
              <w:noBreakHyphen/>
            </w:r>
            <w:r w:rsidRPr="00B06893">
              <w:t>2025 vaccination= 465,073</w:t>
            </w:r>
          </w:p>
        </w:tc>
        <w:tc>
          <w:tcPr>
            <w:tcW w:w="0" w:type="auto"/>
            <w:vAlign w:val="center"/>
          </w:tcPr>
          <w:p w14:paraId="0E4A3CA9" w14:textId="77777777" w:rsidR="00032CBA" w:rsidRPr="00B06893" w:rsidRDefault="00032CBA" w:rsidP="004268F7">
            <w:pPr>
              <w:pStyle w:val="Tabletext"/>
              <w:keepNext/>
              <w:keepLines/>
              <w:snapToGrid w:val="0"/>
            </w:pPr>
            <w:r w:rsidRPr="00B06893">
              <w:t>Any lineage</w:t>
            </w:r>
          </w:p>
        </w:tc>
        <w:tc>
          <w:tcPr>
            <w:tcW w:w="0" w:type="auto"/>
            <w:vAlign w:val="center"/>
          </w:tcPr>
          <w:p w14:paraId="5105C5C2" w14:textId="77777777" w:rsidR="00032CBA" w:rsidRPr="00B06893" w:rsidRDefault="00032CBA" w:rsidP="004268F7">
            <w:pPr>
              <w:pStyle w:val="Tabletext"/>
              <w:keepNext/>
              <w:keepLines/>
              <w:snapToGrid w:val="0"/>
            </w:pPr>
            <w:r w:rsidRPr="00B06893">
              <w:t>Median: 57 days</w:t>
            </w:r>
          </w:p>
          <w:p w14:paraId="65807D50" w14:textId="77777777" w:rsidR="00032CBA" w:rsidRPr="00B06893" w:rsidRDefault="00032CBA" w:rsidP="004268F7">
            <w:pPr>
              <w:pStyle w:val="Tabletext"/>
              <w:keepNext/>
              <w:keepLines/>
              <w:snapToGrid w:val="0"/>
            </w:pPr>
            <w:r w:rsidRPr="00B06893">
              <w:t>IQR= 32–77 days</w:t>
            </w:r>
          </w:p>
        </w:tc>
        <w:tc>
          <w:tcPr>
            <w:tcW w:w="0" w:type="auto"/>
            <w:vAlign w:val="center"/>
          </w:tcPr>
          <w:p w14:paraId="0D545E1A" w14:textId="77777777" w:rsidR="00032CBA" w:rsidRPr="00B06893" w:rsidRDefault="00032CBA" w:rsidP="004268F7">
            <w:pPr>
              <w:pStyle w:val="Tabletext"/>
              <w:keepNext/>
              <w:keepLines/>
              <w:snapToGrid w:val="0"/>
            </w:pPr>
            <w:r w:rsidRPr="00B06893">
              <w:t>52.8% (34.8; 65.8)</w:t>
            </w:r>
            <w:r w:rsidRPr="00B06893">
              <w:rPr>
                <w:vertAlign w:val="superscript"/>
              </w:rPr>
              <w:t>a</w:t>
            </w:r>
          </w:p>
        </w:tc>
      </w:tr>
      <w:tr w:rsidR="00032CBA" w:rsidRPr="00B06893" w14:paraId="1B4634D4" w14:textId="77777777" w:rsidTr="00F625C3">
        <w:trPr>
          <w:trHeight w:val="94"/>
        </w:trPr>
        <w:tc>
          <w:tcPr>
            <w:tcW w:w="0" w:type="auto"/>
            <w:gridSpan w:val="5"/>
            <w:vAlign w:val="center"/>
          </w:tcPr>
          <w:p w14:paraId="4959F62F" w14:textId="77777777" w:rsidR="00032CBA" w:rsidRPr="00B06893" w:rsidRDefault="00032CBA" w:rsidP="004268F7">
            <w:pPr>
              <w:pStyle w:val="Tabletext"/>
              <w:keepNext/>
              <w:keepLines/>
              <w:snapToGrid w:val="0"/>
              <w:rPr>
                <w:b/>
                <w:bCs/>
              </w:rPr>
            </w:pPr>
            <w:r w:rsidRPr="00B06893">
              <w:rPr>
                <w:b/>
                <w:bCs/>
              </w:rPr>
              <w:t>≥65 years</w:t>
            </w:r>
          </w:p>
        </w:tc>
      </w:tr>
      <w:tr w:rsidR="00032CBA" w:rsidRPr="00B06893" w14:paraId="5B37CA80" w14:textId="77777777" w:rsidTr="00F625C3">
        <w:tc>
          <w:tcPr>
            <w:tcW w:w="0" w:type="auto"/>
            <w:vAlign w:val="center"/>
          </w:tcPr>
          <w:p w14:paraId="6F6574FE" w14:textId="77777777" w:rsidR="00032CBA" w:rsidRPr="00B06893" w:rsidRDefault="00032CBA" w:rsidP="004268F7">
            <w:pPr>
              <w:pStyle w:val="Tabletext"/>
              <w:keepNext/>
              <w:keepLines/>
              <w:snapToGrid w:val="0"/>
            </w:pPr>
            <w:r w:rsidRPr="00B06893">
              <w:t>Wilson (2025)</w:t>
            </w:r>
          </w:p>
        </w:tc>
        <w:tc>
          <w:tcPr>
            <w:tcW w:w="0" w:type="auto"/>
            <w:vAlign w:val="center"/>
          </w:tcPr>
          <w:p w14:paraId="22461528" w14:textId="77777777" w:rsidR="00032CBA" w:rsidRPr="00B06893" w:rsidRDefault="00032CBA" w:rsidP="004268F7">
            <w:pPr>
              <w:pStyle w:val="Tabletext"/>
              <w:keepNext/>
              <w:keepLines/>
              <w:snapToGrid w:val="0"/>
            </w:pPr>
            <w:r w:rsidRPr="00B06893">
              <w:t>KP.2 vaccinated= 258,098</w:t>
            </w:r>
          </w:p>
          <w:p w14:paraId="75A6741F" w14:textId="73CED0A0" w:rsidR="00032CBA" w:rsidRPr="00B06893" w:rsidRDefault="00032CBA" w:rsidP="004268F7">
            <w:pPr>
              <w:pStyle w:val="Tabletext"/>
              <w:keepNext/>
              <w:keepLines/>
              <w:snapToGrid w:val="0"/>
            </w:pPr>
            <w:r w:rsidRPr="00B06893">
              <w:t>No 2024</w:t>
            </w:r>
            <w:r w:rsidR="00193971">
              <w:noBreakHyphen/>
            </w:r>
            <w:r w:rsidRPr="00B06893">
              <w:t>2025 vaccination= 258,098</w:t>
            </w:r>
          </w:p>
        </w:tc>
        <w:tc>
          <w:tcPr>
            <w:tcW w:w="0" w:type="auto"/>
            <w:vAlign w:val="center"/>
          </w:tcPr>
          <w:p w14:paraId="0DC1CC3D" w14:textId="77777777" w:rsidR="00032CBA" w:rsidRPr="00B06893" w:rsidRDefault="00032CBA" w:rsidP="004268F7">
            <w:pPr>
              <w:pStyle w:val="Tabletext"/>
              <w:keepNext/>
              <w:keepLines/>
              <w:snapToGrid w:val="0"/>
            </w:pPr>
            <w:r w:rsidRPr="00B06893">
              <w:t>Any lineage</w:t>
            </w:r>
          </w:p>
        </w:tc>
        <w:tc>
          <w:tcPr>
            <w:tcW w:w="0" w:type="auto"/>
            <w:vAlign w:val="center"/>
          </w:tcPr>
          <w:p w14:paraId="5EC5071E" w14:textId="77777777" w:rsidR="00032CBA" w:rsidRPr="00B06893" w:rsidRDefault="00032CBA" w:rsidP="004268F7">
            <w:pPr>
              <w:pStyle w:val="Tabletext"/>
              <w:keepNext/>
              <w:keepLines/>
              <w:snapToGrid w:val="0"/>
            </w:pPr>
            <w:r w:rsidRPr="00B06893">
              <w:t>Median: 57 days</w:t>
            </w:r>
          </w:p>
          <w:p w14:paraId="47AEE443" w14:textId="77777777" w:rsidR="00032CBA" w:rsidRPr="00B06893" w:rsidRDefault="00032CBA" w:rsidP="004268F7">
            <w:pPr>
              <w:pStyle w:val="Tabletext"/>
              <w:keepNext/>
              <w:keepLines/>
              <w:snapToGrid w:val="0"/>
            </w:pPr>
            <w:r w:rsidRPr="00B06893">
              <w:t>IQR= 32–77 days</w:t>
            </w:r>
          </w:p>
        </w:tc>
        <w:tc>
          <w:tcPr>
            <w:tcW w:w="0" w:type="auto"/>
            <w:vAlign w:val="center"/>
          </w:tcPr>
          <w:p w14:paraId="1B77BA6E" w14:textId="77777777" w:rsidR="00032CBA" w:rsidRPr="00B06893" w:rsidRDefault="00032CBA" w:rsidP="004268F7">
            <w:pPr>
              <w:pStyle w:val="Tabletext"/>
              <w:keepNext/>
              <w:keepLines/>
              <w:snapToGrid w:val="0"/>
            </w:pPr>
            <w:r w:rsidRPr="00B06893">
              <w:t>53.2% (34.2; 66.7)</w:t>
            </w:r>
            <w:r w:rsidRPr="00B06893">
              <w:rPr>
                <w:vertAlign w:val="superscript"/>
              </w:rPr>
              <w:t>a</w:t>
            </w:r>
          </w:p>
        </w:tc>
      </w:tr>
    </w:tbl>
    <w:p w14:paraId="066087B7" w14:textId="76A36CA2" w:rsidR="00032CBA" w:rsidRPr="00B06893" w:rsidRDefault="00032CBA" w:rsidP="004268F7">
      <w:pPr>
        <w:pStyle w:val="TableFooter"/>
        <w:keepNext/>
        <w:keepLines/>
      </w:pPr>
      <w:r w:rsidRPr="00B06893">
        <w:t>Source: Table 4</w:t>
      </w:r>
      <w:r w:rsidR="00193971">
        <w:noBreakHyphen/>
      </w:r>
      <w:r w:rsidRPr="00B06893">
        <w:t>9 of ATAGI Pre</w:t>
      </w:r>
      <w:r w:rsidR="00193971">
        <w:noBreakHyphen/>
      </w:r>
      <w:r w:rsidRPr="00B06893">
        <w:t>Sub mRNA</w:t>
      </w:r>
      <w:r w:rsidR="00193971">
        <w:noBreakHyphen/>
      </w:r>
      <w:r w:rsidRPr="00B06893">
        <w:t>1273 final</w:t>
      </w:r>
    </w:p>
    <w:p w14:paraId="40432A95" w14:textId="5D21D098" w:rsidR="00032CBA" w:rsidRPr="00B06893" w:rsidRDefault="00032CBA" w:rsidP="004268F7">
      <w:pPr>
        <w:pStyle w:val="TableFooter"/>
        <w:keepNext/>
        <w:keepLines/>
      </w:pPr>
      <w:r w:rsidRPr="00B06893">
        <w:t>CI= confidence interval; COVID</w:t>
      </w:r>
      <w:r w:rsidR="00193971">
        <w:noBreakHyphen/>
      </w:r>
      <w:r w:rsidRPr="00B06893">
        <w:t xml:space="preserve">19= coronavirus disease 2019; VE= vaccine effectiveness. </w:t>
      </w:r>
    </w:p>
    <w:p w14:paraId="191C31A6" w14:textId="07C65555" w:rsidR="00032CBA" w:rsidRPr="00B06893" w:rsidRDefault="00032CBA" w:rsidP="004268F7">
      <w:pPr>
        <w:pStyle w:val="TableFooter"/>
        <w:keepNext/>
        <w:keepLines/>
      </w:pPr>
      <w:r w:rsidRPr="00B06893">
        <w:rPr>
          <w:vertAlign w:val="superscript"/>
        </w:rPr>
        <w:t>a</w:t>
      </w:r>
      <w:r w:rsidRPr="00B06893">
        <w:t>Adjusted ratios were calculated for the weighted sample using a weighted Cox regression model that included mRNA</w:t>
      </w:r>
      <w:r w:rsidR="00193971">
        <w:noBreakHyphen/>
      </w:r>
      <w:r w:rsidRPr="00B06893">
        <w:t>1273 KP.2 vaccination status and any covariates with a standardised mean difference greater than 0.1 after</w:t>
      </w:r>
      <w:r w:rsidR="00580BAD">
        <w:t xml:space="preserve"> </w:t>
      </w:r>
      <w:r w:rsidRPr="00B06893">
        <w:t>inverse probability of treatment weighting.</w:t>
      </w:r>
    </w:p>
    <w:p w14:paraId="4FB952C5" w14:textId="2AA5F66D" w:rsidR="006E28D6" w:rsidRPr="00B06893" w:rsidRDefault="009E2EBC" w:rsidP="006E28D6">
      <w:pPr>
        <w:pStyle w:val="3-BodyText"/>
      </w:pPr>
      <w:r w:rsidRPr="00B06893">
        <w:t xml:space="preserve">In individuals aged ≥65 years who were vaccinated with Spikevax versus those who were not vaccinated, Spikevax was associated with a VE against hospitalisation of </w:t>
      </w:r>
      <w:r w:rsidRPr="00B06893">
        <w:rPr>
          <w:rFonts w:cstheme="minorHAnsi"/>
          <w:szCs w:val="24"/>
        </w:rPr>
        <w:t>52.8% at a median follow</w:t>
      </w:r>
      <w:r w:rsidR="00193971">
        <w:rPr>
          <w:rFonts w:cstheme="minorHAnsi"/>
          <w:szCs w:val="24"/>
        </w:rPr>
        <w:noBreakHyphen/>
      </w:r>
      <w:r w:rsidRPr="00B06893">
        <w:rPr>
          <w:rFonts w:cstheme="minorHAnsi"/>
          <w:szCs w:val="24"/>
        </w:rPr>
        <w:t>up of 57 days. A similar VE (53.2%) was reported for all adults aged ≥18 years</w:t>
      </w:r>
      <w:r w:rsidR="006E28D6" w:rsidRPr="00B06893">
        <w:t>.</w:t>
      </w:r>
    </w:p>
    <w:p w14:paraId="7E6721C7" w14:textId="51E0C9EF" w:rsidR="006E28D6" w:rsidRPr="00B06893" w:rsidRDefault="001E1CE8" w:rsidP="006E28D6">
      <w:pPr>
        <w:pStyle w:val="3-BodyText"/>
        <w:rPr>
          <w:iCs/>
        </w:rPr>
      </w:pPr>
      <w:r w:rsidRPr="00B06893">
        <w:t>A</w:t>
      </w:r>
      <w:r w:rsidR="006E28D6" w:rsidRPr="00B06893">
        <w:t xml:space="preserve">n extended </w:t>
      </w:r>
      <w:r w:rsidR="000853C8" w:rsidRPr="00B06893">
        <w:t xml:space="preserve">final </w:t>
      </w:r>
      <w:r w:rsidR="006E28D6" w:rsidRPr="00B06893">
        <w:t>analysis of Wilson (2025) (</w:t>
      </w:r>
      <w:r w:rsidR="000853C8" w:rsidRPr="00B06893">
        <w:t xml:space="preserve">Vicic [2025] </w:t>
      </w:r>
      <w:r w:rsidR="006E28D6" w:rsidRPr="00B06893">
        <w:t>in press)</w:t>
      </w:r>
      <w:r w:rsidR="00F87569" w:rsidRPr="00B06893">
        <w:rPr>
          <w:rStyle w:val="FootnoteReference"/>
        </w:rPr>
        <w:footnoteReference w:id="6"/>
      </w:r>
      <w:r w:rsidR="006E28D6" w:rsidRPr="00B06893">
        <w:t xml:space="preserve"> over </w:t>
      </w:r>
      <w:r w:rsidRPr="00B06893">
        <w:t xml:space="preserve">a </w:t>
      </w:r>
      <w:r w:rsidR="006E28D6" w:rsidRPr="00B06893">
        <w:t>median follow</w:t>
      </w:r>
      <w:r w:rsidR="00193971">
        <w:noBreakHyphen/>
      </w:r>
      <w:r w:rsidR="006E28D6" w:rsidRPr="00B06893">
        <w:t xml:space="preserve">up of 127 days </w:t>
      </w:r>
      <w:r w:rsidRPr="00B06893">
        <w:t xml:space="preserve">reported </w:t>
      </w:r>
      <w:r w:rsidR="006E28D6" w:rsidRPr="00B06893">
        <w:t>that VE was 47.1% (95% CI: 39.3</w:t>
      </w:r>
      <w:r w:rsidR="009E2EBC" w:rsidRPr="00B06893">
        <w:t xml:space="preserve">%, </w:t>
      </w:r>
      <w:r w:rsidR="006E28D6" w:rsidRPr="00B06893">
        <w:t>53.8</w:t>
      </w:r>
      <w:r w:rsidR="009E2EBC" w:rsidRPr="00B06893">
        <w:t>%</w:t>
      </w:r>
      <w:r w:rsidR="006E28D6" w:rsidRPr="00B06893">
        <w:t>) in adults over the age of 65 years</w:t>
      </w:r>
      <w:r w:rsidRPr="00B06893">
        <w:t xml:space="preserve"> compared with </w:t>
      </w:r>
      <w:r w:rsidR="000853C8" w:rsidRPr="00B06893">
        <w:t>53.2% (34.2%, 66.7%)</w:t>
      </w:r>
      <w:r w:rsidRPr="00B06893">
        <w:t xml:space="preserve"> at </w:t>
      </w:r>
      <w:r w:rsidR="000853C8" w:rsidRPr="00B06893">
        <w:t>interim analysis (the intake period ended 24 December 2024, and patients were followed through 31 December 2024</w:t>
      </w:r>
      <w:r w:rsidRPr="00B06893">
        <w:t>)</w:t>
      </w:r>
      <w:r w:rsidR="006E28D6" w:rsidRPr="00B06893">
        <w:t>.</w:t>
      </w:r>
      <w:r w:rsidR="00580BAD">
        <w:t xml:space="preserve"> </w:t>
      </w:r>
      <w:r w:rsidR="00253DC5" w:rsidRPr="00B06893">
        <w:rPr>
          <w:iCs/>
        </w:rPr>
        <w:t>The final publication by Vicic et al. (2026) was provided with the PSCR</w:t>
      </w:r>
      <w:r w:rsidR="00253DC5" w:rsidRPr="00B06893">
        <w:rPr>
          <w:rStyle w:val="FootnoteReference"/>
          <w:iCs/>
        </w:rPr>
        <w:footnoteReference w:id="7"/>
      </w:r>
      <w:r w:rsidR="00253DC5" w:rsidRPr="00B06893">
        <w:rPr>
          <w:iCs/>
        </w:rPr>
        <w:t>.</w:t>
      </w:r>
    </w:p>
    <w:p w14:paraId="32B11E03" w14:textId="57DE8C34" w:rsidR="006E28D6" w:rsidRPr="00B06893" w:rsidRDefault="006E28D6" w:rsidP="006E28D6">
      <w:pPr>
        <w:pStyle w:val="3-BodyText"/>
        <w:rPr>
          <w:rFonts w:cstheme="minorHAnsi"/>
          <w:szCs w:val="24"/>
        </w:rPr>
      </w:pPr>
      <w:r w:rsidRPr="00B06893">
        <w:rPr>
          <w:rFonts w:cstheme="minorHAnsi"/>
          <w:szCs w:val="24"/>
        </w:rPr>
        <w:t>The 2025 ATAGI Pre</w:t>
      </w:r>
      <w:r w:rsidR="00193971">
        <w:rPr>
          <w:rFonts w:cstheme="minorHAnsi"/>
          <w:szCs w:val="24"/>
        </w:rPr>
        <w:noBreakHyphen/>
      </w:r>
      <w:r w:rsidRPr="00B06893">
        <w:rPr>
          <w:rFonts w:cstheme="minorHAnsi"/>
          <w:szCs w:val="24"/>
        </w:rPr>
        <w:t xml:space="preserve">Submission Advice </w:t>
      </w:r>
      <w:r w:rsidR="00611C55" w:rsidRPr="00B06893">
        <w:rPr>
          <w:rFonts w:cstheme="minorHAnsi"/>
          <w:szCs w:val="24"/>
        </w:rPr>
        <w:t>noted that long</w:t>
      </w:r>
      <w:r w:rsidR="00193971">
        <w:rPr>
          <w:rFonts w:cstheme="minorHAnsi"/>
          <w:szCs w:val="24"/>
        </w:rPr>
        <w:noBreakHyphen/>
      </w:r>
      <w:r w:rsidR="00611C55" w:rsidRPr="00B06893">
        <w:rPr>
          <w:rFonts w:cstheme="minorHAnsi"/>
          <w:szCs w:val="24"/>
        </w:rPr>
        <w:t xml:space="preserve">term data </w:t>
      </w:r>
      <w:r w:rsidR="00800554" w:rsidRPr="00B06893">
        <w:rPr>
          <w:rFonts w:cstheme="minorHAnsi"/>
          <w:szCs w:val="24"/>
        </w:rPr>
        <w:t>(up to 120 days follow</w:t>
      </w:r>
      <w:r w:rsidR="00193971">
        <w:rPr>
          <w:rFonts w:cstheme="minorHAnsi"/>
          <w:szCs w:val="24"/>
        </w:rPr>
        <w:noBreakHyphen/>
      </w:r>
      <w:r w:rsidR="00800554" w:rsidRPr="00B06893">
        <w:rPr>
          <w:rFonts w:cstheme="minorHAnsi"/>
          <w:szCs w:val="24"/>
        </w:rPr>
        <w:t xml:space="preserve">up) </w:t>
      </w:r>
      <w:r w:rsidR="00611C55" w:rsidRPr="00B06893">
        <w:rPr>
          <w:rFonts w:cstheme="minorHAnsi"/>
          <w:szCs w:val="24"/>
        </w:rPr>
        <w:t xml:space="preserve">on </w:t>
      </w:r>
      <w:r w:rsidR="00654A0E" w:rsidRPr="00B06893">
        <w:rPr>
          <w:rFonts w:cstheme="minorHAnsi"/>
          <w:szCs w:val="24"/>
        </w:rPr>
        <w:t xml:space="preserve">the </w:t>
      </w:r>
      <w:r w:rsidR="00611C55" w:rsidRPr="00B06893">
        <w:rPr>
          <w:rFonts w:cstheme="minorHAnsi"/>
          <w:szCs w:val="24"/>
        </w:rPr>
        <w:t>cumulative incidence of COVID</w:t>
      </w:r>
      <w:r w:rsidR="00193971">
        <w:rPr>
          <w:rFonts w:cstheme="minorHAnsi"/>
          <w:szCs w:val="24"/>
        </w:rPr>
        <w:noBreakHyphen/>
      </w:r>
      <w:r w:rsidR="00611C55" w:rsidRPr="00B06893">
        <w:rPr>
          <w:rFonts w:cstheme="minorHAnsi"/>
          <w:szCs w:val="24"/>
        </w:rPr>
        <w:t xml:space="preserve">19 hospitalisations </w:t>
      </w:r>
      <w:r w:rsidR="00400CD0" w:rsidRPr="00B06893">
        <w:rPr>
          <w:rFonts w:cstheme="minorHAnsi"/>
          <w:szCs w:val="24"/>
        </w:rPr>
        <w:t xml:space="preserve">for the KP.2 variant were also provided by the sponsor from the </w:t>
      </w:r>
      <w:r w:rsidR="00FF0938" w:rsidRPr="00B06893">
        <w:rPr>
          <w:rFonts w:cstheme="minorHAnsi"/>
          <w:szCs w:val="24"/>
        </w:rPr>
        <w:t xml:space="preserve">observational </w:t>
      </w:r>
      <w:r w:rsidR="00400CD0" w:rsidRPr="00B06893">
        <w:rPr>
          <w:rFonts w:cstheme="minorHAnsi"/>
          <w:szCs w:val="24"/>
        </w:rPr>
        <w:t xml:space="preserve">study by </w:t>
      </w:r>
      <w:r w:rsidR="00611C55" w:rsidRPr="00B06893">
        <w:rPr>
          <w:rFonts w:cstheme="minorHAnsi"/>
          <w:szCs w:val="24"/>
        </w:rPr>
        <w:t xml:space="preserve">Wilson </w:t>
      </w:r>
      <w:r w:rsidR="00400CD0" w:rsidRPr="00B06893">
        <w:rPr>
          <w:rFonts w:cstheme="minorHAnsi"/>
          <w:szCs w:val="24"/>
        </w:rPr>
        <w:t xml:space="preserve">et </w:t>
      </w:r>
      <w:r w:rsidR="00400CD0" w:rsidRPr="00B06893">
        <w:rPr>
          <w:rFonts w:cstheme="minorHAnsi"/>
          <w:szCs w:val="24"/>
        </w:rPr>
        <w:lastRenderedPageBreak/>
        <w:t>al. (2025a and 2025b(</w:t>
      </w:r>
      <w:r w:rsidR="00611C55" w:rsidRPr="00B06893">
        <w:rPr>
          <w:rFonts w:cstheme="minorHAnsi"/>
          <w:szCs w:val="24"/>
        </w:rPr>
        <w:t>)</w:t>
      </w:r>
      <w:r w:rsidR="001154B7" w:rsidRPr="00B06893">
        <w:rPr>
          <w:rStyle w:val="FootnoteReference"/>
          <w:rFonts w:cstheme="minorHAnsi"/>
          <w:szCs w:val="24"/>
        </w:rPr>
        <w:footnoteReference w:id="8"/>
      </w:r>
      <w:r w:rsidR="001154B7" w:rsidRPr="00B06893">
        <w:rPr>
          <w:rFonts w:cstheme="minorHAnsi"/>
          <w:szCs w:val="24"/>
          <w:vertAlign w:val="superscript"/>
        </w:rPr>
        <w:t>,</w:t>
      </w:r>
      <w:r w:rsidR="001154B7" w:rsidRPr="00B06893">
        <w:rPr>
          <w:rStyle w:val="FootnoteReference"/>
          <w:rFonts w:cstheme="minorHAnsi"/>
          <w:szCs w:val="24"/>
        </w:rPr>
        <w:footnoteReference w:id="9"/>
      </w:r>
      <w:r w:rsidR="00654A0E" w:rsidRPr="00B06893">
        <w:rPr>
          <w:rFonts w:cstheme="minorHAnsi"/>
          <w:szCs w:val="24"/>
        </w:rPr>
        <w:t xml:space="preserve"> </w:t>
      </w:r>
      <w:r w:rsidR="00400CD0" w:rsidRPr="00B06893">
        <w:rPr>
          <w:rFonts w:cstheme="minorHAnsi"/>
          <w:szCs w:val="24"/>
        </w:rPr>
        <w:t xml:space="preserve">as shown in </w:t>
      </w:r>
      <w:r w:rsidRPr="00B06893">
        <w:rPr>
          <w:rFonts w:cstheme="minorHAnsi"/>
          <w:szCs w:val="24"/>
        </w:rPr>
        <w:fldChar w:fldCharType="begin"/>
      </w:r>
      <w:r w:rsidRPr="00B06893">
        <w:rPr>
          <w:rFonts w:cstheme="minorHAnsi"/>
          <w:szCs w:val="24"/>
        </w:rPr>
        <w:instrText xml:space="preserve"> REF _Ref216264059 \h  \* MERGEFORMAT </w:instrText>
      </w:r>
      <w:r w:rsidRPr="00B06893">
        <w:rPr>
          <w:rFonts w:cstheme="minorHAnsi"/>
          <w:szCs w:val="24"/>
        </w:rPr>
      </w:r>
      <w:r w:rsidRPr="00B06893">
        <w:rPr>
          <w:rFonts w:cstheme="minorHAnsi"/>
          <w:szCs w:val="24"/>
        </w:rPr>
        <w:fldChar w:fldCharType="separate"/>
      </w:r>
      <w:r w:rsidR="00810177" w:rsidRPr="00B06893">
        <w:t>Figure 1</w:t>
      </w:r>
      <w:r w:rsidRPr="00B06893">
        <w:rPr>
          <w:rFonts w:cstheme="minorHAnsi"/>
          <w:szCs w:val="24"/>
        </w:rPr>
        <w:fldChar w:fldCharType="end"/>
      </w:r>
      <w:r w:rsidRPr="00B06893">
        <w:rPr>
          <w:rFonts w:cstheme="minorHAnsi"/>
          <w:szCs w:val="24"/>
        </w:rPr>
        <w:t>.</w:t>
      </w:r>
      <w:r w:rsidR="00580BAD">
        <w:rPr>
          <w:rFonts w:cstheme="minorHAnsi"/>
          <w:szCs w:val="24"/>
        </w:rPr>
        <w:t xml:space="preserve"> </w:t>
      </w:r>
      <w:r w:rsidR="003035F7" w:rsidRPr="00B06893">
        <w:t>Th</w:t>
      </w:r>
      <w:r w:rsidR="00FF0938" w:rsidRPr="00B06893">
        <w:t>is</w:t>
      </w:r>
      <w:r w:rsidR="003035F7" w:rsidRPr="00B06893">
        <w:t xml:space="preserve"> study of mRNA</w:t>
      </w:r>
      <w:r w:rsidR="00193971">
        <w:noBreakHyphen/>
      </w:r>
      <w:r w:rsidR="003035F7" w:rsidRPr="00B06893">
        <w:t>1273 (Spikevax) targeting the KP.2 SARS</w:t>
      </w:r>
      <w:r w:rsidR="00193971">
        <w:noBreakHyphen/>
      </w:r>
      <w:r w:rsidR="003035F7" w:rsidRPr="00B06893">
        <w:t xml:space="preserve">CoV2 variant </w:t>
      </w:r>
      <w:r w:rsidR="00FF0938" w:rsidRPr="00B06893">
        <w:t xml:space="preserve">was used to inform the economic model </w:t>
      </w:r>
      <w:r w:rsidR="003035F7" w:rsidRPr="00B06893">
        <w:t>(</w:t>
      </w:r>
      <w:r w:rsidR="00FF0938" w:rsidRPr="00B06893">
        <w:rPr>
          <w:rFonts w:cstheme="minorHAnsi"/>
          <w:szCs w:val="24"/>
        </w:rPr>
        <w:t>Wilson et al. (2025b</w:t>
      </w:r>
      <w:r w:rsidR="003035F7" w:rsidRPr="00B06893">
        <w:t>).</w:t>
      </w:r>
    </w:p>
    <w:p w14:paraId="5A69C74C" w14:textId="447D0C56" w:rsidR="006E28D6" w:rsidRPr="00B06893" w:rsidRDefault="006E28D6" w:rsidP="006E28D6">
      <w:pPr>
        <w:pStyle w:val="Caption"/>
      </w:pPr>
      <w:bookmarkStart w:id="39" w:name="_Ref216264059"/>
      <w:r w:rsidRPr="00B06893">
        <w:t xml:space="preserve">Figure </w:t>
      </w:r>
      <w:fldSimple w:instr=" SEQ Figure \* ARABIC ">
        <w:r w:rsidR="00810177" w:rsidRPr="00B06893">
          <w:t>1</w:t>
        </w:r>
      </w:fldSimple>
      <w:bookmarkEnd w:id="39"/>
      <w:r w:rsidRPr="00B06893">
        <w:t>: Cumulative incidence of COVID</w:t>
      </w:r>
      <w:r w:rsidR="00193971">
        <w:noBreakHyphen/>
      </w:r>
      <w:r w:rsidRPr="00B06893">
        <w:t>19 hospitalisations</w:t>
      </w:r>
    </w:p>
    <w:p w14:paraId="270F86BA" w14:textId="77777777" w:rsidR="006E28D6" w:rsidRPr="00B06893" w:rsidRDefault="006E28D6" w:rsidP="006E28D6">
      <w:pPr>
        <w:pStyle w:val="Tablenotes"/>
      </w:pPr>
      <w:r w:rsidRPr="00B06893">
        <w:rPr>
          <w:noProof/>
        </w:rPr>
        <w:drawing>
          <wp:inline distT="0" distB="0" distL="0" distR="0" wp14:anchorId="3B55A019" wp14:editId="27C1B1AB">
            <wp:extent cx="3715200" cy="3409200"/>
            <wp:effectExtent l="0" t="0" r="0" b="1270"/>
            <wp:docPr id="710677235" name="Picture 1" descr="Figure 1: Cumulative incidence of COVID 19 hospital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77235" name="Picture 1" descr="Figure 1: Cumulative incidence of COVID 19 hospitalisation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3715200" cy="3409200"/>
                    </a:xfrm>
                    <a:prstGeom prst="rect">
                      <a:avLst/>
                    </a:prstGeom>
                    <a:noFill/>
                    <a:ln>
                      <a:noFill/>
                    </a:ln>
                    <a:extLst>
                      <a:ext uri="{53640926-AAD7-44D8-BBD7-CCE9431645EC}">
                        <a14:shadowObscured xmlns:a14="http://schemas.microsoft.com/office/drawing/2010/main"/>
                      </a:ext>
                    </a:extLst>
                  </pic:spPr>
                </pic:pic>
              </a:graphicData>
            </a:graphic>
          </wp:inline>
        </w:drawing>
      </w:r>
    </w:p>
    <w:p w14:paraId="19B0586D" w14:textId="5364F693" w:rsidR="006E28D6" w:rsidRPr="00B06893" w:rsidRDefault="006E28D6" w:rsidP="006E28D6">
      <w:pPr>
        <w:pStyle w:val="TableFooter"/>
      </w:pPr>
      <w:r w:rsidRPr="00B06893">
        <w:t xml:space="preserve">Source: Figure 6, p48 of the ATAGI </w:t>
      </w:r>
      <w:r w:rsidR="009B5D69" w:rsidRPr="00B06893">
        <w:t>p</w:t>
      </w:r>
      <w:r w:rsidRPr="00B06893">
        <w:t>re</w:t>
      </w:r>
      <w:r w:rsidR="00193971">
        <w:noBreakHyphen/>
      </w:r>
      <w:r w:rsidR="009B5D69" w:rsidRPr="00B06893">
        <w:t>s</w:t>
      </w:r>
      <w:r w:rsidRPr="00B06893">
        <w:t xml:space="preserve">ubmission </w:t>
      </w:r>
      <w:r w:rsidR="009B5D69" w:rsidRPr="00B06893">
        <w:t>A</w:t>
      </w:r>
      <w:r w:rsidRPr="00B06893">
        <w:t>dvice 2025.</w:t>
      </w:r>
      <w:r w:rsidR="009B5D69" w:rsidRPr="00B06893">
        <w:t xml:space="preserve"> </w:t>
      </w:r>
      <w:r w:rsidRPr="00B06893">
        <w:t xml:space="preserve">(Source for ATAGI Advice: Figure 3, Wilson et al. </w:t>
      </w:r>
      <w:r w:rsidR="00886800" w:rsidRPr="00B06893">
        <w:t>[</w:t>
      </w:r>
      <w:r w:rsidRPr="00B06893">
        <w:t>2025</w:t>
      </w:r>
      <w:r w:rsidR="00886800" w:rsidRPr="00B06893">
        <w:t>]</w:t>
      </w:r>
      <w:r w:rsidR="009B5D69" w:rsidRPr="00B06893">
        <w:t>)</w:t>
      </w:r>
    </w:p>
    <w:p w14:paraId="1D3D12AF" w14:textId="31B4C314" w:rsidR="006E28D6" w:rsidRPr="00B06893" w:rsidRDefault="006E28D6" w:rsidP="006E28D6">
      <w:pPr>
        <w:pStyle w:val="TableFooter"/>
      </w:pPr>
      <w:r w:rsidRPr="00B06893">
        <w:t>CED= Cohort entry date; COVID</w:t>
      </w:r>
      <w:r w:rsidR="00193971">
        <w:noBreakHyphen/>
      </w:r>
      <w:r w:rsidRPr="00B06893">
        <w:t>19= coronavirus disease 2019</w:t>
      </w:r>
    </w:p>
    <w:p w14:paraId="483E7D97" w14:textId="6EF9F1F3" w:rsidR="00886800" w:rsidRPr="00B06893" w:rsidRDefault="00886800" w:rsidP="00A47E9C">
      <w:pPr>
        <w:pStyle w:val="3-BodyText"/>
        <w:spacing w:before="160"/>
      </w:pPr>
      <w:r w:rsidRPr="00B06893">
        <w:rPr>
          <w:rFonts w:cstheme="minorHAnsi"/>
          <w:szCs w:val="24"/>
        </w:rPr>
        <w:t>Longer follow</w:t>
      </w:r>
      <w:r w:rsidR="00193971">
        <w:rPr>
          <w:rFonts w:cstheme="minorHAnsi"/>
          <w:szCs w:val="24"/>
        </w:rPr>
        <w:noBreakHyphen/>
      </w:r>
      <w:r w:rsidRPr="00B06893">
        <w:rPr>
          <w:rFonts w:cstheme="minorHAnsi"/>
          <w:szCs w:val="24"/>
        </w:rPr>
        <w:t>up data (up to 240 days follow</w:t>
      </w:r>
      <w:r w:rsidR="00193971">
        <w:rPr>
          <w:rFonts w:cstheme="minorHAnsi"/>
          <w:szCs w:val="24"/>
        </w:rPr>
        <w:noBreakHyphen/>
      </w:r>
      <w:r w:rsidRPr="00B06893">
        <w:rPr>
          <w:rFonts w:cstheme="minorHAnsi"/>
          <w:szCs w:val="24"/>
        </w:rPr>
        <w:t xml:space="preserve">up) from Wilson (2025) have </w:t>
      </w:r>
      <w:r w:rsidR="00800554" w:rsidRPr="00B06893">
        <w:rPr>
          <w:rFonts w:cstheme="minorHAnsi"/>
          <w:szCs w:val="24"/>
        </w:rPr>
        <w:t xml:space="preserve">also </w:t>
      </w:r>
      <w:r w:rsidRPr="00B06893">
        <w:rPr>
          <w:rFonts w:cstheme="minorHAnsi"/>
          <w:szCs w:val="24"/>
        </w:rPr>
        <w:t xml:space="preserve">become available </w:t>
      </w:r>
      <w:r w:rsidR="00800554" w:rsidRPr="00B06893">
        <w:rPr>
          <w:rFonts w:cstheme="minorHAnsi"/>
          <w:szCs w:val="24"/>
        </w:rPr>
        <w:t>(Vicic et al [2025], In Press)</w:t>
      </w:r>
      <w:r w:rsidRPr="00B06893">
        <w:rPr>
          <w:rFonts w:cstheme="minorHAnsi"/>
          <w:szCs w:val="24"/>
        </w:rPr>
        <w:t xml:space="preserve"> are depicted in</w:t>
      </w:r>
      <w:r w:rsidR="00800554" w:rsidRPr="00B06893">
        <w:rPr>
          <w:rFonts w:cstheme="minorHAnsi"/>
          <w:szCs w:val="24"/>
        </w:rPr>
        <w:t xml:space="preserve"> </w:t>
      </w:r>
      <w:r w:rsidR="00800554" w:rsidRPr="00B06893">
        <w:rPr>
          <w:rFonts w:cstheme="minorHAnsi"/>
          <w:szCs w:val="24"/>
        </w:rPr>
        <w:fldChar w:fldCharType="begin"/>
      </w:r>
      <w:r w:rsidR="00800554" w:rsidRPr="00B06893">
        <w:rPr>
          <w:rFonts w:cstheme="minorHAnsi"/>
          <w:szCs w:val="24"/>
        </w:rPr>
        <w:instrText xml:space="preserve"> REF _Ref219460958 \h </w:instrText>
      </w:r>
      <w:r w:rsidR="00A47E9C" w:rsidRPr="00B06893">
        <w:rPr>
          <w:rFonts w:cstheme="minorHAnsi"/>
          <w:szCs w:val="24"/>
        </w:rPr>
        <w:instrText xml:space="preserve"> \* MERGEFORMAT </w:instrText>
      </w:r>
      <w:r w:rsidR="00800554" w:rsidRPr="00B06893">
        <w:rPr>
          <w:rFonts w:cstheme="minorHAnsi"/>
          <w:szCs w:val="24"/>
        </w:rPr>
      </w:r>
      <w:r w:rsidR="00800554" w:rsidRPr="00B06893">
        <w:rPr>
          <w:rFonts w:cstheme="minorHAnsi"/>
          <w:szCs w:val="24"/>
        </w:rPr>
        <w:fldChar w:fldCharType="separate"/>
      </w:r>
      <w:r w:rsidR="00810177" w:rsidRPr="00B06893">
        <w:t>Figure 2</w:t>
      </w:r>
      <w:r w:rsidR="00800554" w:rsidRPr="00B06893">
        <w:rPr>
          <w:rFonts w:cstheme="minorHAnsi"/>
          <w:szCs w:val="24"/>
        </w:rPr>
        <w:fldChar w:fldCharType="end"/>
      </w:r>
      <w:r w:rsidR="00A47E9C" w:rsidRPr="00B06893">
        <w:rPr>
          <w:rFonts w:cstheme="minorHAnsi"/>
          <w:szCs w:val="24"/>
        </w:rPr>
        <w:t>.</w:t>
      </w:r>
    </w:p>
    <w:p w14:paraId="6AAB5E38" w14:textId="7348FF63" w:rsidR="00886800" w:rsidRPr="00B06893" w:rsidRDefault="00886800" w:rsidP="00A47E9C">
      <w:pPr>
        <w:pStyle w:val="Caption"/>
        <w:spacing w:before="160"/>
        <w:rPr>
          <w:rFonts w:cstheme="minorHAnsi"/>
          <w:sz w:val="24"/>
          <w:szCs w:val="24"/>
        </w:rPr>
      </w:pPr>
      <w:bookmarkStart w:id="40" w:name="_Ref219460958"/>
      <w:r w:rsidRPr="00B06893">
        <w:lastRenderedPageBreak/>
        <w:t xml:space="preserve">Figure </w:t>
      </w:r>
      <w:fldSimple w:instr=" SEQ Figure \* ARABIC ">
        <w:r w:rsidR="00810177" w:rsidRPr="00B06893">
          <w:t>2</w:t>
        </w:r>
      </w:fldSimple>
      <w:bookmarkEnd w:id="40"/>
      <w:r w:rsidRPr="00B06893">
        <w:t>: Cumulative incidence curves of time to COVID</w:t>
      </w:r>
      <w:r w:rsidR="00193971">
        <w:noBreakHyphen/>
      </w:r>
      <w:r w:rsidRPr="00B06893">
        <w:t xml:space="preserve">19 </w:t>
      </w:r>
      <w:r w:rsidR="00193971">
        <w:noBreakHyphen/>
      </w:r>
      <w:r w:rsidRPr="00B06893">
        <w:t>Related Hospitalizations, individuals aged ≥65 years</w:t>
      </w:r>
    </w:p>
    <w:p w14:paraId="4B4A7411" w14:textId="77777777" w:rsidR="00886800" w:rsidRPr="00B06893" w:rsidRDefault="00886800" w:rsidP="00886800">
      <w:pPr>
        <w:pStyle w:val="TableFooter"/>
        <w:rPr>
          <w:rFonts w:cstheme="minorHAnsi"/>
          <w:sz w:val="24"/>
          <w:szCs w:val="24"/>
        </w:rPr>
      </w:pPr>
      <w:r w:rsidRPr="00B06893">
        <w:rPr>
          <w:noProof/>
        </w:rPr>
        <w:drawing>
          <wp:inline distT="0" distB="0" distL="0" distR="0" wp14:anchorId="6ED55381" wp14:editId="71C5C461">
            <wp:extent cx="3715200" cy="2271600"/>
            <wp:effectExtent l="0" t="0" r="0" b="0"/>
            <wp:docPr id="2006753990" name="Picture 1" descr="Figure 2: Cumulative incidence curves of time to COVID 19  Related Hospitalizations, individuals aged ≥6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53990" name="Picture 1" descr="Figure 2: Cumulative incidence curves of time to COVID 19  Related Hospitalizations, individuals aged ≥65 years"/>
                    <pic:cNvPicPr>
                      <a:picLocks noChangeAspect="1"/>
                    </pic:cNvPicPr>
                  </pic:nvPicPr>
                  <pic:blipFill>
                    <a:blip r:embed="rId14"/>
                    <a:stretch>
                      <a:fillRect/>
                    </a:stretch>
                  </pic:blipFill>
                  <pic:spPr>
                    <a:xfrm>
                      <a:off x="0" y="0"/>
                      <a:ext cx="3715200" cy="2271600"/>
                    </a:xfrm>
                    <a:prstGeom prst="rect">
                      <a:avLst/>
                    </a:prstGeom>
                  </pic:spPr>
                </pic:pic>
              </a:graphicData>
            </a:graphic>
          </wp:inline>
        </w:drawing>
      </w:r>
    </w:p>
    <w:p w14:paraId="02539555" w14:textId="3F4ADB29" w:rsidR="00886800" w:rsidRPr="00B06893" w:rsidRDefault="00886800" w:rsidP="00886800">
      <w:pPr>
        <w:pStyle w:val="TableFooter"/>
      </w:pPr>
      <w:r w:rsidRPr="00B06893">
        <w:t>Source: Figure 6, p48 of the ATAGI pre</w:t>
      </w:r>
      <w:r w:rsidR="00193971">
        <w:noBreakHyphen/>
      </w:r>
      <w:r w:rsidRPr="00B06893">
        <w:t xml:space="preserve">submission Advice 2025. Source for </w:t>
      </w:r>
      <w:r w:rsidR="00400CD0" w:rsidRPr="00B06893">
        <w:t xml:space="preserve">ATAGI </w:t>
      </w:r>
      <w:r w:rsidRPr="00B06893">
        <w:t xml:space="preserve">Advice: Vicic et al (2025): </w:t>
      </w:r>
    </w:p>
    <w:p w14:paraId="78F77075" w14:textId="1AF670F7" w:rsidR="00886800" w:rsidRPr="00B06893" w:rsidRDefault="00886800" w:rsidP="00886800">
      <w:pPr>
        <w:pStyle w:val="TableFooter"/>
        <w:rPr>
          <w:rFonts w:cstheme="minorBidi"/>
          <w:iCs/>
          <w:szCs w:val="22"/>
        </w:rPr>
      </w:pPr>
      <w:r w:rsidRPr="00B06893">
        <w:t>CED= Cohort entry date; COVID</w:t>
      </w:r>
      <w:r w:rsidR="00193971">
        <w:noBreakHyphen/>
      </w:r>
      <w:r w:rsidRPr="00B06893">
        <w:t>19= coronavirus disease 2019</w:t>
      </w:r>
    </w:p>
    <w:p w14:paraId="0F769817" w14:textId="77777777" w:rsidR="00400CD0" w:rsidRPr="00B06893" w:rsidRDefault="00400CD0" w:rsidP="00400CD0"/>
    <w:p w14:paraId="56248D66" w14:textId="3BBE40F8" w:rsidR="006E28D6" w:rsidRPr="00B06893" w:rsidRDefault="006E28D6" w:rsidP="006E28D6">
      <w:pPr>
        <w:pStyle w:val="3-BodyText"/>
      </w:pPr>
      <w:r w:rsidRPr="00B06893">
        <w:rPr>
          <w:rFonts w:cstheme="minorHAnsi"/>
          <w:szCs w:val="24"/>
        </w:rPr>
        <w:t>The ATAGI Advice noted that whilst a statistically significant difference was maintained up to 240 days of follow</w:t>
      </w:r>
      <w:r w:rsidR="00193971">
        <w:rPr>
          <w:rFonts w:cstheme="minorHAnsi"/>
          <w:szCs w:val="24"/>
        </w:rPr>
        <w:noBreakHyphen/>
      </w:r>
      <w:r w:rsidRPr="00B06893">
        <w:rPr>
          <w:rFonts w:cstheme="minorHAnsi"/>
          <w:szCs w:val="24"/>
        </w:rPr>
        <w:t>up, an interval analysis for longer periods of follow</w:t>
      </w:r>
      <w:r w:rsidR="00193971">
        <w:rPr>
          <w:rFonts w:cstheme="minorHAnsi"/>
          <w:szCs w:val="24"/>
        </w:rPr>
        <w:noBreakHyphen/>
      </w:r>
      <w:r w:rsidRPr="00B06893">
        <w:rPr>
          <w:rFonts w:cstheme="minorHAnsi"/>
          <w:szCs w:val="24"/>
        </w:rPr>
        <w:t>up was required from the sponsor as these data would be more informative at estimating longer</w:t>
      </w:r>
      <w:r w:rsidR="00193971">
        <w:rPr>
          <w:rFonts w:cstheme="minorHAnsi"/>
          <w:szCs w:val="24"/>
        </w:rPr>
        <w:noBreakHyphen/>
      </w:r>
      <w:r w:rsidRPr="00B06893">
        <w:rPr>
          <w:rFonts w:cstheme="minorHAnsi"/>
          <w:szCs w:val="24"/>
        </w:rPr>
        <w:t xml:space="preserve">term </w:t>
      </w:r>
      <w:r w:rsidR="006F7253" w:rsidRPr="00B06893">
        <w:rPr>
          <w:rFonts w:cstheme="minorHAnsi"/>
          <w:szCs w:val="24"/>
        </w:rPr>
        <w:t>VE</w:t>
      </w:r>
      <w:r w:rsidRPr="00B06893">
        <w:rPr>
          <w:rFonts w:cstheme="minorHAnsi"/>
          <w:szCs w:val="24"/>
        </w:rPr>
        <w:t>. These data were most</w:t>
      </w:r>
      <w:r w:rsidR="00DE4FE7" w:rsidRPr="00B06893">
        <w:rPr>
          <w:rFonts w:cstheme="minorHAnsi"/>
          <w:szCs w:val="24"/>
        </w:rPr>
        <w:t xml:space="preserve"> </w:t>
      </w:r>
      <w:r w:rsidRPr="00B06893">
        <w:rPr>
          <w:rFonts w:cstheme="minorHAnsi"/>
          <w:szCs w:val="24"/>
        </w:rPr>
        <w:t>relevant to populations where vaccination is every 12</w:t>
      </w:r>
      <w:r w:rsidR="00193971">
        <w:rPr>
          <w:rFonts w:cstheme="minorHAnsi"/>
          <w:szCs w:val="24"/>
        </w:rPr>
        <w:noBreakHyphen/>
      </w:r>
      <w:r w:rsidRPr="00B06893">
        <w:rPr>
          <w:rFonts w:cstheme="minorHAnsi"/>
          <w:szCs w:val="24"/>
        </w:rPr>
        <w:t>months.</w:t>
      </w:r>
    </w:p>
    <w:p w14:paraId="6473D6AB" w14:textId="4526A060" w:rsidR="006F7253" w:rsidRPr="00B06893" w:rsidRDefault="006F7253" w:rsidP="00EC5836">
      <w:pPr>
        <w:pStyle w:val="3-BodyText"/>
      </w:pPr>
      <w:r w:rsidRPr="00B06893">
        <w:t>XBB.1.5 variant: Three studies of Spikevax (XBB.1.5 variant) reported on VE against COVID</w:t>
      </w:r>
      <w:r w:rsidR="00193971">
        <w:noBreakHyphen/>
      </w:r>
      <w:r w:rsidRPr="00B06893">
        <w:t>19</w:t>
      </w:r>
      <w:r w:rsidR="00193971">
        <w:noBreakHyphen/>
      </w:r>
      <w:r w:rsidRPr="00B06893">
        <w:t>related hospitalisation in individuals aged ≥18 years and in individuals aged ≥65 years. Data were also provided for immunocompromised individuals</w:t>
      </w:r>
      <w:r w:rsidR="00261DB5" w:rsidRPr="00B06893">
        <w:t xml:space="preserve"> (</w:t>
      </w:r>
      <w:r w:rsidR="00261DB5" w:rsidRPr="00B06893">
        <w:fldChar w:fldCharType="begin"/>
      </w:r>
      <w:r w:rsidR="00261DB5" w:rsidRPr="00B06893">
        <w:instrText xml:space="preserve"> REF _Ref216265572 \h </w:instrText>
      </w:r>
      <w:r w:rsidR="00A47E9C" w:rsidRPr="00B06893">
        <w:instrText xml:space="preserve"> \* MERGEFORMAT </w:instrText>
      </w:r>
      <w:r w:rsidR="00261DB5" w:rsidRPr="00B06893">
        <w:fldChar w:fldCharType="separate"/>
      </w:r>
      <w:r w:rsidR="00810177" w:rsidRPr="00B06893">
        <w:t>Table 10</w:t>
      </w:r>
      <w:r w:rsidR="00261DB5" w:rsidRPr="00B06893">
        <w:fldChar w:fldCharType="end"/>
      </w:r>
      <w:r w:rsidR="00261DB5" w:rsidRPr="00B06893">
        <w:t>).</w:t>
      </w:r>
    </w:p>
    <w:p w14:paraId="6C6785DE" w14:textId="2CFE7A73" w:rsidR="006F7253" w:rsidRPr="00B06893" w:rsidRDefault="00261DB5" w:rsidP="00426CCC">
      <w:pPr>
        <w:pStyle w:val="Caption"/>
      </w:pPr>
      <w:bookmarkStart w:id="41" w:name="_Ref216265572"/>
      <w:r w:rsidRPr="00B06893">
        <w:lastRenderedPageBreak/>
        <w:t xml:space="preserve">Table </w:t>
      </w:r>
      <w:fldSimple w:instr=" SEQ Table \* ARABIC ">
        <w:r w:rsidR="00810177" w:rsidRPr="00B06893">
          <w:t>10</w:t>
        </w:r>
      </w:fldSimple>
      <w:bookmarkEnd w:id="41"/>
      <w:r w:rsidRPr="00B06893">
        <w:t xml:space="preserve">: </w:t>
      </w:r>
      <w:r w:rsidR="006F7253" w:rsidRPr="00B06893">
        <w:t xml:space="preserve">Summary of vaccine effectiveness of </w:t>
      </w:r>
      <w:r w:rsidR="00A93CFE" w:rsidRPr="00B06893">
        <w:t>Spikevax</w:t>
      </w:r>
      <w:r w:rsidR="006F7253" w:rsidRPr="00B06893">
        <w:t xml:space="preserve"> (XBB.1.5) to prevent COVID</w:t>
      </w:r>
      <w:r w:rsidR="00193971">
        <w:noBreakHyphen/>
      </w:r>
      <w:r w:rsidR="006F7253" w:rsidRPr="00B06893">
        <w:t>19 related hospitalisation</w:t>
      </w:r>
    </w:p>
    <w:tbl>
      <w:tblPr>
        <w:tblStyle w:val="TableGrid"/>
        <w:tblW w:w="5000" w:type="pct"/>
        <w:tblLayout w:type="fixed"/>
        <w:tblCellMar>
          <w:left w:w="57" w:type="dxa"/>
          <w:right w:w="57" w:type="dxa"/>
        </w:tblCellMar>
        <w:tblLook w:val="04A0" w:firstRow="1" w:lastRow="0" w:firstColumn="1" w:lastColumn="0" w:noHBand="0" w:noVBand="1"/>
        <w:tblCaption w:val="Table 10: Summary of vaccine effectiveness of Spikevax (XBB.1.5) to prevent COVID 19 related hospitalisation"/>
      </w:tblPr>
      <w:tblGrid>
        <w:gridCol w:w="1420"/>
        <w:gridCol w:w="2626"/>
        <w:gridCol w:w="1512"/>
        <w:gridCol w:w="1808"/>
        <w:gridCol w:w="1651"/>
      </w:tblGrid>
      <w:tr w:rsidR="006F7253" w:rsidRPr="00B06893" w14:paraId="45DD48BC" w14:textId="77777777" w:rsidTr="00F625C3">
        <w:trPr>
          <w:cantSplit/>
          <w:tblHeader/>
        </w:trPr>
        <w:tc>
          <w:tcPr>
            <w:tcW w:w="1412" w:type="dxa"/>
            <w:vAlign w:val="center"/>
          </w:tcPr>
          <w:p w14:paraId="5A87831E" w14:textId="77777777" w:rsidR="006F7253" w:rsidRPr="00B06893" w:rsidRDefault="006F7253" w:rsidP="00F625C3">
            <w:pPr>
              <w:pStyle w:val="Caption"/>
              <w:snapToGrid w:val="0"/>
              <w:rPr>
                <w:szCs w:val="20"/>
              </w:rPr>
            </w:pPr>
            <w:r w:rsidRPr="00B06893">
              <w:rPr>
                <w:szCs w:val="20"/>
              </w:rPr>
              <w:t>Study</w:t>
            </w:r>
          </w:p>
        </w:tc>
        <w:tc>
          <w:tcPr>
            <w:tcW w:w="2611" w:type="dxa"/>
            <w:vAlign w:val="center"/>
          </w:tcPr>
          <w:p w14:paraId="1BBDFE47" w14:textId="77777777" w:rsidR="006F7253" w:rsidRPr="00B06893" w:rsidRDefault="006F7253" w:rsidP="00F625C3">
            <w:pPr>
              <w:pStyle w:val="Caption"/>
              <w:snapToGrid w:val="0"/>
              <w:rPr>
                <w:szCs w:val="20"/>
              </w:rPr>
            </w:pPr>
            <w:r w:rsidRPr="00B06893">
              <w:rPr>
                <w:szCs w:val="20"/>
              </w:rPr>
              <w:t>Population</w:t>
            </w:r>
          </w:p>
        </w:tc>
        <w:tc>
          <w:tcPr>
            <w:tcW w:w="1503" w:type="dxa"/>
            <w:vAlign w:val="center"/>
          </w:tcPr>
          <w:p w14:paraId="62D09E3E" w14:textId="235289A1" w:rsidR="006F7253" w:rsidRPr="00B06893" w:rsidRDefault="006F7253" w:rsidP="00F625C3">
            <w:pPr>
              <w:pStyle w:val="Caption"/>
              <w:snapToGrid w:val="0"/>
              <w:rPr>
                <w:szCs w:val="20"/>
              </w:rPr>
            </w:pPr>
            <w:r w:rsidRPr="00B06893">
              <w:rPr>
                <w:szCs w:val="20"/>
              </w:rPr>
              <w:t>COVID</w:t>
            </w:r>
            <w:r w:rsidR="00193971">
              <w:rPr>
                <w:szCs w:val="20"/>
              </w:rPr>
              <w:noBreakHyphen/>
            </w:r>
            <w:r w:rsidRPr="00B06893">
              <w:rPr>
                <w:szCs w:val="20"/>
              </w:rPr>
              <w:t>19 strain</w:t>
            </w:r>
          </w:p>
        </w:tc>
        <w:tc>
          <w:tcPr>
            <w:tcW w:w="1798" w:type="dxa"/>
            <w:vAlign w:val="center"/>
          </w:tcPr>
          <w:p w14:paraId="7853900E" w14:textId="77777777" w:rsidR="006F7253" w:rsidRPr="00B06893" w:rsidRDefault="006F7253" w:rsidP="00F625C3">
            <w:pPr>
              <w:pStyle w:val="Caption"/>
              <w:snapToGrid w:val="0"/>
              <w:rPr>
                <w:szCs w:val="20"/>
              </w:rPr>
            </w:pPr>
            <w:r w:rsidRPr="00B06893">
              <w:rPr>
                <w:szCs w:val="20"/>
              </w:rPr>
              <w:t>Timepoint</w:t>
            </w:r>
          </w:p>
        </w:tc>
        <w:tc>
          <w:tcPr>
            <w:tcW w:w="1641" w:type="dxa"/>
            <w:vAlign w:val="center"/>
          </w:tcPr>
          <w:p w14:paraId="38CA59A1" w14:textId="77777777" w:rsidR="006F7253" w:rsidRPr="00B06893" w:rsidRDefault="006F7253" w:rsidP="00F625C3">
            <w:pPr>
              <w:pStyle w:val="Caption"/>
              <w:snapToGrid w:val="0"/>
              <w:rPr>
                <w:szCs w:val="20"/>
              </w:rPr>
            </w:pPr>
            <w:r w:rsidRPr="00B06893">
              <w:rPr>
                <w:szCs w:val="20"/>
              </w:rPr>
              <w:t>VE (95%CI)</w:t>
            </w:r>
          </w:p>
        </w:tc>
      </w:tr>
      <w:tr w:rsidR="006F7253" w:rsidRPr="00B06893" w14:paraId="7FA07372" w14:textId="77777777" w:rsidTr="00F625C3">
        <w:trPr>
          <w:cantSplit/>
        </w:trPr>
        <w:tc>
          <w:tcPr>
            <w:tcW w:w="8965" w:type="dxa"/>
            <w:gridSpan w:val="5"/>
            <w:vAlign w:val="center"/>
          </w:tcPr>
          <w:p w14:paraId="553C2691" w14:textId="094CFB02" w:rsidR="006F7253" w:rsidRPr="00B06893" w:rsidRDefault="00261DB5" w:rsidP="00F625C3">
            <w:pPr>
              <w:pStyle w:val="Tabletext"/>
              <w:keepNext/>
              <w:snapToGrid w:val="0"/>
              <w:rPr>
                <w:b/>
                <w:bCs/>
              </w:rPr>
            </w:pPr>
            <w:r w:rsidRPr="00B06893">
              <w:rPr>
                <w:b/>
                <w:bCs/>
              </w:rPr>
              <w:t xml:space="preserve">Age </w:t>
            </w:r>
            <w:r w:rsidR="006F7253" w:rsidRPr="00B06893">
              <w:rPr>
                <w:b/>
                <w:bCs/>
              </w:rPr>
              <w:t>≥18 years</w:t>
            </w:r>
          </w:p>
        </w:tc>
      </w:tr>
      <w:tr w:rsidR="006F7253" w:rsidRPr="00B06893" w14:paraId="689C10BE" w14:textId="77777777" w:rsidTr="00F625C3">
        <w:trPr>
          <w:cantSplit/>
        </w:trPr>
        <w:tc>
          <w:tcPr>
            <w:tcW w:w="1412" w:type="dxa"/>
            <w:vAlign w:val="center"/>
          </w:tcPr>
          <w:p w14:paraId="4979D666" w14:textId="77777777" w:rsidR="006F7253" w:rsidRPr="00B06893" w:rsidRDefault="006F7253" w:rsidP="00F625C3">
            <w:pPr>
              <w:pStyle w:val="Tabletext"/>
              <w:keepNext/>
              <w:snapToGrid w:val="0"/>
            </w:pPr>
            <w:r w:rsidRPr="00B06893">
              <w:t>Kopel (2024)</w:t>
            </w:r>
          </w:p>
        </w:tc>
        <w:tc>
          <w:tcPr>
            <w:tcW w:w="2611" w:type="dxa"/>
            <w:vAlign w:val="center"/>
          </w:tcPr>
          <w:p w14:paraId="6222D5CD" w14:textId="77777777" w:rsidR="006F7253" w:rsidRPr="00B06893" w:rsidRDefault="006F7253" w:rsidP="00F625C3">
            <w:pPr>
              <w:pStyle w:val="Tabletext"/>
              <w:keepNext/>
              <w:snapToGrid w:val="0"/>
            </w:pPr>
            <w:r w:rsidRPr="00B06893">
              <w:t xml:space="preserve">XBB.1.5 vaccinated=859,335 </w:t>
            </w:r>
          </w:p>
          <w:p w14:paraId="6D711600" w14:textId="51FC4036" w:rsidR="006F7253" w:rsidRPr="00B06893" w:rsidRDefault="006F7253" w:rsidP="00F625C3">
            <w:pPr>
              <w:pStyle w:val="Tabletext"/>
              <w:keepNext/>
              <w:snapToGrid w:val="0"/>
              <w:rPr>
                <w:lang w:eastAsia="ja-JP"/>
              </w:rPr>
            </w:pPr>
            <w:r w:rsidRPr="00B06893">
              <w:rPr>
                <w:lang w:eastAsia="ja-JP"/>
              </w:rPr>
              <w:t>No 2023</w:t>
            </w:r>
            <w:r w:rsidR="00193971">
              <w:rPr>
                <w:lang w:eastAsia="ja-JP"/>
              </w:rPr>
              <w:noBreakHyphen/>
            </w:r>
            <w:r w:rsidRPr="00B06893">
              <w:rPr>
                <w:lang w:eastAsia="ja-JP"/>
              </w:rPr>
              <w:t>2024 vaccination</w:t>
            </w:r>
            <w:r w:rsidRPr="00B06893">
              <w:t xml:space="preserve">=859,335 </w:t>
            </w:r>
          </w:p>
        </w:tc>
        <w:tc>
          <w:tcPr>
            <w:tcW w:w="1503" w:type="dxa"/>
            <w:vAlign w:val="center"/>
          </w:tcPr>
          <w:p w14:paraId="2665F9DC" w14:textId="77777777" w:rsidR="006F7253" w:rsidRPr="00B06893" w:rsidRDefault="006F7253" w:rsidP="00F625C3">
            <w:pPr>
              <w:pStyle w:val="Tabletext"/>
              <w:keepNext/>
              <w:snapToGrid w:val="0"/>
            </w:pPr>
            <w:r w:rsidRPr="00B06893">
              <w:t>Any lineage</w:t>
            </w:r>
          </w:p>
        </w:tc>
        <w:tc>
          <w:tcPr>
            <w:tcW w:w="1798" w:type="dxa"/>
            <w:vAlign w:val="center"/>
          </w:tcPr>
          <w:p w14:paraId="312F2A24" w14:textId="67FC251B" w:rsidR="006F7253" w:rsidRPr="00B06893" w:rsidRDefault="006F7253" w:rsidP="00F625C3">
            <w:pPr>
              <w:pStyle w:val="Tabletext"/>
              <w:keepNext/>
              <w:snapToGrid w:val="0"/>
            </w:pPr>
            <w:r w:rsidRPr="00B06893">
              <w:t>Median= 63 days</w:t>
            </w:r>
            <w:r w:rsidRPr="00B06893">
              <w:br/>
              <w:t>IQR= 44</w:t>
            </w:r>
            <w:r w:rsidR="00193971">
              <w:noBreakHyphen/>
            </w:r>
            <w:r w:rsidRPr="00B06893">
              <w:t>78 days</w:t>
            </w:r>
          </w:p>
        </w:tc>
        <w:tc>
          <w:tcPr>
            <w:tcW w:w="1641" w:type="dxa"/>
            <w:vAlign w:val="center"/>
          </w:tcPr>
          <w:p w14:paraId="797069E9" w14:textId="77777777" w:rsidR="006F7253" w:rsidRPr="00B06893" w:rsidRDefault="006F7253" w:rsidP="00F625C3">
            <w:pPr>
              <w:pStyle w:val="Tabletext"/>
              <w:keepNext/>
              <w:snapToGrid w:val="0"/>
            </w:pPr>
            <w:r w:rsidRPr="00B06893">
              <w:t xml:space="preserve">60.2% (53.4; 66.0) </w:t>
            </w:r>
          </w:p>
        </w:tc>
      </w:tr>
      <w:tr w:rsidR="006F7253" w:rsidRPr="00B06893" w14:paraId="250C1DC4" w14:textId="77777777" w:rsidTr="00F625C3">
        <w:trPr>
          <w:cantSplit/>
          <w:trHeight w:val="483"/>
        </w:trPr>
        <w:tc>
          <w:tcPr>
            <w:tcW w:w="1412" w:type="dxa"/>
            <w:vAlign w:val="center"/>
          </w:tcPr>
          <w:p w14:paraId="463B4807" w14:textId="77777777" w:rsidR="006F7253" w:rsidRPr="00B06893" w:rsidRDefault="006F7253" w:rsidP="00F625C3">
            <w:pPr>
              <w:pStyle w:val="Tabletext"/>
              <w:keepNext/>
              <w:snapToGrid w:val="0"/>
            </w:pPr>
            <w:r w:rsidRPr="00B06893">
              <w:t>Wilson (2025)</w:t>
            </w:r>
          </w:p>
        </w:tc>
        <w:tc>
          <w:tcPr>
            <w:tcW w:w="2611" w:type="dxa"/>
            <w:vAlign w:val="center"/>
          </w:tcPr>
          <w:p w14:paraId="6B4709CF" w14:textId="77777777" w:rsidR="006F7253" w:rsidRPr="00B06893" w:rsidRDefault="006F7253" w:rsidP="00F625C3">
            <w:pPr>
              <w:pStyle w:val="Tabletext"/>
              <w:keepNext/>
              <w:snapToGrid w:val="0"/>
            </w:pPr>
            <w:r w:rsidRPr="00B06893">
              <w:t>XBB.1.5 vaccinated= 1,272,161</w:t>
            </w:r>
          </w:p>
          <w:p w14:paraId="1F503F2A" w14:textId="5B1D9E21" w:rsidR="006F7253" w:rsidRPr="00B06893" w:rsidRDefault="006F7253" w:rsidP="00F625C3">
            <w:pPr>
              <w:pStyle w:val="Tabletext"/>
              <w:keepNext/>
              <w:snapToGrid w:val="0"/>
            </w:pPr>
            <w:r w:rsidRPr="00B06893">
              <w:rPr>
                <w:lang w:eastAsia="ja-JP"/>
              </w:rPr>
              <w:t>No 2023</w:t>
            </w:r>
            <w:r w:rsidR="00193971">
              <w:rPr>
                <w:lang w:eastAsia="ja-JP"/>
              </w:rPr>
              <w:noBreakHyphen/>
            </w:r>
            <w:r w:rsidRPr="00B06893">
              <w:rPr>
                <w:lang w:eastAsia="ja-JP"/>
              </w:rPr>
              <w:t xml:space="preserve">2024 vaccination= </w:t>
            </w:r>
            <w:r w:rsidRPr="00B06893">
              <w:t>1,272,161</w:t>
            </w:r>
          </w:p>
        </w:tc>
        <w:tc>
          <w:tcPr>
            <w:tcW w:w="1503" w:type="dxa"/>
            <w:vAlign w:val="center"/>
          </w:tcPr>
          <w:p w14:paraId="6493F690" w14:textId="77777777" w:rsidR="006F7253" w:rsidRPr="00B06893" w:rsidRDefault="006F7253" w:rsidP="00F625C3">
            <w:pPr>
              <w:pStyle w:val="Tabletext"/>
              <w:keepNext/>
              <w:snapToGrid w:val="0"/>
            </w:pPr>
            <w:r w:rsidRPr="00B06893">
              <w:t>Any lineage</w:t>
            </w:r>
          </w:p>
        </w:tc>
        <w:tc>
          <w:tcPr>
            <w:tcW w:w="1798" w:type="dxa"/>
            <w:vAlign w:val="center"/>
          </w:tcPr>
          <w:p w14:paraId="1B66D705" w14:textId="77777777" w:rsidR="006F7253" w:rsidRPr="00B06893" w:rsidRDefault="006F7253" w:rsidP="00F625C3">
            <w:pPr>
              <w:pStyle w:val="Tabletext"/>
              <w:keepNext/>
              <w:snapToGrid w:val="0"/>
            </w:pPr>
            <w:r w:rsidRPr="00B06893">
              <w:t>Median= 84 days</w:t>
            </w:r>
          </w:p>
          <w:p w14:paraId="53539316" w14:textId="77777777" w:rsidR="006F7253" w:rsidRPr="00B06893" w:rsidRDefault="006F7253" w:rsidP="00F625C3">
            <w:pPr>
              <w:pStyle w:val="Tabletext"/>
              <w:keepNext/>
              <w:snapToGrid w:val="0"/>
            </w:pPr>
            <w:r w:rsidRPr="00B06893">
              <w:t>IQR= 58–101 days</w:t>
            </w:r>
          </w:p>
        </w:tc>
        <w:tc>
          <w:tcPr>
            <w:tcW w:w="1641" w:type="dxa"/>
            <w:vAlign w:val="center"/>
          </w:tcPr>
          <w:p w14:paraId="483E9CA4" w14:textId="77777777" w:rsidR="006F7253" w:rsidRPr="00B06893" w:rsidRDefault="006F7253" w:rsidP="00F625C3">
            <w:pPr>
              <w:pStyle w:val="Tabletext"/>
              <w:keepNext/>
              <w:snapToGrid w:val="0"/>
            </w:pPr>
            <w:r w:rsidRPr="00B06893">
              <w:t>51% (48; 54)</w:t>
            </w:r>
            <w:r w:rsidRPr="00B06893">
              <w:rPr>
                <w:vertAlign w:val="superscript"/>
              </w:rPr>
              <w:t>a</w:t>
            </w:r>
          </w:p>
        </w:tc>
      </w:tr>
      <w:tr w:rsidR="006F7253" w:rsidRPr="00B06893" w14:paraId="40581924" w14:textId="77777777" w:rsidTr="00F625C3">
        <w:trPr>
          <w:cantSplit/>
          <w:trHeight w:val="381"/>
        </w:trPr>
        <w:tc>
          <w:tcPr>
            <w:tcW w:w="1412" w:type="dxa"/>
            <w:vMerge w:val="restart"/>
            <w:vAlign w:val="center"/>
          </w:tcPr>
          <w:p w14:paraId="5CDEA80A" w14:textId="77777777" w:rsidR="006F7253" w:rsidRPr="00B06893" w:rsidRDefault="006F7253" w:rsidP="00F625C3">
            <w:pPr>
              <w:pStyle w:val="Tabletext"/>
              <w:keepNext/>
              <w:snapToGrid w:val="0"/>
            </w:pPr>
            <w:r w:rsidRPr="00B06893">
              <w:t>Zheng (2025)</w:t>
            </w:r>
          </w:p>
        </w:tc>
        <w:tc>
          <w:tcPr>
            <w:tcW w:w="2611" w:type="dxa"/>
            <w:vMerge w:val="restart"/>
            <w:vAlign w:val="center"/>
          </w:tcPr>
          <w:p w14:paraId="64E17E8B" w14:textId="77777777" w:rsidR="006F7253" w:rsidRPr="00B06893" w:rsidRDefault="006F7253" w:rsidP="00F625C3">
            <w:pPr>
              <w:pStyle w:val="Tabletext"/>
              <w:keepNext/>
              <w:snapToGrid w:val="0"/>
            </w:pPr>
            <w:r w:rsidRPr="00B06893">
              <w:t xml:space="preserve">XBB.1.5 vaccinated= 903,349 </w:t>
            </w:r>
          </w:p>
          <w:p w14:paraId="39C07E73" w14:textId="77777777" w:rsidR="006F7253" w:rsidRPr="00B06893" w:rsidRDefault="006F7253" w:rsidP="00F625C3">
            <w:pPr>
              <w:pStyle w:val="Tabletext"/>
              <w:keepNext/>
              <w:snapToGrid w:val="0"/>
            </w:pPr>
            <w:r w:rsidRPr="00B06893">
              <w:rPr>
                <w:lang w:eastAsia="ja-JP"/>
              </w:rPr>
              <w:t>No XBB.1.5 vaccination</w:t>
            </w:r>
            <w:r w:rsidRPr="00B06893">
              <w:t xml:space="preserve">= 903,349 </w:t>
            </w:r>
          </w:p>
        </w:tc>
        <w:tc>
          <w:tcPr>
            <w:tcW w:w="1503" w:type="dxa"/>
            <w:vMerge w:val="restart"/>
            <w:vAlign w:val="center"/>
          </w:tcPr>
          <w:p w14:paraId="28BFE775" w14:textId="77777777" w:rsidR="006F7253" w:rsidRPr="00B06893" w:rsidRDefault="006F7253" w:rsidP="00F625C3">
            <w:pPr>
              <w:pStyle w:val="Tabletext"/>
              <w:keepNext/>
              <w:snapToGrid w:val="0"/>
            </w:pPr>
            <w:r w:rsidRPr="00B06893">
              <w:t>Any lineage (JN.1 predominant)</w:t>
            </w:r>
          </w:p>
        </w:tc>
        <w:tc>
          <w:tcPr>
            <w:tcW w:w="1798" w:type="dxa"/>
            <w:vAlign w:val="center"/>
          </w:tcPr>
          <w:p w14:paraId="651F39A3" w14:textId="77777777" w:rsidR="006F7253" w:rsidRPr="00B06893" w:rsidRDefault="006F7253" w:rsidP="00F625C3">
            <w:pPr>
              <w:pStyle w:val="Tabletext"/>
              <w:keepNext/>
              <w:snapToGrid w:val="0"/>
            </w:pPr>
            <w:r w:rsidRPr="00B06893">
              <w:t>Median= 111</w:t>
            </w:r>
          </w:p>
          <w:p w14:paraId="79F2FCA6" w14:textId="77777777" w:rsidR="006F7253" w:rsidRPr="00B06893" w:rsidRDefault="006F7253" w:rsidP="00F625C3">
            <w:pPr>
              <w:pStyle w:val="Tabletext"/>
              <w:keepNext/>
              <w:snapToGrid w:val="0"/>
            </w:pPr>
            <w:r w:rsidRPr="00B06893">
              <w:t>IQR= 81–128 days</w:t>
            </w:r>
          </w:p>
        </w:tc>
        <w:tc>
          <w:tcPr>
            <w:tcW w:w="1641" w:type="dxa"/>
            <w:vAlign w:val="center"/>
          </w:tcPr>
          <w:p w14:paraId="79D375B8" w14:textId="77777777" w:rsidR="006F7253" w:rsidRPr="00B06893" w:rsidRDefault="006F7253" w:rsidP="00F625C3">
            <w:pPr>
              <w:pStyle w:val="Tabletext"/>
              <w:keepNext/>
              <w:snapToGrid w:val="0"/>
            </w:pPr>
            <w:r w:rsidRPr="00B06893">
              <w:t>56% (52; 60)</w:t>
            </w:r>
          </w:p>
        </w:tc>
      </w:tr>
      <w:tr w:rsidR="006F7253" w:rsidRPr="00B06893" w14:paraId="78DC0AD3" w14:textId="77777777" w:rsidTr="00F625C3">
        <w:trPr>
          <w:cantSplit/>
        </w:trPr>
        <w:tc>
          <w:tcPr>
            <w:tcW w:w="1412" w:type="dxa"/>
            <w:vMerge/>
            <w:vAlign w:val="center"/>
          </w:tcPr>
          <w:p w14:paraId="0EC95951" w14:textId="77777777" w:rsidR="006F7253" w:rsidRPr="00B06893" w:rsidRDefault="006F7253" w:rsidP="00F625C3">
            <w:pPr>
              <w:pStyle w:val="Tabletext"/>
              <w:keepNext/>
              <w:snapToGrid w:val="0"/>
            </w:pPr>
          </w:p>
        </w:tc>
        <w:tc>
          <w:tcPr>
            <w:tcW w:w="2611" w:type="dxa"/>
            <w:vMerge/>
            <w:vAlign w:val="center"/>
          </w:tcPr>
          <w:p w14:paraId="5D7426BB" w14:textId="77777777" w:rsidR="006F7253" w:rsidRPr="00B06893" w:rsidRDefault="006F7253" w:rsidP="00F625C3">
            <w:pPr>
              <w:pStyle w:val="Tabletext"/>
              <w:keepNext/>
              <w:snapToGrid w:val="0"/>
            </w:pPr>
          </w:p>
        </w:tc>
        <w:tc>
          <w:tcPr>
            <w:tcW w:w="1503" w:type="dxa"/>
            <w:vMerge/>
            <w:vAlign w:val="center"/>
          </w:tcPr>
          <w:p w14:paraId="4BFEB783" w14:textId="77777777" w:rsidR="006F7253" w:rsidRPr="00B06893" w:rsidRDefault="006F7253" w:rsidP="00F625C3">
            <w:pPr>
              <w:pStyle w:val="Tabletext"/>
              <w:keepNext/>
              <w:snapToGrid w:val="0"/>
            </w:pPr>
          </w:p>
        </w:tc>
        <w:tc>
          <w:tcPr>
            <w:tcW w:w="1798" w:type="dxa"/>
            <w:vAlign w:val="center"/>
          </w:tcPr>
          <w:p w14:paraId="05D305CB" w14:textId="5F9DD8D3" w:rsidR="006F7253" w:rsidRPr="00B06893" w:rsidRDefault="006F7253" w:rsidP="00F625C3">
            <w:pPr>
              <w:pStyle w:val="Tabletext"/>
              <w:keepNext/>
              <w:snapToGrid w:val="0"/>
            </w:pPr>
            <w:r w:rsidRPr="00B06893">
              <w:t>8</w:t>
            </w:r>
            <w:r w:rsidR="00193971">
              <w:noBreakHyphen/>
            </w:r>
            <w:r w:rsidRPr="00B06893">
              <w:t>30 days</w:t>
            </w:r>
          </w:p>
        </w:tc>
        <w:tc>
          <w:tcPr>
            <w:tcW w:w="1641" w:type="dxa"/>
            <w:vAlign w:val="center"/>
          </w:tcPr>
          <w:p w14:paraId="0B91F120" w14:textId="77777777" w:rsidR="006F7253" w:rsidRPr="00B06893" w:rsidRDefault="006F7253" w:rsidP="00F625C3">
            <w:pPr>
              <w:pStyle w:val="Tabletext"/>
              <w:keepNext/>
              <w:snapToGrid w:val="0"/>
            </w:pPr>
            <w:r w:rsidRPr="00B06893">
              <w:t>67% (60; 73)</w:t>
            </w:r>
          </w:p>
        </w:tc>
      </w:tr>
      <w:tr w:rsidR="006F7253" w:rsidRPr="00B06893" w14:paraId="1EE76B88" w14:textId="77777777" w:rsidTr="00F625C3">
        <w:trPr>
          <w:cantSplit/>
        </w:trPr>
        <w:tc>
          <w:tcPr>
            <w:tcW w:w="1412" w:type="dxa"/>
            <w:vMerge/>
            <w:vAlign w:val="center"/>
          </w:tcPr>
          <w:p w14:paraId="2C983551" w14:textId="77777777" w:rsidR="006F7253" w:rsidRPr="00B06893" w:rsidRDefault="006F7253" w:rsidP="00F625C3">
            <w:pPr>
              <w:pStyle w:val="Tabletext"/>
              <w:keepNext/>
              <w:snapToGrid w:val="0"/>
            </w:pPr>
          </w:p>
        </w:tc>
        <w:tc>
          <w:tcPr>
            <w:tcW w:w="2611" w:type="dxa"/>
            <w:vMerge/>
            <w:vAlign w:val="center"/>
          </w:tcPr>
          <w:p w14:paraId="66423738" w14:textId="77777777" w:rsidR="006F7253" w:rsidRPr="00B06893" w:rsidRDefault="006F7253" w:rsidP="00F625C3">
            <w:pPr>
              <w:pStyle w:val="Tabletext"/>
              <w:keepNext/>
              <w:snapToGrid w:val="0"/>
            </w:pPr>
          </w:p>
        </w:tc>
        <w:tc>
          <w:tcPr>
            <w:tcW w:w="1503" w:type="dxa"/>
            <w:vMerge/>
            <w:vAlign w:val="center"/>
          </w:tcPr>
          <w:p w14:paraId="154D5489" w14:textId="77777777" w:rsidR="006F7253" w:rsidRPr="00B06893" w:rsidRDefault="006F7253" w:rsidP="00F625C3">
            <w:pPr>
              <w:pStyle w:val="Tabletext"/>
              <w:keepNext/>
              <w:snapToGrid w:val="0"/>
            </w:pPr>
          </w:p>
        </w:tc>
        <w:tc>
          <w:tcPr>
            <w:tcW w:w="1798" w:type="dxa"/>
            <w:vAlign w:val="center"/>
          </w:tcPr>
          <w:p w14:paraId="52B0C28B" w14:textId="574A25C6" w:rsidR="006F7253" w:rsidRPr="00B06893" w:rsidRDefault="006F7253" w:rsidP="00F625C3">
            <w:pPr>
              <w:pStyle w:val="Tabletext"/>
              <w:keepNext/>
              <w:snapToGrid w:val="0"/>
            </w:pPr>
            <w:r w:rsidRPr="00B06893">
              <w:t>8</w:t>
            </w:r>
            <w:r w:rsidR="00193971">
              <w:noBreakHyphen/>
            </w:r>
            <w:r w:rsidRPr="00B06893">
              <w:t>120 days</w:t>
            </w:r>
          </w:p>
        </w:tc>
        <w:tc>
          <w:tcPr>
            <w:tcW w:w="1641" w:type="dxa"/>
            <w:vAlign w:val="center"/>
          </w:tcPr>
          <w:p w14:paraId="62241FDE" w14:textId="77777777" w:rsidR="006F7253" w:rsidRPr="00B06893" w:rsidRDefault="006F7253" w:rsidP="00F625C3">
            <w:pPr>
              <w:pStyle w:val="Tabletext"/>
              <w:keepNext/>
              <w:snapToGrid w:val="0"/>
            </w:pPr>
            <w:r w:rsidRPr="00B06893">
              <w:t>57% (52; 61)</w:t>
            </w:r>
          </w:p>
        </w:tc>
      </w:tr>
      <w:tr w:rsidR="006F7253" w:rsidRPr="00B06893" w14:paraId="5297CE5E" w14:textId="77777777" w:rsidTr="00F625C3">
        <w:trPr>
          <w:cantSplit/>
        </w:trPr>
        <w:tc>
          <w:tcPr>
            <w:tcW w:w="8965" w:type="dxa"/>
            <w:gridSpan w:val="5"/>
            <w:vAlign w:val="center"/>
          </w:tcPr>
          <w:p w14:paraId="2F14F8C1" w14:textId="32E4218D" w:rsidR="006F7253" w:rsidRPr="00B06893" w:rsidRDefault="00261DB5" w:rsidP="00F625C3">
            <w:pPr>
              <w:pStyle w:val="Tabletext"/>
              <w:keepNext/>
              <w:snapToGrid w:val="0"/>
              <w:rPr>
                <w:b/>
                <w:bCs/>
              </w:rPr>
            </w:pPr>
            <w:r w:rsidRPr="00B06893">
              <w:rPr>
                <w:b/>
                <w:bCs/>
              </w:rPr>
              <w:t xml:space="preserve">Age </w:t>
            </w:r>
            <w:r w:rsidR="006F7253" w:rsidRPr="00B06893">
              <w:rPr>
                <w:b/>
                <w:bCs/>
              </w:rPr>
              <w:t>≥65 years</w:t>
            </w:r>
          </w:p>
        </w:tc>
      </w:tr>
      <w:tr w:rsidR="006F7253" w:rsidRPr="00B06893" w14:paraId="0F272E6B" w14:textId="77777777" w:rsidTr="00F625C3">
        <w:trPr>
          <w:cantSplit/>
        </w:trPr>
        <w:tc>
          <w:tcPr>
            <w:tcW w:w="1412" w:type="dxa"/>
          </w:tcPr>
          <w:p w14:paraId="24D4C637" w14:textId="77777777" w:rsidR="006F7253" w:rsidRPr="00B06893" w:rsidRDefault="006F7253" w:rsidP="00F625C3">
            <w:pPr>
              <w:pStyle w:val="Tabletext"/>
              <w:keepNext/>
              <w:snapToGrid w:val="0"/>
            </w:pPr>
            <w:r w:rsidRPr="00B06893">
              <w:t>Kopel (2024)</w:t>
            </w:r>
          </w:p>
        </w:tc>
        <w:tc>
          <w:tcPr>
            <w:tcW w:w="2611" w:type="dxa"/>
            <w:vAlign w:val="center"/>
          </w:tcPr>
          <w:p w14:paraId="11C4EC32" w14:textId="77777777" w:rsidR="006F7253" w:rsidRPr="00B06893" w:rsidRDefault="006F7253" w:rsidP="00F625C3">
            <w:pPr>
              <w:pStyle w:val="Tabletext"/>
              <w:keepNext/>
              <w:snapToGrid w:val="0"/>
            </w:pPr>
            <w:r w:rsidRPr="00B06893">
              <w:t>XBB.1.5 vaccinated=465,061</w:t>
            </w:r>
          </w:p>
          <w:p w14:paraId="4AA60731" w14:textId="2A6FBA6A" w:rsidR="006F7253" w:rsidRPr="00B06893" w:rsidRDefault="006F7253" w:rsidP="00F625C3">
            <w:pPr>
              <w:pStyle w:val="Tabletext"/>
              <w:keepNext/>
              <w:snapToGrid w:val="0"/>
            </w:pPr>
            <w:r w:rsidRPr="00B06893">
              <w:rPr>
                <w:lang w:eastAsia="ja-JP"/>
              </w:rPr>
              <w:t>No 2023</w:t>
            </w:r>
            <w:r w:rsidR="00193971">
              <w:rPr>
                <w:lang w:eastAsia="ja-JP"/>
              </w:rPr>
              <w:noBreakHyphen/>
            </w:r>
            <w:r w:rsidRPr="00B06893">
              <w:rPr>
                <w:lang w:eastAsia="ja-JP"/>
              </w:rPr>
              <w:t>2024 vaccination</w:t>
            </w:r>
            <w:r w:rsidRPr="00B06893">
              <w:t xml:space="preserve">=465,061 </w:t>
            </w:r>
          </w:p>
        </w:tc>
        <w:tc>
          <w:tcPr>
            <w:tcW w:w="1503" w:type="dxa"/>
            <w:vAlign w:val="center"/>
          </w:tcPr>
          <w:p w14:paraId="5E6EB226" w14:textId="77777777" w:rsidR="006F7253" w:rsidRPr="00B06893" w:rsidRDefault="006F7253" w:rsidP="00F625C3">
            <w:pPr>
              <w:pStyle w:val="Tabletext"/>
              <w:keepNext/>
              <w:snapToGrid w:val="0"/>
            </w:pPr>
            <w:r w:rsidRPr="00B06893">
              <w:t>Any lineage</w:t>
            </w:r>
          </w:p>
        </w:tc>
        <w:tc>
          <w:tcPr>
            <w:tcW w:w="1798" w:type="dxa"/>
            <w:vAlign w:val="center"/>
          </w:tcPr>
          <w:p w14:paraId="57B5435B" w14:textId="77777777" w:rsidR="006F7253" w:rsidRPr="00B06893" w:rsidRDefault="006F7253" w:rsidP="00F625C3">
            <w:pPr>
              <w:pStyle w:val="Tabletext"/>
              <w:keepNext/>
              <w:snapToGrid w:val="0"/>
            </w:pPr>
            <w:r w:rsidRPr="00B06893">
              <w:t>Not stated</w:t>
            </w:r>
          </w:p>
        </w:tc>
        <w:tc>
          <w:tcPr>
            <w:tcW w:w="1641" w:type="dxa"/>
            <w:vAlign w:val="center"/>
          </w:tcPr>
          <w:p w14:paraId="5FE5D4F2" w14:textId="77777777" w:rsidR="006F7253" w:rsidRPr="00B06893" w:rsidRDefault="006F7253" w:rsidP="00F625C3">
            <w:pPr>
              <w:pStyle w:val="Tabletext"/>
              <w:keepNext/>
              <w:snapToGrid w:val="0"/>
            </w:pPr>
            <w:r w:rsidRPr="00B06893">
              <w:t>60.5% (53.3; 66.6)</w:t>
            </w:r>
          </w:p>
        </w:tc>
      </w:tr>
      <w:tr w:rsidR="006F7253" w:rsidRPr="00B06893" w14:paraId="3B5B1073" w14:textId="77777777" w:rsidTr="00F625C3">
        <w:trPr>
          <w:cantSplit/>
        </w:trPr>
        <w:tc>
          <w:tcPr>
            <w:tcW w:w="1412" w:type="dxa"/>
          </w:tcPr>
          <w:p w14:paraId="6D2C84ED" w14:textId="77777777" w:rsidR="006F7253" w:rsidRPr="00B06893" w:rsidRDefault="006F7253" w:rsidP="00F625C3">
            <w:pPr>
              <w:pStyle w:val="Tabletext"/>
              <w:keepNext/>
              <w:snapToGrid w:val="0"/>
            </w:pPr>
            <w:r w:rsidRPr="00B06893">
              <w:t>Wilson (2025)</w:t>
            </w:r>
          </w:p>
        </w:tc>
        <w:tc>
          <w:tcPr>
            <w:tcW w:w="2611" w:type="dxa"/>
            <w:vAlign w:val="center"/>
          </w:tcPr>
          <w:p w14:paraId="5FF471EE" w14:textId="77777777" w:rsidR="006F7253" w:rsidRPr="00B06893" w:rsidRDefault="006F7253" w:rsidP="00F625C3">
            <w:pPr>
              <w:pStyle w:val="Tabletext"/>
              <w:keepNext/>
              <w:snapToGrid w:val="0"/>
            </w:pPr>
            <w:r w:rsidRPr="00B06893">
              <w:t>XBB.1.5 vaccinated= 294,388</w:t>
            </w:r>
          </w:p>
          <w:p w14:paraId="3FC39ECA" w14:textId="48616D56" w:rsidR="006F7253" w:rsidRPr="00B06893" w:rsidRDefault="006F7253" w:rsidP="00F625C3">
            <w:pPr>
              <w:pStyle w:val="Tabletext"/>
              <w:keepNext/>
              <w:snapToGrid w:val="0"/>
            </w:pPr>
            <w:r w:rsidRPr="00B06893">
              <w:rPr>
                <w:lang w:eastAsia="ja-JP"/>
              </w:rPr>
              <w:t>No 2023</w:t>
            </w:r>
            <w:r w:rsidR="00193971">
              <w:rPr>
                <w:lang w:eastAsia="ja-JP"/>
              </w:rPr>
              <w:noBreakHyphen/>
            </w:r>
            <w:r w:rsidRPr="00B06893">
              <w:rPr>
                <w:lang w:eastAsia="ja-JP"/>
              </w:rPr>
              <w:t>2024 vaccination= 294,388</w:t>
            </w:r>
          </w:p>
        </w:tc>
        <w:tc>
          <w:tcPr>
            <w:tcW w:w="1503" w:type="dxa"/>
            <w:vAlign w:val="center"/>
          </w:tcPr>
          <w:p w14:paraId="4EAF715E" w14:textId="77777777" w:rsidR="006F7253" w:rsidRPr="00B06893" w:rsidRDefault="006F7253" w:rsidP="00F625C3">
            <w:pPr>
              <w:pStyle w:val="Tabletext"/>
              <w:keepNext/>
              <w:snapToGrid w:val="0"/>
            </w:pPr>
            <w:r w:rsidRPr="00B06893">
              <w:t>Any lineage</w:t>
            </w:r>
          </w:p>
        </w:tc>
        <w:tc>
          <w:tcPr>
            <w:tcW w:w="1798" w:type="dxa"/>
            <w:vAlign w:val="center"/>
          </w:tcPr>
          <w:p w14:paraId="3B9CEFA7" w14:textId="77777777" w:rsidR="006F7253" w:rsidRPr="00B06893" w:rsidRDefault="006F7253" w:rsidP="00F625C3">
            <w:pPr>
              <w:pStyle w:val="Tabletext"/>
              <w:keepNext/>
              <w:snapToGrid w:val="0"/>
            </w:pPr>
            <w:r w:rsidRPr="00B06893">
              <w:t>Median= 84 days</w:t>
            </w:r>
          </w:p>
          <w:p w14:paraId="0EA29E9B" w14:textId="77777777" w:rsidR="006F7253" w:rsidRPr="00B06893" w:rsidRDefault="006F7253" w:rsidP="00F625C3">
            <w:pPr>
              <w:pStyle w:val="Tabletext"/>
              <w:keepNext/>
              <w:snapToGrid w:val="0"/>
            </w:pPr>
            <w:r w:rsidRPr="00B06893">
              <w:t>IQR= 58–101 days</w:t>
            </w:r>
          </w:p>
        </w:tc>
        <w:tc>
          <w:tcPr>
            <w:tcW w:w="1641" w:type="dxa"/>
            <w:vAlign w:val="center"/>
          </w:tcPr>
          <w:p w14:paraId="0FAB57FC" w14:textId="77777777" w:rsidR="006F7253" w:rsidRPr="00B06893" w:rsidRDefault="006F7253" w:rsidP="00F625C3">
            <w:pPr>
              <w:pStyle w:val="Tabletext"/>
              <w:keepNext/>
              <w:snapToGrid w:val="0"/>
            </w:pPr>
            <w:r w:rsidRPr="00B06893">
              <w:t>56% (51; 61)</w:t>
            </w:r>
            <w:r w:rsidRPr="00B06893">
              <w:rPr>
                <w:vertAlign w:val="superscript"/>
              </w:rPr>
              <w:t>a</w:t>
            </w:r>
          </w:p>
        </w:tc>
      </w:tr>
      <w:tr w:rsidR="006F7253" w:rsidRPr="00B06893" w14:paraId="4F8A1441" w14:textId="77777777" w:rsidTr="00F625C3">
        <w:trPr>
          <w:cantSplit/>
        </w:trPr>
        <w:tc>
          <w:tcPr>
            <w:tcW w:w="1412" w:type="dxa"/>
          </w:tcPr>
          <w:p w14:paraId="2F92E492" w14:textId="77777777" w:rsidR="006F7253" w:rsidRPr="00B06893" w:rsidRDefault="006F7253" w:rsidP="00F625C3">
            <w:pPr>
              <w:pStyle w:val="Tabletext"/>
              <w:keepNext/>
              <w:snapToGrid w:val="0"/>
            </w:pPr>
            <w:r w:rsidRPr="00B06893">
              <w:t>Zheng (2025)</w:t>
            </w:r>
          </w:p>
        </w:tc>
        <w:tc>
          <w:tcPr>
            <w:tcW w:w="2611" w:type="dxa"/>
            <w:vAlign w:val="center"/>
          </w:tcPr>
          <w:p w14:paraId="315771E2" w14:textId="77777777" w:rsidR="006F7253" w:rsidRPr="00B06893" w:rsidRDefault="006F7253" w:rsidP="00F625C3">
            <w:pPr>
              <w:pStyle w:val="Tabletext"/>
              <w:keepNext/>
              <w:snapToGrid w:val="0"/>
            </w:pPr>
            <w:r w:rsidRPr="00B06893">
              <w:t>XBB.1.5 vaccinated= 681,891</w:t>
            </w:r>
          </w:p>
          <w:p w14:paraId="02B8B177" w14:textId="77777777" w:rsidR="006F7253" w:rsidRPr="00B06893" w:rsidRDefault="006F7253" w:rsidP="00F625C3">
            <w:pPr>
              <w:pStyle w:val="Tabletext"/>
              <w:keepNext/>
              <w:snapToGrid w:val="0"/>
            </w:pPr>
            <w:r w:rsidRPr="00B06893">
              <w:rPr>
                <w:lang w:eastAsia="ja-JP"/>
              </w:rPr>
              <w:t>No XBB.1.5 vaccination</w:t>
            </w:r>
            <w:r w:rsidRPr="00B06893">
              <w:t xml:space="preserve">= 681,040 </w:t>
            </w:r>
          </w:p>
        </w:tc>
        <w:tc>
          <w:tcPr>
            <w:tcW w:w="1503" w:type="dxa"/>
            <w:vAlign w:val="center"/>
          </w:tcPr>
          <w:p w14:paraId="027CC4DA" w14:textId="77777777" w:rsidR="006F7253" w:rsidRPr="00B06893" w:rsidRDefault="006F7253" w:rsidP="00F625C3">
            <w:pPr>
              <w:pStyle w:val="Tabletext"/>
              <w:keepNext/>
              <w:snapToGrid w:val="0"/>
            </w:pPr>
            <w:r w:rsidRPr="00B06893">
              <w:t>Any lineage (JN.1 predominant)</w:t>
            </w:r>
          </w:p>
        </w:tc>
        <w:tc>
          <w:tcPr>
            <w:tcW w:w="1798" w:type="dxa"/>
            <w:vAlign w:val="center"/>
          </w:tcPr>
          <w:p w14:paraId="07988F88" w14:textId="77777777" w:rsidR="006F7253" w:rsidRPr="00B06893" w:rsidRDefault="006F7253" w:rsidP="00F625C3">
            <w:pPr>
              <w:pStyle w:val="Tabletext"/>
              <w:keepNext/>
              <w:snapToGrid w:val="0"/>
            </w:pPr>
            <w:r w:rsidRPr="00B06893">
              <w:t>Median= 111</w:t>
            </w:r>
          </w:p>
          <w:p w14:paraId="02C6FE97" w14:textId="77777777" w:rsidR="006F7253" w:rsidRPr="00B06893" w:rsidRDefault="006F7253" w:rsidP="00F625C3">
            <w:pPr>
              <w:pStyle w:val="Tabletext"/>
              <w:keepNext/>
              <w:snapToGrid w:val="0"/>
            </w:pPr>
            <w:r w:rsidRPr="00B06893">
              <w:t>IQR= 81–128</w:t>
            </w:r>
          </w:p>
        </w:tc>
        <w:tc>
          <w:tcPr>
            <w:tcW w:w="1641" w:type="dxa"/>
            <w:vAlign w:val="center"/>
          </w:tcPr>
          <w:p w14:paraId="27219CD3" w14:textId="77777777" w:rsidR="006F7253" w:rsidRPr="00B06893" w:rsidRDefault="006F7253" w:rsidP="00F625C3">
            <w:pPr>
              <w:pStyle w:val="Tabletext"/>
              <w:keepNext/>
              <w:snapToGrid w:val="0"/>
            </w:pPr>
            <w:r w:rsidRPr="00B06893">
              <w:t>58% (54; 62)</w:t>
            </w:r>
          </w:p>
        </w:tc>
      </w:tr>
      <w:tr w:rsidR="006F7253" w:rsidRPr="00B06893" w14:paraId="1B91D256" w14:textId="77777777" w:rsidTr="00F625C3">
        <w:trPr>
          <w:cantSplit/>
        </w:trPr>
        <w:tc>
          <w:tcPr>
            <w:tcW w:w="8965" w:type="dxa"/>
            <w:gridSpan w:val="5"/>
            <w:vAlign w:val="center"/>
          </w:tcPr>
          <w:p w14:paraId="7F37D275" w14:textId="122CF525" w:rsidR="006F7253" w:rsidRPr="00B06893" w:rsidRDefault="006F7253" w:rsidP="00F625C3">
            <w:pPr>
              <w:pStyle w:val="Tabletext"/>
              <w:keepNext/>
              <w:snapToGrid w:val="0"/>
              <w:rPr>
                <w:b/>
                <w:bCs/>
              </w:rPr>
            </w:pPr>
            <w:r w:rsidRPr="00B06893">
              <w:rPr>
                <w:b/>
                <w:bCs/>
              </w:rPr>
              <w:t>Immunocompromised</w:t>
            </w:r>
            <w:r w:rsidR="00261DB5" w:rsidRPr="00B06893">
              <w:rPr>
                <w:b/>
                <w:bCs/>
              </w:rPr>
              <w:t xml:space="preserve"> (</w:t>
            </w:r>
            <w:r w:rsidR="00261DB5" w:rsidRPr="00B06893">
              <w:rPr>
                <w:b/>
                <w:bCs/>
                <w:iCs/>
              </w:rPr>
              <w:t>Not grouped by age</w:t>
            </w:r>
            <w:r w:rsidR="00261DB5" w:rsidRPr="00B06893">
              <w:rPr>
                <w:b/>
                <w:bCs/>
              </w:rPr>
              <w:t>)</w:t>
            </w:r>
          </w:p>
        </w:tc>
      </w:tr>
      <w:tr w:rsidR="006F7253" w:rsidRPr="00B06893" w14:paraId="16C4DD1E" w14:textId="77777777" w:rsidTr="00F625C3">
        <w:trPr>
          <w:cantSplit/>
        </w:trPr>
        <w:tc>
          <w:tcPr>
            <w:tcW w:w="1412" w:type="dxa"/>
            <w:vAlign w:val="center"/>
          </w:tcPr>
          <w:p w14:paraId="443EDC39" w14:textId="4AA5D63A" w:rsidR="006F7253" w:rsidRPr="00B06893" w:rsidRDefault="006F7253" w:rsidP="00F625C3">
            <w:pPr>
              <w:pStyle w:val="Tabletext"/>
              <w:keepNext/>
              <w:snapToGrid w:val="0"/>
            </w:pPr>
            <w:r w:rsidRPr="00B06893">
              <w:t xml:space="preserve">Wilson </w:t>
            </w:r>
            <w:r w:rsidR="00426CCC" w:rsidRPr="00B06893">
              <w:t>(2025)</w:t>
            </w:r>
          </w:p>
        </w:tc>
        <w:tc>
          <w:tcPr>
            <w:tcW w:w="2611" w:type="dxa"/>
            <w:vAlign w:val="center"/>
          </w:tcPr>
          <w:p w14:paraId="3A934C47" w14:textId="77777777" w:rsidR="006F7253" w:rsidRPr="00B06893" w:rsidRDefault="006F7253" w:rsidP="00F625C3">
            <w:pPr>
              <w:pStyle w:val="Tabletext"/>
              <w:keepNext/>
              <w:snapToGrid w:val="0"/>
            </w:pPr>
            <w:r w:rsidRPr="00B06893">
              <w:t>XBB.1.5 vaccinated= 236,490</w:t>
            </w:r>
          </w:p>
          <w:p w14:paraId="3FE203E7" w14:textId="5C2FA120" w:rsidR="006F7253" w:rsidRPr="00B06893" w:rsidRDefault="006F7253" w:rsidP="00F625C3">
            <w:pPr>
              <w:pStyle w:val="Tabletext"/>
              <w:keepNext/>
              <w:snapToGrid w:val="0"/>
            </w:pPr>
            <w:r w:rsidRPr="00B06893">
              <w:rPr>
                <w:lang w:eastAsia="ja-JP"/>
              </w:rPr>
              <w:t>No 2023</w:t>
            </w:r>
            <w:r w:rsidR="00193971">
              <w:rPr>
                <w:lang w:eastAsia="ja-JP"/>
              </w:rPr>
              <w:noBreakHyphen/>
            </w:r>
            <w:r w:rsidRPr="00B06893">
              <w:rPr>
                <w:lang w:eastAsia="ja-JP"/>
              </w:rPr>
              <w:t xml:space="preserve">2024 vaccination= </w:t>
            </w:r>
            <w:r w:rsidRPr="00B06893">
              <w:t>147,522</w:t>
            </w:r>
          </w:p>
        </w:tc>
        <w:tc>
          <w:tcPr>
            <w:tcW w:w="1503" w:type="dxa"/>
            <w:vAlign w:val="center"/>
          </w:tcPr>
          <w:p w14:paraId="5CBC9307" w14:textId="77777777" w:rsidR="006F7253" w:rsidRPr="00B06893" w:rsidRDefault="006F7253" w:rsidP="00F625C3">
            <w:pPr>
              <w:pStyle w:val="Tabletext"/>
              <w:keepNext/>
              <w:snapToGrid w:val="0"/>
            </w:pPr>
            <w:r w:rsidRPr="00B06893">
              <w:t>Any lineage</w:t>
            </w:r>
          </w:p>
        </w:tc>
        <w:tc>
          <w:tcPr>
            <w:tcW w:w="1798" w:type="dxa"/>
            <w:vAlign w:val="center"/>
          </w:tcPr>
          <w:p w14:paraId="496152C7" w14:textId="77777777" w:rsidR="006F7253" w:rsidRPr="00B06893" w:rsidRDefault="006F7253" w:rsidP="00F625C3">
            <w:pPr>
              <w:pStyle w:val="Tabletext"/>
              <w:keepNext/>
              <w:snapToGrid w:val="0"/>
            </w:pPr>
            <w:r w:rsidRPr="00B06893">
              <w:t>Median= 84 days</w:t>
            </w:r>
          </w:p>
          <w:p w14:paraId="35B170F7" w14:textId="77777777" w:rsidR="006F7253" w:rsidRPr="00B06893" w:rsidRDefault="006F7253" w:rsidP="00F625C3">
            <w:pPr>
              <w:pStyle w:val="Tabletext"/>
              <w:keepNext/>
              <w:snapToGrid w:val="0"/>
            </w:pPr>
            <w:r w:rsidRPr="00B06893">
              <w:t>IQR= 58–101 days</w:t>
            </w:r>
          </w:p>
        </w:tc>
        <w:tc>
          <w:tcPr>
            <w:tcW w:w="1641" w:type="dxa"/>
            <w:vAlign w:val="center"/>
          </w:tcPr>
          <w:p w14:paraId="734770F2" w14:textId="77777777" w:rsidR="006F7253" w:rsidRPr="00B06893" w:rsidRDefault="006F7253" w:rsidP="00F625C3">
            <w:pPr>
              <w:pStyle w:val="Tabletext"/>
              <w:keepNext/>
              <w:snapToGrid w:val="0"/>
            </w:pPr>
            <w:r w:rsidRPr="00B06893">
              <w:t>46% (39; 52)</w:t>
            </w:r>
            <w:r w:rsidRPr="00B06893">
              <w:rPr>
                <w:vertAlign w:val="superscript"/>
              </w:rPr>
              <w:t>a</w:t>
            </w:r>
          </w:p>
        </w:tc>
      </w:tr>
      <w:tr w:rsidR="006F7253" w:rsidRPr="00B06893" w14:paraId="36E8075C" w14:textId="77777777" w:rsidTr="00F625C3">
        <w:trPr>
          <w:cantSplit/>
        </w:trPr>
        <w:tc>
          <w:tcPr>
            <w:tcW w:w="1412" w:type="dxa"/>
            <w:vAlign w:val="center"/>
          </w:tcPr>
          <w:p w14:paraId="19637C47" w14:textId="17EB35EC" w:rsidR="006F7253" w:rsidRPr="00B06893" w:rsidRDefault="006F7253" w:rsidP="00F625C3">
            <w:pPr>
              <w:pStyle w:val="Tabletext"/>
              <w:keepNext/>
              <w:snapToGrid w:val="0"/>
            </w:pPr>
            <w:r w:rsidRPr="00B06893">
              <w:t xml:space="preserve">Zheng </w:t>
            </w:r>
            <w:r w:rsidR="00426CCC" w:rsidRPr="00B06893">
              <w:t>(2025)</w:t>
            </w:r>
          </w:p>
        </w:tc>
        <w:tc>
          <w:tcPr>
            <w:tcW w:w="2611" w:type="dxa"/>
            <w:vAlign w:val="center"/>
          </w:tcPr>
          <w:p w14:paraId="18A361FF" w14:textId="77777777" w:rsidR="006F7253" w:rsidRPr="00B06893" w:rsidRDefault="006F7253" w:rsidP="00F625C3">
            <w:pPr>
              <w:pStyle w:val="Tabletext"/>
              <w:keepNext/>
              <w:snapToGrid w:val="0"/>
            </w:pPr>
            <w:r w:rsidRPr="00B06893">
              <w:t xml:space="preserve">XBB.1.5 vaccinated= 2924 </w:t>
            </w:r>
          </w:p>
          <w:p w14:paraId="4EF341F0" w14:textId="77777777" w:rsidR="006F7253" w:rsidRPr="00B06893" w:rsidRDefault="006F7253" w:rsidP="00F625C3">
            <w:pPr>
              <w:pStyle w:val="Tabletext"/>
              <w:keepNext/>
              <w:snapToGrid w:val="0"/>
            </w:pPr>
            <w:r w:rsidRPr="00B06893">
              <w:rPr>
                <w:lang w:eastAsia="ja-JP"/>
              </w:rPr>
              <w:t>No XBB.1.5 vaccination</w:t>
            </w:r>
            <w:r w:rsidRPr="00B06893">
              <w:t>= 2790</w:t>
            </w:r>
          </w:p>
        </w:tc>
        <w:tc>
          <w:tcPr>
            <w:tcW w:w="1503" w:type="dxa"/>
            <w:vAlign w:val="center"/>
          </w:tcPr>
          <w:p w14:paraId="653566E8" w14:textId="77777777" w:rsidR="006F7253" w:rsidRPr="00B06893" w:rsidRDefault="006F7253" w:rsidP="00F625C3">
            <w:pPr>
              <w:pStyle w:val="Tabletext"/>
              <w:keepNext/>
              <w:snapToGrid w:val="0"/>
            </w:pPr>
            <w:r w:rsidRPr="00B06893">
              <w:t>Any lineage (JN.1 predominant)</w:t>
            </w:r>
          </w:p>
        </w:tc>
        <w:tc>
          <w:tcPr>
            <w:tcW w:w="1798" w:type="dxa"/>
            <w:vAlign w:val="center"/>
          </w:tcPr>
          <w:p w14:paraId="4CB9C080" w14:textId="77777777" w:rsidR="006F7253" w:rsidRPr="00B06893" w:rsidRDefault="006F7253" w:rsidP="00F625C3">
            <w:pPr>
              <w:pStyle w:val="Tabletext"/>
              <w:keepNext/>
              <w:snapToGrid w:val="0"/>
            </w:pPr>
            <w:r w:rsidRPr="00B06893">
              <w:t>Median= 111</w:t>
            </w:r>
          </w:p>
          <w:p w14:paraId="0D1ACFC3" w14:textId="77777777" w:rsidR="006F7253" w:rsidRPr="00B06893" w:rsidRDefault="006F7253" w:rsidP="00F625C3">
            <w:pPr>
              <w:pStyle w:val="Tabletext"/>
              <w:keepNext/>
              <w:snapToGrid w:val="0"/>
            </w:pPr>
            <w:r w:rsidRPr="00B06893">
              <w:t>IQR= 81–128</w:t>
            </w:r>
          </w:p>
        </w:tc>
        <w:tc>
          <w:tcPr>
            <w:tcW w:w="1641" w:type="dxa"/>
            <w:vAlign w:val="center"/>
          </w:tcPr>
          <w:p w14:paraId="58A11679" w14:textId="77777777" w:rsidR="006F7253" w:rsidRPr="00B06893" w:rsidRDefault="006F7253" w:rsidP="00F625C3">
            <w:pPr>
              <w:pStyle w:val="Tabletext"/>
              <w:keepNext/>
              <w:snapToGrid w:val="0"/>
            </w:pPr>
            <w:r w:rsidRPr="00B06893">
              <w:t>52% (43; 59)</w:t>
            </w:r>
          </w:p>
        </w:tc>
      </w:tr>
    </w:tbl>
    <w:p w14:paraId="7E6F215F" w14:textId="3A9B31A4" w:rsidR="006F7253" w:rsidRPr="00B06893" w:rsidRDefault="006F7253" w:rsidP="00426CCC">
      <w:pPr>
        <w:pStyle w:val="TableFooter"/>
        <w:keepNext/>
      </w:pPr>
      <w:r w:rsidRPr="00B06893">
        <w:t>Source: Table 2</w:t>
      </w:r>
      <w:r w:rsidR="00193971">
        <w:noBreakHyphen/>
      </w:r>
      <w:r w:rsidRPr="00B06893">
        <w:t>28, p97 of the submission.</w:t>
      </w:r>
    </w:p>
    <w:p w14:paraId="08602842" w14:textId="47B6D7E0" w:rsidR="006F7253" w:rsidRPr="00B06893" w:rsidRDefault="006F7253" w:rsidP="00426CCC">
      <w:pPr>
        <w:pStyle w:val="TableFooter"/>
        <w:keepNext/>
      </w:pPr>
      <w:r w:rsidRPr="00B06893">
        <w:t>CI= confidence interval; COVID</w:t>
      </w:r>
      <w:r w:rsidR="00193971">
        <w:noBreakHyphen/>
      </w:r>
      <w:r w:rsidRPr="00B06893">
        <w:t>19= coronavirus disease 2019; IQR= inter</w:t>
      </w:r>
      <w:r w:rsidR="00193971">
        <w:noBreakHyphen/>
      </w:r>
      <w:r w:rsidRPr="00B06893">
        <w:t xml:space="preserve">quartile rate; SMD = standard mean difference; VE= vaccine effectiveness. </w:t>
      </w:r>
    </w:p>
    <w:p w14:paraId="313E139B" w14:textId="11910F81" w:rsidR="00B34FE2" w:rsidRPr="00B06893" w:rsidRDefault="006F7253" w:rsidP="00426CCC">
      <w:pPr>
        <w:pStyle w:val="TableFooter"/>
        <w:keepNext/>
      </w:pPr>
      <w:r w:rsidRPr="00B06893">
        <w:rPr>
          <w:vertAlign w:val="superscript"/>
        </w:rPr>
        <w:t>a</w:t>
      </w:r>
      <w:r w:rsidRPr="00B06893">
        <w:t>Adjusted ratios were calculated for the weighted sample using a weighted Cox regression model that included Spikevax (mRNA</w:t>
      </w:r>
      <w:r w:rsidR="00193971">
        <w:noBreakHyphen/>
      </w:r>
      <w:r w:rsidRPr="00B06893">
        <w:t xml:space="preserve">1273 KP.2) vaccination status and any covariates with an SMD greater than 0.1 after weighting </w:t>
      </w:r>
    </w:p>
    <w:p w14:paraId="2698285A" w14:textId="49D096B1" w:rsidR="00934988" w:rsidRPr="00B06893" w:rsidRDefault="00261DB5" w:rsidP="00261DB5">
      <w:pPr>
        <w:pStyle w:val="3-BodyText"/>
        <w:rPr>
          <w:rFonts w:ascii="Arial Narrow" w:hAnsi="Arial Narrow"/>
          <w:sz w:val="20"/>
          <w:szCs w:val="16"/>
        </w:rPr>
      </w:pPr>
      <w:r w:rsidRPr="00B06893">
        <w:t xml:space="preserve">The included studies </w:t>
      </w:r>
      <w:r w:rsidR="00054500" w:rsidRPr="00B06893">
        <w:t xml:space="preserve">indicated that </w:t>
      </w:r>
      <w:r w:rsidR="00826B3B" w:rsidRPr="00B06893">
        <w:t xml:space="preserve">in individuals aged ≥18 years who were vaccinated with Spikevax versus those who were not, </w:t>
      </w:r>
      <w:r w:rsidR="00054500" w:rsidRPr="00B06893">
        <w:t xml:space="preserve">Spikevax was associated with a </w:t>
      </w:r>
      <w:r w:rsidR="00826B3B" w:rsidRPr="00B06893">
        <w:t>VE against hospitalisation of 56% (95% CI: 52%; 60%) at a median duration of follow</w:t>
      </w:r>
      <w:r w:rsidR="00193971">
        <w:noBreakHyphen/>
      </w:r>
      <w:r w:rsidR="00826B3B" w:rsidRPr="00B06893">
        <w:t>up of 111 days (Zheng [2025]).</w:t>
      </w:r>
    </w:p>
    <w:p w14:paraId="34DB71A3" w14:textId="2FDE88D6" w:rsidR="00261DB5" w:rsidRPr="00B06893" w:rsidRDefault="00261DB5" w:rsidP="00261DB5">
      <w:pPr>
        <w:pStyle w:val="3-BodyText"/>
      </w:pPr>
      <w:r w:rsidRPr="00B06893">
        <w:t xml:space="preserve">Similarly, </w:t>
      </w:r>
      <w:r w:rsidR="00826B3B" w:rsidRPr="00B06893">
        <w:t>in individuals aged ≥65 years who were vaccinated with Spikevax versus those who were not vaccinated, Spikevax was associated with a VE against hospitalisation of 58% (95% CI: 54%; 62%) at a median duration of follow</w:t>
      </w:r>
      <w:r w:rsidR="00193971">
        <w:noBreakHyphen/>
      </w:r>
      <w:r w:rsidR="00826B3B" w:rsidRPr="00B06893">
        <w:t>up of 111 days.</w:t>
      </w:r>
    </w:p>
    <w:p w14:paraId="6E95424C" w14:textId="7A46F187" w:rsidR="00261DB5" w:rsidRPr="00B06893" w:rsidRDefault="00826B3B" w:rsidP="00261DB5">
      <w:pPr>
        <w:pStyle w:val="3-BodyText"/>
      </w:pPr>
      <w:r w:rsidRPr="00B06893">
        <w:t>In immunocompromised individuals who were vaccinated with Spikevax versus those who were not vaccinated, Spikevax was associated with a VE against hospitalisation of 52% (95%CI: 43%; 59%) at a median duration of follow</w:t>
      </w:r>
      <w:r w:rsidR="00193971">
        <w:noBreakHyphen/>
      </w:r>
      <w:r w:rsidRPr="00B06893">
        <w:t>up of 111 days.</w:t>
      </w:r>
    </w:p>
    <w:p w14:paraId="1A7A5994" w14:textId="12A54C01" w:rsidR="00261DB5" w:rsidRPr="00B06893" w:rsidRDefault="00261DB5" w:rsidP="00261DB5">
      <w:pPr>
        <w:pStyle w:val="3-BodyText"/>
      </w:pPr>
      <w:r w:rsidRPr="00B06893">
        <w:t xml:space="preserve">Interval analysis of hospitalisation (XBB.1.5 variant) to assess waning of </w:t>
      </w:r>
      <w:r w:rsidR="002E1A1B" w:rsidRPr="00B06893">
        <w:t>VE</w:t>
      </w:r>
      <w:r w:rsidRPr="00B06893">
        <w:t>: The submission presented an interval analysis of hospitalisation from Wilson (2025). This is depicted in</w:t>
      </w:r>
      <w:r w:rsidR="002E1A1B" w:rsidRPr="00B06893">
        <w:t xml:space="preserve"> </w:t>
      </w:r>
      <w:r w:rsidR="002E1A1B" w:rsidRPr="00B06893">
        <w:fldChar w:fldCharType="begin"/>
      </w:r>
      <w:r w:rsidR="002E1A1B" w:rsidRPr="00B06893">
        <w:instrText xml:space="preserve"> REF _Ref216266272 \h </w:instrText>
      </w:r>
      <w:r w:rsidR="00A47E9C" w:rsidRPr="00B06893">
        <w:instrText xml:space="preserve"> \* MERGEFORMAT </w:instrText>
      </w:r>
      <w:r w:rsidR="002E1A1B" w:rsidRPr="00B06893">
        <w:fldChar w:fldCharType="separate"/>
      </w:r>
      <w:r w:rsidR="00810177" w:rsidRPr="00B06893">
        <w:t>Figure 3</w:t>
      </w:r>
      <w:r w:rsidR="002E1A1B" w:rsidRPr="00B06893">
        <w:fldChar w:fldCharType="end"/>
      </w:r>
      <w:r w:rsidR="002E1A1B" w:rsidRPr="00B06893">
        <w:t>. The 2025 ATAGI pre</w:t>
      </w:r>
      <w:r w:rsidR="00193971">
        <w:noBreakHyphen/>
      </w:r>
      <w:r w:rsidR="002E1A1B" w:rsidRPr="00B06893">
        <w:t>submission Advice also presented tabulated data for the interval analysis (</w:t>
      </w:r>
      <w:r w:rsidR="002E1A1B" w:rsidRPr="00B06893">
        <w:fldChar w:fldCharType="begin"/>
      </w:r>
      <w:r w:rsidR="002E1A1B" w:rsidRPr="00B06893">
        <w:instrText xml:space="preserve"> REF _Ref216266309 \h  \* MERGEFORMAT </w:instrText>
      </w:r>
      <w:r w:rsidR="002E1A1B" w:rsidRPr="00B06893">
        <w:fldChar w:fldCharType="separate"/>
      </w:r>
      <w:r w:rsidR="00810177" w:rsidRPr="00B06893">
        <w:t>Table 11</w:t>
      </w:r>
      <w:r w:rsidR="002E1A1B" w:rsidRPr="00B06893">
        <w:fldChar w:fldCharType="end"/>
      </w:r>
      <w:r w:rsidR="002E1A1B" w:rsidRPr="00B06893">
        <w:t>).</w:t>
      </w:r>
    </w:p>
    <w:p w14:paraId="4006AC02" w14:textId="7FC304D5" w:rsidR="00261DB5" w:rsidRPr="00B06893" w:rsidRDefault="00261DB5" w:rsidP="00261DB5">
      <w:pPr>
        <w:pStyle w:val="Caption"/>
      </w:pPr>
      <w:bookmarkStart w:id="42" w:name="_Ref216266272"/>
      <w:r w:rsidRPr="00B06893">
        <w:lastRenderedPageBreak/>
        <w:t xml:space="preserve">Figure </w:t>
      </w:r>
      <w:fldSimple w:instr=" SEQ Figure \* ARABIC ">
        <w:r w:rsidR="00810177" w:rsidRPr="00B06893">
          <w:t>3</w:t>
        </w:r>
      </w:fldSimple>
      <w:bookmarkEnd w:id="42"/>
      <w:r w:rsidRPr="00B06893">
        <w:t>: Time</w:t>
      </w:r>
      <w:r w:rsidR="00193971">
        <w:noBreakHyphen/>
      </w:r>
      <w:r w:rsidRPr="00B06893">
        <w:t xml:space="preserve">varying weighted vaccine effectiveness </w:t>
      </w:r>
      <w:r w:rsidR="002E1A1B" w:rsidRPr="00B06893">
        <w:t xml:space="preserve">(XBB.1.5) </w:t>
      </w:r>
      <w:r w:rsidRPr="00B06893">
        <w:t>against hospitalisation with COVID</w:t>
      </w:r>
      <w:r w:rsidR="00193971">
        <w:noBreakHyphen/>
      </w:r>
      <w:r w:rsidRPr="00B06893">
        <w:t>19</w:t>
      </w:r>
    </w:p>
    <w:p w14:paraId="5B01AAF5" w14:textId="77777777" w:rsidR="00261DB5" w:rsidRPr="00B06893" w:rsidRDefault="00261DB5" w:rsidP="00261DB5">
      <w:r w:rsidRPr="00B06893">
        <w:rPr>
          <w:noProof/>
        </w:rPr>
        <w:drawing>
          <wp:inline distT="0" distB="0" distL="0" distR="0" wp14:anchorId="4D8D36C4" wp14:editId="740556BF">
            <wp:extent cx="5731510" cy="3363595"/>
            <wp:effectExtent l="0" t="0" r="2540" b="8255"/>
            <wp:docPr id="1471863682" name="Picture 1" descr="Figure 3: Time varying weighted vaccine effectiveness (XBB.1.5) against hospitalisation with COVI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63682" name="Picture 1" descr="Figure 3: Time varying weighted vaccine effectiveness (XBB.1.5) against hospitalisation with COVID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363595"/>
                    </a:xfrm>
                    <a:prstGeom prst="rect">
                      <a:avLst/>
                    </a:prstGeom>
                    <a:noFill/>
                    <a:ln>
                      <a:noFill/>
                    </a:ln>
                  </pic:spPr>
                </pic:pic>
              </a:graphicData>
            </a:graphic>
          </wp:inline>
        </w:drawing>
      </w:r>
    </w:p>
    <w:p w14:paraId="6A0857DC" w14:textId="6BB08591" w:rsidR="00261DB5" w:rsidRPr="00B06893" w:rsidRDefault="00261DB5" w:rsidP="00261DB5">
      <w:pPr>
        <w:pStyle w:val="TableFooter"/>
      </w:pPr>
      <w:r w:rsidRPr="00B06893">
        <w:t>Source: Figure 2</w:t>
      </w:r>
      <w:r w:rsidR="00193971">
        <w:noBreakHyphen/>
      </w:r>
      <w:r w:rsidRPr="00B06893">
        <w:t>10, p96 of the submission.</w:t>
      </w:r>
    </w:p>
    <w:p w14:paraId="5D1F9179" w14:textId="35323687" w:rsidR="00261DB5" w:rsidRPr="00B06893" w:rsidRDefault="00261DB5" w:rsidP="00261DB5">
      <w:pPr>
        <w:pStyle w:val="TableFooter"/>
      </w:pPr>
      <w:r w:rsidRPr="00B06893">
        <w:t>CED = Cohort entry date; COVID</w:t>
      </w:r>
      <w:r w:rsidR="00193971">
        <w:noBreakHyphen/>
      </w:r>
      <w:r w:rsidRPr="00B06893">
        <w:t>19 = coronavirus disease 2019.</w:t>
      </w:r>
    </w:p>
    <w:p w14:paraId="1F1CC725" w14:textId="7C170091" w:rsidR="00261DB5" w:rsidRPr="00B06893" w:rsidRDefault="00261DB5" w:rsidP="00261DB5">
      <w:pPr>
        <w:pStyle w:val="TableFooter"/>
      </w:pPr>
      <w:r w:rsidRPr="00B06893">
        <w:t>Maximum follow up was 128 days as noted in the 2025 ATAGI Pre</w:t>
      </w:r>
      <w:r w:rsidR="00193971">
        <w:noBreakHyphen/>
      </w:r>
      <w:r w:rsidRPr="00B06893">
        <w:t>Submission Advice (p50)</w:t>
      </w:r>
    </w:p>
    <w:p w14:paraId="0FB0013E" w14:textId="1EF39D5F" w:rsidR="00261DB5" w:rsidRPr="00B06893" w:rsidRDefault="00261DB5" w:rsidP="00261DB5">
      <w:pPr>
        <w:pStyle w:val="TableFooter"/>
      </w:pPr>
      <w:r w:rsidRPr="00B06893">
        <w:t>Time</w:t>
      </w:r>
      <w:r w:rsidR="00193971">
        <w:noBreakHyphen/>
      </w:r>
      <w:r w:rsidRPr="00B06893">
        <w:t xml:space="preserve">varying weighted </w:t>
      </w:r>
      <w:r w:rsidR="000948F8" w:rsidRPr="00B06893">
        <w:t>VE</w:t>
      </w:r>
      <w:r w:rsidRPr="00B06893">
        <w:t xml:space="preserve"> against hospitalization with COVID</w:t>
      </w:r>
      <w:r w:rsidR="00193971">
        <w:noBreakHyphen/>
      </w:r>
      <w:r w:rsidRPr="00B06893">
        <w:t xml:space="preserve">19. This plot depicts estimates (black dots) and 95% confidence intervals (black line segments) for </w:t>
      </w:r>
      <w:r w:rsidR="000948F8" w:rsidRPr="00B06893">
        <w:t>VE</w:t>
      </w:r>
      <w:r w:rsidRPr="00B06893">
        <w:t xml:space="preserve"> over time. Each estimate corresponds to the </w:t>
      </w:r>
      <w:r w:rsidR="000948F8" w:rsidRPr="00B06893">
        <w:t>VE</w:t>
      </w:r>
      <w:r w:rsidRPr="00B06893">
        <w:t xml:space="preserve"> within a particular interval of follow</w:t>
      </w:r>
      <w:r w:rsidR="00193971">
        <w:noBreakHyphen/>
      </w:r>
      <w:r w:rsidRPr="00B06893">
        <w:t>up (start of follow</w:t>
      </w:r>
      <w:r w:rsidR="00193971">
        <w:noBreakHyphen/>
      </w:r>
      <w:r w:rsidRPr="00B06893">
        <w:t>up through 58 days, 59–84 days, 85–101 days, and &gt; 102 days). Sample sizes (N) reflect the number of patients who remain at risk at the start of the time interval, i.e., whose follow</w:t>
      </w:r>
      <w:r w:rsidR="00193971">
        <w:noBreakHyphen/>
      </w:r>
      <w:r w:rsidRPr="00B06893">
        <w:t>up has not ended by censoring or the outcome prior to the start of the interval.</w:t>
      </w:r>
    </w:p>
    <w:p w14:paraId="72FDE556" w14:textId="77777777" w:rsidR="002E1A1B" w:rsidRPr="00B06893" w:rsidRDefault="002E1A1B" w:rsidP="002E1A1B"/>
    <w:p w14:paraId="31B0D079" w14:textId="3CD4CDD9" w:rsidR="002E1A1B" w:rsidRPr="00B06893" w:rsidRDefault="002E1A1B" w:rsidP="00426CCC">
      <w:pPr>
        <w:pStyle w:val="Caption"/>
      </w:pPr>
      <w:bookmarkStart w:id="43" w:name="_Ref216266309"/>
      <w:r w:rsidRPr="00B06893">
        <w:t xml:space="preserve">Table </w:t>
      </w:r>
      <w:fldSimple w:instr=" SEQ Table \* ARABIC ">
        <w:r w:rsidR="00810177" w:rsidRPr="00B06893">
          <w:t>11</w:t>
        </w:r>
      </w:fldSimple>
      <w:bookmarkEnd w:id="43"/>
      <w:r w:rsidRPr="00B06893">
        <w:t xml:space="preserve">: Interval data for Spikevax (XBB1.5) vaccine effectiveness </w:t>
      </w:r>
      <w:r w:rsidR="008A3F6C" w:rsidRPr="00B06893">
        <w:t xml:space="preserve">over time </w:t>
      </w:r>
      <w:r w:rsidRPr="00B06893">
        <w:t xml:space="preserve">against hospitalisation </w:t>
      </w:r>
    </w:p>
    <w:tbl>
      <w:tblPr>
        <w:tblStyle w:val="TableGrid"/>
        <w:tblW w:w="5000" w:type="pct"/>
        <w:tblCellMar>
          <w:left w:w="57" w:type="dxa"/>
          <w:right w:w="57" w:type="dxa"/>
        </w:tblCellMar>
        <w:tblLook w:val="04A0" w:firstRow="1" w:lastRow="0" w:firstColumn="1" w:lastColumn="0" w:noHBand="0" w:noVBand="1"/>
        <w:tblCaption w:val="Table 11: Interval data for Spikevax (XBB1.5) vaccine effectiveness over time against hospitalisation "/>
      </w:tblPr>
      <w:tblGrid>
        <w:gridCol w:w="4438"/>
        <w:gridCol w:w="4579"/>
      </w:tblGrid>
      <w:tr w:rsidR="002E1A1B" w:rsidRPr="00B06893" w14:paraId="59EBB0C5" w14:textId="77777777" w:rsidTr="00C03BFF">
        <w:trPr>
          <w:cantSplit/>
          <w:trHeight w:val="105"/>
        </w:trPr>
        <w:tc>
          <w:tcPr>
            <w:tcW w:w="2461" w:type="pct"/>
            <w:vAlign w:val="center"/>
          </w:tcPr>
          <w:p w14:paraId="673A76BD" w14:textId="77777777" w:rsidR="002E1A1B" w:rsidRPr="00B06893" w:rsidRDefault="002E1A1B" w:rsidP="00426CCC">
            <w:pPr>
              <w:pStyle w:val="Tabletext"/>
              <w:keepNext/>
              <w:rPr>
                <w:b/>
                <w:bCs/>
              </w:rPr>
            </w:pPr>
            <w:r w:rsidRPr="00B06893">
              <w:rPr>
                <w:b/>
                <w:bCs/>
              </w:rPr>
              <w:t>Interval</w:t>
            </w:r>
          </w:p>
        </w:tc>
        <w:tc>
          <w:tcPr>
            <w:tcW w:w="2539" w:type="pct"/>
            <w:vAlign w:val="center"/>
          </w:tcPr>
          <w:p w14:paraId="48EA271F" w14:textId="77777777" w:rsidR="002E1A1B" w:rsidRPr="00B06893" w:rsidRDefault="002E1A1B" w:rsidP="00426CCC">
            <w:pPr>
              <w:pStyle w:val="Tabletext"/>
              <w:keepNext/>
              <w:rPr>
                <w:b/>
                <w:bCs/>
              </w:rPr>
            </w:pPr>
            <w:r w:rsidRPr="00B06893">
              <w:rPr>
                <w:b/>
                <w:bCs/>
              </w:rPr>
              <w:t>VE% (95% CI)</w:t>
            </w:r>
          </w:p>
        </w:tc>
      </w:tr>
      <w:tr w:rsidR="002E1A1B" w:rsidRPr="00B06893" w14:paraId="45A1C027" w14:textId="77777777" w:rsidTr="00C03BFF">
        <w:trPr>
          <w:cantSplit/>
        </w:trPr>
        <w:tc>
          <w:tcPr>
            <w:tcW w:w="2461" w:type="pct"/>
          </w:tcPr>
          <w:p w14:paraId="41E94D9B" w14:textId="42DAC316" w:rsidR="002E1A1B" w:rsidRPr="00B06893" w:rsidRDefault="002E1A1B" w:rsidP="00426CCC">
            <w:pPr>
              <w:pStyle w:val="Tabletext"/>
              <w:keepNext/>
            </w:pPr>
            <w:r w:rsidRPr="00B06893">
              <w:t>0</w:t>
            </w:r>
            <w:r w:rsidR="00193971">
              <w:noBreakHyphen/>
            </w:r>
            <w:r w:rsidRPr="00B06893">
              <w:t>58 days</w:t>
            </w:r>
          </w:p>
        </w:tc>
        <w:tc>
          <w:tcPr>
            <w:tcW w:w="2539" w:type="pct"/>
          </w:tcPr>
          <w:p w14:paraId="2E531D8F" w14:textId="77777777" w:rsidR="002E1A1B" w:rsidRPr="00B06893" w:rsidRDefault="002E1A1B" w:rsidP="00426CCC">
            <w:pPr>
              <w:pStyle w:val="Tabletext"/>
              <w:keepNext/>
            </w:pPr>
            <w:r w:rsidRPr="00B06893">
              <w:t>52% (49; 55)</w:t>
            </w:r>
          </w:p>
        </w:tc>
      </w:tr>
      <w:tr w:rsidR="002E1A1B" w:rsidRPr="00B06893" w14:paraId="4FC49288" w14:textId="77777777" w:rsidTr="00C03BFF">
        <w:trPr>
          <w:cantSplit/>
        </w:trPr>
        <w:tc>
          <w:tcPr>
            <w:tcW w:w="2461" w:type="pct"/>
          </w:tcPr>
          <w:p w14:paraId="695583C3" w14:textId="50905395" w:rsidR="002E1A1B" w:rsidRPr="00B06893" w:rsidRDefault="002E1A1B" w:rsidP="00426CCC">
            <w:pPr>
              <w:pStyle w:val="Tabletext"/>
              <w:keepNext/>
            </w:pPr>
            <w:r w:rsidRPr="00B06893">
              <w:t>59</w:t>
            </w:r>
            <w:r w:rsidR="00193971">
              <w:noBreakHyphen/>
            </w:r>
            <w:r w:rsidRPr="00B06893">
              <w:t>84 days</w:t>
            </w:r>
          </w:p>
        </w:tc>
        <w:tc>
          <w:tcPr>
            <w:tcW w:w="2539" w:type="pct"/>
          </w:tcPr>
          <w:p w14:paraId="10ACC9C0" w14:textId="77777777" w:rsidR="002E1A1B" w:rsidRPr="00B06893" w:rsidRDefault="002E1A1B" w:rsidP="00426CCC">
            <w:pPr>
              <w:pStyle w:val="Tabletext"/>
              <w:keepNext/>
            </w:pPr>
            <w:r w:rsidRPr="00B06893">
              <w:t>41% (NR)</w:t>
            </w:r>
          </w:p>
        </w:tc>
      </w:tr>
      <w:tr w:rsidR="002E1A1B" w:rsidRPr="00B06893" w14:paraId="2737E9AF" w14:textId="77777777" w:rsidTr="00C03BFF">
        <w:trPr>
          <w:cantSplit/>
        </w:trPr>
        <w:tc>
          <w:tcPr>
            <w:tcW w:w="2461" w:type="pct"/>
          </w:tcPr>
          <w:p w14:paraId="433645B2" w14:textId="6B174193" w:rsidR="002E1A1B" w:rsidRPr="00B06893" w:rsidRDefault="002E1A1B" w:rsidP="00426CCC">
            <w:pPr>
              <w:pStyle w:val="Tabletext"/>
              <w:keepNext/>
            </w:pPr>
            <w:r w:rsidRPr="00B06893">
              <w:t>85</w:t>
            </w:r>
            <w:r w:rsidR="00193971">
              <w:noBreakHyphen/>
            </w:r>
            <w:r w:rsidRPr="00B06893">
              <w:t xml:space="preserve">101 days </w:t>
            </w:r>
          </w:p>
        </w:tc>
        <w:tc>
          <w:tcPr>
            <w:tcW w:w="2539" w:type="pct"/>
          </w:tcPr>
          <w:p w14:paraId="141C92C9" w14:textId="77777777" w:rsidR="002E1A1B" w:rsidRPr="00B06893" w:rsidRDefault="002E1A1B" w:rsidP="00426CCC">
            <w:pPr>
              <w:pStyle w:val="Tabletext"/>
              <w:keepNext/>
            </w:pPr>
            <w:r w:rsidRPr="00B06893">
              <w:t>29% (NR)</w:t>
            </w:r>
          </w:p>
        </w:tc>
      </w:tr>
      <w:tr w:rsidR="002E1A1B" w:rsidRPr="00B06893" w14:paraId="33ABE5C5" w14:textId="77777777" w:rsidTr="00C03BFF">
        <w:trPr>
          <w:cantSplit/>
        </w:trPr>
        <w:tc>
          <w:tcPr>
            <w:tcW w:w="2461" w:type="pct"/>
            <w:tcBorders>
              <w:bottom w:val="single" w:sz="4" w:space="0" w:color="auto"/>
            </w:tcBorders>
          </w:tcPr>
          <w:p w14:paraId="270CAF0D" w14:textId="77777777" w:rsidR="002E1A1B" w:rsidRPr="00B06893" w:rsidRDefault="002E1A1B" w:rsidP="00426CCC">
            <w:pPr>
              <w:pStyle w:val="Tabletext"/>
              <w:keepNext/>
            </w:pPr>
            <w:r w:rsidRPr="00B06893">
              <w:t>102–128</w:t>
            </w:r>
            <w:r w:rsidRPr="00B06893">
              <w:rPr>
                <w:vertAlign w:val="superscript"/>
              </w:rPr>
              <w:t>a</w:t>
            </w:r>
            <w:r w:rsidRPr="00B06893">
              <w:t xml:space="preserve"> days</w:t>
            </w:r>
          </w:p>
        </w:tc>
        <w:tc>
          <w:tcPr>
            <w:tcW w:w="2539" w:type="pct"/>
            <w:tcBorders>
              <w:bottom w:val="single" w:sz="4" w:space="0" w:color="auto"/>
            </w:tcBorders>
          </w:tcPr>
          <w:p w14:paraId="2CA43C59" w14:textId="77777777" w:rsidR="002E1A1B" w:rsidRPr="00B06893" w:rsidRDefault="002E1A1B" w:rsidP="00426CCC">
            <w:pPr>
              <w:pStyle w:val="Tabletext"/>
              <w:keepNext/>
            </w:pPr>
            <w:r w:rsidRPr="00B06893">
              <w:t>32% (5; 52)</w:t>
            </w:r>
          </w:p>
        </w:tc>
      </w:tr>
    </w:tbl>
    <w:p w14:paraId="649A7C53" w14:textId="663B41AE" w:rsidR="002E1A1B" w:rsidRPr="00B06893" w:rsidRDefault="002E1A1B" w:rsidP="00426CCC">
      <w:pPr>
        <w:pStyle w:val="TableFooter"/>
        <w:keepNext/>
      </w:pPr>
      <w:r w:rsidRPr="00B06893">
        <w:t>Source: Table 44, p63 of the 2025 ATAGI Pre</w:t>
      </w:r>
      <w:r w:rsidR="00193971">
        <w:noBreakHyphen/>
      </w:r>
      <w:r w:rsidRPr="00B06893">
        <w:t>Submission Advice.</w:t>
      </w:r>
    </w:p>
    <w:p w14:paraId="15A05A1E" w14:textId="77777777" w:rsidR="002E1A1B" w:rsidRPr="00B06893" w:rsidRDefault="002E1A1B" w:rsidP="00426CCC">
      <w:pPr>
        <w:pStyle w:val="TableFooter"/>
        <w:keepNext/>
      </w:pPr>
      <w:r w:rsidRPr="00B06893">
        <w:t>CED = Cohort entry date; CI = confidence interval; VE = vaccine effectiveness.</w:t>
      </w:r>
    </w:p>
    <w:p w14:paraId="5E1D73B7" w14:textId="69A14943" w:rsidR="002E1A1B" w:rsidRPr="00B06893" w:rsidRDefault="002E1A1B" w:rsidP="00426CCC">
      <w:pPr>
        <w:pStyle w:val="TableFooter"/>
        <w:keepNext/>
      </w:pPr>
      <w:r w:rsidRPr="00B06893">
        <w:rPr>
          <w:vertAlign w:val="superscript"/>
        </w:rPr>
        <w:t>a</w:t>
      </w:r>
      <w:r w:rsidRPr="00B06893">
        <w:t xml:space="preserve"> Wilson (2025) reported this as “≥102 days, however the study stated that the maximum follow up period was 128 days (4 months).</w:t>
      </w:r>
    </w:p>
    <w:p w14:paraId="5F371AC1" w14:textId="77777777" w:rsidR="002E1A1B" w:rsidRPr="00B06893" w:rsidRDefault="002E1A1B" w:rsidP="002E1A1B">
      <w:pPr>
        <w:pStyle w:val="TableFooter"/>
      </w:pPr>
    </w:p>
    <w:p w14:paraId="43432FEF" w14:textId="5513A379" w:rsidR="002E1A1B" w:rsidRPr="00B06893" w:rsidRDefault="002E1A1B" w:rsidP="00501A02">
      <w:pPr>
        <w:pStyle w:val="3-BodyText"/>
      </w:pPr>
      <w:r w:rsidRPr="00B06893">
        <w:t>From the period of 102 to 128 days of follow</w:t>
      </w:r>
      <w:r w:rsidR="00193971">
        <w:noBreakHyphen/>
      </w:r>
      <w:r w:rsidRPr="00B06893">
        <w:t xml:space="preserve">up, </w:t>
      </w:r>
      <w:r w:rsidR="000948F8" w:rsidRPr="00B06893">
        <w:t>VE</w:t>
      </w:r>
      <w:r w:rsidRPr="00B06893">
        <w:t xml:space="preserve"> against hospitalisation was 32% (95%CI: 5; 52). </w:t>
      </w:r>
      <w:r w:rsidR="00987DDD" w:rsidRPr="00B06893">
        <w:t xml:space="preserve">The evaluation reported that </w:t>
      </w:r>
      <w:r w:rsidRPr="00B06893">
        <w:t>VE appears to wane over a period of 4 months after which the magnitude of effectiveness remains unclear. From a biological plausibility perspective, given that SARS</w:t>
      </w:r>
      <w:r w:rsidR="00193971">
        <w:noBreakHyphen/>
      </w:r>
      <w:r w:rsidRPr="00B06893">
        <w:t>CoV</w:t>
      </w:r>
      <w:r w:rsidR="00193971">
        <w:noBreakHyphen/>
      </w:r>
      <w:r w:rsidRPr="00B06893">
        <w:t>2 is highly mutagenic, immune escape from rapidly mutating variants and waning from infection</w:t>
      </w:r>
      <w:r w:rsidR="00193971">
        <w:noBreakHyphen/>
      </w:r>
      <w:r w:rsidRPr="00B06893">
        <w:t>induced protection (or prior vaccination) is likely to occur. Interpretation of the interval analysis should consider the following:</w:t>
      </w:r>
    </w:p>
    <w:p w14:paraId="0392AF6E" w14:textId="23E6BCE0" w:rsidR="002E1A1B" w:rsidRPr="00B06893" w:rsidRDefault="002E1A1B" w:rsidP="00D80B33">
      <w:pPr>
        <w:pStyle w:val="3-BodyText"/>
        <w:numPr>
          <w:ilvl w:val="0"/>
          <w:numId w:val="20"/>
        </w:numPr>
      </w:pPr>
      <w:r w:rsidRPr="00B06893">
        <w:t>The retrospective design of the cohort study and the inherent high risk of residual confounding and selection bias.</w:t>
      </w:r>
    </w:p>
    <w:p w14:paraId="0E6342BE" w14:textId="47CB69C5" w:rsidR="002E1A1B" w:rsidRPr="00B06893" w:rsidRDefault="002E1A1B" w:rsidP="00D80B33">
      <w:pPr>
        <w:pStyle w:val="3-BodyText"/>
        <w:numPr>
          <w:ilvl w:val="0"/>
          <w:numId w:val="20"/>
        </w:numPr>
      </w:pPr>
      <w:r w:rsidRPr="00B06893">
        <w:lastRenderedPageBreak/>
        <w:t>It is difficult to separate out the timing of the variant predominance from the time since vaccination</w:t>
      </w:r>
      <w:r w:rsidR="008A3F6C" w:rsidRPr="00B06893">
        <w:rPr>
          <w:rStyle w:val="FootnoteReference"/>
        </w:rPr>
        <w:footnoteReference w:id="10"/>
      </w:r>
      <w:r w:rsidR="004F61D9" w:rsidRPr="00B06893">
        <w:rPr>
          <w:vertAlign w:val="superscript"/>
        </w:rPr>
        <w:t>,</w:t>
      </w:r>
      <w:r w:rsidR="004F61D9" w:rsidRPr="00B06893">
        <w:rPr>
          <w:rStyle w:val="FootnoteReference"/>
        </w:rPr>
        <w:footnoteReference w:id="11"/>
      </w:r>
      <w:r w:rsidR="004F61D9" w:rsidRPr="00B06893">
        <w:t xml:space="preserve">. </w:t>
      </w:r>
      <w:r w:rsidRPr="00B06893">
        <w:t>No analyses were presented in these publications to disentangle these effects.</w:t>
      </w:r>
    </w:p>
    <w:p w14:paraId="2D60CD01" w14:textId="78D4FDBE" w:rsidR="002E1A1B" w:rsidRPr="00B06893" w:rsidRDefault="002E1A1B" w:rsidP="00D80B33">
      <w:pPr>
        <w:pStyle w:val="3-BodyText"/>
        <w:numPr>
          <w:ilvl w:val="0"/>
          <w:numId w:val="20"/>
        </w:numPr>
      </w:pPr>
      <w:r w:rsidRPr="00B06893">
        <w:t>A key limitation of the database used for these analyses is that variant</w:t>
      </w:r>
      <w:r w:rsidR="00193971">
        <w:noBreakHyphen/>
      </w:r>
      <w:r w:rsidRPr="00B06893">
        <w:t xml:space="preserve">specific data were not available, and the diminishing rate of vaccination during the study period would have made it difficult to assess </w:t>
      </w:r>
      <w:r w:rsidR="00A37471" w:rsidRPr="00B06893">
        <w:t>VE</w:t>
      </w:r>
      <w:r w:rsidRPr="00B06893">
        <w:t xml:space="preserve"> in patients subsequently vaccinated when the JN.1 subvariant was predominant.</w:t>
      </w:r>
    </w:p>
    <w:p w14:paraId="75A5621F" w14:textId="003D328C" w:rsidR="002E1A1B" w:rsidRPr="00B06893" w:rsidRDefault="002E1A1B" w:rsidP="00D80B33">
      <w:pPr>
        <w:pStyle w:val="3-BodyText"/>
        <w:numPr>
          <w:ilvl w:val="0"/>
          <w:numId w:val="20"/>
        </w:numPr>
      </w:pPr>
      <w:r w:rsidRPr="00B06893">
        <w:t>An extended follow</w:t>
      </w:r>
      <w:r w:rsidR="00193971">
        <w:noBreakHyphen/>
      </w:r>
      <w:r w:rsidRPr="00B06893">
        <w:t xml:space="preserve">up analysis could suffer from the impact of the emergence of new variants, which could potentially affect </w:t>
      </w:r>
      <w:r w:rsidR="00A37471" w:rsidRPr="00B06893">
        <w:t>VE</w:t>
      </w:r>
      <w:r w:rsidRPr="00B06893">
        <w:t>.</w:t>
      </w:r>
    </w:p>
    <w:p w14:paraId="5067A11F" w14:textId="683D52F4" w:rsidR="002E1A1B" w:rsidRPr="00B06893" w:rsidRDefault="002E1A1B" w:rsidP="00D80B33">
      <w:pPr>
        <w:pStyle w:val="3-BodyText"/>
        <w:numPr>
          <w:ilvl w:val="0"/>
          <w:numId w:val="20"/>
        </w:numPr>
      </w:pPr>
      <w:r w:rsidRPr="00B06893">
        <w:t>There are inherent limitations associated with administrative claims data with a high risk of bias due to misclassification of the outcome and exposure in this study. Furthermore, claims data may not capture all hospitalisations or vaccination records, particularly among non</w:t>
      </w:r>
      <w:r w:rsidR="00193971">
        <w:noBreakHyphen/>
      </w:r>
      <w:r w:rsidRPr="00B06893">
        <w:t>insured individuals</w:t>
      </w:r>
      <w:r w:rsidR="004F61D9" w:rsidRPr="00B06893">
        <w:t xml:space="preserve"> (of which there is a high proportion in the United States where much of the RWE was sourced)</w:t>
      </w:r>
      <w:r w:rsidRPr="00B06893">
        <w:t>, other under</w:t>
      </w:r>
      <w:r w:rsidR="00193971">
        <w:noBreakHyphen/>
      </w:r>
      <w:r w:rsidRPr="00B06893">
        <w:t>represented minority groups, or those receiving care outside the insurance setting</w:t>
      </w:r>
      <w:r w:rsidR="00A37471" w:rsidRPr="00B06893">
        <w:t>.</w:t>
      </w:r>
    </w:p>
    <w:p w14:paraId="2A005750" w14:textId="65061ED8" w:rsidR="00314822" w:rsidRPr="00B06893" w:rsidRDefault="00314822" w:rsidP="00314822">
      <w:pPr>
        <w:pStyle w:val="3-BodyText"/>
        <w:numPr>
          <w:ilvl w:val="0"/>
          <w:numId w:val="0"/>
        </w:numPr>
        <w:ind w:left="720" w:hanging="720"/>
        <w:rPr>
          <w:u w:val="single"/>
        </w:rPr>
      </w:pPr>
      <w:r w:rsidRPr="00B06893">
        <w:rPr>
          <w:u w:val="single"/>
        </w:rPr>
        <w:t>Medical Attendance</w:t>
      </w:r>
    </w:p>
    <w:p w14:paraId="6978E67B" w14:textId="765EB71E" w:rsidR="00314822" w:rsidRPr="00B06893" w:rsidRDefault="00314822" w:rsidP="00314822">
      <w:pPr>
        <w:pStyle w:val="3-BodyText"/>
      </w:pPr>
      <w:r w:rsidRPr="00B06893">
        <w:t>No studies of Spikevax (JN.1 variant) reported on medical attendance.</w:t>
      </w:r>
      <w:r w:rsidR="00D766AB" w:rsidRPr="00B06893">
        <w:t xml:space="preserve"> The 2025 ATAGI pre</w:t>
      </w:r>
      <w:r w:rsidR="00193971">
        <w:noBreakHyphen/>
      </w:r>
      <w:r w:rsidR="00D766AB" w:rsidRPr="00B06893">
        <w:t>submission Advice</w:t>
      </w:r>
      <w:r w:rsidR="000829FB">
        <w:t xml:space="preserve"> </w:t>
      </w:r>
      <w:r w:rsidR="00D766AB" w:rsidRPr="00B06893">
        <w:t xml:space="preserve">noted that the outcome of Medical Attendance has limited utility regarding the current assessment of the effectiveness of Spikevax. The comparison across studies for Medical Attendance are limited as definitions varied across studies. Medical attendance in Zheng (2025) was defined as any medically attended setting (hospital, ED, outpatient, or physician encounters), whereas Andersen (2025) only included emergency department presentation. </w:t>
      </w:r>
    </w:p>
    <w:p w14:paraId="4C048207" w14:textId="6CAA9EF6" w:rsidR="00314822" w:rsidRPr="00B06893" w:rsidRDefault="00314822" w:rsidP="00314822">
      <w:pPr>
        <w:pStyle w:val="3-BodyText"/>
      </w:pPr>
      <w:r w:rsidRPr="00B06893">
        <w:t xml:space="preserve">KP.2 variant: </w:t>
      </w:r>
      <w:r w:rsidRPr="00B06893">
        <w:rPr>
          <w:rFonts w:cstheme="minorHAnsi"/>
          <w:szCs w:val="24"/>
        </w:rPr>
        <w:t>At a median follow</w:t>
      </w:r>
      <w:r w:rsidR="00193971">
        <w:rPr>
          <w:rFonts w:cstheme="minorHAnsi"/>
          <w:szCs w:val="24"/>
        </w:rPr>
        <w:noBreakHyphen/>
      </w:r>
      <w:r w:rsidRPr="00B06893">
        <w:rPr>
          <w:rFonts w:cstheme="minorHAnsi"/>
          <w:szCs w:val="24"/>
        </w:rPr>
        <w:t>up duration of 57 days, VE against medical attendance</w:t>
      </w:r>
      <w:r w:rsidRPr="00B06893">
        <w:rPr>
          <w:rStyle w:val="FootnoteReference"/>
          <w:rFonts w:cstheme="minorHAnsi"/>
          <w:szCs w:val="24"/>
        </w:rPr>
        <w:footnoteReference w:id="12"/>
      </w:r>
      <w:r w:rsidRPr="00B06893">
        <w:rPr>
          <w:rFonts w:cstheme="minorHAnsi"/>
          <w:szCs w:val="24"/>
        </w:rPr>
        <w:t xml:space="preserve"> was 39.4% in individuals aged ≥18 years who were vaccinated with Spikevax versus those who were not. VE in individuals aged ≥65 years was 46.7%.</w:t>
      </w:r>
    </w:p>
    <w:p w14:paraId="54E1BF52" w14:textId="77777777" w:rsidR="00314822" w:rsidRPr="00B06893" w:rsidRDefault="00314822" w:rsidP="00314822">
      <w:pPr>
        <w:pStyle w:val="3-BodyText"/>
      </w:pPr>
      <w:r w:rsidRPr="00B06893">
        <w:t>XBB.1.5 variant:</w:t>
      </w:r>
    </w:p>
    <w:p w14:paraId="7D6ADFA8" w14:textId="08E460D4" w:rsidR="00314822" w:rsidRPr="00B06893" w:rsidRDefault="00314822" w:rsidP="00D80B33">
      <w:pPr>
        <w:pStyle w:val="3-BodyText"/>
        <w:numPr>
          <w:ilvl w:val="0"/>
          <w:numId w:val="21"/>
        </w:numPr>
      </w:pPr>
      <w:r w:rsidRPr="00B06893">
        <w:lastRenderedPageBreak/>
        <w:t>In individuals aged ≥18 years</w:t>
      </w:r>
      <w:r w:rsidR="00826B3B" w:rsidRPr="00B06893">
        <w:t xml:space="preserve"> who were vaccinated with Spikevax versus those who were not vaccinated</w:t>
      </w:r>
      <w:r w:rsidRPr="00B06893">
        <w:t xml:space="preserve">, </w:t>
      </w:r>
      <w:r w:rsidR="00826B3B" w:rsidRPr="00B06893">
        <w:t>Spikevax was associated with a VE of 24% (95% CI: 22%; 25%) at a median follow</w:t>
      </w:r>
      <w:r w:rsidR="00193971">
        <w:noBreakHyphen/>
      </w:r>
      <w:r w:rsidR="00826B3B" w:rsidRPr="00B06893">
        <w:t>up period of 111 days</w:t>
      </w:r>
      <w:r w:rsidR="00FE1854" w:rsidRPr="00B06893">
        <w:t xml:space="preserve"> (Zheng [2025]</w:t>
      </w:r>
      <w:r w:rsidR="00FE1854" w:rsidRPr="00B06893">
        <w:rPr>
          <w:rStyle w:val="FootnoteReference"/>
        </w:rPr>
        <w:footnoteReference w:id="13"/>
      </w:r>
      <w:r w:rsidR="00FE1854" w:rsidRPr="00B06893">
        <w:t>).</w:t>
      </w:r>
    </w:p>
    <w:p w14:paraId="6939F28D" w14:textId="4A4F4B0F" w:rsidR="00314822" w:rsidRPr="00B06893" w:rsidRDefault="00314822" w:rsidP="00D80B33">
      <w:pPr>
        <w:pStyle w:val="3-BodyText"/>
        <w:numPr>
          <w:ilvl w:val="0"/>
          <w:numId w:val="21"/>
        </w:numPr>
      </w:pPr>
      <w:r w:rsidRPr="00B06893">
        <w:t>In individuals aged ≥65 years</w:t>
      </w:r>
      <w:r w:rsidR="00FE1854" w:rsidRPr="00B06893">
        <w:t xml:space="preserve"> who were vaccinated with Spikevax versus those who were not vaccinated, Spikevax was associated with a VE of 25% (95% CI: 2</w:t>
      </w:r>
      <w:r w:rsidR="00E40A1F" w:rsidRPr="00B06893">
        <w:t>3</w:t>
      </w:r>
      <w:r w:rsidR="00FE1854" w:rsidRPr="00B06893">
        <w:t>%; 2</w:t>
      </w:r>
      <w:r w:rsidR="00E40A1F" w:rsidRPr="00B06893">
        <w:t>7</w:t>
      </w:r>
      <w:r w:rsidR="00FE1854" w:rsidRPr="00B06893">
        <w:t>%) at a median follow</w:t>
      </w:r>
      <w:r w:rsidR="00193971">
        <w:noBreakHyphen/>
      </w:r>
      <w:r w:rsidR="00FE1854" w:rsidRPr="00B06893">
        <w:t>up period of 111 days</w:t>
      </w:r>
      <w:r w:rsidR="00E40A1F" w:rsidRPr="00B06893">
        <w:t xml:space="preserve"> (Zheng [2025]).</w:t>
      </w:r>
      <w:r w:rsidRPr="00B06893">
        <w:t xml:space="preserve">, </w:t>
      </w:r>
    </w:p>
    <w:p w14:paraId="42013F71" w14:textId="02FF56AC" w:rsidR="005326E2" w:rsidRPr="00B06893" w:rsidRDefault="00314822" w:rsidP="00D80B33">
      <w:pPr>
        <w:pStyle w:val="3-BodyText"/>
        <w:numPr>
          <w:ilvl w:val="0"/>
          <w:numId w:val="21"/>
        </w:numPr>
      </w:pPr>
      <w:r w:rsidRPr="00B06893">
        <w:t>In immunocompromised individuals aged ≥18 years</w:t>
      </w:r>
      <w:r w:rsidR="00E40A1F" w:rsidRPr="00B06893">
        <w:t xml:space="preserve"> who were vaccinated with Spikevax versus those who were not</w:t>
      </w:r>
      <w:r w:rsidRPr="00B06893">
        <w:t xml:space="preserve">, </w:t>
      </w:r>
      <w:r w:rsidR="00E40A1F" w:rsidRPr="00B06893">
        <w:t>Spikevax was associated with a VE of</w:t>
      </w:r>
      <w:r w:rsidRPr="00B06893">
        <w:t xml:space="preserve"> </w:t>
      </w:r>
      <w:r w:rsidR="00E40A1F" w:rsidRPr="00B06893">
        <w:t>24</w:t>
      </w:r>
      <w:r w:rsidRPr="00B06893">
        <w:t xml:space="preserve">% (95% CI: </w:t>
      </w:r>
      <w:r w:rsidR="00E40A1F" w:rsidRPr="00B06893">
        <w:t>20%</w:t>
      </w:r>
      <w:r w:rsidRPr="00B06893">
        <w:t xml:space="preserve">; </w:t>
      </w:r>
      <w:r w:rsidR="00E40A1F" w:rsidRPr="00B06893">
        <w:t>27</w:t>
      </w:r>
      <w:r w:rsidRPr="00B06893">
        <w:t>%) at a median follow</w:t>
      </w:r>
      <w:r w:rsidR="00193971">
        <w:noBreakHyphen/>
      </w:r>
      <w:r w:rsidRPr="00B06893">
        <w:t>up period of 111 days</w:t>
      </w:r>
      <w:r w:rsidR="00E40A1F" w:rsidRPr="00B06893">
        <w:t xml:space="preserve"> (Zheng [2025])</w:t>
      </w:r>
      <w:r w:rsidRPr="00B06893">
        <w:t>.</w:t>
      </w:r>
    </w:p>
    <w:p w14:paraId="66B5F7F6" w14:textId="4806D0CF" w:rsidR="0043770C" w:rsidRPr="00B06893" w:rsidRDefault="00BF2A99" w:rsidP="007855C1">
      <w:pPr>
        <w:pStyle w:val="3-BodyText"/>
      </w:pPr>
      <w:r w:rsidRPr="00B06893">
        <w:t>A key uncertainty is lack of evidence regarding long</w:t>
      </w:r>
      <w:r w:rsidR="00193971">
        <w:noBreakHyphen/>
      </w:r>
      <w:r w:rsidRPr="00B06893">
        <w:t xml:space="preserve">term immunogenicity and effectiveness for Spikevax, which has implications for establishing duration of response, </w:t>
      </w:r>
      <w:proofErr w:type="gramStart"/>
      <w:r w:rsidRPr="00B06893">
        <w:t>in particular for</w:t>
      </w:r>
      <w:proofErr w:type="gramEnd"/>
      <w:r w:rsidRPr="00B06893">
        <w:t xml:space="preserve"> the 12</w:t>
      </w:r>
      <w:r w:rsidR="00193971">
        <w:noBreakHyphen/>
      </w:r>
      <w:r w:rsidRPr="00B06893">
        <w:t>month period between booster doses and for the indirect comparison with Comirnaty</w:t>
      </w:r>
      <w:r w:rsidR="00452EA3" w:rsidRPr="00B06893">
        <w:t>.</w:t>
      </w:r>
    </w:p>
    <w:p w14:paraId="7FE5268B" w14:textId="17BE1E50" w:rsidR="00134EEA" w:rsidRPr="00B06893" w:rsidRDefault="00134EEA" w:rsidP="00134EEA">
      <w:pPr>
        <w:pStyle w:val="5-SubsectionSubheading"/>
        <w:rPr>
          <w:lang w:eastAsia="en-US"/>
        </w:rPr>
      </w:pPr>
      <w:bookmarkStart w:id="44" w:name="_Toc219898335"/>
      <w:r w:rsidRPr="00B06893">
        <w:rPr>
          <w:lang w:eastAsia="en-US"/>
        </w:rPr>
        <w:t xml:space="preserve">Spikevax versus </w:t>
      </w:r>
      <w:r w:rsidR="00E34126" w:rsidRPr="00B06893">
        <w:rPr>
          <w:lang w:eastAsia="en-US"/>
        </w:rPr>
        <w:t>Comirnaty</w:t>
      </w:r>
      <w:bookmarkEnd w:id="44"/>
    </w:p>
    <w:p w14:paraId="426C6D56" w14:textId="77777777" w:rsidR="00BF2A99" w:rsidRPr="00B06893" w:rsidRDefault="00BF2A99" w:rsidP="00BF2A99">
      <w:pPr>
        <w:pStyle w:val="3-BodyText"/>
        <w:numPr>
          <w:ilvl w:val="0"/>
          <w:numId w:val="0"/>
        </w:numPr>
        <w:ind w:left="720" w:hanging="720"/>
        <w:rPr>
          <w:u w:val="single"/>
        </w:rPr>
      </w:pPr>
      <w:r w:rsidRPr="00B06893">
        <w:rPr>
          <w:u w:val="single"/>
        </w:rPr>
        <w:t>Immunogenicity</w:t>
      </w:r>
    </w:p>
    <w:p w14:paraId="54AB4CDD" w14:textId="412CEDE0" w:rsidR="00BF2A99" w:rsidRPr="00B06893" w:rsidRDefault="00BF2A99" w:rsidP="00BF2A99">
      <w:pPr>
        <w:pStyle w:val="3-BodyText"/>
      </w:pPr>
      <w:bookmarkStart w:id="45" w:name="_Ref221729829"/>
      <w:r w:rsidRPr="00B06893">
        <w:t>Mok (2025; N=129): At 29 days of follow</w:t>
      </w:r>
      <w:r w:rsidR="00193971">
        <w:noBreakHyphen/>
      </w:r>
      <w:r w:rsidRPr="00B06893">
        <w:t xml:space="preserve">up, both Spikevax and </w:t>
      </w:r>
      <w:r w:rsidR="00E34126" w:rsidRPr="00B06893">
        <w:t>Comirnaty</w:t>
      </w:r>
      <w:r w:rsidRPr="00B06893">
        <w:t xml:space="preserve"> (XBB.1.5 variants) significantly induced nAb titre levels against both XBB.1.5 and KP.2 viral strains. However, day 29 titre levels were significantly higher in Spikevax compared to </w:t>
      </w:r>
      <w:r w:rsidR="00E34126" w:rsidRPr="00B06893">
        <w:t>Comirnaty</w:t>
      </w:r>
      <w:r w:rsidRPr="00B06893">
        <w:t xml:space="preserve">. </w:t>
      </w:r>
      <w:r w:rsidR="00987DDD" w:rsidRPr="00B06893">
        <w:t>The evaluation reported that t</w:t>
      </w:r>
      <w:r w:rsidRPr="00B06893">
        <w:t>he clinical significance of this difference remains unclear. Both vaccines significantly induced nAb titres when compared to a greater panel of viral strains. Both vaccines showed comparable levels of inhibition to recent strains (i.e., JN.1).</w:t>
      </w:r>
      <w:bookmarkEnd w:id="45"/>
    </w:p>
    <w:p w14:paraId="7D45F56C" w14:textId="69A55791" w:rsidR="00134EEA" w:rsidRPr="00B06893" w:rsidRDefault="00134EEA" w:rsidP="00134EEA">
      <w:pPr>
        <w:pStyle w:val="3-BodyText"/>
        <w:numPr>
          <w:ilvl w:val="0"/>
          <w:numId w:val="0"/>
        </w:numPr>
        <w:rPr>
          <w:b/>
          <w:u w:val="single"/>
        </w:rPr>
      </w:pPr>
      <w:r w:rsidRPr="00B06893">
        <w:rPr>
          <w:b/>
          <w:u w:val="single"/>
        </w:rPr>
        <w:t>Naïve indirect comparisons</w:t>
      </w:r>
    </w:p>
    <w:p w14:paraId="1E7B73D2" w14:textId="571AE788" w:rsidR="00C67040" w:rsidRPr="00B06893" w:rsidRDefault="00C67040" w:rsidP="00C67040">
      <w:pPr>
        <w:pStyle w:val="3-BodyText"/>
        <w:rPr>
          <w:bCs/>
        </w:rPr>
      </w:pPr>
      <w:r w:rsidRPr="00B06893">
        <w:rPr>
          <w:rFonts w:cstheme="minorHAnsi"/>
          <w:szCs w:val="24"/>
        </w:rPr>
        <w:t>Regarding the evidence presented in the submission, the 2025 ATAGI pre</w:t>
      </w:r>
      <w:r w:rsidR="00193971">
        <w:rPr>
          <w:rFonts w:cstheme="minorHAnsi"/>
          <w:szCs w:val="24"/>
        </w:rPr>
        <w:noBreakHyphen/>
      </w:r>
      <w:r w:rsidRPr="00B06893">
        <w:rPr>
          <w:rFonts w:cstheme="minorHAnsi"/>
          <w:szCs w:val="24"/>
        </w:rPr>
        <w:t xml:space="preserve">submission Advice noted that the data did not easily permit comparisons. The ATAGI Advice also noted that ATAGI extracted </w:t>
      </w:r>
      <w:r w:rsidR="000948F8" w:rsidRPr="00B06893">
        <w:rPr>
          <w:rFonts w:cstheme="minorHAnsi"/>
          <w:szCs w:val="24"/>
        </w:rPr>
        <w:t>VE</w:t>
      </w:r>
      <w:r w:rsidRPr="00B06893">
        <w:rPr>
          <w:rFonts w:cstheme="minorHAnsi"/>
          <w:szCs w:val="24"/>
        </w:rPr>
        <w:t xml:space="preserve"> data for mortality and hospitalisation where follow</w:t>
      </w:r>
      <w:r w:rsidR="00193971">
        <w:rPr>
          <w:rFonts w:cstheme="minorHAnsi"/>
          <w:szCs w:val="24"/>
        </w:rPr>
        <w:noBreakHyphen/>
      </w:r>
      <w:r w:rsidRPr="00B06893">
        <w:rPr>
          <w:rFonts w:cstheme="minorHAnsi"/>
          <w:szCs w:val="24"/>
        </w:rPr>
        <w:t>up times could be sourced from the studies (follow up times were converted into days to aid interpretation of the comparisons).</w:t>
      </w:r>
    </w:p>
    <w:p w14:paraId="7EEA949D" w14:textId="1127A23E" w:rsidR="00C67040" w:rsidRPr="00B06893" w:rsidRDefault="00C67040" w:rsidP="00C67040">
      <w:pPr>
        <w:pStyle w:val="3-BodyText"/>
        <w:rPr>
          <w:bCs/>
        </w:rPr>
      </w:pPr>
      <w:r w:rsidRPr="00B06893">
        <w:rPr>
          <w:rFonts w:cstheme="minorHAnsi"/>
          <w:szCs w:val="24"/>
        </w:rPr>
        <w:t xml:space="preserve">Where possible, comparisons </w:t>
      </w:r>
      <w:r w:rsidR="00987DDD" w:rsidRPr="00B06893">
        <w:rPr>
          <w:rFonts w:cstheme="minorHAnsi"/>
          <w:szCs w:val="24"/>
        </w:rPr>
        <w:t>were</w:t>
      </w:r>
      <w:r w:rsidRPr="00B06893">
        <w:rPr>
          <w:rFonts w:cstheme="minorHAnsi"/>
          <w:szCs w:val="24"/>
        </w:rPr>
        <w:t xml:space="preserve"> made for studies with the longest duration of follow</w:t>
      </w:r>
      <w:r w:rsidR="00193971">
        <w:rPr>
          <w:rFonts w:cstheme="minorHAnsi"/>
          <w:szCs w:val="24"/>
        </w:rPr>
        <w:noBreakHyphen/>
      </w:r>
      <w:r w:rsidRPr="00B06893">
        <w:rPr>
          <w:rFonts w:cstheme="minorHAnsi"/>
          <w:szCs w:val="24"/>
        </w:rPr>
        <w:t>up. ATAGI noted that ‘these were naïve comparisons and not adjusted for potential confounders such as length of follow up and circulating strains during the study period. Therefore, the conclusions reported are to be interpreted with caution.</w:t>
      </w:r>
    </w:p>
    <w:p w14:paraId="6A5699C2" w14:textId="57013B24" w:rsidR="00C67040" w:rsidRPr="00B06893" w:rsidRDefault="00C67040" w:rsidP="00C67040">
      <w:pPr>
        <w:pStyle w:val="3-BodyText"/>
        <w:numPr>
          <w:ilvl w:val="0"/>
          <w:numId w:val="0"/>
        </w:numPr>
        <w:rPr>
          <w:rFonts w:cstheme="minorHAnsi"/>
          <w:szCs w:val="24"/>
          <w:u w:val="single"/>
        </w:rPr>
      </w:pPr>
      <w:r w:rsidRPr="00B06893">
        <w:rPr>
          <w:rFonts w:cstheme="minorHAnsi"/>
          <w:szCs w:val="24"/>
          <w:u w:val="single"/>
        </w:rPr>
        <w:t>Mortality</w:t>
      </w:r>
    </w:p>
    <w:p w14:paraId="6705F9F3" w14:textId="5C5F3D2A" w:rsidR="00C67040" w:rsidRPr="00B06893" w:rsidRDefault="00C67040" w:rsidP="00501A02">
      <w:pPr>
        <w:pStyle w:val="3-BodyText"/>
      </w:pPr>
      <w:r w:rsidRPr="00B06893">
        <w:t>JN.1 Variant: A naïve indirect comparison for mortality in individuals aged 65 years and over is provided in</w:t>
      </w:r>
      <w:r w:rsidR="00AB1171" w:rsidRPr="00B06893">
        <w:t xml:space="preserve"> </w:t>
      </w:r>
      <w:r w:rsidR="00AB1171" w:rsidRPr="00B06893">
        <w:fldChar w:fldCharType="begin"/>
      </w:r>
      <w:r w:rsidR="00AB1171" w:rsidRPr="00B06893">
        <w:instrText xml:space="preserve"> REF _Ref216269781 \h </w:instrText>
      </w:r>
      <w:r w:rsidR="00A47E9C" w:rsidRPr="00B06893">
        <w:instrText xml:space="preserve"> \* MERGEFORMAT </w:instrText>
      </w:r>
      <w:r w:rsidR="00AB1171" w:rsidRPr="00B06893">
        <w:fldChar w:fldCharType="separate"/>
      </w:r>
      <w:r w:rsidR="00810177" w:rsidRPr="00B06893">
        <w:t>Table 12</w:t>
      </w:r>
      <w:r w:rsidR="00AB1171" w:rsidRPr="00B06893">
        <w:fldChar w:fldCharType="end"/>
      </w:r>
      <w:r w:rsidR="00AB1171" w:rsidRPr="00B06893">
        <w:t>.</w:t>
      </w:r>
      <w:r w:rsidR="00BE0107" w:rsidRPr="00B06893">
        <w:t xml:space="preserve"> </w:t>
      </w:r>
      <w:r w:rsidR="00F1411A" w:rsidRPr="00B06893">
        <w:rPr>
          <w:rFonts w:ascii="Calibri" w:hAnsi="Calibri" w:cs="Calibri"/>
          <w:szCs w:val="24"/>
        </w:rPr>
        <w:t xml:space="preserve">In individuals aged ≥65 years who were vaccinated with Spikevax versus those who were not, </w:t>
      </w:r>
      <w:r w:rsidR="00F1411A" w:rsidRPr="00B06893">
        <w:t>Spikevax was associated with a VE</w:t>
      </w:r>
      <w:r w:rsidR="00F1411A" w:rsidRPr="00B06893">
        <w:rPr>
          <w:rFonts w:ascii="Calibri" w:hAnsi="Calibri" w:cs="Calibri"/>
          <w:szCs w:val="24"/>
        </w:rPr>
        <w:t xml:space="preserve"> against </w:t>
      </w:r>
      <w:r w:rsidR="00F1411A" w:rsidRPr="00B06893">
        <w:rPr>
          <w:rFonts w:ascii="Calibri" w:hAnsi="Calibri" w:cs="Calibri"/>
          <w:szCs w:val="24"/>
        </w:rPr>
        <w:lastRenderedPageBreak/>
        <w:t>mortality of 95.8% (69.2%; 99.4%).</w:t>
      </w:r>
      <w:r w:rsidR="00580BAD">
        <w:rPr>
          <w:rFonts w:ascii="Calibri" w:hAnsi="Calibri" w:cs="Calibri"/>
          <w:szCs w:val="24"/>
        </w:rPr>
        <w:t xml:space="preserve"> </w:t>
      </w:r>
      <w:r w:rsidR="00F1411A" w:rsidRPr="00B06893">
        <w:rPr>
          <w:bCs/>
        </w:rPr>
        <w:t xml:space="preserve">This estimate was based on </w:t>
      </w:r>
      <w:r w:rsidR="00BE0107" w:rsidRPr="00B06893">
        <w:rPr>
          <w:bCs/>
        </w:rPr>
        <w:t xml:space="preserve">1 death in the Spikevax cohort of </w:t>
      </w:r>
      <w:r w:rsidR="00BE0107" w:rsidRPr="00B06893">
        <w:t xml:space="preserve">91,461 vaccinated individuals, </w:t>
      </w:r>
      <w:r w:rsidR="00F1411A" w:rsidRPr="00B06893">
        <w:t>compared with 84 deaths in the not vaccinated cohort of 859,216.</w:t>
      </w:r>
      <w:r w:rsidR="00580BAD">
        <w:t xml:space="preserve"> </w:t>
      </w:r>
      <w:r w:rsidR="00F1411A" w:rsidRPr="00B06893">
        <w:t xml:space="preserve">In comparison, the VE estimate for Comirnaty reported by Hansen (2025) was based on </w:t>
      </w:r>
      <w:r w:rsidR="00BE0107" w:rsidRPr="00B06893">
        <w:rPr>
          <w:bCs/>
        </w:rPr>
        <w:t xml:space="preserve">56 deaths in </w:t>
      </w:r>
      <w:r w:rsidR="00F1411A" w:rsidRPr="00B06893">
        <w:t xml:space="preserve">728,768 </w:t>
      </w:r>
      <w:r w:rsidR="00BE0107" w:rsidRPr="00B06893">
        <w:rPr>
          <w:bCs/>
        </w:rPr>
        <w:t>individuals in t</w:t>
      </w:r>
      <w:r w:rsidR="00F1411A" w:rsidRPr="00B06893">
        <w:rPr>
          <w:bCs/>
        </w:rPr>
        <w:t>he Comirnaty cohort</w:t>
      </w:r>
      <w:r w:rsidR="00BE0107" w:rsidRPr="00B06893">
        <w:rPr>
          <w:bCs/>
        </w:rPr>
        <w:t>.</w:t>
      </w:r>
    </w:p>
    <w:p w14:paraId="29CC7577" w14:textId="328E9104" w:rsidR="00C67040" w:rsidRPr="00B06893" w:rsidRDefault="00C67040" w:rsidP="00426CCC">
      <w:pPr>
        <w:pStyle w:val="Caption"/>
      </w:pPr>
      <w:bookmarkStart w:id="46" w:name="_Ref216269781"/>
      <w:r w:rsidRPr="00B06893">
        <w:t xml:space="preserve">Table </w:t>
      </w:r>
      <w:fldSimple w:instr=" SEQ Table \* ARABIC ">
        <w:r w:rsidR="00810177" w:rsidRPr="00B06893">
          <w:t>12</w:t>
        </w:r>
      </w:fldSimple>
      <w:bookmarkEnd w:id="46"/>
      <w:r w:rsidRPr="00B06893">
        <w:t>: VE against mortality</w:t>
      </w:r>
      <w:r w:rsidR="00AD23BE" w:rsidRPr="00B06893">
        <w:rPr>
          <w:vertAlign w:val="superscript"/>
        </w:rPr>
        <w:t>a</w:t>
      </w:r>
      <w:r w:rsidRPr="00B06893">
        <w:t xml:space="preserve"> comparison between Spikevax and </w:t>
      </w:r>
      <w:r w:rsidR="00E34126" w:rsidRPr="00B06893">
        <w:t>Comirnaty</w:t>
      </w:r>
      <w:r w:rsidRPr="00B06893">
        <w:t xml:space="preserve"> (JN.1 variant)</w:t>
      </w:r>
    </w:p>
    <w:tbl>
      <w:tblPr>
        <w:tblStyle w:val="TableGrid"/>
        <w:tblW w:w="5000" w:type="pct"/>
        <w:tblCellMar>
          <w:left w:w="57" w:type="dxa"/>
          <w:right w:w="57" w:type="dxa"/>
        </w:tblCellMar>
        <w:tblLook w:val="04A0" w:firstRow="1" w:lastRow="0" w:firstColumn="1" w:lastColumn="0" w:noHBand="0" w:noVBand="1"/>
        <w:tblCaption w:val="Table 12: VE against mortalitya comparison between Spikevax and Comirnaty (JN.1 variant)"/>
      </w:tblPr>
      <w:tblGrid>
        <w:gridCol w:w="1070"/>
        <w:gridCol w:w="1087"/>
        <w:gridCol w:w="1052"/>
        <w:gridCol w:w="1061"/>
        <w:gridCol w:w="1264"/>
        <w:gridCol w:w="1450"/>
        <w:gridCol w:w="971"/>
        <w:gridCol w:w="1062"/>
      </w:tblGrid>
      <w:tr w:rsidR="00C67040" w:rsidRPr="00B06893" w14:paraId="6DDC03A2" w14:textId="77777777" w:rsidTr="009120CC">
        <w:trPr>
          <w:cantSplit/>
        </w:trPr>
        <w:tc>
          <w:tcPr>
            <w:tcW w:w="2404" w:type="pct"/>
            <w:gridSpan w:val="4"/>
            <w:vAlign w:val="center"/>
          </w:tcPr>
          <w:p w14:paraId="23C316F8" w14:textId="77777777" w:rsidR="00C67040" w:rsidRPr="00B06893" w:rsidRDefault="00C67040" w:rsidP="00426CCC">
            <w:pPr>
              <w:pStyle w:val="Tabletext"/>
              <w:keepNext/>
              <w:rPr>
                <w:b/>
                <w:bCs/>
              </w:rPr>
            </w:pPr>
            <w:r w:rsidRPr="00B06893">
              <w:rPr>
                <w:b/>
                <w:bCs/>
              </w:rPr>
              <w:t>Spikevax</w:t>
            </w:r>
          </w:p>
        </w:tc>
        <w:tc>
          <w:tcPr>
            <w:tcW w:w="2596" w:type="pct"/>
            <w:gridSpan w:val="4"/>
            <w:vAlign w:val="center"/>
          </w:tcPr>
          <w:p w14:paraId="0E54FF8A" w14:textId="02CD0F0D" w:rsidR="00C67040" w:rsidRPr="00B06893" w:rsidRDefault="00E34126" w:rsidP="00426CCC">
            <w:pPr>
              <w:pStyle w:val="Tabletext"/>
              <w:keepNext/>
              <w:rPr>
                <w:b/>
                <w:bCs/>
              </w:rPr>
            </w:pPr>
            <w:r w:rsidRPr="00B06893">
              <w:rPr>
                <w:b/>
                <w:bCs/>
              </w:rPr>
              <w:t>Comirnaty</w:t>
            </w:r>
          </w:p>
        </w:tc>
      </w:tr>
      <w:tr w:rsidR="00C67040" w:rsidRPr="00B06893" w14:paraId="2CE45247" w14:textId="77777777" w:rsidTr="009120CC">
        <w:trPr>
          <w:cantSplit/>
        </w:trPr>
        <w:tc>
          <w:tcPr>
            <w:tcW w:w="603" w:type="pct"/>
            <w:vAlign w:val="center"/>
          </w:tcPr>
          <w:p w14:paraId="2C844807" w14:textId="77777777" w:rsidR="00C67040" w:rsidRPr="00B06893" w:rsidRDefault="00C67040" w:rsidP="00426CCC">
            <w:pPr>
              <w:pStyle w:val="Tabletext"/>
              <w:keepNext/>
              <w:rPr>
                <w:b/>
                <w:bCs/>
              </w:rPr>
            </w:pPr>
            <w:r w:rsidRPr="00B06893">
              <w:rPr>
                <w:b/>
                <w:bCs/>
              </w:rPr>
              <w:t>Study</w:t>
            </w:r>
          </w:p>
        </w:tc>
        <w:tc>
          <w:tcPr>
            <w:tcW w:w="612" w:type="pct"/>
            <w:vAlign w:val="center"/>
          </w:tcPr>
          <w:p w14:paraId="69CBF6DA" w14:textId="4EF1E41C" w:rsidR="00C67040" w:rsidRPr="00B06893" w:rsidRDefault="009120CC" w:rsidP="00426CCC">
            <w:pPr>
              <w:pStyle w:val="Tabletext"/>
              <w:keepNext/>
              <w:rPr>
                <w:b/>
                <w:bCs/>
              </w:rPr>
            </w:pPr>
            <w:r w:rsidRPr="00B06893">
              <w:rPr>
                <w:b/>
                <w:bCs/>
              </w:rPr>
              <w:t>Mean follow</w:t>
            </w:r>
            <w:r w:rsidR="00193971">
              <w:rPr>
                <w:b/>
                <w:bCs/>
              </w:rPr>
              <w:noBreakHyphen/>
            </w:r>
            <w:r w:rsidRPr="00B06893">
              <w:rPr>
                <w:b/>
                <w:bCs/>
              </w:rPr>
              <w:t>up</w:t>
            </w:r>
            <w:r w:rsidR="00C67040" w:rsidRPr="00B06893">
              <w:rPr>
                <w:b/>
                <w:bCs/>
              </w:rPr>
              <w:t xml:space="preserve"> (days)</w:t>
            </w:r>
          </w:p>
        </w:tc>
        <w:tc>
          <w:tcPr>
            <w:tcW w:w="592" w:type="pct"/>
            <w:vAlign w:val="center"/>
          </w:tcPr>
          <w:p w14:paraId="50C9FFE2" w14:textId="77777777" w:rsidR="00C67040" w:rsidRPr="00B06893" w:rsidRDefault="00C67040" w:rsidP="00426CCC">
            <w:pPr>
              <w:pStyle w:val="Tabletext"/>
              <w:keepNext/>
              <w:rPr>
                <w:b/>
                <w:bCs/>
              </w:rPr>
            </w:pPr>
            <w:r w:rsidRPr="00B06893">
              <w:rPr>
                <w:b/>
                <w:bCs/>
              </w:rPr>
              <w:t>Circulating strains</w:t>
            </w:r>
          </w:p>
        </w:tc>
        <w:tc>
          <w:tcPr>
            <w:tcW w:w="597" w:type="pct"/>
            <w:vAlign w:val="center"/>
          </w:tcPr>
          <w:p w14:paraId="706A5026" w14:textId="77777777" w:rsidR="00C67040" w:rsidRPr="00B06893" w:rsidRDefault="00C67040" w:rsidP="00426CCC">
            <w:pPr>
              <w:pStyle w:val="Tabletext"/>
              <w:keepNext/>
              <w:rPr>
                <w:b/>
                <w:bCs/>
              </w:rPr>
            </w:pPr>
            <w:r w:rsidRPr="00B06893">
              <w:rPr>
                <w:b/>
                <w:bCs/>
              </w:rPr>
              <w:t>VE %</w:t>
            </w:r>
          </w:p>
          <w:p w14:paraId="3991B3D9" w14:textId="77777777" w:rsidR="00C67040" w:rsidRPr="00B06893" w:rsidRDefault="00C67040" w:rsidP="00426CCC">
            <w:pPr>
              <w:pStyle w:val="Tabletext"/>
              <w:keepNext/>
              <w:rPr>
                <w:b/>
                <w:bCs/>
              </w:rPr>
            </w:pPr>
            <w:r w:rsidRPr="00B06893">
              <w:rPr>
                <w:b/>
                <w:bCs/>
              </w:rPr>
              <w:t>(95%CI)</w:t>
            </w:r>
          </w:p>
        </w:tc>
        <w:tc>
          <w:tcPr>
            <w:tcW w:w="710" w:type="pct"/>
            <w:vAlign w:val="center"/>
          </w:tcPr>
          <w:p w14:paraId="25AD50FE" w14:textId="77777777" w:rsidR="00C67040" w:rsidRPr="00B06893" w:rsidRDefault="00C67040" w:rsidP="00426CCC">
            <w:pPr>
              <w:pStyle w:val="Tabletext"/>
              <w:keepNext/>
              <w:rPr>
                <w:b/>
                <w:bCs/>
              </w:rPr>
            </w:pPr>
            <w:r w:rsidRPr="00B06893">
              <w:rPr>
                <w:b/>
                <w:bCs/>
              </w:rPr>
              <w:t>Study</w:t>
            </w:r>
          </w:p>
        </w:tc>
        <w:tc>
          <w:tcPr>
            <w:tcW w:w="813" w:type="pct"/>
            <w:vAlign w:val="center"/>
          </w:tcPr>
          <w:p w14:paraId="0508ECDB" w14:textId="2765EC52" w:rsidR="00C67040" w:rsidRPr="00B06893" w:rsidRDefault="009120CC" w:rsidP="00426CCC">
            <w:pPr>
              <w:pStyle w:val="Tabletext"/>
              <w:keepNext/>
              <w:rPr>
                <w:b/>
                <w:bCs/>
              </w:rPr>
            </w:pPr>
            <w:r w:rsidRPr="00B06893">
              <w:rPr>
                <w:b/>
                <w:bCs/>
              </w:rPr>
              <w:t>Mean follow</w:t>
            </w:r>
            <w:r w:rsidR="00193971">
              <w:rPr>
                <w:b/>
                <w:bCs/>
              </w:rPr>
              <w:noBreakHyphen/>
            </w:r>
            <w:r w:rsidRPr="00B06893">
              <w:rPr>
                <w:b/>
                <w:bCs/>
              </w:rPr>
              <w:t xml:space="preserve">up </w:t>
            </w:r>
            <w:r w:rsidR="00C67040" w:rsidRPr="00B06893">
              <w:rPr>
                <w:b/>
                <w:bCs/>
              </w:rPr>
              <w:t>(days)</w:t>
            </w:r>
          </w:p>
        </w:tc>
        <w:tc>
          <w:tcPr>
            <w:tcW w:w="475" w:type="pct"/>
            <w:vAlign w:val="center"/>
          </w:tcPr>
          <w:p w14:paraId="42733319" w14:textId="77777777" w:rsidR="00C67040" w:rsidRPr="00B06893" w:rsidRDefault="00C67040" w:rsidP="00426CCC">
            <w:pPr>
              <w:pStyle w:val="Tabletext"/>
              <w:keepNext/>
              <w:rPr>
                <w:b/>
                <w:bCs/>
              </w:rPr>
            </w:pPr>
            <w:r w:rsidRPr="00B06893">
              <w:rPr>
                <w:b/>
                <w:bCs/>
              </w:rPr>
              <w:t>Circulating strains</w:t>
            </w:r>
          </w:p>
        </w:tc>
        <w:tc>
          <w:tcPr>
            <w:tcW w:w="597" w:type="pct"/>
            <w:vAlign w:val="center"/>
          </w:tcPr>
          <w:p w14:paraId="587C1FFF" w14:textId="5A8044B1" w:rsidR="00C67040" w:rsidRPr="00B06893" w:rsidRDefault="00C67040" w:rsidP="00426CCC">
            <w:pPr>
              <w:pStyle w:val="Tabletext"/>
              <w:keepNext/>
              <w:rPr>
                <w:b/>
                <w:bCs/>
              </w:rPr>
            </w:pPr>
            <w:r w:rsidRPr="00B06893">
              <w:rPr>
                <w:b/>
                <w:bCs/>
              </w:rPr>
              <w:t>VE</w:t>
            </w:r>
            <w:r w:rsidR="00C141D5" w:rsidRPr="00B06893">
              <w:rPr>
                <w:b/>
                <w:bCs/>
              </w:rPr>
              <w:t>%</w:t>
            </w:r>
            <w:r w:rsidRPr="00B06893">
              <w:rPr>
                <w:b/>
                <w:bCs/>
              </w:rPr>
              <w:t xml:space="preserve"> (95%CI)</w:t>
            </w:r>
          </w:p>
        </w:tc>
      </w:tr>
      <w:tr w:rsidR="00C67040" w:rsidRPr="00B06893" w14:paraId="6C5A8B69" w14:textId="77777777" w:rsidTr="00C03BFF">
        <w:trPr>
          <w:cantSplit/>
        </w:trPr>
        <w:tc>
          <w:tcPr>
            <w:tcW w:w="5000" w:type="pct"/>
            <w:gridSpan w:val="8"/>
            <w:vAlign w:val="center"/>
          </w:tcPr>
          <w:p w14:paraId="4E354310" w14:textId="77777777" w:rsidR="00C67040" w:rsidRPr="00B06893" w:rsidRDefault="00C67040" w:rsidP="00426CCC">
            <w:pPr>
              <w:pStyle w:val="Tabletext"/>
              <w:keepNext/>
              <w:rPr>
                <w:b/>
                <w:bCs/>
              </w:rPr>
            </w:pPr>
            <w:r w:rsidRPr="00B06893">
              <w:rPr>
                <w:b/>
                <w:bCs/>
              </w:rPr>
              <w:t>≥ 65 years</w:t>
            </w:r>
          </w:p>
        </w:tc>
      </w:tr>
      <w:tr w:rsidR="00C67040" w:rsidRPr="00B06893" w14:paraId="02703CE9" w14:textId="77777777" w:rsidTr="009120CC">
        <w:trPr>
          <w:cantSplit/>
        </w:trPr>
        <w:tc>
          <w:tcPr>
            <w:tcW w:w="603" w:type="pct"/>
            <w:vAlign w:val="center"/>
          </w:tcPr>
          <w:p w14:paraId="5C140CAB" w14:textId="77777777" w:rsidR="00C67040" w:rsidRPr="00B06893" w:rsidRDefault="00C67040" w:rsidP="00426CCC">
            <w:pPr>
              <w:pStyle w:val="Tabletext"/>
              <w:keepNext/>
            </w:pPr>
            <w:r w:rsidRPr="00B06893">
              <w:t>Hansen (2025)</w:t>
            </w:r>
          </w:p>
          <w:p w14:paraId="004C0E48" w14:textId="01DCFDB6" w:rsidR="00C141D5" w:rsidRPr="00B06893" w:rsidRDefault="009120CC" w:rsidP="00C141D5">
            <w:pPr>
              <w:pStyle w:val="Tabletext"/>
              <w:keepNext/>
            </w:pPr>
            <w:r w:rsidRPr="00B06893">
              <w:rPr>
                <w:u w:val="single"/>
              </w:rPr>
              <w:t xml:space="preserve">N </w:t>
            </w:r>
            <w:r w:rsidR="00C141D5" w:rsidRPr="00B06893">
              <w:rPr>
                <w:u w:val="single"/>
              </w:rPr>
              <w:t>vaccinated</w:t>
            </w:r>
            <w:r w:rsidR="00C141D5" w:rsidRPr="00B06893">
              <w:t xml:space="preserve"> = 91,461</w:t>
            </w:r>
            <w:r w:rsidRPr="00B06893">
              <w:t>.</w:t>
            </w:r>
          </w:p>
          <w:p w14:paraId="7FC9E065" w14:textId="67EB5D9C" w:rsidR="009120CC" w:rsidRPr="00B06893" w:rsidRDefault="009120CC" w:rsidP="00C141D5">
            <w:pPr>
              <w:pStyle w:val="Tabletext"/>
              <w:keepNext/>
            </w:pPr>
            <w:r w:rsidRPr="00B06893">
              <w:t>No. of cases = 1</w:t>
            </w:r>
          </w:p>
          <w:p w14:paraId="320A4938" w14:textId="77777777" w:rsidR="00C141D5" w:rsidRPr="00B06893" w:rsidRDefault="009120CC" w:rsidP="00C141D5">
            <w:pPr>
              <w:pStyle w:val="Tabletext"/>
              <w:keepNext/>
            </w:pPr>
            <w:r w:rsidRPr="00B06893">
              <w:rPr>
                <w:u w:val="single"/>
              </w:rPr>
              <w:t>N n</w:t>
            </w:r>
            <w:r w:rsidR="00C141D5" w:rsidRPr="00B06893">
              <w:rPr>
                <w:u w:val="single"/>
              </w:rPr>
              <w:t>o</w:t>
            </w:r>
            <w:r w:rsidRPr="00B06893">
              <w:rPr>
                <w:u w:val="single"/>
              </w:rPr>
              <w:t>t</w:t>
            </w:r>
            <w:r w:rsidR="00C141D5" w:rsidRPr="00B06893">
              <w:rPr>
                <w:u w:val="single"/>
              </w:rPr>
              <w:t xml:space="preserve"> vaccinated</w:t>
            </w:r>
            <w:r w:rsidR="00C141D5" w:rsidRPr="00B06893">
              <w:t xml:space="preserve"> = 859,216</w:t>
            </w:r>
            <w:r w:rsidRPr="00B06893">
              <w:t>.</w:t>
            </w:r>
          </w:p>
          <w:p w14:paraId="68A329BD" w14:textId="75EC24C0" w:rsidR="009120CC" w:rsidRPr="00B06893" w:rsidRDefault="009120CC" w:rsidP="00C141D5">
            <w:pPr>
              <w:pStyle w:val="Tabletext"/>
              <w:keepNext/>
            </w:pPr>
            <w:r w:rsidRPr="00B06893">
              <w:t xml:space="preserve">No. of cases = </w:t>
            </w:r>
            <w:r w:rsidR="00B465F0" w:rsidRPr="00B06893">
              <w:t>84</w:t>
            </w:r>
          </w:p>
        </w:tc>
        <w:tc>
          <w:tcPr>
            <w:tcW w:w="612" w:type="pct"/>
            <w:vAlign w:val="center"/>
          </w:tcPr>
          <w:p w14:paraId="56851565" w14:textId="77777777" w:rsidR="00C67040" w:rsidRPr="00B06893" w:rsidRDefault="00C67040" w:rsidP="00426CCC">
            <w:pPr>
              <w:pStyle w:val="Tabletext"/>
              <w:keepNext/>
            </w:pPr>
            <w:r w:rsidRPr="00B06893">
              <w:t>100.4 days</w:t>
            </w:r>
          </w:p>
        </w:tc>
        <w:tc>
          <w:tcPr>
            <w:tcW w:w="592" w:type="pct"/>
            <w:vAlign w:val="center"/>
          </w:tcPr>
          <w:p w14:paraId="4A92A672" w14:textId="77777777" w:rsidR="00C67040" w:rsidRPr="00B06893" w:rsidRDefault="00C67040" w:rsidP="00426CCC">
            <w:pPr>
              <w:pStyle w:val="Tabletext"/>
              <w:keepNext/>
            </w:pPr>
            <w:r w:rsidRPr="00B06893">
              <w:t>Any</w:t>
            </w:r>
          </w:p>
        </w:tc>
        <w:tc>
          <w:tcPr>
            <w:tcW w:w="597" w:type="pct"/>
            <w:vAlign w:val="center"/>
          </w:tcPr>
          <w:p w14:paraId="77084CAF" w14:textId="77777777" w:rsidR="00C67040" w:rsidRPr="00B06893" w:rsidRDefault="00C67040" w:rsidP="00426CCC">
            <w:pPr>
              <w:pStyle w:val="Tabletext"/>
              <w:keepNext/>
            </w:pPr>
            <w:r w:rsidRPr="00B06893">
              <w:t xml:space="preserve">95.8 </w:t>
            </w:r>
            <w:r w:rsidRPr="00B06893">
              <w:br/>
              <w:t>(69.2; 99.4)</w:t>
            </w:r>
          </w:p>
        </w:tc>
        <w:tc>
          <w:tcPr>
            <w:tcW w:w="710" w:type="pct"/>
            <w:vAlign w:val="center"/>
          </w:tcPr>
          <w:p w14:paraId="004023CE" w14:textId="77777777" w:rsidR="00C141D5" w:rsidRPr="00B06893" w:rsidRDefault="00C67040" w:rsidP="00426CCC">
            <w:pPr>
              <w:pStyle w:val="Tabletext"/>
              <w:keepNext/>
            </w:pPr>
            <w:r w:rsidRPr="00B06893">
              <w:t>Hansen</w:t>
            </w:r>
            <w:r w:rsidR="00C03BFF" w:rsidRPr="00B06893">
              <w:t xml:space="preserve"> (2025)</w:t>
            </w:r>
          </w:p>
          <w:p w14:paraId="18D8682A" w14:textId="62FEEC26" w:rsidR="00C141D5" w:rsidRPr="00B06893" w:rsidRDefault="009120CC" w:rsidP="00C141D5">
            <w:pPr>
              <w:pStyle w:val="Tabletext"/>
              <w:keepNext/>
            </w:pPr>
            <w:r w:rsidRPr="00B06893">
              <w:rPr>
                <w:u w:val="single"/>
              </w:rPr>
              <w:t>N vaccinated</w:t>
            </w:r>
            <w:r w:rsidR="00C141D5" w:rsidRPr="00B06893">
              <w:t xml:space="preserve"> = 728,</w:t>
            </w:r>
            <w:r w:rsidRPr="00B06893">
              <w:t>768.</w:t>
            </w:r>
          </w:p>
          <w:p w14:paraId="289390D6" w14:textId="178B46CB" w:rsidR="009120CC" w:rsidRPr="00B06893" w:rsidRDefault="009120CC" w:rsidP="009120CC">
            <w:pPr>
              <w:pStyle w:val="Tabletext"/>
              <w:keepNext/>
            </w:pPr>
            <w:r w:rsidRPr="00B06893">
              <w:t xml:space="preserve">No. of cases = </w:t>
            </w:r>
            <w:r w:rsidR="00AD23BE" w:rsidRPr="00B06893">
              <w:t>56</w:t>
            </w:r>
          </w:p>
          <w:p w14:paraId="5CCC4B36" w14:textId="77777777" w:rsidR="009120CC" w:rsidRPr="00B06893" w:rsidRDefault="009120CC" w:rsidP="009120CC">
            <w:pPr>
              <w:pStyle w:val="Tabletext"/>
              <w:keepNext/>
            </w:pPr>
            <w:r w:rsidRPr="00B06893">
              <w:rPr>
                <w:u w:val="single"/>
              </w:rPr>
              <w:t>N not vaccinated</w:t>
            </w:r>
            <w:r w:rsidRPr="00B06893">
              <w:t xml:space="preserve"> = </w:t>
            </w:r>
            <w:r w:rsidR="00C141D5" w:rsidRPr="00B06893">
              <w:t>859,216</w:t>
            </w:r>
            <w:r w:rsidRPr="00B06893">
              <w:t>.</w:t>
            </w:r>
          </w:p>
          <w:p w14:paraId="1472DDA6" w14:textId="7FC27B63" w:rsidR="00C67040" w:rsidRPr="00B06893" w:rsidRDefault="009120CC" w:rsidP="009120CC">
            <w:pPr>
              <w:pStyle w:val="Tabletext"/>
              <w:keepNext/>
            </w:pPr>
            <w:r w:rsidRPr="00B06893">
              <w:t xml:space="preserve">No. of cases = </w:t>
            </w:r>
            <w:r w:rsidR="00AD23BE" w:rsidRPr="00B06893">
              <w:t>84</w:t>
            </w:r>
          </w:p>
        </w:tc>
        <w:tc>
          <w:tcPr>
            <w:tcW w:w="813" w:type="pct"/>
            <w:vAlign w:val="center"/>
          </w:tcPr>
          <w:p w14:paraId="15ADD763" w14:textId="77777777" w:rsidR="00C67040" w:rsidRPr="00B06893" w:rsidRDefault="00C67040" w:rsidP="00426CCC">
            <w:pPr>
              <w:pStyle w:val="Tabletext"/>
              <w:keepNext/>
            </w:pPr>
            <w:r w:rsidRPr="00B06893">
              <w:t>86.3 days</w:t>
            </w:r>
          </w:p>
        </w:tc>
        <w:tc>
          <w:tcPr>
            <w:tcW w:w="475" w:type="pct"/>
            <w:vAlign w:val="center"/>
          </w:tcPr>
          <w:p w14:paraId="492CBFA4" w14:textId="77777777" w:rsidR="00C67040" w:rsidRPr="00B06893" w:rsidRDefault="00C67040" w:rsidP="00426CCC">
            <w:pPr>
              <w:pStyle w:val="Tabletext"/>
              <w:keepNext/>
            </w:pPr>
            <w:r w:rsidRPr="00B06893">
              <w:t>Any</w:t>
            </w:r>
          </w:p>
        </w:tc>
        <w:tc>
          <w:tcPr>
            <w:tcW w:w="597" w:type="pct"/>
            <w:vAlign w:val="center"/>
          </w:tcPr>
          <w:p w14:paraId="54C0C5C7" w14:textId="77777777" w:rsidR="00C67040" w:rsidRPr="00B06893" w:rsidRDefault="00C67040" w:rsidP="00426CCC">
            <w:pPr>
              <w:pStyle w:val="Tabletext"/>
              <w:keepNext/>
            </w:pPr>
            <w:r w:rsidRPr="00B06893">
              <w:t xml:space="preserve">76.2 </w:t>
            </w:r>
            <w:r w:rsidRPr="00B06893">
              <w:br/>
              <w:t>(63.4; 84.5)</w:t>
            </w:r>
          </w:p>
        </w:tc>
      </w:tr>
    </w:tbl>
    <w:p w14:paraId="26DD736A" w14:textId="6EEC29FB" w:rsidR="00C67040" w:rsidRPr="00B06893" w:rsidRDefault="00C67040" w:rsidP="00426CCC">
      <w:pPr>
        <w:pStyle w:val="TableFooter"/>
        <w:keepNext/>
      </w:pPr>
      <w:r w:rsidRPr="00B06893">
        <w:t xml:space="preserve">Source: Table 40, p60 of the 2025 ATAGI </w:t>
      </w:r>
      <w:r w:rsidR="0044431A" w:rsidRPr="00B06893">
        <w:t>pre</w:t>
      </w:r>
      <w:r w:rsidR="00193971">
        <w:noBreakHyphen/>
      </w:r>
      <w:r w:rsidR="0044431A" w:rsidRPr="00B06893">
        <w:t xml:space="preserve">submission </w:t>
      </w:r>
      <w:r w:rsidRPr="00B06893">
        <w:t>Advice.</w:t>
      </w:r>
    </w:p>
    <w:p w14:paraId="18A168E7" w14:textId="74464EA4" w:rsidR="00C67040" w:rsidRPr="00B06893" w:rsidRDefault="00C67040" w:rsidP="00426CCC">
      <w:pPr>
        <w:pStyle w:val="TableFooter"/>
        <w:keepNext/>
        <w:rPr>
          <w:lang w:eastAsia="ja-JP"/>
        </w:rPr>
      </w:pPr>
      <w:r w:rsidRPr="00B06893">
        <w:rPr>
          <w:lang w:eastAsia="ja-JP"/>
        </w:rPr>
        <w:t>CI</w:t>
      </w:r>
      <w:r w:rsidR="00426CCC" w:rsidRPr="00B06893">
        <w:rPr>
          <w:lang w:eastAsia="ja-JP"/>
        </w:rPr>
        <w:t xml:space="preserve"> </w:t>
      </w:r>
      <w:r w:rsidRPr="00B06893">
        <w:rPr>
          <w:lang w:eastAsia="ja-JP"/>
        </w:rPr>
        <w:t>= confidence interval; VE</w:t>
      </w:r>
      <w:r w:rsidR="00426CCC" w:rsidRPr="00B06893">
        <w:rPr>
          <w:lang w:eastAsia="ja-JP"/>
        </w:rPr>
        <w:t xml:space="preserve"> </w:t>
      </w:r>
      <w:r w:rsidRPr="00B06893">
        <w:rPr>
          <w:lang w:eastAsia="ja-JP"/>
        </w:rPr>
        <w:t>= vaccine effectiveness</w:t>
      </w:r>
    </w:p>
    <w:p w14:paraId="1E45CC67" w14:textId="034223AA" w:rsidR="00C67040" w:rsidRPr="00B06893" w:rsidRDefault="00C67040" w:rsidP="00426CCC">
      <w:pPr>
        <w:pStyle w:val="TableFooter"/>
        <w:keepNext/>
        <w:rPr>
          <w:lang w:eastAsia="ja-JP"/>
        </w:rPr>
      </w:pPr>
      <w:r w:rsidRPr="00B06893">
        <w:rPr>
          <w:lang w:eastAsia="ja-JP"/>
        </w:rPr>
        <w:t>Note that all follow up times were converted into days to permit a comparison</w:t>
      </w:r>
    </w:p>
    <w:p w14:paraId="7B21052C" w14:textId="44443F1B" w:rsidR="00AD23BE" w:rsidRPr="00B06893" w:rsidRDefault="00AD23BE" w:rsidP="00426CCC">
      <w:pPr>
        <w:pStyle w:val="TableFooter"/>
        <w:keepNext/>
        <w:rPr>
          <w:lang w:eastAsia="ja-JP"/>
        </w:rPr>
      </w:pPr>
      <w:r w:rsidRPr="00B06893">
        <w:rPr>
          <w:vertAlign w:val="superscript"/>
          <w:lang w:eastAsia="ja-JP"/>
        </w:rPr>
        <w:t>a</w:t>
      </w:r>
      <w:r w:rsidRPr="00B06893">
        <w:rPr>
          <w:lang w:eastAsia="ja-JP"/>
        </w:rPr>
        <w:t>Death within 30 days of positive test</w:t>
      </w:r>
    </w:p>
    <w:p w14:paraId="5BC04331" w14:textId="77777777" w:rsidR="00C67040" w:rsidRPr="00B06893" w:rsidRDefault="00C67040" w:rsidP="00C67040">
      <w:pPr>
        <w:pStyle w:val="TableFooter"/>
        <w:rPr>
          <w:lang w:eastAsia="ja-JP"/>
        </w:rPr>
      </w:pPr>
    </w:p>
    <w:p w14:paraId="7595BFF6" w14:textId="62BFDAFA" w:rsidR="00C67040" w:rsidRPr="00B06893" w:rsidRDefault="00C67040" w:rsidP="00C67040">
      <w:pPr>
        <w:pStyle w:val="3-BodyText"/>
        <w:rPr>
          <w:bCs/>
        </w:rPr>
      </w:pPr>
      <w:r w:rsidRPr="00B06893">
        <w:rPr>
          <w:bCs/>
        </w:rPr>
        <w:t xml:space="preserve">Whilst the point estimate of effectiveness numerically favoured Spikevax over </w:t>
      </w:r>
      <w:r w:rsidR="00E34126" w:rsidRPr="00B06893">
        <w:rPr>
          <w:bCs/>
        </w:rPr>
        <w:t>Comirnaty</w:t>
      </w:r>
      <w:r w:rsidRPr="00B06893">
        <w:rPr>
          <w:bCs/>
        </w:rPr>
        <w:t>, there was substantial overlap in the 95% confidence intervals.</w:t>
      </w:r>
    </w:p>
    <w:p w14:paraId="2A934AC4" w14:textId="6BFB57C2" w:rsidR="00C67040" w:rsidRPr="00B06893" w:rsidRDefault="00C67040" w:rsidP="00C67040">
      <w:pPr>
        <w:pStyle w:val="3-BodyText"/>
        <w:rPr>
          <w:bCs/>
        </w:rPr>
      </w:pPr>
      <w:r w:rsidRPr="00B06893">
        <w:rPr>
          <w:bCs/>
        </w:rPr>
        <w:t>KP.2 and XBB.1.5 variants: No comparisons were presented.</w:t>
      </w:r>
    </w:p>
    <w:p w14:paraId="75B6E019" w14:textId="7C1A32C3" w:rsidR="00C67040" w:rsidRPr="00B06893" w:rsidRDefault="00AB1171" w:rsidP="00C67040">
      <w:pPr>
        <w:pStyle w:val="3-BodyText"/>
        <w:numPr>
          <w:ilvl w:val="0"/>
          <w:numId w:val="0"/>
        </w:numPr>
        <w:rPr>
          <w:bCs/>
          <w:u w:val="single"/>
        </w:rPr>
      </w:pPr>
      <w:r w:rsidRPr="00B06893">
        <w:rPr>
          <w:bCs/>
          <w:u w:val="single"/>
        </w:rPr>
        <w:t>VE against h</w:t>
      </w:r>
      <w:r w:rsidR="00C67040" w:rsidRPr="00B06893">
        <w:rPr>
          <w:bCs/>
          <w:u w:val="single"/>
        </w:rPr>
        <w:t>ospitalisation</w:t>
      </w:r>
    </w:p>
    <w:p w14:paraId="18CE3BC6" w14:textId="05041410" w:rsidR="00C67040" w:rsidRPr="00B06893" w:rsidRDefault="00AB1171" w:rsidP="00C67040">
      <w:pPr>
        <w:pStyle w:val="3-BodyText"/>
        <w:rPr>
          <w:bCs/>
        </w:rPr>
      </w:pPr>
      <w:r w:rsidRPr="00B06893">
        <w:rPr>
          <w:bCs/>
        </w:rPr>
        <w:t xml:space="preserve">JN.1 variant: A naïve indirect comparison between Spikevax and </w:t>
      </w:r>
      <w:r w:rsidR="00E34126" w:rsidRPr="00B06893">
        <w:rPr>
          <w:bCs/>
        </w:rPr>
        <w:t>Comirnaty</w:t>
      </w:r>
      <w:r w:rsidRPr="00B06893">
        <w:rPr>
          <w:bCs/>
        </w:rPr>
        <w:t xml:space="preserve"> for hospitalisation in individuals aged ≥65 years is provided in </w:t>
      </w:r>
      <w:r w:rsidRPr="00B06893">
        <w:rPr>
          <w:bCs/>
        </w:rPr>
        <w:fldChar w:fldCharType="begin"/>
      </w:r>
      <w:r w:rsidRPr="00B06893">
        <w:rPr>
          <w:bCs/>
        </w:rPr>
        <w:instrText xml:space="preserve"> REF _Ref216269923 \h </w:instrText>
      </w:r>
      <w:r w:rsidR="007C3AD5" w:rsidRPr="00B06893">
        <w:rPr>
          <w:bCs/>
        </w:rPr>
        <w:instrText xml:space="preserve"> \* MERGEFORMAT </w:instrText>
      </w:r>
      <w:r w:rsidRPr="00B06893">
        <w:rPr>
          <w:bCs/>
        </w:rPr>
      </w:r>
      <w:r w:rsidRPr="00B06893">
        <w:rPr>
          <w:bCs/>
        </w:rPr>
        <w:fldChar w:fldCharType="separate"/>
      </w:r>
      <w:r w:rsidR="00810177" w:rsidRPr="00B06893">
        <w:t>Table 13</w:t>
      </w:r>
      <w:r w:rsidRPr="00B06893">
        <w:rPr>
          <w:bCs/>
        </w:rPr>
        <w:fldChar w:fldCharType="end"/>
      </w:r>
      <w:r w:rsidRPr="00B06893">
        <w:rPr>
          <w:bCs/>
        </w:rPr>
        <w:t>.</w:t>
      </w:r>
    </w:p>
    <w:p w14:paraId="58BF8D9A" w14:textId="430866B1" w:rsidR="00AB1171" w:rsidRPr="00B06893" w:rsidRDefault="00AB1171" w:rsidP="00426CCC">
      <w:pPr>
        <w:pStyle w:val="Caption"/>
      </w:pPr>
      <w:bookmarkStart w:id="47" w:name="_Ref216269923"/>
      <w:r w:rsidRPr="00B06893">
        <w:lastRenderedPageBreak/>
        <w:t xml:space="preserve">Table </w:t>
      </w:r>
      <w:fldSimple w:instr=" SEQ Table \* ARABIC ">
        <w:r w:rsidR="00810177" w:rsidRPr="00B06893">
          <w:t>13</w:t>
        </w:r>
      </w:fldSimple>
      <w:bookmarkEnd w:id="47"/>
      <w:r w:rsidRPr="00B06893">
        <w:t xml:space="preserve">: VE (against hospitalisation) comparison of Spikevax and </w:t>
      </w:r>
      <w:r w:rsidR="00E34126" w:rsidRPr="00B06893">
        <w:t>Comirnaty</w:t>
      </w:r>
      <w:r w:rsidRPr="00B06893">
        <w:t xml:space="preserve"> (adapted for JN.1 variant)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3: VE (against hospitalisation) comparison of Spikevax and Comirnaty (adapted for JN.1 variant)"/>
      </w:tblPr>
      <w:tblGrid>
        <w:gridCol w:w="1127"/>
        <w:gridCol w:w="1127"/>
        <w:gridCol w:w="1127"/>
        <w:gridCol w:w="1127"/>
        <w:gridCol w:w="1127"/>
        <w:gridCol w:w="1127"/>
        <w:gridCol w:w="1127"/>
        <w:gridCol w:w="1128"/>
      </w:tblGrid>
      <w:tr w:rsidR="00AB1171" w:rsidRPr="00B06893" w14:paraId="17D2D2FD" w14:textId="77777777" w:rsidTr="00C03BFF">
        <w:trPr>
          <w:cantSplit/>
          <w:trHeight w:val="20"/>
        </w:trPr>
        <w:tc>
          <w:tcPr>
            <w:tcW w:w="4508" w:type="dxa"/>
            <w:gridSpan w:val="4"/>
            <w:noWrap/>
            <w:vAlign w:val="center"/>
          </w:tcPr>
          <w:p w14:paraId="47A8414F" w14:textId="77777777" w:rsidR="00AB1171" w:rsidRPr="00B06893" w:rsidRDefault="00AB1171" w:rsidP="00426CCC">
            <w:pPr>
              <w:pStyle w:val="Tabletext"/>
              <w:keepNext/>
              <w:rPr>
                <w:b/>
                <w:bCs/>
              </w:rPr>
            </w:pPr>
            <w:r w:rsidRPr="00B06893">
              <w:rPr>
                <w:b/>
                <w:bCs/>
              </w:rPr>
              <w:t>Spikevax</w:t>
            </w:r>
          </w:p>
        </w:tc>
        <w:tc>
          <w:tcPr>
            <w:tcW w:w="4509" w:type="dxa"/>
            <w:gridSpan w:val="4"/>
            <w:noWrap/>
            <w:vAlign w:val="center"/>
          </w:tcPr>
          <w:p w14:paraId="1CDE50EA" w14:textId="6B021F73" w:rsidR="00AB1171" w:rsidRPr="00B06893" w:rsidRDefault="00E34126" w:rsidP="00426CCC">
            <w:pPr>
              <w:pStyle w:val="Tabletext"/>
              <w:keepNext/>
              <w:rPr>
                <w:b/>
                <w:bCs/>
              </w:rPr>
            </w:pPr>
            <w:r w:rsidRPr="00B06893">
              <w:rPr>
                <w:b/>
                <w:bCs/>
              </w:rPr>
              <w:t>Comirnaty</w:t>
            </w:r>
          </w:p>
        </w:tc>
      </w:tr>
      <w:tr w:rsidR="00C03BFF" w:rsidRPr="00B06893" w14:paraId="39A8259B" w14:textId="77777777" w:rsidTr="00C03BFF">
        <w:trPr>
          <w:cantSplit/>
          <w:trHeight w:val="20"/>
        </w:trPr>
        <w:tc>
          <w:tcPr>
            <w:tcW w:w="1127" w:type="dxa"/>
            <w:noWrap/>
            <w:vAlign w:val="center"/>
            <w:hideMark/>
          </w:tcPr>
          <w:p w14:paraId="0DF4ED4F" w14:textId="77777777" w:rsidR="00AB1171" w:rsidRPr="00B06893" w:rsidRDefault="00AB1171" w:rsidP="00426CCC">
            <w:pPr>
              <w:pStyle w:val="Tabletext"/>
              <w:keepNext/>
              <w:rPr>
                <w:b/>
                <w:bCs/>
              </w:rPr>
            </w:pPr>
            <w:r w:rsidRPr="00B06893">
              <w:rPr>
                <w:b/>
                <w:bCs/>
              </w:rPr>
              <w:t>Study</w:t>
            </w:r>
          </w:p>
        </w:tc>
        <w:tc>
          <w:tcPr>
            <w:tcW w:w="1127" w:type="dxa"/>
            <w:noWrap/>
            <w:vAlign w:val="center"/>
            <w:hideMark/>
          </w:tcPr>
          <w:p w14:paraId="0840A86C" w14:textId="045EF11A" w:rsidR="00AB1171" w:rsidRPr="00B06893" w:rsidRDefault="00F60088" w:rsidP="00426CCC">
            <w:pPr>
              <w:pStyle w:val="Tabletext"/>
              <w:keepNext/>
              <w:rPr>
                <w:b/>
                <w:bCs/>
              </w:rPr>
            </w:pPr>
            <w:r w:rsidRPr="00B06893">
              <w:rPr>
                <w:b/>
                <w:bCs/>
              </w:rPr>
              <w:t>Mean follow</w:t>
            </w:r>
            <w:r w:rsidR="00193971">
              <w:rPr>
                <w:b/>
                <w:bCs/>
              </w:rPr>
              <w:noBreakHyphen/>
            </w:r>
            <w:r w:rsidRPr="00B06893">
              <w:rPr>
                <w:b/>
                <w:bCs/>
              </w:rPr>
              <w:t xml:space="preserve">up </w:t>
            </w:r>
            <w:r w:rsidR="00AB1171" w:rsidRPr="00B06893">
              <w:rPr>
                <w:b/>
                <w:bCs/>
              </w:rPr>
              <w:t>(days)</w:t>
            </w:r>
          </w:p>
        </w:tc>
        <w:tc>
          <w:tcPr>
            <w:tcW w:w="1127" w:type="dxa"/>
            <w:noWrap/>
            <w:vAlign w:val="center"/>
            <w:hideMark/>
          </w:tcPr>
          <w:p w14:paraId="3389FDF8" w14:textId="77777777" w:rsidR="00AB1171" w:rsidRPr="00B06893" w:rsidRDefault="00AB1171" w:rsidP="00426CCC">
            <w:pPr>
              <w:pStyle w:val="Tabletext"/>
              <w:keepNext/>
              <w:rPr>
                <w:b/>
                <w:bCs/>
              </w:rPr>
            </w:pPr>
            <w:r w:rsidRPr="00B06893">
              <w:rPr>
                <w:b/>
                <w:bCs/>
              </w:rPr>
              <w:t>Circulating strains</w:t>
            </w:r>
          </w:p>
        </w:tc>
        <w:tc>
          <w:tcPr>
            <w:tcW w:w="1127" w:type="dxa"/>
            <w:noWrap/>
            <w:vAlign w:val="center"/>
            <w:hideMark/>
          </w:tcPr>
          <w:p w14:paraId="4FE0D88D" w14:textId="77777777" w:rsidR="00AB1171" w:rsidRPr="00B06893" w:rsidRDefault="00AB1171" w:rsidP="00426CCC">
            <w:pPr>
              <w:pStyle w:val="Tabletext"/>
              <w:keepNext/>
              <w:rPr>
                <w:b/>
                <w:bCs/>
              </w:rPr>
            </w:pPr>
            <w:r w:rsidRPr="00B06893">
              <w:rPr>
                <w:b/>
                <w:bCs/>
              </w:rPr>
              <w:t>VE (95%CI)</w:t>
            </w:r>
          </w:p>
        </w:tc>
        <w:tc>
          <w:tcPr>
            <w:tcW w:w="1127" w:type="dxa"/>
            <w:noWrap/>
            <w:vAlign w:val="center"/>
            <w:hideMark/>
          </w:tcPr>
          <w:p w14:paraId="7FE081AB" w14:textId="77777777" w:rsidR="00AB1171" w:rsidRPr="00B06893" w:rsidRDefault="00AB1171" w:rsidP="00426CCC">
            <w:pPr>
              <w:pStyle w:val="Tabletext"/>
              <w:keepNext/>
              <w:rPr>
                <w:b/>
                <w:bCs/>
              </w:rPr>
            </w:pPr>
            <w:r w:rsidRPr="00B06893">
              <w:rPr>
                <w:b/>
                <w:bCs/>
              </w:rPr>
              <w:t>Study</w:t>
            </w:r>
          </w:p>
        </w:tc>
        <w:tc>
          <w:tcPr>
            <w:tcW w:w="1127" w:type="dxa"/>
            <w:noWrap/>
            <w:vAlign w:val="center"/>
            <w:hideMark/>
          </w:tcPr>
          <w:p w14:paraId="62DB8544" w14:textId="3EA104FD" w:rsidR="00AB1171" w:rsidRPr="00B06893" w:rsidRDefault="00F60088" w:rsidP="00426CCC">
            <w:pPr>
              <w:pStyle w:val="Tabletext"/>
              <w:keepNext/>
              <w:rPr>
                <w:b/>
                <w:bCs/>
              </w:rPr>
            </w:pPr>
            <w:r w:rsidRPr="00B06893">
              <w:rPr>
                <w:b/>
                <w:bCs/>
              </w:rPr>
              <w:t>Mean follow</w:t>
            </w:r>
            <w:r w:rsidR="00193971">
              <w:rPr>
                <w:b/>
                <w:bCs/>
              </w:rPr>
              <w:noBreakHyphen/>
            </w:r>
            <w:r w:rsidRPr="00B06893">
              <w:rPr>
                <w:b/>
                <w:bCs/>
              </w:rPr>
              <w:t xml:space="preserve">up </w:t>
            </w:r>
            <w:r w:rsidR="00D90EA3" w:rsidRPr="00B06893">
              <w:rPr>
                <w:b/>
                <w:bCs/>
              </w:rPr>
              <w:t>(days)</w:t>
            </w:r>
          </w:p>
        </w:tc>
        <w:tc>
          <w:tcPr>
            <w:tcW w:w="1127" w:type="dxa"/>
            <w:noWrap/>
            <w:vAlign w:val="center"/>
            <w:hideMark/>
          </w:tcPr>
          <w:p w14:paraId="1A945D31" w14:textId="77777777" w:rsidR="00AB1171" w:rsidRPr="00B06893" w:rsidRDefault="00AB1171" w:rsidP="00426CCC">
            <w:pPr>
              <w:pStyle w:val="Tabletext"/>
              <w:keepNext/>
              <w:rPr>
                <w:b/>
                <w:bCs/>
              </w:rPr>
            </w:pPr>
            <w:r w:rsidRPr="00B06893">
              <w:rPr>
                <w:b/>
                <w:bCs/>
              </w:rPr>
              <w:t>Circulating strains</w:t>
            </w:r>
          </w:p>
        </w:tc>
        <w:tc>
          <w:tcPr>
            <w:tcW w:w="1128" w:type="dxa"/>
            <w:noWrap/>
            <w:vAlign w:val="center"/>
            <w:hideMark/>
          </w:tcPr>
          <w:p w14:paraId="48C7F253" w14:textId="77777777" w:rsidR="00AB1171" w:rsidRPr="00B06893" w:rsidRDefault="00AB1171" w:rsidP="00426CCC">
            <w:pPr>
              <w:pStyle w:val="Tabletext"/>
              <w:keepNext/>
              <w:rPr>
                <w:b/>
                <w:bCs/>
              </w:rPr>
            </w:pPr>
            <w:r w:rsidRPr="00B06893">
              <w:rPr>
                <w:b/>
                <w:bCs/>
              </w:rPr>
              <w:t>VE (95%CI)</w:t>
            </w:r>
          </w:p>
        </w:tc>
      </w:tr>
      <w:tr w:rsidR="00AB1171" w:rsidRPr="00B06893" w14:paraId="54FA7A4C" w14:textId="77777777" w:rsidTr="00C03BFF">
        <w:trPr>
          <w:cantSplit/>
          <w:trHeight w:val="20"/>
        </w:trPr>
        <w:tc>
          <w:tcPr>
            <w:tcW w:w="9017" w:type="dxa"/>
            <w:gridSpan w:val="8"/>
            <w:noWrap/>
            <w:vAlign w:val="center"/>
            <w:hideMark/>
          </w:tcPr>
          <w:p w14:paraId="02B781C8" w14:textId="77777777" w:rsidR="00AB1171" w:rsidRPr="00B06893" w:rsidRDefault="00AB1171" w:rsidP="00426CCC">
            <w:pPr>
              <w:pStyle w:val="Tabletext"/>
              <w:keepNext/>
              <w:rPr>
                <w:b/>
                <w:bCs/>
              </w:rPr>
            </w:pPr>
            <w:r w:rsidRPr="00B06893">
              <w:rPr>
                <w:b/>
                <w:bCs/>
              </w:rPr>
              <w:t>≥ 65 years</w:t>
            </w:r>
          </w:p>
        </w:tc>
      </w:tr>
      <w:tr w:rsidR="00C03BFF" w:rsidRPr="00B06893" w14:paraId="05A1B38B" w14:textId="77777777" w:rsidTr="00C03BFF">
        <w:trPr>
          <w:cantSplit/>
          <w:trHeight w:val="20"/>
        </w:trPr>
        <w:tc>
          <w:tcPr>
            <w:tcW w:w="1127" w:type="dxa"/>
            <w:noWrap/>
            <w:vAlign w:val="center"/>
            <w:hideMark/>
          </w:tcPr>
          <w:p w14:paraId="391E2352" w14:textId="77777777" w:rsidR="00B465F0" w:rsidRPr="00B06893" w:rsidRDefault="00B465F0" w:rsidP="00B465F0">
            <w:pPr>
              <w:pStyle w:val="Tabletext"/>
              <w:keepNext/>
            </w:pPr>
            <w:r w:rsidRPr="00B06893">
              <w:t>Hansen (2025)</w:t>
            </w:r>
          </w:p>
          <w:p w14:paraId="543DC772" w14:textId="1E848E92" w:rsidR="00B465F0" w:rsidRPr="00B06893" w:rsidRDefault="00B465F0" w:rsidP="00B465F0">
            <w:pPr>
              <w:pStyle w:val="Tabletext"/>
              <w:keepNext/>
            </w:pPr>
            <w:r w:rsidRPr="00B06893">
              <w:rPr>
                <w:u w:val="single"/>
              </w:rPr>
              <w:t>N vaccinated</w:t>
            </w:r>
            <w:r w:rsidRPr="00B06893">
              <w:t xml:space="preserve"> = 91, 461.</w:t>
            </w:r>
          </w:p>
          <w:p w14:paraId="61194544" w14:textId="3980986B" w:rsidR="00B465F0" w:rsidRPr="00B06893" w:rsidRDefault="00B465F0" w:rsidP="00B465F0">
            <w:pPr>
              <w:pStyle w:val="Tabletext"/>
              <w:keepNext/>
            </w:pPr>
            <w:r w:rsidRPr="00B06893">
              <w:t>No. of cases = 10</w:t>
            </w:r>
          </w:p>
          <w:p w14:paraId="21832E47" w14:textId="77777777" w:rsidR="00B465F0" w:rsidRPr="00B06893" w:rsidRDefault="00B465F0" w:rsidP="00B465F0">
            <w:pPr>
              <w:pStyle w:val="Tabletext"/>
              <w:keepNext/>
            </w:pPr>
            <w:r w:rsidRPr="00B06893">
              <w:rPr>
                <w:u w:val="single"/>
              </w:rPr>
              <w:t>N not vaccinated</w:t>
            </w:r>
            <w:r w:rsidRPr="00B06893">
              <w:t xml:space="preserve"> = 859,216.</w:t>
            </w:r>
          </w:p>
          <w:p w14:paraId="283288A2" w14:textId="409314D6" w:rsidR="00AB1171" w:rsidRPr="00B06893" w:rsidRDefault="00B465F0" w:rsidP="00B465F0">
            <w:pPr>
              <w:pStyle w:val="Tabletext"/>
              <w:keepNext/>
            </w:pPr>
            <w:r w:rsidRPr="00B06893">
              <w:t>No. of cases = 278</w:t>
            </w:r>
          </w:p>
        </w:tc>
        <w:tc>
          <w:tcPr>
            <w:tcW w:w="1127" w:type="dxa"/>
            <w:noWrap/>
            <w:vAlign w:val="center"/>
            <w:hideMark/>
          </w:tcPr>
          <w:p w14:paraId="35B08339" w14:textId="77777777" w:rsidR="00AB1171" w:rsidRPr="00B06893" w:rsidRDefault="00AB1171" w:rsidP="00426CCC">
            <w:pPr>
              <w:pStyle w:val="Tabletext"/>
              <w:keepNext/>
            </w:pPr>
            <w:r w:rsidRPr="00B06893">
              <w:t>100.4 days</w:t>
            </w:r>
          </w:p>
        </w:tc>
        <w:tc>
          <w:tcPr>
            <w:tcW w:w="1127" w:type="dxa"/>
            <w:noWrap/>
            <w:vAlign w:val="center"/>
            <w:hideMark/>
          </w:tcPr>
          <w:p w14:paraId="4FA6E96A" w14:textId="77777777" w:rsidR="00AB1171" w:rsidRPr="00B06893" w:rsidRDefault="00AB1171" w:rsidP="00426CCC">
            <w:pPr>
              <w:pStyle w:val="Tabletext"/>
              <w:keepNext/>
            </w:pPr>
            <w:r w:rsidRPr="00B06893">
              <w:t>Any</w:t>
            </w:r>
          </w:p>
        </w:tc>
        <w:tc>
          <w:tcPr>
            <w:tcW w:w="1127" w:type="dxa"/>
            <w:noWrap/>
            <w:vAlign w:val="center"/>
            <w:hideMark/>
          </w:tcPr>
          <w:p w14:paraId="51555AD4" w14:textId="77777777" w:rsidR="00AB1171" w:rsidRPr="00B06893" w:rsidRDefault="00AB1171" w:rsidP="00426CCC">
            <w:pPr>
              <w:pStyle w:val="Tabletext"/>
              <w:keepNext/>
            </w:pPr>
            <w:r w:rsidRPr="00B06893">
              <w:t xml:space="preserve">84.9% </w:t>
            </w:r>
            <w:r w:rsidRPr="00B06893">
              <w:br/>
              <w:t>(70.9; 92.2)</w:t>
            </w:r>
          </w:p>
        </w:tc>
        <w:tc>
          <w:tcPr>
            <w:tcW w:w="1127" w:type="dxa"/>
            <w:noWrap/>
            <w:vAlign w:val="center"/>
            <w:hideMark/>
          </w:tcPr>
          <w:p w14:paraId="26418C55" w14:textId="77777777" w:rsidR="00B465F0" w:rsidRPr="00B06893" w:rsidRDefault="00B465F0" w:rsidP="00B465F0">
            <w:pPr>
              <w:pStyle w:val="Tabletext"/>
              <w:keepNext/>
            </w:pPr>
            <w:r w:rsidRPr="00B06893">
              <w:t>Hansen (2025)</w:t>
            </w:r>
          </w:p>
          <w:p w14:paraId="3BB15DF7" w14:textId="77777777" w:rsidR="00B465F0" w:rsidRPr="00B06893" w:rsidRDefault="00B465F0" w:rsidP="00B465F0">
            <w:pPr>
              <w:pStyle w:val="Tabletext"/>
              <w:keepNext/>
            </w:pPr>
            <w:r w:rsidRPr="00B06893">
              <w:rPr>
                <w:u w:val="single"/>
              </w:rPr>
              <w:t>N vaccinated</w:t>
            </w:r>
            <w:r w:rsidRPr="00B06893">
              <w:t xml:space="preserve"> = 728,768.</w:t>
            </w:r>
          </w:p>
          <w:p w14:paraId="1E6E9257" w14:textId="32DF1898" w:rsidR="00B465F0" w:rsidRPr="00B06893" w:rsidRDefault="00B465F0" w:rsidP="00B465F0">
            <w:pPr>
              <w:pStyle w:val="Tabletext"/>
              <w:keepNext/>
            </w:pPr>
            <w:r w:rsidRPr="00B06893">
              <w:t>No. of cases = 197</w:t>
            </w:r>
          </w:p>
          <w:p w14:paraId="12F0E3A2" w14:textId="77777777" w:rsidR="00B465F0" w:rsidRPr="00B06893" w:rsidRDefault="00B465F0" w:rsidP="00B465F0">
            <w:pPr>
              <w:pStyle w:val="Tabletext"/>
              <w:keepNext/>
            </w:pPr>
            <w:r w:rsidRPr="00B06893">
              <w:rPr>
                <w:u w:val="single"/>
              </w:rPr>
              <w:t>N not vaccinated</w:t>
            </w:r>
            <w:r w:rsidRPr="00B06893">
              <w:t xml:space="preserve"> = 859,216.</w:t>
            </w:r>
          </w:p>
          <w:p w14:paraId="528A5041" w14:textId="20E5673A" w:rsidR="00AB1171" w:rsidRPr="00B06893" w:rsidRDefault="00B465F0" w:rsidP="00B465F0">
            <w:pPr>
              <w:pStyle w:val="Tabletext"/>
              <w:keepNext/>
            </w:pPr>
            <w:r w:rsidRPr="00B06893">
              <w:t>No. of cases = 278</w:t>
            </w:r>
          </w:p>
        </w:tc>
        <w:tc>
          <w:tcPr>
            <w:tcW w:w="1127" w:type="dxa"/>
            <w:noWrap/>
            <w:vAlign w:val="center"/>
            <w:hideMark/>
          </w:tcPr>
          <w:p w14:paraId="1F35B444" w14:textId="77777777" w:rsidR="00AB1171" w:rsidRPr="00B06893" w:rsidRDefault="00AB1171" w:rsidP="00426CCC">
            <w:pPr>
              <w:pStyle w:val="Tabletext"/>
              <w:keepNext/>
            </w:pPr>
            <w:r w:rsidRPr="00B06893">
              <w:t>86.3 days</w:t>
            </w:r>
          </w:p>
        </w:tc>
        <w:tc>
          <w:tcPr>
            <w:tcW w:w="1127" w:type="dxa"/>
            <w:noWrap/>
            <w:vAlign w:val="center"/>
            <w:hideMark/>
          </w:tcPr>
          <w:p w14:paraId="6A5168B2" w14:textId="77777777" w:rsidR="00AB1171" w:rsidRPr="00B06893" w:rsidRDefault="00AB1171" w:rsidP="00426CCC">
            <w:pPr>
              <w:pStyle w:val="Tabletext"/>
              <w:keepNext/>
            </w:pPr>
            <w:r w:rsidRPr="00B06893">
              <w:t>Any</w:t>
            </w:r>
          </w:p>
        </w:tc>
        <w:tc>
          <w:tcPr>
            <w:tcW w:w="1128" w:type="dxa"/>
            <w:noWrap/>
            <w:vAlign w:val="center"/>
            <w:hideMark/>
          </w:tcPr>
          <w:p w14:paraId="502A6641" w14:textId="77777777" w:rsidR="00AB1171" w:rsidRPr="00B06893" w:rsidRDefault="00AB1171" w:rsidP="00426CCC">
            <w:pPr>
              <w:pStyle w:val="Tabletext"/>
              <w:keepNext/>
            </w:pPr>
            <w:r w:rsidRPr="00B06893">
              <w:t xml:space="preserve">70.2% </w:t>
            </w:r>
            <w:r w:rsidRPr="00B06893">
              <w:br/>
              <w:t>(62.0; 76.6)</w:t>
            </w:r>
          </w:p>
        </w:tc>
      </w:tr>
    </w:tbl>
    <w:p w14:paraId="27718C80" w14:textId="0F28C433" w:rsidR="00AB1171" w:rsidRPr="00B06893" w:rsidRDefault="00AB1171" w:rsidP="00426CCC">
      <w:pPr>
        <w:pStyle w:val="TableFooter"/>
        <w:keepNext/>
        <w:rPr>
          <w:lang w:eastAsia="ja-JP"/>
        </w:rPr>
      </w:pPr>
      <w:r w:rsidRPr="00B06893">
        <w:rPr>
          <w:lang w:eastAsia="ja-JP"/>
        </w:rPr>
        <w:t>Source:</w:t>
      </w:r>
      <w:r w:rsidR="00580BAD">
        <w:rPr>
          <w:lang w:eastAsia="ja-JP"/>
        </w:rPr>
        <w:t xml:space="preserve"> </w:t>
      </w:r>
      <w:r w:rsidRPr="00B06893">
        <w:rPr>
          <w:lang w:eastAsia="ja-JP"/>
        </w:rPr>
        <w:t>Table 40, p60 of the 2025 ATAGI Pre</w:t>
      </w:r>
      <w:r w:rsidR="00193971">
        <w:rPr>
          <w:lang w:eastAsia="ja-JP"/>
        </w:rPr>
        <w:noBreakHyphen/>
      </w:r>
      <w:r w:rsidRPr="00B06893">
        <w:rPr>
          <w:lang w:eastAsia="ja-JP"/>
        </w:rPr>
        <w:t>Submission Advice</w:t>
      </w:r>
      <w:r w:rsidR="008719DD" w:rsidRPr="00B06893">
        <w:rPr>
          <w:lang w:eastAsia="ja-JP"/>
        </w:rPr>
        <w:t xml:space="preserve"> and Hansen (2025)</w:t>
      </w:r>
      <w:r w:rsidR="00814309" w:rsidRPr="00B06893">
        <w:rPr>
          <w:rStyle w:val="FootnoteReference"/>
          <w:lang w:eastAsia="ja-JP"/>
        </w:rPr>
        <w:footnoteReference w:id="14"/>
      </w:r>
    </w:p>
    <w:p w14:paraId="4A27DC65" w14:textId="77777777" w:rsidR="00AB1171" w:rsidRPr="00B06893" w:rsidRDefault="00AB1171" w:rsidP="00426CCC">
      <w:pPr>
        <w:pStyle w:val="TableFooter"/>
        <w:keepNext/>
        <w:rPr>
          <w:lang w:eastAsia="ja-JP"/>
        </w:rPr>
      </w:pPr>
      <w:r w:rsidRPr="00B06893">
        <w:rPr>
          <w:lang w:eastAsia="ja-JP"/>
        </w:rPr>
        <w:t>CI = confidence interval; VE = vaccine effectiveness</w:t>
      </w:r>
    </w:p>
    <w:p w14:paraId="6A065145" w14:textId="763EFCFC" w:rsidR="00AB1171" w:rsidRPr="00B06893" w:rsidRDefault="00AB1171" w:rsidP="00426CCC">
      <w:pPr>
        <w:pStyle w:val="TableFooter"/>
        <w:keepNext/>
        <w:rPr>
          <w:lang w:eastAsia="ja-JP"/>
        </w:rPr>
      </w:pPr>
      <w:r w:rsidRPr="00B06893">
        <w:rPr>
          <w:lang w:eastAsia="ja-JP"/>
        </w:rPr>
        <w:t>Note: Follow up times were converted into days to permit a comparison</w:t>
      </w:r>
    </w:p>
    <w:p w14:paraId="56BE5552" w14:textId="77777777" w:rsidR="00AB1171" w:rsidRPr="00B06893" w:rsidRDefault="00AB1171" w:rsidP="00AB1171">
      <w:pPr>
        <w:pStyle w:val="TableFooter"/>
        <w:rPr>
          <w:lang w:eastAsia="ja-JP"/>
        </w:rPr>
      </w:pPr>
    </w:p>
    <w:p w14:paraId="34773766" w14:textId="3333C8A8" w:rsidR="00AB1171" w:rsidRPr="00B06893" w:rsidRDefault="00AB1171" w:rsidP="00AB1171">
      <w:pPr>
        <w:pStyle w:val="3-BodyText"/>
        <w:rPr>
          <w:bCs/>
        </w:rPr>
      </w:pPr>
      <w:r w:rsidRPr="00B06893">
        <w:rPr>
          <w:bCs/>
        </w:rPr>
        <w:t xml:space="preserve">VE numerically favoured Spikevax over </w:t>
      </w:r>
      <w:r w:rsidR="00E34126" w:rsidRPr="00B06893">
        <w:rPr>
          <w:bCs/>
        </w:rPr>
        <w:t>Comirnaty</w:t>
      </w:r>
      <w:r w:rsidRPr="00B06893">
        <w:rPr>
          <w:bCs/>
        </w:rPr>
        <w:t xml:space="preserve"> (84.9% vs. 70.2%), however, the 95% confidence intervals overlapped. The </w:t>
      </w:r>
      <w:r w:rsidR="00A60A60" w:rsidRPr="00B06893">
        <w:rPr>
          <w:bCs/>
        </w:rPr>
        <w:t xml:space="preserve">mean </w:t>
      </w:r>
      <w:r w:rsidRPr="00B06893">
        <w:rPr>
          <w:bCs/>
        </w:rPr>
        <w:t>follow</w:t>
      </w:r>
      <w:r w:rsidR="00193971">
        <w:rPr>
          <w:bCs/>
        </w:rPr>
        <w:noBreakHyphen/>
      </w:r>
      <w:r w:rsidRPr="00B06893">
        <w:rPr>
          <w:bCs/>
        </w:rPr>
        <w:t>up time was slightly longer for Spikevax</w:t>
      </w:r>
      <w:r w:rsidR="002E0878" w:rsidRPr="00B06893">
        <w:rPr>
          <w:bCs/>
        </w:rPr>
        <w:t xml:space="preserve"> in this retrospective cohort study</w:t>
      </w:r>
      <w:r w:rsidRPr="00B06893">
        <w:rPr>
          <w:bCs/>
        </w:rPr>
        <w:t>.</w:t>
      </w:r>
    </w:p>
    <w:p w14:paraId="577221EB" w14:textId="7AE1F6BA" w:rsidR="00AB1171" w:rsidRPr="00B06893" w:rsidRDefault="00AB1171" w:rsidP="00AB1171">
      <w:pPr>
        <w:pStyle w:val="3-BodyText"/>
        <w:rPr>
          <w:bCs/>
        </w:rPr>
      </w:pPr>
      <w:r w:rsidRPr="00B06893">
        <w:rPr>
          <w:bCs/>
        </w:rPr>
        <w:t xml:space="preserve">KP.2 variant: A naïve indirect comparison of VE against hospitalisation for Spikevax and </w:t>
      </w:r>
      <w:r w:rsidR="00E34126" w:rsidRPr="00B06893">
        <w:rPr>
          <w:bCs/>
        </w:rPr>
        <w:t>Comirnaty</w:t>
      </w:r>
      <w:r w:rsidRPr="00B06893">
        <w:rPr>
          <w:bCs/>
        </w:rPr>
        <w:t xml:space="preserve"> (KP.2 variant) in individuals aged ≥18 years and ≥ 65 years is summarised in </w:t>
      </w:r>
      <w:r w:rsidR="00426CCC" w:rsidRPr="00B06893">
        <w:rPr>
          <w:bCs/>
        </w:rPr>
        <w:fldChar w:fldCharType="begin"/>
      </w:r>
      <w:r w:rsidR="00426CCC" w:rsidRPr="00B06893">
        <w:rPr>
          <w:bCs/>
        </w:rPr>
        <w:instrText xml:space="preserve"> REF _Ref216270517 \h </w:instrText>
      </w:r>
      <w:r w:rsidR="007C3AD5" w:rsidRPr="00B06893">
        <w:rPr>
          <w:bCs/>
        </w:rPr>
        <w:instrText xml:space="preserve"> \* MERGEFORMAT </w:instrText>
      </w:r>
      <w:r w:rsidR="00426CCC" w:rsidRPr="00B06893">
        <w:rPr>
          <w:bCs/>
        </w:rPr>
      </w:r>
      <w:r w:rsidR="00426CCC" w:rsidRPr="00B06893">
        <w:rPr>
          <w:bCs/>
        </w:rPr>
        <w:fldChar w:fldCharType="separate"/>
      </w:r>
      <w:r w:rsidR="00810177" w:rsidRPr="00B06893">
        <w:t>Table 14</w:t>
      </w:r>
      <w:r w:rsidR="00426CCC" w:rsidRPr="00B06893">
        <w:rPr>
          <w:bCs/>
        </w:rPr>
        <w:fldChar w:fldCharType="end"/>
      </w:r>
      <w:r w:rsidR="00426CCC" w:rsidRPr="00B06893">
        <w:rPr>
          <w:bCs/>
        </w:rPr>
        <w:t>.</w:t>
      </w:r>
    </w:p>
    <w:p w14:paraId="2632DEF7" w14:textId="40865177" w:rsidR="00AB1171" w:rsidRPr="00B06893" w:rsidRDefault="00AB1171" w:rsidP="00426CCC">
      <w:pPr>
        <w:pStyle w:val="Caption"/>
      </w:pPr>
      <w:bookmarkStart w:id="48" w:name="_Ref216270517"/>
      <w:r w:rsidRPr="00B06893">
        <w:lastRenderedPageBreak/>
        <w:t xml:space="preserve">Table </w:t>
      </w:r>
      <w:fldSimple w:instr=" SEQ Table \* ARABIC ">
        <w:r w:rsidR="00810177" w:rsidRPr="00B06893">
          <w:t>14</w:t>
        </w:r>
      </w:fldSimple>
      <w:bookmarkEnd w:id="48"/>
      <w:r w:rsidRPr="00B06893">
        <w:t xml:space="preserve">:VE (against </w:t>
      </w:r>
      <w:r w:rsidR="009E6755" w:rsidRPr="00B06893">
        <w:t>COVID</w:t>
      </w:r>
      <w:r w:rsidR="00193971">
        <w:noBreakHyphen/>
      </w:r>
      <w:r w:rsidR="009E6755" w:rsidRPr="00B06893">
        <w:t xml:space="preserve">19 related </w:t>
      </w:r>
      <w:r w:rsidRPr="00B06893">
        <w:t xml:space="preserve">hospitalisation) comparison of </w:t>
      </w:r>
      <w:r w:rsidR="00A93CFE" w:rsidRPr="00B06893">
        <w:t>Spikevax</w:t>
      </w:r>
      <w:r w:rsidRPr="00B06893">
        <w:t xml:space="preserve"> and </w:t>
      </w:r>
      <w:r w:rsidR="00E34126" w:rsidRPr="00B06893">
        <w:t>Comirnaty</w:t>
      </w:r>
      <w:r w:rsidRPr="00B06893">
        <w:t xml:space="preserve"> (KP.2 variant)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4:VE (against COVID 19 related hospitalisation) comparison of Spikevax and Comirnaty (KP.2 variant)"/>
      </w:tblPr>
      <w:tblGrid>
        <w:gridCol w:w="1127"/>
        <w:gridCol w:w="1127"/>
        <w:gridCol w:w="1127"/>
        <w:gridCol w:w="1127"/>
        <w:gridCol w:w="1127"/>
        <w:gridCol w:w="1127"/>
        <w:gridCol w:w="1127"/>
        <w:gridCol w:w="1128"/>
      </w:tblGrid>
      <w:tr w:rsidR="00C03BFF" w:rsidRPr="00B06893" w14:paraId="4C17A69C" w14:textId="77777777" w:rsidTr="00501A02">
        <w:trPr>
          <w:cantSplit/>
          <w:trHeight w:val="20"/>
        </w:trPr>
        <w:tc>
          <w:tcPr>
            <w:tcW w:w="4508" w:type="dxa"/>
            <w:gridSpan w:val="4"/>
            <w:noWrap/>
            <w:vAlign w:val="center"/>
          </w:tcPr>
          <w:p w14:paraId="3ADD41C4" w14:textId="6186C1F2" w:rsidR="00C03BFF" w:rsidRPr="00B06893" w:rsidRDefault="00A93CFE" w:rsidP="00501A02">
            <w:pPr>
              <w:pStyle w:val="Tabletext"/>
              <w:keepNext/>
              <w:rPr>
                <w:b/>
                <w:bCs/>
              </w:rPr>
            </w:pPr>
            <w:r w:rsidRPr="00B06893">
              <w:rPr>
                <w:b/>
                <w:bCs/>
              </w:rPr>
              <w:t>Spikevax</w:t>
            </w:r>
          </w:p>
        </w:tc>
        <w:tc>
          <w:tcPr>
            <w:tcW w:w="4509" w:type="dxa"/>
            <w:gridSpan w:val="4"/>
            <w:noWrap/>
            <w:vAlign w:val="center"/>
          </w:tcPr>
          <w:p w14:paraId="5530CC3A" w14:textId="531E8F9A" w:rsidR="00C03BFF" w:rsidRPr="00B06893" w:rsidRDefault="00E34126" w:rsidP="00501A02">
            <w:pPr>
              <w:pStyle w:val="Tabletext"/>
              <w:keepNext/>
              <w:rPr>
                <w:b/>
                <w:bCs/>
              </w:rPr>
            </w:pPr>
            <w:r w:rsidRPr="00B06893">
              <w:rPr>
                <w:b/>
                <w:bCs/>
              </w:rPr>
              <w:t>Comirnaty</w:t>
            </w:r>
          </w:p>
        </w:tc>
      </w:tr>
      <w:tr w:rsidR="00C03BFF" w:rsidRPr="00B06893" w14:paraId="0D18FA9F" w14:textId="77777777" w:rsidTr="00501A02">
        <w:trPr>
          <w:cantSplit/>
          <w:trHeight w:val="20"/>
        </w:trPr>
        <w:tc>
          <w:tcPr>
            <w:tcW w:w="1127" w:type="dxa"/>
            <w:noWrap/>
            <w:vAlign w:val="center"/>
            <w:hideMark/>
          </w:tcPr>
          <w:p w14:paraId="425F8AD5" w14:textId="77777777" w:rsidR="00C03BFF" w:rsidRPr="00B06893" w:rsidRDefault="00C03BFF" w:rsidP="00501A02">
            <w:pPr>
              <w:pStyle w:val="Tabletext"/>
              <w:keepNext/>
              <w:rPr>
                <w:b/>
                <w:bCs/>
              </w:rPr>
            </w:pPr>
            <w:r w:rsidRPr="00B06893">
              <w:rPr>
                <w:b/>
                <w:bCs/>
              </w:rPr>
              <w:t>Study</w:t>
            </w:r>
          </w:p>
        </w:tc>
        <w:tc>
          <w:tcPr>
            <w:tcW w:w="1127" w:type="dxa"/>
            <w:noWrap/>
            <w:vAlign w:val="center"/>
            <w:hideMark/>
          </w:tcPr>
          <w:p w14:paraId="665DF740" w14:textId="42E24DB3" w:rsidR="00C03BFF" w:rsidRPr="00B06893" w:rsidRDefault="00F60088" w:rsidP="00501A02">
            <w:pPr>
              <w:pStyle w:val="Tabletext"/>
              <w:keepNext/>
              <w:rPr>
                <w:b/>
                <w:bCs/>
              </w:rPr>
            </w:pPr>
            <w:r w:rsidRPr="00B06893">
              <w:rPr>
                <w:b/>
                <w:bCs/>
              </w:rPr>
              <w:t>Mean follow</w:t>
            </w:r>
            <w:r w:rsidR="00193971">
              <w:rPr>
                <w:b/>
                <w:bCs/>
              </w:rPr>
              <w:noBreakHyphen/>
            </w:r>
            <w:r w:rsidRPr="00B06893">
              <w:rPr>
                <w:b/>
                <w:bCs/>
              </w:rPr>
              <w:t xml:space="preserve">up </w:t>
            </w:r>
            <w:r w:rsidR="00C03BFF" w:rsidRPr="00B06893">
              <w:rPr>
                <w:b/>
                <w:bCs/>
              </w:rPr>
              <w:t>(days)</w:t>
            </w:r>
          </w:p>
        </w:tc>
        <w:tc>
          <w:tcPr>
            <w:tcW w:w="1127" w:type="dxa"/>
            <w:noWrap/>
            <w:vAlign w:val="center"/>
            <w:hideMark/>
          </w:tcPr>
          <w:p w14:paraId="3DE34557" w14:textId="77777777" w:rsidR="00C03BFF" w:rsidRPr="00B06893" w:rsidRDefault="00C03BFF" w:rsidP="00501A02">
            <w:pPr>
              <w:pStyle w:val="Tabletext"/>
              <w:keepNext/>
              <w:rPr>
                <w:b/>
                <w:bCs/>
              </w:rPr>
            </w:pPr>
            <w:r w:rsidRPr="00B06893">
              <w:rPr>
                <w:b/>
                <w:bCs/>
              </w:rPr>
              <w:t>Circulating strains</w:t>
            </w:r>
          </w:p>
        </w:tc>
        <w:tc>
          <w:tcPr>
            <w:tcW w:w="1127" w:type="dxa"/>
            <w:noWrap/>
            <w:vAlign w:val="center"/>
            <w:hideMark/>
          </w:tcPr>
          <w:p w14:paraId="52E7F472" w14:textId="77777777" w:rsidR="00C03BFF" w:rsidRPr="00B06893" w:rsidRDefault="00C03BFF" w:rsidP="00501A02">
            <w:pPr>
              <w:pStyle w:val="Tabletext"/>
              <w:keepNext/>
              <w:rPr>
                <w:b/>
                <w:bCs/>
              </w:rPr>
            </w:pPr>
            <w:r w:rsidRPr="00B06893">
              <w:rPr>
                <w:b/>
                <w:bCs/>
              </w:rPr>
              <w:t>VE (95%CI)</w:t>
            </w:r>
          </w:p>
        </w:tc>
        <w:tc>
          <w:tcPr>
            <w:tcW w:w="1127" w:type="dxa"/>
            <w:noWrap/>
            <w:vAlign w:val="center"/>
            <w:hideMark/>
          </w:tcPr>
          <w:p w14:paraId="27998B16" w14:textId="77777777" w:rsidR="00C03BFF" w:rsidRPr="00B06893" w:rsidRDefault="00C03BFF" w:rsidP="00501A02">
            <w:pPr>
              <w:pStyle w:val="Tabletext"/>
              <w:keepNext/>
              <w:rPr>
                <w:b/>
                <w:bCs/>
              </w:rPr>
            </w:pPr>
            <w:r w:rsidRPr="00B06893">
              <w:rPr>
                <w:b/>
                <w:bCs/>
              </w:rPr>
              <w:t>Study</w:t>
            </w:r>
          </w:p>
        </w:tc>
        <w:tc>
          <w:tcPr>
            <w:tcW w:w="1127" w:type="dxa"/>
            <w:noWrap/>
            <w:vAlign w:val="center"/>
            <w:hideMark/>
          </w:tcPr>
          <w:p w14:paraId="4879A462" w14:textId="62B02976" w:rsidR="00C03BFF" w:rsidRPr="00B06893" w:rsidRDefault="00F60088" w:rsidP="00501A02">
            <w:pPr>
              <w:pStyle w:val="Tabletext"/>
              <w:keepNext/>
              <w:rPr>
                <w:b/>
                <w:bCs/>
              </w:rPr>
            </w:pPr>
            <w:r w:rsidRPr="00B06893">
              <w:rPr>
                <w:b/>
                <w:bCs/>
              </w:rPr>
              <w:t>Mean follow</w:t>
            </w:r>
            <w:r w:rsidR="00193971">
              <w:rPr>
                <w:b/>
                <w:bCs/>
              </w:rPr>
              <w:noBreakHyphen/>
            </w:r>
            <w:r w:rsidRPr="00B06893">
              <w:rPr>
                <w:b/>
                <w:bCs/>
              </w:rPr>
              <w:t>up (days)</w:t>
            </w:r>
          </w:p>
        </w:tc>
        <w:tc>
          <w:tcPr>
            <w:tcW w:w="1127" w:type="dxa"/>
            <w:noWrap/>
            <w:vAlign w:val="center"/>
            <w:hideMark/>
          </w:tcPr>
          <w:p w14:paraId="7DA411D3" w14:textId="77777777" w:rsidR="00C03BFF" w:rsidRPr="00B06893" w:rsidRDefault="00C03BFF" w:rsidP="00501A02">
            <w:pPr>
              <w:pStyle w:val="Tabletext"/>
              <w:keepNext/>
              <w:rPr>
                <w:b/>
                <w:bCs/>
              </w:rPr>
            </w:pPr>
            <w:r w:rsidRPr="00B06893">
              <w:rPr>
                <w:b/>
                <w:bCs/>
              </w:rPr>
              <w:t>Circulating strains</w:t>
            </w:r>
          </w:p>
        </w:tc>
        <w:tc>
          <w:tcPr>
            <w:tcW w:w="1128" w:type="dxa"/>
            <w:noWrap/>
            <w:vAlign w:val="center"/>
            <w:hideMark/>
          </w:tcPr>
          <w:p w14:paraId="1A4CBDC5" w14:textId="77777777" w:rsidR="00C03BFF" w:rsidRPr="00B06893" w:rsidRDefault="00C03BFF" w:rsidP="00501A02">
            <w:pPr>
              <w:pStyle w:val="Tabletext"/>
              <w:keepNext/>
              <w:rPr>
                <w:b/>
                <w:bCs/>
              </w:rPr>
            </w:pPr>
            <w:r w:rsidRPr="00B06893">
              <w:rPr>
                <w:b/>
                <w:bCs/>
              </w:rPr>
              <w:t>VE (95%CI)</w:t>
            </w:r>
          </w:p>
        </w:tc>
      </w:tr>
      <w:tr w:rsidR="00C03BFF" w:rsidRPr="00B06893" w14:paraId="24ACD2A6" w14:textId="77777777" w:rsidTr="00501A02">
        <w:trPr>
          <w:cantSplit/>
          <w:trHeight w:val="20"/>
        </w:trPr>
        <w:tc>
          <w:tcPr>
            <w:tcW w:w="9017" w:type="dxa"/>
            <w:gridSpan w:val="8"/>
            <w:noWrap/>
            <w:vAlign w:val="center"/>
            <w:hideMark/>
          </w:tcPr>
          <w:p w14:paraId="12536741" w14:textId="763128FF" w:rsidR="00C03BFF" w:rsidRPr="00B06893" w:rsidRDefault="00C03BFF" w:rsidP="00501A02">
            <w:pPr>
              <w:pStyle w:val="Tabletext"/>
              <w:keepNext/>
              <w:rPr>
                <w:b/>
                <w:bCs/>
              </w:rPr>
            </w:pPr>
            <w:r w:rsidRPr="00B06893">
              <w:rPr>
                <w:b/>
                <w:bCs/>
              </w:rPr>
              <w:t>≥18 years</w:t>
            </w:r>
          </w:p>
        </w:tc>
      </w:tr>
      <w:tr w:rsidR="00383215" w:rsidRPr="00B06893" w14:paraId="3EE2A786" w14:textId="77777777" w:rsidTr="00501A02">
        <w:trPr>
          <w:cantSplit/>
          <w:trHeight w:val="20"/>
        </w:trPr>
        <w:tc>
          <w:tcPr>
            <w:tcW w:w="1127" w:type="dxa"/>
            <w:noWrap/>
            <w:vAlign w:val="center"/>
            <w:hideMark/>
          </w:tcPr>
          <w:p w14:paraId="0E12E555" w14:textId="77777777" w:rsidR="00383215" w:rsidRPr="00B06893" w:rsidRDefault="00383215" w:rsidP="00383215">
            <w:pPr>
              <w:pStyle w:val="Tabletext"/>
              <w:keepNext/>
            </w:pPr>
            <w:r w:rsidRPr="00B06893">
              <w:t>Wilson (2025)</w:t>
            </w:r>
            <w:r w:rsidRPr="00B06893">
              <w:rPr>
                <w:vertAlign w:val="superscript"/>
              </w:rPr>
              <w:t>a</w:t>
            </w:r>
          </w:p>
          <w:p w14:paraId="05F49F8F" w14:textId="77777777" w:rsidR="00383215" w:rsidRPr="00B06893" w:rsidRDefault="00383215" w:rsidP="00383215">
            <w:pPr>
              <w:pStyle w:val="Tabletext"/>
              <w:keepNext/>
            </w:pPr>
            <w:r w:rsidRPr="00B06893">
              <w:rPr>
                <w:u w:val="single"/>
              </w:rPr>
              <w:t>N vaccinated</w:t>
            </w:r>
            <w:r w:rsidRPr="00B06893">
              <w:t xml:space="preserve"> = 465, 073.</w:t>
            </w:r>
          </w:p>
          <w:p w14:paraId="1499F4D6" w14:textId="77777777" w:rsidR="00383215" w:rsidRPr="00B06893" w:rsidRDefault="00383215" w:rsidP="00383215">
            <w:pPr>
              <w:pStyle w:val="Tabletext"/>
              <w:keepNext/>
            </w:pPr>
            <w:r w:rsidRPr="00B06893">
              <w:t>No. of cases = 51</w:t>
            </w:r>
          </w:p>
          <w:p w14:paraId="71527EF2" w14:textId="77777777" w:rsidR="00383215" w:rsidRPr="00B06893" w:rsidRDefault="00383215" w:rsidP="00383215">
            <w:pPr>
              <w:pStyle w:val="Tabletext"/>
              <w:keepNext/>
            </w:pPr>
            <w:r w:rsidRPr="00B06893">
              <w:rPr>
                <w:u w:val="single"/>
              </w:rPr>
              <w:t>N not vaccinated</w:t>
            </w:r>
            <w:r w:rsidRPr="00B06893">
              <w:t xml:space="preserve"> = 465, 073.</w:t>
            </w:r>
          </w:p>
          <w:p w14:paraId="151A0053" w14:textId="04DCF584" w:rsidR="00383215" w:rsidRPr="00B06893" w:rsidRDefault="00383215" w:rsidP="00383215">
            <w:pPr>
              <w:pStyle w:val="Tabletext"/>
              <w:keepNext/>
            </w:pPr>
            <w:r w:rsidRPr="00B06893">
              <w:t>No. of cases = 118</w:t>
            </w:r>
          </w:p>
        </w:tc>
        <w:tc>
          <w:tcPr>
            <w:tcW w:w="1127" w:type="dxa"/>
            <w:noWrap/>
            <w:vAlign w:val="center"/>
            <w:hideMark/>
          </w:tcPr>
          <w:p w14:paraId="218B37B6" w14:textId="0497E480" w:rsidR="00383215" w:rsidRPr="00B06893" w:rsidRDefault="00383215" w:rsidP="00383215">
            <w:pPr>
              <w:pStyle w:val="Tabletext"/>
              <w:keepNext/>
            </w:pPr>
            <w:r w:rsidRPr="00B06893">
              <w:t>57 days</w:t>
            </w:r>
          </w:p>
        </w:tc>
        <w:tc>
          <w:tcPr>
            <w:tcW w:w="1127" w:type="dxa"/>
            <w:noWrap/>
            <w:vAlign w:val="center"/>
            <w:hideMark/>
          </w:tcPr>
          <w:p w14:paraId="74E5067F" w14:textId="0BD448B8" w:rsidR="00383215" w:rsidRPr="00B06893" w:rsidRDefault="00383215" w:rsidP="00383215">
            <w:pPr>
              <w:pStyle w:val="Tabletext"/>
              <w:keepNext/>
            </w:pPr>
            <w:r w:rsidRPr="00B06893">
              <w:t>Any</w:t>
            </w:r>
          </w:p>
        </w:tc>
        <w:tc>
          <w:tcPr>
            <w:tcW w:w="1127" w:type="dxa"/>
            <w:noWrap/>
            <w:vAlign w:val="center"/>
            <w:hideMark/>
          </w:tcPr>
          <w:p w14:paraId="11373DFC" w14:textId="2FECFAB3" w:rsidR="00383215" w:rsidRPr="00B06893" w:rsidRDefault="00383215" w:rsidP="00383215">
            <w:pPr>
              <w:pStyle w:val="Tabletext"/>
              <w:keepNext/>
            </w:pPr>
            <w:r w:rsidRPr="00B06893">
              <w:t xml:space="preserve">52.8% </w:t>
            </w:r>
            <w:r w:rsidRPr="00B06893">
              <w:br/>
              <w:t>(34.8; 65.8)</w:t>
            </w:r>
          </w:p>
        </w:tc>
        <w:tc>
          <w:tcPr>
            <w:tcW w:w="1127" w:type="dxa"/>
            <w:noWrap/>
            <w:vAlign w:val="center"/>
            <w:hideMark/>
          </w:tcPr>
          <w:p w14:paraId="0F51AC2A" w14:textId="783A96E3" w:rsidR="00383215" w:rsidRPr="00B06893" w:rsidRDefault="00383215" w:rsidP="00383215">
            <w:pPr>
              <w:pStyle w:val="Tabletext"/>
              <w:keepNext/>
              <w:rPr>
                <w:vertAlign w:val="superscript"/>
              </w:rPr>
            </w:pPr>
            <w:r w:rsidRPr="00B06893">
              <w:t>Appaneal (2025)</w:t>
            </w:r>
            <w:r w:rsidRPr="00B06893">
              <w:rPr>
                <w:vertAlign w:val="superscript"/>
              </w:rPr>
              <w:t>b</w:t>
            </w:r>
          </w:p>
        </w:tc>
        <w:tc>
          <w:tcPr>
            <w:tcW w:w="1127" w:type="dxa"/>
            <w:noWrap/>
            <w:vAlign w:val="center"/>
            <w:hideMark/>
          </w:tcPr>
          <w:p w14:paraId="4B4682E6" w14:textId="038E4E88" w:rsidR="00383215" w:rsidRPr="00B06893" w:rsidRDefault="00383215" w:rsidP="00383215">
            <w:pPr>
              <w:pStyle w:val="Tabletext"/>
              <w:keepNext/>
            </w:pPr>
            <w:r w:rsidRPr="00B06893">
              <w:t>33 days</w:t>
            </w:r>
          </w:p>
        </w:tc>
        <w:tc>
          <w:tcPr>
            <w:tcW w:w="1127" w:type="dxa"/>
            <w:noWrap/>
            <w:vAlign w:val="center"/>
            <w:hideMark/>
          </w:tcPr>
          <w:p w14:paraId="6B18A1DF" w14:textId="6B42B45C" w:rsidR="00383215" w:rsidRPr="00B06893" w:rsidRDefault="00383215" w:rsidP="00383215">
            <w:pPr>
              <w:pStyle w:val="Tabletext"/>
              <w:keepNext/>
            </w:pPr>
            <w:r w:rsidRPr="00B06893">
              <w:t>Any</w:t>
            </w:r>
          </w:p>
        </w:tc>
        <w:tc>
          <w:tcPr>
            <w:tcW w:w="1128" w:type="dxa"/>
            <w:noWrap/>
            <w:vAlign w:val="center"/>
            <w:hideMark/>
          </w:tcPr>
          <w:p w14:paraId="2B06CC91" w14:textId="2B029E09" w:rsidR="00383215" w:rsidRPr="00B06893" w:rsidRDefault="00383215" w:rsidP="00383215">
            <w:pPr>
              <w:pStyle w:val="Tabletext"/>
              <w:keepNext/>
            </w:pPr>
            <w:r w:rsidRPr="00B06893">
              <w:t xml:space="preserve">68% </w:t>
            </w:r>
            <w:r w:rsidRPr="00B06893">
              <w:br/>
              <w:t>(42; 82)</w:t>
            </w:r>
          </w:p>
        </w:tc>
      </w:tr>
      <w:tr w:rsidR="00383215" w:rsidRPr="00B06893" w14:paraId="7092974A" w14:textId="77777777" w:rsidTr="00501A02">
        <w:trPr>
          <w:cantSplit/>
          <w:trHeight w:val="20"/>
        </w:trPr>
        <w:tc>
          <w:tcPr>
            <w:tcW w:w="9017" w:type="dxa"/>
            <w:gridSpan w:val="8"/>
            <w:noWrap/>
            <w:vAlign w:val="center"/>
            <w:hideMark/>
          </w:tcPr>
          <w:p w14:paraId="2BDDA1BD" w14:textId="1E7FEFDE" w:rsidR="00383215" w:rsidRPr="00B06893" w:rsidRDefault="00383215" w:rsidP="00383215">
            <w:pPr>
              <w:pStyle w:val="Tabletext"/>
              <w:keepNext/>
              <w:rPr>
                <w:b/>
                <w:bCs/>
              </w:rPr>
            </w:pPr>
            <w:r w:rsidRPr="00B06893">
              <w:rPr>
                <w:b/>
                <w:bCs/>
              </w:rPr>
              <w:t>≥ 65 years</w:t>
            </w:r>
          </w:p>
        </w:tc>
      </w:tr>
      <w:tr w:rsidR="00383215" w:rsidRPr="00B06893" w14:paraId="644BAD93" w14:textId="77777777" w:rsidTr="00501A02">
        <w:trPr>
          <w:cantSplit/>
          <w:trHeight w:val="20"/>
        </w:trPr>
        <w:tc>
          <w:tcPr>
            <w:tcW w:w="1127" w:type="dxa"/>
            <w:noWrap/>
            <w:vAlign w:val="center"/>
            <w:hideMark/>
          </w:tcPr>
          <w:p w14:paraId="051B550F" w14:textId="7F7EEDD2" w:rsidR="00383215" w:rsidRPr="00B06893" w:rsidRDefault="00383215" w:rsidP="00383215">
            <w:pPr>
              <w:pStyle w:val="Tabletext"/>
              <w:keepNext/>
              <w:rPr>
                <w:vertAlign w:val="superscript"/>
              </w:rPr>
            </w:pPr>
            <w:r w:rsidRPr="00B06893">
              <w:t>Wilson (2025)</w:t>
            </w:r>
            <w:r w:rsidR="00B20F7F" w:rsidRPr="00B06893">
              <w:rPr>
                <w:vertAlign w:val="superscript"/>
              </w:rPr>
              <w:t>b</w:t>
            </w:r>
          </w:p>
          <w:p w14:paraId="049AD2E1" w14:textId="77777777" w:rsidR="00383215" w:rsidRPr="00B06893" w:rsidRDefault="00383215" w:rsidP="00383215">
            <w:pPr>
              <w:pStyle w:val="Tabletext"/>
              <w:keepNext/>
            </w:pPr>
            <w:r w:rsidRPr="00B06893">
              <w:rPr>
                <w:u w:val="single"/>
              </w:rPr>
              <w:t>N vaccinated</w:t>
            </w:r>
            <w:r w:rsidRPr="00B06893">
              <w:t xml:space="preserve"> = 257, 673.</w:t>
            </w:r>
          </w:p>
          <w:p w14:paraId="42C2E499" w14:textId="4298BE95" w:rsidR="00383215" w:rsidRPr="00B06893" w:rsidRDefault="00383215" w:rsidP="00383215">
            <w:pPr>
              <w:pStyle w:val="Tabletext"/>
              <w:keepNext/>
              <w:rPr>
                <w:vertAlign w:val="superscript"/>
              </w:rPr>
            </w:pPr>
            <w:r w:rsidRPr="00B06893">
              <w:rPr>
                <w:u w:val="single"/>
              </w:rPr>
              <w:t>N not vaccinated</w:t>
            </w:r>
            <w:r w:rsidRPr="00B06893">
              <w:t xml:space="preserve"> = 258, 556</w:t>
            </w:r>
          </w:p>
        </w:tc>
        <w:tc>
          <w:tcPr>
            <w:tcW w:w="1127" w:type="dxa"/>
            <w:noWrap/>
            <w:vAlign w:val="center"/>
            <w:hideMark/>
          </w:tcPr>
          <w:p w14:paraId="49C89F04" w14:textId="7CEF2463" w:rsidR="00383215" w:rsidRPr="00B06893" w:rsidRDefault="00383215" w:rsidP="00383215">
            <w:pPr>
              <w:pStyle w:val="Tabletext"/>
              <w:keepNext/>
            </w:pPr>
            <w:r w:rsidRPr="00B06893">
              <w:t>57 days</w:t>
            </w:r>
          </w:p>
        </w:tc>
        <w:tc>
          <w:tcPr>
            <w:tcW w:w="1127" w:type="dxa"/>
            <w:noWrap/>
            <w:vAlign w:val="center"/>
            <w:hideMark/>
          </w:tcPr>
          <w:p w14:paraId="308949B3" w14:textId="16D84A8B" w:rsidR="00383215" w:rsidRPr="00B06893" w:rsidRDefault="00383215" w:rsidP="00383215">
            <w:pPr>
              <w:pStyle w:val="Tabletext"/>
              <w:keepNext/>
            </w:pPr>
            <w:r w:rsidRPr="00B06893">
              <w:t>Any</w:t>
            </w:r>
          </w:p>
        </w:tc>
        <w:tc>
          <w:tcPr>
            <w:tcW w:w="1127" w:type="dxa"/>
            <w:noWrap/>
            <w:vAlign w:val="center"/>
            <w:hideMark/>
          </w:tcPr>
          <w:p w14:paraId="1DDD2B6D" w14:textId="47902817" w:rsidR="00383215" w:rsidRPr="00B06893" w:rsidRDefault="00383215" w:rsidP="00383215">
            <w:pPr>
              <w:pStyle w:val="Tabletext"/>
              <w:keepNext/>
            </w:pPr>
            <w:r w:rsidRPr="00B06893">
              <w:t xml:space="preserve">53.2% </w:t>
            </w:r>
            <w:r w:rsidRPr="00B06893">
              <w:br/>
              <w:t>(34.2; 66.7)</w:t>
            </w:r>
          </w:p>
        </w:tc>
        <w:tc>
          <w:tcPr>
            <w:tcW w:w="1127" w:type="dxa"/>
            <w:noWrap/>
            <w:vAlign w:val="center"/>
            <w:hideMark/>
          </w:tcPr>
          <w:p w14:paraId="48D7AE71" w14:textId="52301D21" w:rsidR="00383215" w:rsidRPr="00B06893" w:rsidRDefault="00383215" w:rsidP="00383215">
            <w:pPr>
              <w:pStyle w:val="Tabletext"/>
              <w:keepNext/>
              <w:rPr>
                <w:vertAlign w:val="superscript"/>
              </w:rPr>
            </w:pPr>
            <w:r w:rsidRPr="00B06893">
              <w:t>Appaneal (2025)</w:t>
            </w:r>
          </w:p>
        </w:tc>
        <w:tc>
          <w:tcPr>
            <w:tcW w:w="1127" w:type="dxa"/>
            <w:noWrap/>
            <w:vAlign w:val="center"/>
            <w:hideMark/>
          </w:tcPr>
          <w:p w14:paraId="154C0796" w14:textId="470EB0E4" w:rsidR="00383215" w:rsidRPr="00B06893" w:rsidRDefault="00383215" w:rsidP="00383215">
            <w:pPr>
              <w:pStyle w:val="Tabletext"/>
              <w:keepNext/>
            </w:pPr>
            <w:r w:rsidRPr="00B06893">
              <w:t>33 days</w:t>
            </w:r>
          </w:p>
        </w:tc>
        <w:tc>
          <w:tcPr>
            <w:tcW w:w="1127" w:type="dxa"/>
            <w:noWrap/>
            <w:vAlign w:val="center"/>
            <w:hideMark/>
          </w:tcPr>
          <w:p w14:paraId="20CBB380" w14:textId="670084AA" w:rsidR="00383215" w:rsidRPr="00B06893" w:rsidRDefault="00383215" w:rsidP="00383215">
            <w:pPr>
              <w:pStyle w:val="Tabletext"/>
              <w:keepNext/>
            </w:pPr>
            <w:r w:rsidRPr="00B06893">
              <w:t>Any</w:t>
            </w:r>
          </w:p>
        </w:tc>
        <w:tc>
          <w:tcPr>
            <w:tcW w:w="1128" w:type="dxa"/>
            <w:noWrap/>
            <w:vAlign w:val="center"/>
            <w:hideMark/>
          </w:tcPr>
          <w:p w14:paraId="41B1FD35" w14:textId="6734939F" w:rsidR="00383215" w:rsidRPr="00B06893" w:rsidRDefault="00383215" w:rsidP="00383215">
            <w:pPr>
              <w:pStyle w:val="Tabletext"/>
              <w:keepNext/>
            </w:pPr>
            <w:r w:rsidRPr="00B06893">
              <w:t xml:space="preserve">75% </w:t>
            </w:r>
            <w:r w:rsidRPr="00B06893">
              <w:br/>
              <w:t>(49; 88)</w:t>
            </w:r>
          </w:p>
        </w:tc>
      </w:tr>
    </w:tbl>
    <w:p w14:paraId="238A00F9" w14:textId="2109F326" w:rsidR="00AB1171" w:rsidRPr="00B06893" w:rsidRDefault="00AB1171" w:rsidP="00426CCC">
      <w:pPr>
        <w:pStyle w:val="TableFooter"/>
        <w:keepNext/>
        <w:rPr>
          <w:lang w:eastAsia="ja-JP"/>
        </w:rPr>
      </w:pPr>
      <w:r w:rsidRPr="00B06893">
        <w:rPr>
          <w:lang w:eastAsia="ja-JP"/>
        </w:rPr>
        <w:t xml:space="preserve">Source: Table 42, p61 of the 2025 ATAGI </w:t>
      </w:r>
      <w:r w:rsidR="00814309" w:rsidRPr="00B06893">
        <w:rPr>
          <w:lang w:eastAsia="ja-JP"/>
        </w:rPr>
        <w:t>pre</w:t>
      </w:r>
      <w:r w:rsidR="00193971">
        <w:rPr>
          <w:lang w:eastAsia="ja-JP"/>
        </w:rPr>
        <w:noBreakHyphen/>
      </w:r>
      <w:r w:rsidR="00814309" w:rsidRPr="00B06893">
        <w:rPr>
          <w:lang w:eastAsia="ja-JP"/>
        </w:rPr>
        <w:t xml:space="preserve">submission </w:t>
      </w:r>
      <w:r w:rsidRPr="00B06893">
        <w:rPr>
          <w:lang w:eastAsia="ja-JP"/>
        </w:rPr>
        <w:t>Advice</w:t>
      </w:r>
      <w:r w:rsidR="00383215" w:rsidRPr="00B06893">
        <w:rPr>
          <w:lang w:eastAsia="ja-JP"/>
        </w:rPr>
        <w:t xml:space="preserve"> and Table 1, Wilson (2025).</w:t>
      </w:r>
    </w:p>
    <w:p w14:paraId="00540609" w14:textId="702A8D58" w:rsidR="00AB1171" w:rsidRPr="00B06893" w:rsidRDefault="00AB1171" w:rsidP="00426CCC">
      <w:pPr>
        <w:pStyle w:val="TableFooter"/>
        <w:keepNext/>
        <w:rPr>
          <w:lang w:eastAsia="ja-JP"/>
        </w:rPr>
      </w:pPr>
      <w:r w:rsidRPr="00B06893">
        <w:rPr>
          <w:lang w:eastAsia="ja-JP"/>
        </w:rPr>
        <w:t>CI = confidence interval; VE = vaccine effectiveness</w:t>
      </w:r>
    </w:p>
    <w:p w14:paraId="3F03ADDE" w14:textId="7E576981" w:rsidR="00AB1171" w:rsidRPr="00B06893" w:rsidRDefault="00AB1171" w:rsidP="00426CCC">
      <w:pPr>
        <w:pStyle w:val="TableFooter"/>
        <w:keepNext/>
        <w:rPr>
          <w:lang w:eastAsia="ja-JP"/>
        </w:rPr>
      </w:pPr>
      <w:r w:rsidRPr="00B06893">
        <w:rPr>
          <w:lang w:eastAsia="ja-JP"/>
        </w:rPr>
        <w:t>Note that all follow up times were converted into days to permit a comparison.</w:t>
      </w:r>
    </w:p>
    <w:p w14:paraId="20E9D1C8" w14:textId="017123A2" w:rsidR="00426CCC" w:rsidRPr="00B06893" w:rsidRDefault="00FE21CB" w:rsidP="00B20F7F">
      <w:pPr>
        <w:pStyle w:val="TableFooter"/>
        <w:keepNext/>
        <w:rPr>
          <w:lang w:eastAsia="ja-JP"/>
        </w:rPr>
      </w:pPr>
      <w:proofErr w:type="spellStart"/>
      <w:r w:rsidRPr="00B06893">
        <w:rPr>
          <w:vertAlign w:val="superscript"/>
          <w:lang w:eastAsia="ja-JP"/>
        </w:rPr>
        <w:t>a</w:t>
      </w:r>
      <w:r w:rsidRPr="00B06893">
        <w:rPr>
          <w:lang w:eastAsia="ja-JP"/>
        </w:rPr>
        <w:t>N</w:t>
      </w:r>
      <w:proofErr w:type="spellEnd"/>
      <w:r w:rsidRPr="00B06893">
        <w:rPr>
          <w:lang w:eastAsia="ja-JP"/>
        </w:rPr>
        <w:t xml:space="preserve"> by vaccinated and non</w:t>
      </w:r>
      <w:r w:rsidR="00193971">
        <w:rPr>
          <w:lang w:eastAsia="ja-JP"/>
        </w:rPr>
        <w:noBreakHyphen/>
      </w:r>
      <w:r w:rsidRPr="00B06893">
        <w:rPr>
          <w:lang w:eastAsia="ja-JP"/>
        </w:rPr>
        <w:t>vaccinated arms was not specified by</w:t>
      </w:r>
      <w:r w:rsidR="00383215" w:rsidRPr="00B06893">
        <w:rPr>
          <w:lang w:eastAsia="ja-JP"/>
        </w:rPr>
        <w:t xml:space="preserve"> arm</w:t>
      </w:r>
      <w:r w:rsidRPr="00B06893">
        <w:rPr>
          <w:lang w:eastAsia="ja-JP"/>
        </w:rPr>
        <w:t>. However, 465,073 mRNA</w:t>
      </w:r>
      <w:r w:rsidR="00193971">
        <w:rPr>
          <w:lang w:eastAsia="ja-JP"/>
        </w:rPr>
        <w:noBreakHyphen/>
      </w:r>
      <w:r w:rsidRPr="00B06893">
        <w:rPr>
          <w:lang w:eastAsia="ja-JP"/>
        </w:rPr>
        <w:t xml:space="preserve">1273 KP.2 recipients were matched 1:1 </w:t>
      </w:r>
      <w:r w:rsidR="009E6755" w:rsidRPr="00B06893">
        <w:rPr>
          <w:lang w:eastAsia="ja-JP"/>
        </w:rPr>
        <w:t>in the exposed to the non</w:t>
      </w:r>
      <w:r w:rsidR="00193971">
        <w:rPr>
          <w:lang w:eastAsia="ja-JP"/>
        </w:rPr>
        <w:noBreakHyphen/>
      </w:r>
      <w:r w:rsidR="009E6755" w:rsidRPr="00B06893">
        <w:rPr>
          <w:lang w:eastAsia="ja-JP"/>
        </w:rPr>
        <w:t xml:space="preserve">vaccinated arm </w:t>
      </w:r>
      <w:r w:rsidRPr="00B06893">
        <w:rPr>
          <w:lang w:eastAsia="ja-JP"/>
        </w:rPr>
        <w:t>based on age, sex, race, ethnicity, geographic region, week of last healthcare activity before start of intake period, evidence of vaccination with a prior season’s vaccine during the pre</w:t>
      </w:r>
      <w:r w:rsidR="00193971">
        <w:rPr>
          <w:lang w:eastAsia="ja-JP"/>
        </w:rPr>
        <w:noBreakHyphen/>
      </w:r>
      <w:r w:rsidRPr="00B06893">
        <w:rPr>
          <w:lang w:eastAsia="ja-JP"/>
        </w:rPr>
        <w:t>index period, and the calendar date of the index date</w:t>
      </w:r>
      <w:r w:rsidR="009E6755" w:rsidRPr="00B06893">
        <w:rPr>
          <w:lang w:eastAsia="ja-JP"/>
        </w:rPr>
        <w:t>.</w:t>
      </w:r>
    </w:p>
    <w:p w14:paraId="2F04D8C7" w14:textId="5C3A90E3" w:rsidR="00B20F7F" w:rsidRPr="00B06893" w:rsidRDefault="00B20F7F" w:rsidP="00B20F7F">
      <w:pPr>
        <w:pStyle w:val="TableFooter"/>
        <w:keepNext/>
        <w:rPr>
          <w:lang w:eastAsia="ja-JP"/>
        </w:rPr>
      </w:pPr>
      <w:r w:rsidRPr="00B06893">
        <w:rPr>
          <w:vertAlign w:val="superscript"/>
          <w:lang w:eastAsia="ja-JP"/>
        </w:rPr>
        <w:t>b</w:t>
      </w:r>
      <w:r w:rsidRPr="00B06893">
        <w:rPr>
          <w:lang w:eastAsia="ja-JP"/>
        </w:rPr>
        <w:t xml:space="preserve">Cases </w:t>
      </w:r>
      <w:r w:rsidR="00FF4FDF" w:rsidRPr="00B06893">
        <w:rPr>
          <w:lang w:eastAsia="ja-JP"/>
        </w:rPr>
        <w:t>by</w:t>
      </w:r>
      <w:r w:rsidRPr="00B06893">
        <w:rPr>
          <w:lang w:eastAsia="ja-JP"/>
        </w:rPr>
        <w:t xml:space="preserve"> arm could not be identified from the publication.</w:t>
      </w:r>
    </w:p>
    <w:p w14:paraId="2A5DDE98" w14:textId="236C1F6A" w:rsidR="00426CCC" w:rsidRPr="00B06893" w:rsidRDefault="00426CCC" w:rsidP="00426CCC">
      <w:pPr>
        <w:pStyle w:val="3-BodyText"/>
      </w:pPr>
      <w:r w:rsidRPr="00B06893">
        <w:t xml:space="preserve">Whilst </w:t>
      </w:r>
      <w:r w:rsidR="00805BC2" w:rsidRPr="00B06893">
        <w:t>VE</w:t>
      </w:r>
      <w:r w:rsidRPr="00B06893">
        <w:t xml:space="preserve"> numerically favoured </w:t>
      </w:r>
      <w:r w:rsidR="00E34126" w:rsidRPr="00B06893">
        <w:t>Comirnaty</w:t>
      </w:r>
      <w:r w:rsidRPr="00B06893">
        <w:t xml:space="preserve"> over Spikevax, the 95% confidence intervals overlapped. This was observed for participants aged ≥18 years old and for those aged ≥65 years. </w:t>
      </w:r>
      <w:r w:rsidR="000A1C22" w:rsidRPr="00B06893">
        <w:t xml:space="preserve">The follow up time for Spikevax was nearly double that for </w:t>
      </w:r>
      <w:r w:rsidR="00E34126" w:rsidRPr="00B06893">
        <w:t>Comirnaty</w:t>
      </w:r>
      <w:r w:rsidR="000A1C22" w:rsidRPr="00B06893">
        <w:t xml:space="preserve"> and so would be affected by waning</w:t>
      </w:r>
      <w:r w:rsidR="002E0878" w:rsidRPr="00B06893">
        <w:t>, raising concerns about comparability of the studies in the indirect comparison</w:t>
      </w:r>
      <w:r w:rsidRPr="00B06893">
        <w:t>.</w:t>
      </w:r>
    </w:p>
    <w:p w14:paraId="3A0B7907" w14:textId="29EEC08C" w:rsidR="00426CCC" w:rsidRPr="00B06893" w:rsidRDefault="00426CCC" w:rsidP="00501A02">
      <w:pPr>
        <w:pStyle w:val="3-BodyText"/>
      </w:pPr>
      <w:r w:rsidRPr="00B06893">
        <w:t xml:space="preserve">XBB.1.5 variant: A naïve indirect comparison of </w:t>
      </w:r>
      <w:r w:rsidR="00805BC2" w:rsidRPr="00B06893">
        <w:t>VE</w:t>
      </w:r>
      <w:r w:rsidRPr="00B06893">
        <w:t xml:space="preserve"> (XBB.1.5 variant) against hospitalisation in individuals aged ≥18 years and ≥65 years is summarised in </w:t>
      </w:r>
      <w:r w:rsidRPr="00B06893">
        <w:fldChar w:fldCharType="begin"/>
      </w:r>
      <w:r w:rsidRPr="00B06893">
        <w:instrText xml:space="preserve"> REF _Ref216270790 \h </w:instrText>
      </w:r>
      <w:r w:rsidR="007C3AD5" w:rsidRPr="00B06893">
        <w:instrText xml:space="preserve"> \* MERGEFORMAT </w:instrText>
      </w:r>
      <w:r w:rsidRPr="00B06893">
        <w:fldChar w:fldCharType="separate"/>
      </w:r>
      <w:r w:rsidR="00810177" w:rsidRPr="00B06893">
        <w:t>Table 15</w:t>
      </w:r>
      <w:r w:rsidRPr="00B06893">
        <w:fldChar w:fldCharType="end"/>
      </w:r>
      <w:r w:rsidRPr="00B06893">
        <w:t>.</w:t>
      </w:r>
      <w:r w:rsidR="00580BAD">
        <w:t xml:space="preserve"> </w:t>
      </w:r>
      <w:r w:rsidR="00ED6267" w:rsidRPr="00B06893">
        <w:t xml:space="preserve">There are differences in the included studies and VE estimates in </w:t>
      </w:r>
      <w:r w:rsidR="00ED6267" w:rsidRPr="00B06893">
        <w:fldChar w:fldCharType="begin"/>
      </w:r>
      <w:r w:rsidR="00ED6267" w:rsidRPr="00B06893">
        <w:instrText xml:space="preserve"> REF _Ref216270790 \h  \* MERGEFORMAT </w:instrText>
      </w:r>
      <w:r w:rsidR="00ED6267" w:rsidRPr="00B06893">
        <w:fldChar w:fldCharType="separate"/>
      </w:r>
      <w:r w:rsidR="00810177" w:rsidRPr="00B06893">
        <w:t>Table 15</w:t>
      </w:r>
      <w:r w:rsidR="00ED6267" w:rsidRPr="00B06893">
        <w:fldChar w:fldCharType="end"/>
      </w:r>
      <w:r w:rsidR="00ED6267" w:rsidRPr="00B06893">
        <w:t xml:space="preserve"> compared with those considered by the PBAC when considering Comirnaty in May 2025 (Table 10, </w:t>
      </w:r>
      <w:proofErr w:type="spellStart"/>
      <w:r w:rsidR="00ED6267" w:rsidRPr="00B06893">
        <w:t>Raxtozinameran</w:t>
      </w:r>
      <w:proofErr w:type="spellEnd"/>
      <w:r w:rsidR="00ED6267" w:rsidRPr="00B06893">
        <w:t xml:space="preserve"> PSD May 2025).</w:t>
      </w:r>
      <w:r w:rsidR="00580BAD">
        <w:t xml:space="preserve"> </w:t>
      </w:r>
      <w:r w:rsidR="00ED6267" w:rsidRPr="00B06893">
        <w:fldChar w:fldCharType="begin"/>
      </w:r>
      <w:r w:rsidR="00ED6267" w:rsidRPr="00B06893">
        <w:instrText xml:space="preserve"> REF _Ref216270790 \h  \* MERGEFORMAT </w:instrText>
      </w:r>
      <w:r w:rsidR="00ED6267" w:rsidRPr="00B06893">
        <w:fldChar w:fldCharType="separate"/>
      </w:r>
      <w:r w:rsidR="00810177" w:rsidRPr="00B06893">
        <w:t>Table 15</w:t>
      </w:r>
      <w:r w:rsidR="00ED6267" w:rsidRPr="00B06893">
        <w:fldChar w:fldCharType="end"/>
      </w:r>
      <w:r w:rsidR="00ED6267" w:rsidRPr="00B06893">
        <w:t xml:space="preserve"> </w:t>
      </w:r>
      <w:r w:rsidR="00001425" w:rsidRPr="00B06893">
        <w:t xml:space="preserve">below </w:t>
      </w:r>
      <w:r w:rsidR="00ED6267" w:rsidRPr="00B06893">
        <w:t xml:space="preserve">presents results for only a single timepoint for each study, whereas the Comirnaty submission had </w:t>
      </w:r>
      <w:r w:rsidR="00001425" w:rsidRPr="00B06893">
        <w:t>presented results separately for two time periods: Month 1 to 3 in which XBB.1.5 was predominant; and Month 4 to 6 in which JN.1 predominant.</w:t>
      </w:r>
    </w:p>
    <w:p w14:paraId="1263CE6E" w14:textId="57710F11" w:rsidR="00426CCC" w:rsidRPr="00B06893" w:rsidRDefault="00426CCC" w:rsidP="00426CCC">
      <w:pPr>
        <w:pStyle w:val="Caption"/>
      </w:pPr>
      <w:bookmarkStart w:id="49" w:name="_Ref216270790"/>
      <w:r w:rsidRPr="00B06893">
        <w:lastRenderedPageBreak/>
        <w:t xml:space="preserve">Table </w:t>
      </w:r>
      <w:fldSimple w:instr=" SEQ Table \* ARABIC ">
        <w:r w:rsidR="00810177" w:rsidRPr="00B06893">
          <w:t>15</w:t>
        </w:r>
      </w:fldSimple>
      <w:bookmarkEnd w:id="49"/>
      <w:r w:rsidRPr="00B06893">
        <w:t xml:space="preserve">: VE (against hospitalisation) comparison of </w:t>
      </w:r>
      <w:r w:rsidR="00A93CFE" w:rsidRPr="00B06893">
        <w:t>Spikevax</w:t>
      </w:r>
      <w:r w:rsidRPr="00B06893">
        <w:t xml:space="preserve"> and </w:t>
      </w:r>
      <w:r w:rsidR="00E34126" w:rsidRPr="00B06893">
        <w:t>Comirnaty</w:t>
      </w:r>
      <w:r w:rsidRPr="00B06893">
        <w:t xml:space="preserve"> (XBB.1.5 variants)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5: VE (against hospitalisation) comparison of Spikevax and Comirnaty (XBB.1.5 variants)"/>
      </w:tblPr>
      <w:tblGrid>
        <w:gridCol w:w="928"/>
        <w:gridCol w:w="1170"/>
        <w:gridCol w:w="1271"/>
        <w:gridCol w:w="810"/>
        <w:gridCol w:w="1096"/>
        <w:gridCol w:w="1169"/>
        <w:gridCol w:w="1763"/>
        <w:gridCol w:w="810"/>
      </w:tblGrid>
      <w:tr w:rsidR="00426CCC" w:rsidRPr="00B06893" w14:paraId="4D017746" w14:textId="77777777" w:rsidTr="00D20318">
        <w:trPr>
          <w:cantSplit/>
          <w:trHeight w:val="20"/>
        </w:trPr>
        <w:tc>
          <w:tcPr>
            <w:tcW w:w="2410" w:type="pct"/>
            <w:gridSpan w:val="4"/>
            <w:noWrap/>
            <w:vAlign w:val="center"/>
            <w:hideMark/>
          </w:tcPr>
          <w:p w14:paraId="19F318FF" w14:textId="088A6CAC" w:rsidR="00426CCC" w:rsidRPr="00B06893" w:rsidRDefault="00A93CFE" w:rsidP="00426CCC">
            <w:pPr>
              <w:pStyle w:val="Tabletext"/>
              <w:keepNext/>
              <w:rPr>
                <w:rFonts w:ascii="Times New Roman" w:hAnsi="Times New Roman"/>
                <w:b/>
                <w:bCs/>
              </w:rPr>
            </w:pPr>
            <w:r w:rsidRPr="00B06893">
              <w:rPr>
                <w:b/>
                <w:bCs/>
              </w:rPr>
              <w:t>Spikevax</w:t>
            </w:r>
          </w:p>
        </w:tc>
        <w:tc>
          <w:tcPr>
            <w:tcW w:w="2590" w:type="pct"/>
            <w:gridSpan w:val="4"/>
            <w:noWrap/>
            <w:vAlign w:val="center"/>
            <w:hideMark/>
          </w:tcPr>
          <w:p w14:paraId="1E12A99C" w14:textId="4BCE11D3" w:rsidR="00426CCC" w:rsidRPr="00B06893" w:rsidRDefault="00E34126" w:rsidP="00426CCC">
            <w:pPr>
              <w:pStyle w:val="Tabletext"/>
              <w:keepNext/>
              <w:rPr>
                <w:rFonts w:ascii="Times New Roman" w:hAnsi="Times New Roman"/>
                <w:b/>
                <w:bCs/>
              </w:rPr>
            </w:pPr>
            <w:r w:rsidRPr="00B06893">
              <w:rPr>
                <w:b/>
                <w:bCs/>
              </w:rPr>
              <w:t>Comirnaty</w:t>
            </w:r>
          </w:p>
        </w:tc>
      </w:tr>
      <w:tr w:rsidR="00D20318" w:rsidRPr="00B06893" w14:paraId="2E70147F" w14:textId="77777777" w:rsidTr="00D20318">
        <w:trPr>
          <w:cantSplit/>
          <w:trHeight w:val="20"/>
        </w:trPr>
        <w:tc>
          <w:tcPr>
            <w:tcW w:w="669" w:type="pct"/>
            <w:noWrap/>
            <w:vAlign w:val="center"/>
            <w:hideMark/>
          </w:tcPr>
          <w:p w14:paraId="4C499BB6" w14:textId="77777777" w:rsidR="00426CCC" w:rsidRPr="00B06893" w:rsidRDefault="00426CCC" w:rsidP="00426CCC">
            <w:pPr>
              <w:pStyle w:val="Tabletext"/>
              <w:keepNext/>
              <w:rPr>
                <w:b/>
                <w:bCs/>
              </w:rPr>
            </w:pPr>
            <w:r w:rsidRPr="00B06893">
              <w:rPr>
                <w:b/>
                <w:bCs/>
              </w:rPr>
              <w:t>Study</w:t>
            </w:r>
          </w:p>
        </w:tc>
        <w:tc>
          <w:tcPr>
            <w:tcW w:w="626" w:type="pct"/>
            <w:noWrap/>
            <w:vAlign w:val="center"/>
            <w:hideMark/>
          </w:tcPr>
          <w:p w14:paraId="3EE76272" w14:textId="77777777" w:rsidR="00426CCC" w:rsidRPr="00B06893" w:rsidRDefault="00426CCC" w:rsidP="00426CCC">
            <w:pPr>
              <w:pStyle w:val="Tabletext"/>
              <w:keepNext/>
              <w:rPr>
                <w:b/>
                <w:bCs/>
              </w:rPr>
            </w:pPr>
            <w:r w:rsidRPr="00B06893">
              <w:rPr>
                <w:b/>
                <w:bCs/>
              </w:rPr>
              <w:t>Timepoint (days)</w:t>
            </w:r>
          </w:p>
        </w:tc>
        <w:tc>
          <w:tcPr>
            <w:tcW w:w="588" w:type="pct"/>
            <w:noWrap/>
            <w:vAlign w:val="center"/>
            <w:hideMark/>
          </w:tcPr>
          <w:p w14:paraId="4DB87446" w14:textId="77777777" w:rsidR="00426CCC" w:rsidRPr="00B06893" w:rsidRDefault="00426CCC" w:rsidP="00426CCC">
            <w:pPr>
              <w:pStyle w:val="Tabletext"/>
              <w:keepNext/>
              <w:rPr>
                <w:b/>
                <w:bCs/>
              </w:rPr>
            </w:pPr>
            <w:r w:rsidRPr="00B06893">
              <w:rPr>
                <w:b/>
                <w:bCs/>
              </w:rPr>
              <w:t>Circulating strains</w:t>
            </w:r>
          </w:p>
        </w:tc>
        <w:tc>
          <w:tcPr>
            <w:tcW w:w="526" w:type="pct"/>
            <w:noWrap/>
            <w:vAlign w:val="center"/>
            <w:hideMark/>
          </w:tcPr>
          <w:p w14:paraId="3851787F" w14:textId="77777777" w:rsidR="00426CCC" w:rsidRPr="00B06893" w:rsidRDefault="00426CCC" w:rsidP="00426CCC">
            <w:pPr>
              <w:pStyle w:val="Tabletext"/>
              <w:keepNext/>
              <w:rPr>
                <w:b/>
                <w:bCs/>
              </w:rPr>
            </w:pPr>
            <w:r w:rsidRPr="00B06893">
              <w:rPr>
                <w:b/>
                <w:bCs/>
              </w:rPr>
              <w:t>VE (95%CI)</w:t>
            </w:r>
          </w:p>
        </w:tc>
        <w:tc>
          <w:tcPr>
            <w:tcW w:w="587" w:type="pct"/>
            <w:noWrap/>
            <w:vAlign w:val="center"/>
            <w:hideMark/>
          </w:tcPr>
          <w:p w14:paraId="28887C86" w14:textId="77777777" w:rsidR="00426CCC" w:rsidRPr="00B06893" w:rsidRDefault="00426CCC" w:rsidP="00426CCC">
            <w:pPr>
              <w:pStyle w:val="Tabletext"/>
              <w:keepNext/>
              <w:rPr>
                <w:b/>
                <w:bCs/>
              </w:rPr>
            </w:pPr>
            <w:r w:rsidRPr="00B06893">
              <w:rPr>
                <w:b/>
                <w:bCs/>
              </w:rPr>
              <w:t>Study</w:t>
            </w:r>
          </w:p>
        </w:tc>
        <w:tc>
          <w:tcPr>
            <w:tcW w:w="626" w:type="pct"/>
            <w:noWrap/>
            <w:vAlign w:val="center"/>
            <w:hideMark/>
          </w:tcPr>
          <w:p w14:paraId="171DF919" w14:textId="77777777" w:rsidR="00426CCC" w:rsidRPr="00B06893" w:rsidRDefault="00426CCC" w:rsidP="00426CCC">
            <w:pPr>
              <w:pStyle w:val="Tabletext"/>
              <w:keepNext/>
              <w:rPr>
                <w:b/>
                <w:bCs/>
              </w:rPr>
            </w:pPr>
            <w:r w:rsidRPr="00B06893">
              <w:rPr>
                <w:b/>
                <w:bCs/>
              </w:rPr>
              <w:t>Timepoint (days)</w:t>
            </w:r>
          </w:p>
        </w:tc>
        <w:tc>
          <w:tcPr>
            <w:tcW w:w="943" w:type="pct"/>
            <w:noWrap/>
            <w:vAlign w:val="center"/>
            <w:hideMark/>
          </w:tcPr>
          <w:p w14:paraId="73E9F471" w14:textId="77777777" w:rsidR="00426CCC" w:rsidRPr="00B06893" w:rsidRDefault="00426CCC" w:rsidP="00426CCC">
            <w:pPr>
              <w:pStyle w:val="Tabletext"/>
              <w:keepNext/>
              <w:rPr>
                <w:b/>
                <w:bCs/>
              </w:rPr>
            </w:pPr>
            <w:r w:rsidRPr="00B06893">
              <w:rPr>
                <w:b/>
                <w:bCs/>
              </w:rPr>
              <w:t>Circulating strains</w:t>
            </w:r>
          </w:p>
        </w:tc>
        <w:tc>
          <w:tcPr>
            <w:tcW w:w="434" w:type="pct"/>
            <w:noWrap/>
            <w:vAlign w:val="center"/>
            <w:hideMark/>
          </w:tcPr>
          <w:p w14:paraId="71539460" w14:textId="77777777" w:rsidR="00426CCC" w:rsidRPr="00B06893" w:rsidRDefault="00426CCC" w:rsidP="00426CCC">
            <w:pPr>
              <w:pStyle w:val="Tabletext"/>
              <w:keepNext/>
              <w:rPr>
                <w:b/>
                <w:bCs/>
              </w:rPr>
            </w:pPr>
            <w:r w:rsidRPr="00B06893">
              <w:rPr>
                <w:b/>
                <w:bCs/>
              </w:rPr>
              <w:t>VE (95%CI)</w:t>
            </w:r>
          </w:p>
        </w:tc>
      </w:tr>
      <w:tr w:rsidR="00426CCC" w:rsidRPr="00B06893" w14:paraId="50754A90" w14:textId="77777777" w:rsidTr="00D20318">
        <w:trPr>
          <w:cantSplit/>
          <w:trHeight w:val="20"/>
        </w:trPr>
        <w:tc>
          <w:tcPr>
            <w:tcW w:w="5000" w:type="pct"/>
            <w:gridSpan w:val="8"/>
            <w:noWrap/>
            <w:vAlign w:val="center"/>
          </w:tcPr>
          <w:p w14:paraId="1CCF1C16" w14:textId="77777777" w:rsidR="00426CCC" w:rsidRPr="00B06893" w:rsidRDefault="00426CCC" w:rsidP="00426CCC">
            <w:pPr>
              <w:pStyle w:val="Tabletext"/>
              <w:keepNext/>
              <w:rPr>
                <w:b/>
                <w:bCs/>
              </w:rPr>
            </w:pPr>
            <w:r w:rsidRPr="00B06893">
              <w:rPr>
                <w:b/>
                <w:bCs/>
              </w:rPr>
              <w:t>≥18 years</w:t>
            </w:r>
          </w:p>
        </w:tc>
      </w:tr>
      <w:tr w:rsidR="00D20318" w:rsidRPr="00B06893" w14:paraId="5A9F276F" w14:textId="77777777" w:rsidTr="00D20318">
        <w:trPr>
          <w:cantSplit/>
          <w:trHeight w:val="20"/>
        </w:trPr>
        <w:tc>
          <w:tcPr>
            <w:tcW w:w="669" w:type="pct"/>
            <w:noWrap/>
            <w:vAlign w:val="center"/>
          </w:tcPr>
          <w:p w14:paraId="3EBA5699" w14:textId="77777777" w:rsidR="00426CCC" w:rsidRPr="00B06893" w:rsidRDefault="00426CCC" w:rsidP="00426CCC">
            <w:pPr>
              <w:pStyle w:val="Tabletext"/>
              <w:keepNext/>
            </w:pPr>
            <w:r w:rsidRPr="00B06893">
              <w:t>Kopel (2024)</w:t>
            </w:r>
          </w:p>
        </w:tc>
        <w:tc>
          <w:tcPr>
            <w:tcW w:w="626" w:type="pct"/>
            <w:noWrap/>
            <w:vAlign w:val="center"/>
          </w:tcPr>
          <w:p w14:paraId="0D98EEB9" w14:textId="77777777" w:rsidR="00426CCC" w:rsidRPr="00B06893" w:rsidRDefault="00426CCC" w:rsidP="00426CCC">
            <w:pPr>
              <w:pStyle w:val="Tabletext"/>
              <w:keepNext/>
            </w:pPr>
            <w:r w:rsidRPr="00B06893">
              <w:t>63</w:t>
            </w:r>
          </w:p>
        </w:tc>
        <w:tc>
          <w:tcPr>
            <w:tcW w:w="588" w:type="pct"/>
            <w:noWrap/>
            <w:vAlign w:val="center"/>
          </w:tcPr>
          <w:p w14:paraId="3F0AD918" w14:textId="77777777" w:rsidR="00426CCC" w:rsidRPr="00B06893" w:rsidRDefault="00426CCC" w:rsidP="00426CCC">
            <w:pPr>
              <w:pStyle w:val="Tabletext"/>
              <w:keepNext/>
            </w:pPr>
            <w:r w:rsidRPr="00B06893">
              <w:t>Any</w:t>
            </w:r>
          </w:p>
        </w:tc>
        <w:tc>
          <w:tcPr>
            <w:tcW w:w="526" w:type="pct"/>
            <w:noWrap/>
            <w:vAlign w:val="center"/>
          </w:tcPr>
          <w:p w14:paraId="1E3735CD" w14:textId="77777777" w:rsidR="00426CCC" w:rsidRPr="00B06893" w:rsidRDefault="00426CCC" w:rsidP="00D20318">
            <w:pPr>
              <w:pStyle w:val="Tabletext"/>
              <w:keepNext/>
              <w:ind w:right="-57"/>
            </w:pPr>
            <w:r w:rsidRPr="00B06893">
              <w:t xml:space="preserve">60.2% </w:t>
            </w:r>
            <w:r w:rsidRPr="00B06893">
              <w:br/>
              <w:t xml:space="preserve">(53.4; 66.0) </w:t>
            </w:r>
          </w:p>
        </w:tc>
        <w:tc>
          <w:tcPr>
            <w:tcW w:w="587" w:type="pct"/>
            <w:noWrap/>
            <w:vAlign w:val="center"/>
          </w:tcPr>
          <w:p w14:paraId="4717C945" w14:textId="6F7B4ECB" w:rsidR="00426CCC" w:rsidRPr="00B06893" w:rsidRDefault="00426CCC" w:rsidP="00426CCC">
            <w:pPr>
              <w:pStyle w:val="Tabletext"/>
              <w:keepNext/>
              <w:rPr>
                <w:vertAlign w:val="superscript"/>
              </w:rPr>
            </w:pPr>
            <w:r w:rsidRPr="00B06893">
              <w:t>Tartof (2024)</w:t>
            </w:r>
            <w:r w:rsidR="000A3000" w:rsidRPr="00B06893">
              <w:rPr>
                <w:vertAlign w:val="superscript"/>
              </w:rPr>
              <w:t>a</w:t>
            </w:r>
          </w:p>
        </w:tc>
        <w:tc>
          <w:tcPr>
            <w:tcW w:w="626" w:type="pct"/>
            <w:noWrap/>
            <w:vAlign w:val="center"/>
          </w:tcPr>
          <w:p w14:paraId="76914710" w14:textId="77777777" w:rsidR="00426CCC" w:rsidRPr="00B06893" w:rsidRDefault="00426CCC" w:rsidP="00426CCC">
            <w:pPr>
              <w:pStyle w:val="Tabletext"/>
              <w:keepNext/>
            </w:pPr>
            <w:r w:rsidRPr="00B06893">
              <w:t>33</w:t>
            </w:r>
          </w:p>
        </w:tc>
        <w:tc>
          <w:tcPr>
            <w:tcW w:w="943" w:type="pct"/>
            <w:noWrap/>
            <w:vAlign w:val="center"/>
          </w:tcPr>
          <w:p w14:paraId="3E601957" w14:textId="77777777" w:rsidR="00426CCC" w:rsidRPr="00B06893" w:rsidRDefault="00426CCC" w:rsidP="00426CCC">
            <w:pPr>
              <w:pStyle w:val="Tabletext"/>
              <w:keepNext/>
            </w:pPr>
            <w:r w:rsidRPr="00B06893">
              <w:t>Any</w:t>
            </w:r>
          </w:p>
        </w:tc>
        <w:tc>
          <w:tcPr>
            <w:tcW w:w="434" w:type="pct"/>
            <w:noWrap/>
            <w:vAlign w:val="center"/>
          </w:tcPr>
          <w:p w14:paraId="07B8E112" w14:textId="77777777" w:rsidR="00426CCC" w:rsidRPr="00B06893" w:rsidRDefault="00426CCC" w:rsidP="00426CCC">
            <w:pPr>
              <w:pStyle w:val="Tabletext"/>
              <w:keepNext/>
            </w:pPr>
            <w:r w:rsidRPr="00B06893">
              <w:t xml:space="preserve">62% </w:t>
            </w:r>
            <w:r w:rsidRPr="00B06893">
              <w:br/>
              <w:t>(32; 79)</w:t>
            </w:r>
          </w:p>
        </w:tc>
      </w:tr>
      <w:tr w:rsidR="00D20318" w:rsidRPr="00B06893" w14:paraId="59BD3DE1" w14:textId="77777777" w:rsidTr="00D20318">
        <w:trPr>
          <w:cantSplit/>
          <w:trHeight w:val="20"/>
        </w:trPr>
        <w:tc>
          <w:tcPr>
            <w:tcW w:w="669" w:type="pct"/>
            <w:noWrap/>
            <w:vAlign w:val="center"/>
          </w:tcPr>
          <w:p w14:paraId="26B8BA7F" w14:textId="77777777" w:rsidR="00426CCC" w:rsidRPr="00B06893" w:rsidRDefault="00426CCC" w:rsidP="00426CCC">
            <w:pPr>
              <w:pStyle w:val="Tabletext"/>
              <w:keepNext/>
            </w:pPr>
            <w:r w:rsidRPr="00B06893">
              <w:t>Wilson (2025)</w:t>
            </w:r>
          </w:p>
        </w:tc>
        <w:tc>
          <w:tcPr>
            <w:tcW w:w="626" w:type="pct"/>
            <w:noWrap/>
            <w:vAlign w:val="center"/>
          </w:tcPr>
          <w:p w14:paraId="17D76691" w14:textId="77777777" w:rsidR="00426CCC" w:rsidRPr="00B06893" w:rsidRDefault="00426CCC" w:rsidP="00426CCC">
            <w:pPr>
              <w:pStyle w:val="Tabletext"/>
              <w:keepNext/>
            </w:pPr>
            <w:r w:rsidRPr="00B06893">
              <w:t>84</w:t>
            </w:r>
          </w:p>
        </w:tc>
        <w:tc>
          <w:tcPr>
            <w:tcW w:w="588" w:type="pct"/>
            <w:noWrap/>
            <w:vAlign w:val="center"/>
          </w:tcPr>
          <w:p w14:paraId="3D8686A4" w14:textId="77777777" w:rsidR="00426CCC" w:rsidRPr="00B06893" w:rsidRDefault="00426CCC" w:rsidP="00426CCC">
            <w:pPr>
              <w:pStyle w:val="Tabletext"/>
              <w:keepNext/>
            </w:pPr>
            <w:r w:rsidRPr="00B06893">
              <w:t>Any</w:t>
            </w:r>
          </w:p>
        </w:tc>
        <w:tc>
          <w:tcPr>
            <w:tcW w:w="526" w:type="pct"/>
            <w:noWrap/>
            <w:vAlign w:val="center"/>
          </w:tcPr>
          <w:p w14:paraId="6CE823BB" w14:textId="77777777" w:rsidR="00426CCC" w:rsidRPr="00B06893" w:rsidRDefault="00426CCC" w:rsidP="00D20318">
            <w:pPr>
              <w:pStyle w:val="Tabletext"/>
              <w:keepNext/>
              <w:ind w:right="-57"/>
            </w:pPr>
            <w:r w:rsidRPr="00B06893">
              <w:t xml:space="preserve">51% </w:t>
            </w:r>
            <w:r w:rsidRPr="00B06893">
              <w:br/>
              <w:t>(48; 54)</w:t>
            </w:r>
          </w:p>
        </w:tc>
        <w:tc>
          <w:tcPr>
            <w:tcW w:w="587" w:type="pct"/>
            <w:vMerge w:val="restart"/>
            <w:noWrap/>
            <w:vAlign w:val="center"/>
          </w:tcPr>
          <w:p w14:paraId="20AFBB31" w14:textId="77777777" w:rsidR="00426CCC" w:rsidRPr="00B06893" w:rsidRDefault="00426CCC" w:rsidP="00426CCC">
            <w:pPr>
              <w:pStyle w:val="Tabletext"/>
              <w:keepNext/>
            </w:pPr>
            <w:r w:rsidRPr="00B06893">
              <w:t>Caffrey (2024)</w:t>
            </w:r>
          </w:p>
        </w:tc>
        <w:tc>
          <w:tcPr>
            <w:tcW w:w="626" w:type="pct"/>
            <w:noWrap/>
            <w:vAlign w:val="center"/>
          </w:tcPr>
          <w:p w14:paraId="10ACFCD4" w14:textId="77777777" w:rsidR="00426CCC" w:rsidRPr="00B06893" w:rsidRDefault="00426CCC" w:rsidP="00426CCC">
            <w:pPr>
              <w:pStyle w:val="Tabletext"/>
              <w:keepNext/>
            </w:pPr>
            <w:r w:rsidRPr="00B06893">
              <w:t>54</w:t>
            </w:r>
          </w:p>
        </w:tc>
        <w:tc>
          <w:tcPr>
            <w:tcW w:w="943" w:type="pct"/>
            <w:noWrap/>
            <w:vAlign w:val="center"/>
          </w:tcPr>
          <w:p w14:paraId="576C0311" w14:textId="77777777" w:rsidR="00426CCC" w:rsidRPr="00B06893" w:rsidRDefault="00426CCC" w:rsidP="00426CCC">
            <w:pPr>
              <w:pStyle w:val="Tabletext"/>
              <w:keepNext/>
            </w:pPr>
            <w:r w:rsidRPr="00B06893">
              <w:t>Any lineage</w:t>
            </w:r>
          </w:p>
        </w:tc>
        <w:tc>
          <w:tcPr>
            <w:tcW w:w="434" w:type="pct"/>
            <w:noWrap/>
            <w:vAlign w:val="center"/>
          </w:tcPr>
          <w:p w14:paraId="65BE89E7" w14:textId="77777777" w:rsidR="00426CCC" w:rsidRPr="00B06893" w:rsidRDefault="00426CCC" w:rsidP="00426CCC">
            <w:pPr>
              <w:pStyle w:val="Tabletext"/>
              <w:keepNext/>
            </w:pPr>
            <w:r w:rsidRPr="00B06893">
              <w:t xml:space="preserve">43% </w:t>
            </w:r>
            <w:r w:rsidRPr="00B06893">
              <w:br/>
              <w:t>(34; 51%)</w:t>
            </w:r>
          </w:p>
        </w:tc>
      </w:tr>
      <w:tr w:rsidR="00D20318" w:rsidRPr="00B06893" w14:paraId="554F2AAF" w14:textId="77777777" w:rsidTr="00D20318">
        <w:trPr>
          <w:cantSplit/>
          <w:trHeight w:val="20"/>
        </w:trPr>
        <w:tc>
          <w:tcPr>
            <w:tcW w:w="669" w:type="pct"/>
            <w:tcBorders>
              <w:bottom w:val="single" w:sz="4" w:space="0" w:color="auto"/>
            </w:tcBorders>
            <w:noWrap/>
            <w:vAlign w:val="center"/>
          </w:tcPr>
          <w:p w14:paraId="4BFBCE35" w14:textId="77777777" w:rsidR="00426CCC" w:rsidRPr="00B06893" w:rsidRDefault="00426CCC" w:rsidP="00426CCC">
            <w:pPr>
              <w:pStyle w:val="Tabletext"/>
              <w:keepNext/>
            </w:pPr>
            <w:r w:rsidRPr="00B06893">
              <w:t>Zheng (2025)</w:t>
            </w:r>
          </w:p>
        </w:tc>
        <w:tc>
          <w:tcPr>
            <w:tcW w:w="626" w:type="pct"/>
            <w:tcBorders>
              <w:bottom w:val="single" w:sz="4" w:space="0" w:color="auto"/>
            </w:tcBorders>
            <w:noWrap/>
            <w:vAlign w:val="center"/>
          </w:tcPr>
          <w:p w14:paraId="1622AF8F" w14:textId="77777777" w:rsidR="00426CCC" w:rsidRPr="00B06893" w:rsidRDefault="00426CCC" w:rsidP="00426CCC">
            <w:pPr>
              <w:pStyle w:val="Tabletext"/>
              <w:keepNext/>
            </w:pPr>
            <w:r w:rsidRPr="00B06893">
              <w:t>111</w:t>
            </w:r>
          </w:p>
        </w:tc>
        <w:tc>
          <w:tcPr>
            <w:tcW w:w="588" w:type="pct"/>
            <w:tcBorders>
              <w:bottom w:val="single" w:sz="4" w:space="0" w:color="auto"/>
            </w:tcBorders>
            <w:noWrap/>
            <w:vAlign w:val="center"/>
          </w:tcPr>
          <w:p w14:paraId="4BB5AE6E" w14:textId="77777777" w:rsidR="00426CCC" w:rsidRPr="00B06893" w:rsidRDefault="00426CCC" w:rsidP="00426CCC">
            <w:pPr>
              <w:pStyle w:val="Tabletext"/>
              <w:keepNext/>
            </w:pPr>
            <w:r w:rsidRPr="00B06893">
              <w:t>JN.1 predominant</w:t>
            </w:r>
          </w:p>
        </w:tc>
        <w:tc>
          <w:tcPr>
            <w:tcW w:w="526" w:type="pct"/>
            <w:tcBorders>
              <w:bottom w:val="single" w:sz="4" w:space="0" w:color="auto"/>
            </w:tcBorders>
            <w:noWrap/>
            <w:vAlign w:val="center"/>
          </w:tcPr>
          <w:p w14:paraId="13F1959E" w14:textId="77777777" w:rsidR="00426CCC" w:rsidRPr="00B06893" w:rsidRDefault="00426CCC" w:rsidP="00D20318">
            <w:pPr>
              <w:pStyle w:val="Tabletext"/>
              <w:keepNext/>
              <w:ind w:right="-57"/>
            </w:pPr>
            <w:r w:rsidRPr="00B06893">
              <w:t xml:space="preserve">56% </w:t>
            </w:r>
            <w:r w:rsidRPr="00B06893">
              <w:br/>
              <w:t>(52; 60)</w:t>
            </w:r>
          </w:p>
        </w:tc>
        <w:tc>
          <w:tcPr>
            <w:tcW w:w="587" w:type="pct"/>
            <w:vMerge/>
            <w:noWrap/>
            <w:vAlign w:val="center"/>
          </w:tcPr>
          <w:p w14:paraId="36059834" w14:textId="77777777" w:rsidR="00426CCC" w:rsidRPr="00B06893" w:rsidRDefault="00426CCC" w:rsidP="00426CCC">
            <w:pPr>
              <w:pStyle w:val="Tabletext"/>
              <w:keepNext/>
            </w:pPr>
          </w:p>
        </w:tc>
        <w:tc>
          <w:tcPr>
            <w:tcW w:w="626" w:type="pct"/>
            <w:noWrap/>
            <w:vAlign w:val="center"/>
          </w:tcPr>
          <w:p w14:paraId="0FACD983" w14:textId="77777777" w:rsidR="00426CCC" w:rsidRPr="00B06893" w:rsidRDefault="00426CCC" w:rsidP="00426CCC">
            <w:pPr>
              <w:pStyle w:val="Tabletext"/>
              <w:keepNext/>
            </w:pPr>
            <w:r w:rsidRPr="00B06893">
              <w:t>54</w:t>
            </w:r>
          </w:p>
        </w:tc>
        <w:tc>
          <w:tcPr>
            <w:tcW w:w="943" w:type="pct"/>
            <w:noWrap/>
            <w:vAlign w:val="center"/>
          </w:tcPr>
          <w:p w14:paraId="7521292A" w14:textId="77777777" w:rsidR="00426CCC" w:rsidRPr="00B06893" w:rsidRDefault="00426CCC" w:rsidP="00426CCC">
            <w:pPr>
              <w:pStyle w:val="Tabletext"/>
              <w:keepNext/>
            </w:pPr>
            <w:r w:rsidRPr="00B06893">
              <w:t>XBB.1.5</w:t>
            </w:r>
          </w:p>
        </w:tc>
        <w:tc>
          <w:tcPr>
            <w:tcW w:w="434" w:type="pct"/>
            <w:noWrap/>
            <w:vAlign w:val="center"/>
          </w:tcPr>
          <w:p w14:paraId="14352167" w14:textId="77777777" w:rsidR="00426CCC" w:rsidRPr="00B06893" w:rsidRDefault="00426CCC" w:rsidP="00426CCC">
            <w:pPr>
              <w:pStyle w:val="Tabletext"/>
              <w:keepNext/>
            </w:pPr>
            <w:r w:rsidRPr="00B06893">
              <w:t xml:space="preserve">61% </w:t>
            </w:r>
            <w:r w:rsidRPr="00B06893">
              <w:br/>
              <w:t>(44; 73)</w:t>
            </w:r>
          </w:p>
        </w:tc>
      </w:tr>
      <w:tr w:rsidR="00D20318" w:rsidRPr="00B06893" w14:paraId="32314DD8" w14:textId="77777777" w:rsidTr="00D20318">
        <w:trPr>
          <w:cantSplit/>
          <w:trHeight w:val="20"/>
        </w:trPr>
        <w:tc>
          <w:tcPr>
            <w:tcW w:w="669" w:type="pct"/>
            <w:tcBorders>
              <w:top w:val="single" w:sz="4" w:space="0" w:color="auto"/>
              <w:left w:val="single" w:sz="4" w:space="0" w:color="auto"/>
              <w:bottom w:val="nil"/>
              <w:right w:val="nil"/>
            </w:tcBorders>
            <w:noWrap/>
            <w:vAlign w:val="center"/>
          </w:tcPr>
          <w:p w14:paraId="5925533D" w14:textId="77777777" w:rsidR="00426CCC" w:rsidRPr="00B06893" w:rsidRDefault="00426CCC" w:rsidP="00426CCC">
            <w:pPr>
              <w:pStyle w:val="Tabletext"/>
              <w:keepNext/>
            </w:pPr>
          </w:p>
        </w:tc>
        <w:tc>
          <w:tcPr>
            <w:tcW w:w="626" w:type="pct"/>
            <w:tcBorders>
              <w:top w:val="single" w:sz="4" w:space="0" w:color="auto"/>
              <w:left w:val="nil"/>
              <w:bottom w:val="nil"/>
              <w:right w:val="nil"/>
            </w:tcBorders>
            <w:vAlign w:val="center"/>
          </w:tcPr>
          <w:p w14:paraId="07F738EF" w14:textId="77777777" w:rsidR="00426CCC" w:rsidRPr="00B06893" w:rsidRDefault="00426CCC" w:rsidP="00426CCC">
            <w:pPr>
              <w:pStyle w:val="Tabletext"/>
              <w:keepNext/>
            </w:pPr>
          </w:p>
        </w:tc>
        <w:tc>
          <w:tcPr>
            <w:tcW w:w="588" w:type="pct"/>
            <w:tcBorders>
              <w:top w:val="single" w:sz="4" w:space="0" w:color="auto"/>
              <w:left w:val="nil"/>
              <w:bottom w:val="nil"/>
              <w:right w:val="nil"/>
            </w:tcBorders>
            <w:vAlign w:val="center"/>
          </w:tcPr>
          <w:p w14:paraId="324FE046" w14:textId="77777777" w:rsidR="00426CCC" w:rsidRPr="00B06893" w:rsidRDefault="00426CCC" w:rsidP="00426CCC">
            <w:pPr>
              <w:pStyle w:val="Tabletext"/>
              <w:keepNext/>
            </w:pPr>
          </w:p>
        </w:tc>
        <w:tc>
          <w:tcPr>
            <w:tcW w:w="526" w:type="pct"/>
            <w:tcBorders>
              <w:top w:val="single" w:sz="4" w:space="0" w:color="auto"/>
              <w:left w:val="nil"/>
              <w:bottom w:val="nil"/>
            </w:tcBorders>
            <w:vAlign w:val="center"/>
          </w:tcPr>
          <w:p w14:paraId="3D5BA0CA" w14:textId="77777777" w:rsidR="00426CCC" w:rsidRPr="00B06893" w:rsidRDefault="00426CCC" w:rsidP="00426CCC">
            <w:pPr>
              <w:pStyle w:val="Tabletext"/>
              <w:keepNext/>
            </w:pPr>
          </w:p>
        </w:tc>
        <w:tc>
          <w:tcPr>
            <w:tcW w:w="587" w:type="pct"/>
            <w:vMerge/>
            <w:noWrap/>
            <w:vAlign w:val="center"/>
          </w:tcPr>
          <w:p w14:paraId="7F344A88" w14:textId="77777777" w:rsidR="00426CCC" w:rsidRPr="00B06893" w:rsidRDefault="00426CCC" w:rsidP="00426CCC">
            <w:pPr>
              <w:pStyle w:val="Tabletext"/>
              <w:keepNext/>
            </w:pPr>
          </w:p>
        </w:tc>
        <w:tc>
          <w:tcPr>
            <w:tcW w:w="626" w:type="pct"/>
            <w:noWrap/>
            <w:vAlign w:val="center"/>
          </w:tcPr>
          <w:p w14:paraId="141C4BDB" w14:textId="77777777" w:rsidR="00426CCC" w:rsidRPr="00B06893" w:rsidRDefault="00426CCC" w:rsidP="00426CCC">
            <w:pPr>
              <w:pStyle w:val="Tabletext"/>
              <w:keepNext/>
            </w:pPr>
            <w:r w:rsidRPr="00B06893">
              <w:t>54</w:t>
            </w:r>
          </w:p>
        </w:tc>
        <w:tc>
          <w:tcPr>
            <w:tcW w:w="943" w:type="pct"/>
            <w:noWrap/>
            <w:vAlign w:val="center"/>
          </w:tcPr>
          <w:p w14:paraId="1C96BB32" w14:textId="39D6FA9F" w:rsidR="00426CCC" w:rsidRPr="00B06893" w:rsidRDefault="00426CCC" w:rsidP="00426CCC">
            <w:pPr>
              <w:pStyle w:val="Tabletext"/>
              <w:keepNext/>
            </w:pPr>
            <w:r w:rsidRPr="00B06893">
              <w:t>JN.1 co</w:t>
            </w:r>
            <w:r w:rsidR="00193971">
              <w:noBreakHyphen/>
            </w:r>
            <w:r w:rsidRPr="00B06893">
              <w:t>circulation</w:t>
            </w:r>
          </w:p>
        </w:tc>
        <w:tc>
          <w:tcPr>
            <w:tcW w:w="434" w:type="pct"/>
            <w:noWrap/>
            <w:vAlign w:val="center"/>
          </w:tcPr>
          <w:p w14:paraId="5D982E33" w14:textId="77777777" w:rsidR="00426CCC" w:rsidRPr="00B06893" w:rsidRDefault="00426CCC" w:rsidP="00426CCC">
            <w:pPr>
              <w:pStyle w:val="Tabletext"/>
              <w:keepNext/>
            </w:pPr>
            <w:r w:rsidRPr="00B06893">
              <w:t xml:space="preserve">46% </w:t>
            </w:r>
            <w:r w:rsidRPr="00B06893">
              <w:br/>
              <w:t>(32; 58)</w:t>
            </w:r>
          </w:p>
        </w:tc>
      </w:tr>
      <w:tr w:rsidR="00D20318" w:rsidRPr="00B06893" w14:paraId="7BB24836" w14:textId="77777777" w:rsidTr="00D20318">
        <w:trPr>
          <w:cantSplit/>
          <w:trHeight w:val="20"/>
        </w:trPr>
        <w:tc>
          <w:tcPr>
            <w:tcW w:w="669" w:type="pct"/>
            <w:tcBorders>
              <w:top w:val="nil"/>
              <w:left w:val="single" w:sz="4" w:space="0" w:color="auto"/>
              <w:bottom w:val="nil"/>
              <w:right w:val="nil"/>
            </w:tcBorders>
            <w:noWrap/>
            <w:vAlign w:val="center"/>
          </w:tcPr>
          <w:p w14:paraId="28841FDA" w14:textId="77777777" w:rsidR="00426CCC" w:rsidRPr="00B06893" w:rsidRDefault="00426CCC" w:rsidP="00426CCC">
            <w:pPr>
              <w:pStyle w:val="Tabletext"/>
              <w:keepNext/>
            </w:pPr>
          </w:p>
        </w:tc>
        <w:tc>
          <w:tcPr>
            <w:tcW w:w="626" w:type="pct"/>
            <w:tcBorders>
              <w:top w:val="nil"/>
              <w:left w:val="nil"/>
              <w:bottom w:val="nil"/>
              <w:right w:val="nil"/>
            </w:tcBorders>
            <w:vAlign w:val="center"/>
          </w:tcPr>
          <w:p w14:paraId="6FC6B380" w14:textId="77777777" w:rsidR="00426CCC" w:rsidRPr="00B06893" w:rsidRDefault="00426CCC" w:rsidP="00426CCC">
            <w:pPr>
              <w:pStyle w:val="Tabletext"/>
              <w:keepNext/>
            </w:pPr>
          </w:p>
        </w:tc>
        <w:tc>
          <w:tcPr>
            <w:tcW w:w="588" w:type="pct"/>
            <w:tcBorders>
              <w:top w:val="nil"/>
              <w:left w:val="nil"/>
              <w:bottom w:val="nil"/>
              <w:right w:val="nil"/>
            </w:tcBorders>
            <w:vAlign w:val="center"/>
          </w:tcPr>
          <w:p w14:paraId="34E13661" w14:textId="77777777" w:rsidR="00426CCC" w:rsidRPr="00B06893" w:rsidRDefault="00426CCC" w:rsidP="00426CCC">
            <w:pPr>
              <w:pStyle w:val="Tabletext"/>
              <w:keepNext/>
            </w:pPr>
          </w:p>
        </w:tc>
        <w:tc>
          <w:tcPr>
            <w:tcW w:w="526" w:type="pct"/>
            <w:tcBorders>
              <w:top w:val="nil"/>
              <w:left w:val="nil"/>
              <w:bottom w:val="nil"/>
            </w:tcBorders>
            <w:vAlign w:val="center"/>
          </w:tcPr>
          <w:p w14:paraId="3EEFEAE6" w14:textId="77777777" w:rsidR="00426CCC" w:rsidRPr="00B06893" w:rsidRDefault="00426CCC" w:rsidP="00426CCC">
            <w:pPr>
              <w:pStyle w:val="Tabletext"/>
              <w:keepNext/>
            </w:pPr>
          </w:p>
        </w:tc>
        <w:tc>
          <w:tcPr>
            <w:tcW w:w="587" w:type="pct"/>
            <w:vMerge/>
            <w:noWrap/>
            <w:vAlign w:val="center"/>
          </w:tcPr>
          <w:p w14:paraId="15135439" w14:textId="77777777" w:rsidR="00426CCC" w:rsidRPr="00B06893" w:rsidRDefault="00426CCC" w:rsidP="00426CCC">
            <w:pPr>
              <w:pStyle w:val="Tabletext"/>
              <w:keepNext/>
            </w:pPr>
          </w:p>
        </w:tc>
        <w:tc>
          <w:tcPr>
            <w:tcW w:w="626" w:type="pct"/>
            <w:noWrap/>
            <w:vAlign w:val="center"/>
          </w:tcPr>
          <w:p w14:paraId="2192B9F1" w14:textId="77777777" w:rsidR="00426CCC" w:rsidRPr="00B06893" w:rsidRDefault="00426CCC" w:rsidP="00426CCC">
            <w:pPr>
              <w:pStyle w:val="Tabletext"/>
              <w:keepNext/>
            </w:pPr>
            <w:r w:rsidRPr="00B06893">
              <w:t>55</w:t>
            </w:r>
          </w:p>
        </w:tc>
        <w:tc>
          <w:tcPr>
            <w:tcW w:w="943" w:type="pct"/>
            <w:noWrap/>
            <w:vAlign w:val="center"/>
          </w:tcPr>
          <w:p w14:paraId="14F424FA" w14:textId="77777777" w:rsidR="00426CCC" w:rsidRPr="00B06893" w:rsidRDefault="00426CCC" w:rsidP="00426CCC">
            <w:pPr>
              <w:pStyle w:val="Tabletext"/>
              <w:keepNext/>
            </w:pPr>
            <w:r w:rsidRPr="00B06893">
              <w:t>JN.1</w:t>
            </w:r>
          </w:p>
        </w:tc>
        <w:tc>
          <w:tcPr>
            <w:tcW w:w="434" w:type="pct"/>
            <w:noWrap/>
            <w:vAlign w:val="center"/>
          </w:tcPr>
          <w:p w14:paraId="753B36CD" w14:textId="77777777" w:rsidR="00426CCC" w:rsidRPr="00B06893" w:rsidRDefault="00426CCC" w:rsidP="00426CCC">
            <w:pPr>
              <w:pStyle w:val="Tabletext"/>
              <w:keepNext/>
            </w:pPr>
            <w:r w:rsidRPr="00B06893">
              <w:t xml:space="preserve">35% </w:t>
            </w:r>
            <w:r w:rsidRPr="00B06893">
              <w:br/>
              <w:t>(20; 48)</w:t>
            </w:r>
          </w:p>
        </w:tc>
      </w:tr>
      <w:tr w:rsidR="00D20318" w:rsidRPr="00B06893" w14:paraId="4E82C51F" w14:textId="77777777" w:rsidTr="00D20318">
        <w:trPr>
          <w:cantSplit/>
          <w:trHeight w:val="20"/>
        </w:trPr>
        <w:tc>
          <w:tcPr>
            <w:tcW w:w="669" w:type="pct"/>
            <w:tcBorders>
              <w:top w:val="nil"/>
              <w:left w:val="single" w:sz="4" w:space="0" w:color="auto"/>
              <w:bottom w:val="nil"/>
              <w:right w:val="nil"/>
            </w:tcBorders>
            <w:noWrap/>
            <w:vAlign w:val="center"/>
            <w:hideMark/>
          </w:tcPr>
          <w:p w14:paraId="018935A2" w14:textId="77777777" w:rsidR="00426CCC" w:rsidRPr="00B06893" w:rsidRDefault="00426CCC" w:rsidP="00426CCC">
            <w:pPr>
              <w:pStyle w:val="Tabletext"/>
              <w:keepNext/>
              <w:rPr>
                <w:rFonts w:ascii="Times New Roman" w:hAnsi="Times New Roman"/>
              </w:rPr>
            </w:pPr>
          </w:p>
        </w:tc>
        <w:tc>
          <w:tcPr>
            <w:tcW w:w="626" w:type="pct"/>
            <w:tcBorders>
              <w:top w:val="nil"/>
              <w:left w:val="nil"/>
              <w:bottom w:val="nil"/>
              <w:right w:val="nil"/>
            </w:tcBorders>
            <w:vAlign w:val="center"/>
          </w:tcPr>
          <w:p w14:paraId="07DB3EA1" w14:textId="77777777" w:rsidR="00426CCC" w:rsidRPr="00B06893" w:rsidRDefault="00426CCC" w:rsidP="00426CCC">
            <w:pPr>
              <w:pStyle w:val="Tabletext"/>
              <w:keepNext/>
              <w:rPr>
                <w:rFonts w:ascii="Times New Roman" w:hAnsi="Times New Roman"/>
              </w:rPr>
            </w:pPr>
          </w:p>
        </w:tc>
        <w:tc>
          <w:tcPr>
            <w:tcW w:w="588" w:type="pct"/>
            <w:tcBorders>
              <w:top w:val="nil"/>
              <w:left w:val="nil"/>
              <w:bottom w:val="nil"/>
              <w:right w:val="nil"/>
            </w:tcBorders>
            <w:vAlign w:val="center"/>
          </w:tcPr>
          <w:p w14:paraId="00FE5181" w14:textId="77777777" w:rsidR="00426CCC" w:rsidRPr="00B06893" w:rsidRDefault="00426CCC" w:rsidP="00426CCC">
            <w:pPr>
              <w:pStyle w:val="Tabletext"/>
              <w:keepNext/>
              <w:rPr>
                <w:rFonts w:ascii="Times New Roman" w:hAnsi="Times New Roman"/>
              </w:rPr>
            </w:pPr>
          </w:p>
        </w:tc>
        <w:tc>
          <w:tcPr>
            <w:tcW w:w="526" w:type="pct"/>
            <w:tcBorders>
              <w:top w:val="nil"/>
              <w:left w:val="nil"/>
              <w:bottom w:val="nil"/>
              <w:right w:val="single" w:sz="4" w:space="0" w:color="auto"/>
            </w:tcBorders>
            <w:vAlign w:val="center"/>
          </w:tcPr>
          <w:p w14:paraId="37896485" w14:textId="77777777" w:rsidR="00426CCC" w:rsidRPr="00B06893" w:rsidRDefault="00426CCC" w:rsidP="00426CCC">
            <w:pPr>
              <w:pStyle w:val="Tabletext"/>
              <w:keepNext/>
              <w:rPr>
                <w:rFonts w:ascii="Times New Roman" w:hAnsi="Times New Roman"/>
              </w:rPr>
            </w:pPr>
          </w:p>
        </w:tc>
        <w:tc>
          <w:tcPr>
            <w:tcW w:w="587" w:type="pct"/>
            <w:vMerge w:val="restart"/>
            <w:tcBorders>
              <w:left w:val="single" w:sz="4" w:space="0" w:color="auto"/>
            </w:tcBorders>
            <w:noWrap/>
            <w:vAlign w:val="center"/>
          </w:tcPr>
          <w:p w14:paraId="2CE20950" w14:textId="21BF1DD6" w:rsidR="00426CCC" w:rsidRPr="00B06893" w:rsidRDefault="00426CCC" w:rsidP="00426CCC">
            <w:pPr>
              <w:pStyle w:val="Tabletext"/>
              <w:keepNext/>
              <w:rPr>
                <w:vertAlign w:val="superscript"/>
              </w:rPr>
            </w:pPr>
            <w:r w:rsidRPr="00B06893">
              <w:t>Tartof (2024)</w:t>
            </w:r>
            <w:r w:rsidR="000A3000" w:rsidRPr="00B06893">
              <w:rPr>
                <w:vertAlign w:val="superscript"/>
              </w:rPr>
              <w:t>b</w:t>
            </w:r>
          </w:p>
        </w:tc>
        <w:tc>
          <w:tcPr>
            <w:tcW w:w="626" w:type="pct"/>
            <w:noWrap/>
            <w:vAlign w:val="center"/>
          </w:tcPr>
          <w:p w14:paraId="768C183A" w14:textId="77777777" w:rsidR="00426CCC" w:rsidRPr="00B06893" w:rsidRDefault="00426CCC" w:rsidP="00426CCC">
            <w:pPr>
              <w:pStyle w:val="Tabletext"/>
              <w:keepNext/>
            </w:pPr>
            <w:r w:rsidRPr="00B06893">
              <w:t>58</w:t>
            </w:r>
          </w:p>
        </w:tc>
        <w:tc>
          <w:tcPr>
            <w:tcW w:w="943" w:type="pct"/>
            <w:noWrap/>
            <w:vAlign w:val="center"/>
          </w:tcPr>
          <w:p w14:paraId="778A64EC" w14:textId="77777777" w:rsidR="00426CCC" w:rsidRPr="00B06893" w:rsidRDefault="00426CCC" w:rsidP="00426CCC">
            <w:pPr>
              <w:pStyle w:val="Tabletext"/>
              <w:keepNext/>
            </w:pPr>
            <w:r w:rsidRPr="00B06893">
              <w:t>Any lineage</w:t>
            </w:r>
          </w:p>
        </w:tc>
        <w:tc>
          <w:tcPr>
            <w:tcW w:w="434" w:type="pct"/>
            <w:noWrap/>
            <w:vAlign w:val="center"/>
          </w:tcPr>
          <w:p w14:paraId="134EBBAE" w14:textId="77777777" w:rsidR="00426CCC" w:rsidRPr="00B06893" w:rsidRDefault="00426CCC" w:rsidP="00426CCC">
            <w:pPr>
              <w:pStyle w:val="Tabletext"/>
              <w:keepNext/>
            </w:pPr>
            <w:r w:rsidRPr="00B06893">
              <w:t xml:space="preserve">57% </w:t>
            </w:r>
            <w:r w:rsidRPr="00B06893">
              <w:br/>
              <w:t>(45; 66)</w:t>
            </w:r>
          </w:p>
        </w:tc>
      </w:tr>
      <w:tr w:rsidR="00D20318" w:rsidRPr="00B06893" w14:paraId="2B867F71" w14:textId="77777777" w:rsidTr="00D20318">
        <w:trPr>
          <w:cantSplit/>
          <w:trHeight w:val="20"/>
        </w:trPr>
        <w:tc>
          <w:tcPr>
            <w:tcW w:w="669" w:type="pct"/>
            <w:tcBorders>
              <w:top w:val="nil"/>
              <w:left w:val="single" w:sz="4" w:space="0" w:color="auto"/>
              <w:bottom w:val="nil"/>
              <w:right w:val="nil"/>
            </w:tcBorders>
            <w:noWrap/>
            <w:vAlign w:val="center"/>
            <w:hideMark/>
          </w:tcPr>
          <w:p w14:paraId="09D117F9" w14:textId="77777777" w:rsidR="00426CCC" w:rsidRPr="00B06893" w:rsidRDefault="00426CCC" w:rsidP="00426CCC">
            <w:pPr>
              <w:pStyle w:val="Tabletext"/>
              <w:keepNext/>
              <w:rPr>
                <w:rFonts w:ascii="Times New Roman" w:hAnsi="Times New Roman"/>
              </w:rPr>
            </w:pPr>
          </w:p>
        </w:tc>
        <w:tc>
          <w:tcPr>
            <w:tcW w:w="626" w:type="pct"/>
            <w:tcBorders>
              <w:top w:val="nil"/>
              <w:left w:val="nil"/>
              <w:bottom w:val="nil"/>
              <w:right w:val="nil"/>
            </w:tcBorders>
            <w:vAlign w:val="center"/>
          </w:tcPr>
          <w:p w14:paraId="3591598A" w14:textId="77777777" w:rsidR="00426CCC" w:rsidRPr="00B06893" w:rsidRDefault="00426CCC" w:rsidP="00426CCC">
            <w:pPr>
              <w:pStyle w:val="Tabletext"/>
              <w:keepNext/>
              <w:rPr>
                <w:rFonts w:ascii="Times New Roman" w:hAnsi="Times New Roman"/>
              </w:rPr>
            </w:pPr>
          </w:p>
        </w:tc>
        <w:tc>
          <w:tcPr>
            <w:tcW w:w="588" w:type="pct"/>
            <w:tcBorders>
              <w:top w:val="nil"/>
              <w:left w:val="nil"/>
              <w:bottom w:val="nil"/>
              <w:right w:val="nil"/>
            </w:tcBorders>
            <w:vAlign w:val="center"/>
          </w:tcPr>
          <w:p w14:paraId="2424D1CF" w14:textId="77777777" w:rsidR="00426CCC" w:rsidRPr="00B06893" w:rsidRDefault="00426CCC" w:rsidP="00426CCC">
            <w:pPr>
              <w:pStyle w:val="Tabletext"/>
              <w:keepNext/>
              <w:rPr>
                <w:rFonts w:ascii="Times New Roman" w:hAnsi="Times New Roman"/>
              </w:rPr>
            </w:pPr>
          </w:p>
        </w:tc>
        <w:tc>
          <w:tcPr>
            <w:tcW w:w="526" w:type="pct"/>
            <w:tcBorders>
              <w:top w:val="nil"/>
              <w:left w:val="nil"/>
              <w:bottom w:val="nil"/>
              <w:right w:val="single" w:sz="4" w:space="0" w:color="auto"/>
            </w:tcBorders>
            <w:vAlign w:val="center"/>
          </w:tcPr>
          <w:p w14:paraId="3391C166" w14:textId="77777777" w:rsidR="00426CCC" w:rsidRPr="00B06893" w:rsidRDefault="00426CCC" w:rsidP="00426CCC">
            <w:pPr>
              <w:pStyle w:val="Tabletext"/>
              <w:keepNext/>
              <w:rPr>
                <w:rFonts w:ascii="Times New Roman" w:hAnsi="Times New Roman"/>
              </w:rPr>
            </w:pPr>
          </w:p>
        </w:tc>
        <w:tc>
          <w:tcPr>
            <w:tcW w:w="587" w:type="pct"/>
            <w:vMerge/>
            <w:tcBorders>
              <w:left w:val="single" w:sz="4" w:space="0" w:color="auto"/>
            </w:tcBorders>
            <w:noWrap/>
            <w:vAlign w:val="center"/>
          </w:tcPr>
          <w:p w14:paraId="79B53FAA" w14:textId="77777777" w:rsidR="00426CCC" w:rsidRPr="00B06893" w:rsidRDefault="00426CCC" w:rsidP="00426CCC">
            <w:pPr>
              <w:pStyle w:val="Tabletext"/>
              <w:keepNext/>
            </w:pPr>
          </w:p>
        </w:tc>
        <w:tc>
          <w:tcPr>
            <w:tcW w:w="626" w:type="pct"/>
            <w:noWrap/>
            <w:vAlign w:val="center"/>
          </w:tcPr>
          <w:p w14:paraId="39586641" w14:textId="77777777" w:rsidR="00426CCC" w:rsidRPr="00B06893" w:rsidRDefault="00426CCC" w:rsidP="00426CCC">
            <w:pPr>
              <w:pStyle w:val="Tabletext"/>
              <w:keepNext/>
            </w:pPr>
            <w:r w:rsidRPr="00B06893">
              <w:t>59</w:t>
            </w:r>
          </w:p>
        </w:tc>
        <w:tc>
          <w:tcPr>
            <w:tcW w:w="943" w:type="pct"/>
            <w:noWrap/>
            <w:vAlign w:val="center"/>
          </w:tcPr>
          <w:p w14:paraId="0F578B15" w14:textId="77777777" w:rsidR="00426CCC" w:rsidRPr="00B06893" w:rsidRDefault="00426CCC" w:rsidP="00426CCC">
            <w:pPr>
              <w:pStyle w:val="Tabletext"/>
              <w:keepNext/>
            </w:pPr>
            <w:r w:rsidRPr="00B06893">
              <w:t>XBB.1.5</w:t>
            </w:r>
          </w:p>
        </w:tc>
        <w:tc>
          <w:tcPr>
            <w:tcW w:w="434" w:type="pct"/>
            <w:noWrap/>
            <w:vAlign w:val="center"/>
          </w:tcPr>
          <w:p w14:paraId="2C7F5256" w14:textId="77777777" w:rsidR="00426CCC" w:rsidRPr="00B06893" w:rsidRDefault="00426CCC" w:rsidP="00426CCC">
            <w:pPr>
              <w:pStyle w:val="Tabletext"/>
              <w:keepNext/>
            </w:pPr>
            <w:r w:rsidRPr="00B06893">
              <w:t xml:space="preserve">65% </w:t>
            </w:r>
            <w:r w:rsidRPr="00B06893">
              <w:br/>
              <w:t>(41; 79)</w:t>
            </w:r>
          </w:p>
        </w:tc>
      </w:tr>
      <w:tr w:rsidR="00D20318" w:rsidRPr="00B06893" w14:paraId="50164983" w14:textId="77777777" w:rsidTr="00D20318">
        <w:trPr>
          <w:cantSplit/>
          <w:trHeight w:val="20"/>
        </w:trPr>
        <w:tc>
          <w:tcPr>
            <w:tcW w:w="669" w:type="pct"/>
            <w:tcBorders>
              <w:top w:val="nil"/>
              <w:left w:val="single" w:sz="4" w:space="0" w:color="auto"/>
              <w:bottom w:val="nil"/>
              <w:right w:val="nil"/>
            </w:tcBorders>
            <w:noWrap/>
            <w:vAlign w:val="center"/>
            <w:hideMark/>
          </w:tcPr>
          <w:p w14:paraId="61D3CF7E" w14:textId="77777777" w:rsidR="00426CCC" w:rsidRPr="00B06893" w:rsidRDefault="00426CCC" w:rsidP="00426CCC">
            <w:pPr>
              <w:pStyle w:val="Tabletext"/>
              <w:keepNext/>
              <w:rPr>
                <w:rFonts w:ascii="Times New Roman" w:hAnsi="Times New Roman"/>
              </w:rPr>
            </w:pPr>
          </w:p>
        </w:tc>
        <w:tc>
          <w:tcPr>
            <w:tcW w:w="626" w:type="pct"/>
            <w:tcBorders>
              <w:top w:val="nil"/>
              <w:left w:val="nil"/>
              <w:bottom w:val="nil"/>
              <w:right w:val="nil"/>
            </w:tcBorders>
            <w:vAlign w:val="center"/>
          </w:tcPr>
          <w:p w14:paraId="15CBEC84" w14:textId="77777777" w:rsidR="00426CCC" w:rsidRPr="00B06893" w:rsidRDefault="00426CCC" w:rsidP="00426CCC">
            <w:pPr>
              <w:pStyle w:val="Tabletext"/>
              <w:keepNext/>
              <w:rPr>
                <w:rFonts w:ascii="Times New Roman" w:hAnsi="Times New Roman"/>
              </w:rPr>
            </w:pPr>
          </w:p>
        </w:tc>
        <w:tc>
          <w:tcPr>
            <w:tcW w:w="588" w:type="pct"/>
            <w:tcBorders>
              <w:top w:val="nil"/>
              <w:left w:val="nil"/>
              <w:bottom w:val="nil"/>
              <w:right w:val="nil"/>
            </w:tcBorders>
            <w:vAlign w:val="center"/>
          </w:tcPr>
          <w:p w14:paraId="4B3D5254" w14:textId="77777777" w:rsidR="00426CCC" w:rsidRPr="00B06893" w:rsidRDefault="00426CCC" w:rsidP="00426CCC">
            <w:pPr>
              <w:pStyle w:val="Tabletext"/>
              <w:keepNext/>
              <w:rPr>
                <w:rFonts w:ascii="Times New Roman" w:hAnsi="Times New Roman"/>
              </w:rPr>
            </w:pPr>
          </w:p>
        </w:tc>
        <w:tc>
          <w:tcPr>
            <w:tcW w:w="526" w:type="pct"/>
            <w:tcBorders>
              <w:top w:val="nil"/>
              <w:left w:val="nil"/>
              <w:bottom w:val="nil"/>
              <w:right w:val="single" w:sz="4" w:space="0" w:color="auto"/>
            </w:tcBorders>
            <w:vAlign w:val="center"/>
          </w:tcPr>
          <w:p w14:paraId="0A8C3A35" w14:textId="77777777" w:rsidR="00426CCC" w:rsidRPr="00B06893" w:rsidRDefault="00426CCC" w:rsidP="00426CCC">
            <w:pPr>
              <w:pStyle w:val="Tabletext"/>
              <w:keepNext/>
              <w:rPr>
                <w:rFonts w:ascii="Times New Roman" w:hAnsi="Times New Roman"/>
              </w:rPr>
            </w:pPr>
          </w:p>
        </w:tc>
        <w:tc>
          <w:tcPr>
            <w:tcW w:w="587" w:type="pct"/>
            <w:vMerge/>
            <w:tcBorders>
              <w:left w:val="single" w:sz="4" w:space="0" w:color="auto"/>
            </w:tcBorders>
            <w:noWrap/>
            <w:vAlign w:val="center"/>
          </w:tcPr>
          <w:p w14:paraId="40A1C6FD" w14:textId="77777777" w:rsidR="00426CCC" w:rsidRPr="00B06893" w:rsidRDefault="00426CCC" w:rsidP="00426CCC">
            <w:pPr>
              <w:pStyle w:val="Tabletext"/>
              <w:keepNext/>
            </w:pPr>
          </w:p>
        </w:tc>
        <w:tc>
          <w:tcPr>
            <w:tcW w:w="626" w:type="pct"/>
            <w:noWrap/>
            <w:vAlign w:val="center"/>
          </w:tcPr>
          <w:p w14:paraId="195BB98B" w14:textId="77777777" w:rsidR="00426CCC" w:rsidRPr="00B06893" w:rsidRDefault="00426CCC" w:rsidP="00426CCC">
            <w:pPr>
              <w:pStyle w:val="Tabletext"/>
              <w:keepNext/>
            </w:pPr>
            <w:r w:rsidRPr="00B06893">
              <w:t>60</w:t>
            </w:r>
          </w:p>
        </w:tc>
        <w:tc>
          <w:tcPr>
            <w:tcW w:w="943" w:type="pct"/>
            <w:noWrap/>
            <w:vAlign w:val="center"/>
          </w:tcPr>
          <w:p w14:paraId="6EE9D6F8" w14:textId="77777777" w:rsidR="00426CCC" w:rsidRPr="00B06893" w:rsidRDefault="00426CCC" w:rsidP="00426CCC">
            <w:pPr>
              <w:pStyle w:val="Tabletext"/>
              <w:keepNext/>
            </w:pPr>
            <w:r w:rsidRPr="00B06893">
              <w:t>JN.1</w:t>
            </w:r>
          </w:p>
        </w:tc>
        <w:tc>
          <w:tcPr>
            <w:tcW w:w="434" w:type="pct"/>
            <w:noWrap/>
            <w:vAlign w:val="center"/>
          </w:tcPr>
          <w:p w14:paraId="1BE8E141" w14:textId="77777777" w:rsidR="00426CCC" w:rsidRPr="00B06893" w:rsidRDefault="00426CCC" w:rsidP="00426CCC">
            <w:pPr>
              <w:pStyle w:val="Tabletext"/>
              <w:keepNext/>
            </w:pPr>
            <w:r w:rsidRPr="00B06893">
              <w:t xml:space="preserve">54% </w:t>
            </w:r>
            <w:r w:rsidRPr="00B06893">
              <w:br/>
              <w:t>(33; 69)</w:t>
            </w:r>
          </w:p>
        </w:tc>
      </w:tr>
      <w:tr w:rsidR="00D20318" w:rsidRPr="00B06893" w14:paraId="1BE4B750" w14:textId="77777777" w:rsidTr="00D20318">
        <w:trPr>
          <w:cantSplit/>
          <w:trHeight w:val="20"/>
        </w:trPr>
        <w:tc>
          <w:tcPr>
            <w:tcW w:w="669" w:type="pct"/>
            <w:tcBorders>
              <w:top w:val="nil"/>
              <w:left w:val="single" w:sz="4" w:space="0" w:color="auto"/>
              <w:bottom w:val="nil"/>
              <w:right w:val="nil"/>
            </w:tcBorders>
            <w:noWrap/>
            <w:vAlign w:val="center"/>
            <w:hideMark/>
          </w:tcPr>
          <w:p w14:paraId="020F0AB3" w14:textId="77777777" w:rsidR="00426CCC" w:rsidRPr="00B06893" w:rsidRDefault="00426CCC" w:rsidP="00426CCC">
            <w:pPr>
              <w:pStyle w:val="Tabletext"/>
              <w:keepNext/>
              <w:rPr>
                <w:rFonts w:ascii="Times New Roman" w:hAnsi="Times New Roman"/>
              </w:rPr>
            </w:pPr>
          </w:p>
        </w:tc>
        <w:tc>
          <w:tcPr>
            <w:tcW w:w="626" w:type="pct"/>
            <w:tcBorders>
              <w:top w:val="nil"/>
              <w:left w:val="nil"/>
              <w:bottom w:val="nil"/>
              <w:right w:val="nil"/>
            </w:tcBorders>
            <w:vAlign w:val="center"/>
          </w:tcPr>
          <w:p w14:paraId="161A1BEB" w14:textId="77777777" w:rsidR="00426CCC" w:rsidRPr="00B06893" w:rsidRDefault="00426CCC" w:rsidP="00426CCC">
            <w:pPr>
              <w:pStyle w:val="Tabletext"/>
              <w:keepNext/>
              <w:rPr>
                <w:rFonts w:ascii="Times New Roman" w:hAnsi="Times New Roman"/>
              </w:rPr>
            </w:pPr>
          </w:p>
        </w:tc>
        <w:tc>
          <w:tcPr>
            <w:tcW w:w="588" w:type="pct"/>
            <w:tcBorders>
              <w:top w:val="nil"/>
              <w:left w:val="nil"/>
              <w:bottom w:val="nil"/>
              <w:right w:val="nil"/>
            </w:tcBorders>
            <w:vAlign w:val="center"/>
          </w:tcPr>
          <w:p w14:paraId="02ADC445" w14:textId="77777777" w:rsidR="00426CCC" w:rsidRPr="00B06893" w:rsidRDefault="00426CCC" w:rsidP="00426CCC">
            <w:pPr>
              <w:pStyle w:val="Tabletext"/>
              <w:keepNext/>
              <w:rPr>
                <w:rFonts w:ascii="Times New Roman" w:hAnsi="Times New Roman"/>
              </w:rPr>
            </w:pPr>
          </w:p>
        </w:tc>
        <w:tc>
          <w:tcPr>
            <w:tcW w:w="526" w:type="pct"/>
            <w:tcBorders>
              <w:top w:val="nil"/>
              <w:left w:val="nil"/>
              <w:bottom w:val="nil"/>
              <w:right w:val="single" w:sz="4" w:space="0" w:color="auto"/>
            </w:tcBorders>
            <w:vAlign w:val="center"/>
          </w:tcPr>
          <w:p w14:paraId="5F4F3087" w14:textId="77777777" w:rsidR="00426CCC" w:rsidRPr="00B06893" w:rsidRDefault="00426CCC" w:rsidP="00426CCC">
            <w:pPr>
              <w:pStyle w:val="Tabletext"/>
              <w:keepNext/>
              <w:rPr>
                <w:rFonts w:ascii="Times New Roman" w:hAnsi="Times New Roman"/>
              </w:rPr>
            </w:pPr>
          </w:p>
        </w:tc>
        <w:tc>
          <w:tcPr>
            <w:tcW w:w="587" w:type="pct"/>
            <w:tcBorders>
              <w:left w:val="single" w:sz="4" w:space="0" w:color="auto"/>
            </w:tcBorders>
            <w:noWrap/>
            <w:vAlign w:val="center"/>
          </w:tcPr>
          <w:p w14:paraId="7C05A45A" w14:textId="77777777" w:rsidR="00426CCC" w:rsidRPr="00B06893" w:rsidRDefault="00426CCC" w:rsidP="00426CCC">
            <w:pPr>
              <w:pStyle w:val="Tabletext"/>
              <w:keepNext/>
            </w:pPr>
            <w:r w:rsidRPr="00B06893">
              <w:t>Andersen (2025)</w:t>
            </w:r>
          </w:p>
        </w:tc>
        <w:tc>
          <w:tcPr>
            <w:tcW w:w="626" w:type="pct"/>
            <w:noWrap/>
            <w:vAlign w:val="center"/>
          </w:tcPr>
          <w:p w14:paraId="7F7F0475" w14:textId="77777777" w:rsidR="00426CCC" w:rsidRPr="00B06893" w:rsidRDefault="00426CCC" w:rsidP="00426CCC">
            <w:pPr>
              <w:pStyle w:val="Tabletext"/>
              <w:keepNext/>
            </w:pPr>
            <w:r w:rsidRPr="00B06893">
              <w:t>118</w:t>
            </w:r>
          </w:p>
        </w:tc>
        <w:tc>
          <w:tcPr>
            <w:tcW w:w="943" w:type="pct"/>
            <w:noWrap/>
            <w:vAlign w:val="center"/>
          </w:tcPr>
          <w:p w14:paraId="46DAEEC5" w14:textId="77777777" w:rsidR="00426CCC" w:rsidRPr="00B06893" w:rsidRDefault="00426CCC" w:rsidP="00426CCC">
            <w:pPr>
              <w:pStyle w:val="Tabletext"/>
              <w:keepNext/>
            </w:pPr>
            <w:r w:rsidRPr="00B06893">
              <w:t>Any</w:t>
            </w:r>
          </w:p>
          <w:p w14:paraId="5806D58E" w14:textId="77777777" w:rsidR="00426CCC" w:rsidRPr="00B06893" w:rsidRDefault="00426CCC" w:rsidP="00426CCC">
            <w:pPr>
              <w:pStyle w:val="Tabletext"/>
              <w:keepNext/>
            </w:pPr>
            <w:r w:rsidRPr="00B06893">
              <w:t>(JN.1/XBB.1.5 predominant)</w:t>
            </w:r>
          </w:p>
        </w:tc>
        <w:tc>
          <w:tcPr>
            <w:tcW w:w="434" w:type="pct"/>
            <w:noWrap/>
            <w:vAlign w:val="center"/>
          </w:tcPr>
          <w:p w14:paraId="193B8832" w14:textId="77777777" w:rsidR="00426CCC" w:rsidRPr="00B06893" w:rsidRDefault="00426CCC" w:rsidP="00426CCC">
            <w:pPr>
              <w:pStyle w:val="Tabletext"/>
              <w:keepNext/>
            </w:pPr>
            <w:r w:rsidRPr="00B06893">
              <w:t xml:space="preserve">36% </w:t>
            </w:r>
            <w:r w:rsidRPr="00B06893">
              <w:br/>
              <w:t>(18; 50)</w:t>
            </w:r>
          </w:p>
        </w:tc>
      </w:tr>
      <w:tr w:rsidR="00426CCC" w:rsidRPr="00B06893" w14:paraId="6C070F57" w14:textId="77777777" w:rsidTr="00D20318">
        <w:trPr>
          <w:cantSplit/>
          <w:trHeight w:val="20"/>
        </w:trPr>
        <w:tc>
          <w:tcPr>
            <w:tcW w:w="5000" w:type="pct"/>
            <w:gridSpan w:val="8"/>
            <w:noWrap/>
            <w:vAlign w:val="center"/>
            <w:hideMark/>
          </w:tcPr>
          <w:p w14:paraId="3059470A" w14:textId="77777777" w:rsidR="00426CCC" w:rsidRPr="00B06893" w:rsidRDefault="00426CCC" w:rsidP="00426CCC">
            <w:pPr>
              <w:pStyle w:val="Tabletext"/>
              <w:keepNext/>
              <w:rPr>
                <w:b/>
                <w:bCs/>
              </w:rPr>
            </w:pPr>
            <w:r w:rsidRPr="00B06893">
              <w:rPr>
                <w:b/>
                <w:bCs/>
              </w:rPr>
              <w:t>≥65 years</w:t>
            </w:r>
          </w:p>
        </w:tc>
      </w:tr>
      <w:tr w:rsidR="00D20318" w:rsidRPr="00B06893" w14:paraId="0816BDB2" w14:textId="77777777" w:rsidTr="00D20318">
        <w:trPr>
          <w:cantSplit/>
          <w:trHeight w:val="20"/>
        </w:trPr>
        <w:tc>
          <w:tcPr>
            <w:tcW w:w="669" w:type="pct"/>
            <w:noWrap/>
            <w:vAlign w:val="center"/>
            <w:hideMark/>
          </w:tcPr>
          <w:p w14:paraId="65E46C19" w14:textId="5A97994F" w:rsidR="00426CCC" w:rsidRPr="00B06893" w:rsidRDefault="00426CCC" w:rsidP="00426CCC">
            <w:pPr>
              <w:pStyle w:val="Tabletext"/>
              <w:keepNext/>
            </w:pPr>
            <w:r w:rsidRPr="00B06893">
              <w:t xml:space="preserve">Wilson et al. </w:t>
            </w:r>
            <w:r w:rsidRPr="00B06893">
              <w:fldChar w:fldCharType="begin">
                <w:fldData xml:space="preserve">PEVuZE5vdGU+PENpdGUgRXhjbHVkZUF1dGg9IjEiPjxBdXRob3I+V2lsc29uPC9BdXRob3I+PFll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</w:fldData>
              </w:fldChar>
            </w:r>
            <w:r w:rsidR="001C2BE0" w:rsidRPr="00B06893">
              <w:instrText xml:space="preserve"> ADDIN EN.CITE </w:instrText>
            </w:r>
            <w:r w:rsidR="001C2BE0" w:rsidRPr="00B06893">
              <w:fldChar w:fldCharType="begin">
                <w:fldData xml:space="preserve">PEVuZE5vdGU+PENpdGUgRXhjbHVkZUF1dGg9IjEiPjxBdXRob3I+V2lsc29uPC9BdXRob3I+PFll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</w:fldData>
              </w:fldChar>
            </w:r>
            <w:r w:rsidR="001C2BE0" w:rsidRPr="00B06893">
              <w:instrText xml:space="preserve"> ADDIN EN.CITE.DATA </w:instrText>
            </w:r>
            <w:r w:rsidR="001C2BE0" w:rsidRPr="00B06893">
              <w:fldChar w:fldCharType="end"/>
            </w:r>
            <w:r w:rsidRPr="00B06893">
              <w:fldChar w:fldCharType="separate"/>
            </w:r>
            <w:r w:rsidR="001C2BE0" w:rsidRPr="00B06893">
              <w:rPr>
                <w:vertAlign w:val="superscript"/>
              </w:rPr>
              <w:t>2</w:t>
            </w:r>
            <w:r w:rsidRPr="00B06893">
              <w:fldChar w:fldCharType="end"/>
            </w:r>
          </w:p>
        </w:tc>
        <w:tc>
          <w:tcPr>
            <w:tcW w:w="626" w:type="pct"/>
            <w:noWrap/>
            <w:vAlign w:val="center"/>
            <w:hideMark/>
          </w:tcPr>
          <w:p w14:paraId="0713DFB7" w14:textId="77777777" w:rsidR="00426CCC" w:rsidRPr="00B06893" w:rsidRDefault="00426CCC" w:rsidP="00426CCC">
            <w:pPr>
              <w:pStyle w:val="Tabletext"/>
              <w:keepNext/>
            </w:pPr>
            <w:r w:rsidRPr="00B06893">
              <w:t>84 days</w:t>
            </w:r>
          </w:p>
        </w:tc>
        <w:tc>
          <w:tcPr>
            <w:tcW w:w="588" w:type="pct"/>
            <w:noWrap/>
            <w:vAlign w:val="center"/>
            <w:hideMark/>
          </w:tcPr>
          <w:p w14:paraId="207A20C9" w14:textId="77777777" w:rsidR="00426CCC" w:rsidRPr="00B06893" w:rsidRDefault="00426CCC" w:rsidP="00426CCC">
            <w:pPr>
              <w:pStyle w:val="Tabletext"/>
              <w:keepNext/>
            </w:pPr>
            <w:r w:rsidRPr="00B06893">
              <w:t>Any lineage</w:t>
            </w:r>
          </w:p>
        </w:tc>
        <w:tc>
          <w:tcPr>
            <w:tcW w:w="526" w:type="pct"/>
            <w:noWrap/>
            <w:vAlign w:val="center"/>
            <w:hideMark/>
          </w:tcPr>
          <w:p w14:paraId="0848866E" w14:textId="77777777" w:rsidR="00426CCC" w:rsidRPr="00B06893" w:rsidRDefault="00426CCC" w:rsidP="00426CCC">
            <w:pPr>
              <w:pStyle w:val="Tabletext"/>
              <w:keepNext/>
            </w:pPr>
            <w:r w:rsidRPr="00B06893">
              <w:t xml:space="preserve">56% </w:t>
            </w:r>
            <w:r w:rsidRPr="00B06893">
              <w:br/>
              <w:t>(51; 61)</w:t>
            </w:r>
          </w:p>
        </w:tc>
        <w:tc>
          <w:tcPr>
            <w:tcW w:w="587" w:type="pct"/>
            <w:noWrap/>
            <w:vAlign w:val="center"/>
            <w:hideMark/>
          </w:tcPr>
          <w:p w14:paraId="6159E168" w14:textId="77777777" w:rsidR="00426CCC" w:rsidRPr="00B06893" w:rsidRDefault="00426CCC" w:rsidP="00426CCC">
            <w:pPr>
              <w:pStyle w:val="Tabletext"/>
              <w:keepNext/>
            </w:pPr>
            <w:r w:rsidRPr="00B06893">
              <w:t>Andersen (2025)</w:t>
            </w:r>
          </w:p>
        </w:tc>
        <w:tc>
          <w:tcPr>
            <w:tcW w:w="626" w:type="pct"/>
            <w:noWrap/>
            <w:vAlign w:val="center"/>
            <w:hideMark/>
          </w:tcPr>
          <w:p w14:paraId="50293C81" w14:textId="77777777" w:rsidR="00426CCC" w:rsidRPr="00B06893" w:rsidRDefault="00426CCC" w:rsidP="00426CCC">
            <w:pPr>
              <w:pStyle w:val="Tabletext"/>
              <w:keepNext/>
            </w:pPr>
            <w:r w:rsidRPr="00B06893">
              <w:t>33</w:t>
            </w:r>
          </w:p>
        </w:tc>
        <w:tc>
          <w:tcPr>
            <w:tcW w:w="943" w:type="pct"/>
            <w:noWrap/>
            <w:vAlign w:val="center"/>
            <w:hideMark/>
          </w:tcPr>
          <w:p w14:paraId="59030604" w14:textId="77777777" w:rsidR="00426CCC" w:rsidRPr="00B06893" w:rsidRDefault="00426CCC" w:rsidP="00426CCC">
            <w:pPr>
              <w:pStyle w:val="Tabletext"/>
              <w:keepNext/>
            </w:pPr>
            <w:r w:rsidRPr="00B06893">
              <w:t>Any</w:t>
            </w:r>
          </w:p>
        </w:tc>
        <w:tc>
          <w:tcPr>
            <w:tcW w:w="434" w:type="pct"/>
            <w:noWrap/>
            <w:vAlign w:val="center"/>
            <w:hideMark/>
          </w:tcPr>
          <w:p w14:paraId="640AA988" w14:textId="77777777" w:rsidR="00426CCC" w:rsidRPr="00B06893" w:rsidRDefault="00426CCC" w:rsidP="00426CCC">
            <w:pPr>
              <w:pStyle w:val="Tabletext"/>
              <w:keepNext/>
            </w:pPr>
            <w:r w:rsidRPr="00B06893">
              <w:t xml:space="preserve">47% </w:t>
            </w:r>
            <w:r w:rsidRPr="00B06893">
              <w:br/>
              <w:t>(28; 61)</w:t>
            </w:r>
          </w:p>
        </w:tc>
      </w:tr>
      <w:tr w:rsidR="00D20318" w:rsidRPr="00B06893" w14:paraId="7441A57D" w14:textId="77777777" w:rsidTr="00D20318">
        <w:trPr>
          <w:cantSplit/>
          <w:trHeight w:val="20"/>
        </w:trPr>
        <w:tc>
          <w:tcPr>
            <w:tcW w:w="669" w:type="pct"/>
            <w:noWrap/>
            <w:vAlign w:val="center"/>
            <w:hideMark/>
          </w:tcPr>
          <w:p w14:paraId="6B780FBB" w14:textId="5EF5CC2A" w:rsidR="00426CCC" w:rsidRPr="00B06893" w:rsidRDefault="00426CCC" w:rsidP="00426CCC">
            <w:pPr>
              <w:pStyle w:val="Tabletext"/>
              <w:keepNext/>
            </w:pPr>
            <w:r w:rsidRPr="00B06893">
              <w:t xml:space="preserve">Zheng et al. </w:t>
            </w:r>
            <w:r w:rsidRPr="00B06893">
              <w:fldChar w:fldCharType="begin"/>
            </w:r>
            <w:r w:rsidR="001C2BE0" w:rsidRPr="00B06893">
              <w:instrText xml:space="preserve"> ADDIN EN.CITE &lt;EndNote&gt;&lt;Cite ExcludeAuth="1"&gt;&lt;Author&gt;Zheng&lt;/Author&gt;&lt;Year&gt;2025&lt;/Year&gt;&lt;RecNum&gt;238&lt;/RecNum&gt;&lt;DisplayText&gt;&lt;style face="superscript"&gt;1&lt;/style&gt;&lt;/DisplayText&gt;&lt;record&gt;&lt;rec-number&gt;238&lt;/rec-number&gt;&lt;foreign-keys&gt;&lt;key app="EN" db-id="pwprztvdf9e2eqezpt7vapsdvt5zfw2e5pza" timestamp="1753169485"&gt;238&lt;/key&gt;&lt;/foreign-keys&gt;&lt;ref-type name="Journal Article"&gt;17&lt;/ref-type&gt;&lt;contributors&gt;&lt;authors&gt;&lt;author&gt;Zheng, Z.&lt;/author&gt;&lt;author&gt;Mitra, Y.&lt;/author&gt;&lt;author&gt;MacCormac, D.&lt;/author&gt;&lt;author&gt;Radin, J.&lt;/author&gt;&lt;author&gt;Sun, T.&lt;/author&gt;&lt;author&gt;Wilson, A.&lt;/author&gt;&lt;author&gt;Shah, R.&lt;/author&gt;&lt;author&gt;Skornicki, M.&lt;/author&gt;&lt;author&gt;Toyip, A.&lt;/author&gt;&lt;author&gt;Sheridan, P.&lt;/author&gt;&lt;author&gt;Mues, K. E.&lt;/author&gt;&lt;author&gt;Esposito, D.&lt;/author&gt;&lt;author&gt;Araujo, A. B.&lt;/author&gt;&lt;author&gt;Anderson, E.&lt;/author&gt;&lt;/authors&gt;&lt;/contributors&gt;&lt;titles&gt;&lt;title&gt;Effectiveness of 2023-2024 Mrna-1273 Xbb.1.5 Vaccine Against Covid-19 Associated Hospitalizations and Medically Attended Covid-19 in the United States&lt;/title&gt;&lt;/titles&gt;&lt;dates&gt;&lt;year&gt;2025&lt;/year&gt;&lt;/dates&gt;&lt;urls&gt;&lt;related-urls&gt;&lt;url&gt;https://ssrn.com/abstract=5258507&lt;/url&gt;&lt;/related-urls&gt;&lt;/urls&gt;&lt;/record&gt;&lt;/Cite&gt;&lt;/EndNote&gt;</w:instrText>
            </w:r>
            <w:r w:rsidRPr="00B06893">
              <w:fldChar w:fldCharType="separate"/>
            </w:r>
            <w:r w:rsidR="001C2BE0" w:rsidRPr="00B06893">
              <w:rPr>
                <w:vertAlign w:val="superscript"/>
              </w:rPr>
              <w:t>1</w:t>
            </w:r>
            <w:r w:rsidRPr="00B06893">
              <w:fldChar w:fldCharType="end"/>
            </w:r>
          </w:p>
        </w:tc>
        <w:tc>
          <w:tcPr>
            <w:tcW w:w="626" w:type="pct"/>
            <w:noWrap/>
            <w:vAlign w:val="center"/>
            <w:hideMark/>
          </w:tcPr>
          <w:p w14:paraId="7800705E" w14:textId="77777777" w:rsidR="00426CCC" w:rsidRPr="00B06893" w:rsidRDefault="00426CCC" w:rsidP="00426CCC">
            <w:pPr>
              <w:pStyle w:val="Tabletext"/>
              <w:keepNext/>
            </w:pPr>
            <w:r w:rsidRPr="00B06893">
              <w:t>111 days</w:t>
            </w:r>
          </w:p>
        </w:tc>
        <w:tc>
          <w:tcPr>
            <w:tcW w:w="588" w:type="pct"/>
            <w:noWrap/>
            <w:vAlign w:val="center"/>
            <w:hideMark/>
          </w:tcPr>
          <w:p w14:paraId="43E3B4AB" w14:textId="77777777" w:rsidR="00426CCC" w:rsidRPr="00B06893" w:rsidRDefault="00426CCC" w:rsidP="00426CCC">
            <w:pPr>
              <w:pStyle w:val="Tabletext"/>
              <w:keepNext/>
            </w:pPr>
            <w:r w:rsidRPr="00B06893">
              <w:t>Any lineage</w:t>
            </w:r>
          </w:p>
        </w:tc>
        <w:tc>
          <w:tcPr>
            <w:tcW w:w="526" w:type="pct"/>
            <w:noWrap/>
            <w:vAlign w:val="center"/>
            <w:hideMark/>
          </w:tcPr>
          <w:p w14:paraId="1196DAF7" w14:textId="77777777" w:rsidR="00426CCC" w:rsidRPr="00B06893" w:rsidRDefault="00426CCC" w:rsidP="00426CCC">
            <w:pPr>
              <w:pStyle w:val="Tabletext"/>
              <w:keepNext/>
            </w:pPr>
            <w:r w:rsidRPr="00B06893">
              <w:t xml:space="preserve">58% </w:t>
            </w:r>
            <w:r w:rsidRPr="00B06893">
              <w:br/>
              <w:t>(54; 62)</w:t>
            </w:r>
          </w:p>
        </w:tc>
        <w:tc>
          <w:tcPr>
            <w:tcW w:w="587" w:type="pct"/>
            <w:noWrap/>
            <w:vAlign w:val="center"/>
            <w:hideMark/>
          </w:tcPr>
          <w:p w14:paraId="635AFD36" w14:textId="77777777" w:rsidR="00426CCC" w:rsidRPr="00B06893" w:rsidRDefault="00426CCC" w:rsidP="00426CCC">
            <w:pPr>
              <w:pStyle w:val="Tabletext"/>
              <w:keepNext/>
              <w:rPr>
                <w:rFonts w:cs="Calibri"/>
              </w:rPr>
            </w:pPr>
            <w:r w:rsidRPr="00B06893">
              <w:t>Tartof (2024)</w:t>
            </w:r>
          </w:p>
        </w:tc>
        <w:tc>
          <w:tcPr>
            <w:tcW w:w="626" w:type="pct"/>
            <w:noWrap/>
            <w:vAlign w:val="center"/>
            <w:hideMark/>
          </w:tcPr>
          <w:p w14:paraId="34B0E566" w14:textId="77777777" w:rsidR="00426CCC" w:rsidRPr="00B06893" w:rsidRDefault="00426CCC" w:rsidP="00426CCC">
            <w:pPr>
              <w:pStyle w:val="Tabletext"/>
              <w:keepNext/>
            </w:pPr>
            <w:r w:rsidRPr="00B06893">
              <w:t>33</w:t>
            </w:r>
          </w:p>
        </w:tc>
        <w:tc>
          <w:tcPr>
            <w:tcW w:w="943" w:type="pct"/>
            <w:noWrap/>
            <w:vAlign w:val="center"/>
            <w:hideMark/>
          </w:tcPr>
          <w:p w14:paraId="015D394C" w14:textId="77777777" w:rsidR="00426CCC" w:rsidRPr="00B06893" w:rsidRDefault="00426CCC" w:rsidP="00426CCC">
            <w:pPr>
              <w:pStyle w:val="Tabletext"/>
              <w:keepNext/>
            </w:pPr>
            <w:r w:rsidRPr="00B06893">
              <w:t>Any</w:t>
            </w:r>
          </w:p>
        </w:tc>
        <w:tc>
          <w:tcPr>
            <w:tcW w:w="434" w:type="pct"/>
            <w:noWrap/>
            <w:vAlign w:val="center"/>
            <w:hideMark/>
          </w:tcPr>
          <w:p w14:paraId="706BD7C5" w14:textId="77777777" w:rsidR="00426CCC" w:rsidRPr="00B06893" w:rsidRDefault="00426CCC" w:rsidP="00426CCC">
            <w:pPr>
              <w:pStyle w:val="Tabletext"/>
              <w:keepNext/>
              <w:rPr>
                <w:rFonts w:cs="Calibri"/>
              </w:rPr>
            </w:pPr>
            <w:r w:rsidRPr="00B06893">
              <w:rPr>
                <w:rFonts w:cs="Calibri"/>
              </w:rPr>
              <w:t xml:space="preserve">63% </w:t>
            </w:r>
            <w:r w:rsidRPr="00B06893">
              <w:rPr>
                <w:rFonts w:cs="Calibri"/>
              </w:rPr>
              <w:br/>
              <w:t>(30; 80)</w:t>
            </w:r>
          </w:p>
        </w:tc>
      </w:tr>
    </w:tbl>
    <w:p w14:paraId="15769AA2" w14:textId="0E5BD5D0" w:rsidR="00426CCC" w:rsidRPr="00B06893" w:rsidRDefault="00426CCC" w:rsidP="000A3000">
      <w:pPr>
        <w:pStyle w:val="TableFooter"/>
        <w:rPr>
          <w:lang w:eastAsia="ja-JP"/>
        </w:rPr>
      </w:pPr>
      <w:r w:rsidRPr="00B06893">
        <w:rPr>
          <w:lang w:eastAsia="ja-JP"/>
        </w:rPr>
        <w:t>Source: Table 43, p62 of the 2025 ATAGI Pre</w:t>
      </w:r>
      <w:r w:rsidR="00193971">
        <w:rPr>
          <w:lang w:eastAsia="ja-JP"/>
        </w:rPr>
        <w:noBreakHyphen/>
      </w:r>
      <w:r w:rsidRPr="00B06893">
        <w:rPr>
          <w:lang w:eastAsia="ja-JP"/>
        </w:rPr>
        <w:t>Submission Advice</w:t>
      </w:r>
    </w:p>
    <w:p w14:paraId="0216F3D3" w14:textId="4F5C8EB7" w:rsidR="00426CCC" w:rsidRPr="00B06893" w:rsidRDefault="00426CCC" w:rsidP="000A3000">
      <w:pPr>
        <w:pStyle w:val="TableFooter"/>
        <w:rPr>
          <w:lang w:eastAsia="ja-JP"/>
        </w:rPr>
      </w:pPr>
      <w:r w:rsidRPr="00B06893">
        <w:rPr>
          <w:lang w:eastAsia="ja-JP"/>
        </w:rPr>
        <w:t>CI</w:t>
      </w:r>
      <w:r w:rsidR="00805BC2" w:rsidRPr="00B06893">
        <w:rPr>
          <w:lang w:eastAsia="ja-JP"/>
        </w:rPr>
        <w:t xml:space="preserve"> </w:t>
      </w:r>
      <w:r w:rsidRPr="00B06893">
        <w:rPr>
          <w:lang w:eastAsia="ja-JP"/>
        </w:rPr>
        <w:t>= confidence interval; VE</w:t>
      </w:r>
      <w:r w:rsidR="00805BC2" w:rsidRPr="00B06893">
        <w:rPr>
          <w:lang w:eastAsia="ja-JP"/>
        </w:rPr>
        <w:t xml:space="preserve"> </w:t>
      </w:r>
      <w:r w:rsidRPr="00B06893">
        <w:rPr>
          <w:lang w:eastAsia="ja-JP"/>
        </w:rPr>
        <w:t>= vaccine effectiveness</w:t>
      </w:r>
    </w:p>
    <w:p w14:paraId="3CE44933" w14:textId="45949741" w:rsidR="00426CCC" w:rsidRPr="00B06893" w:rsidRDefault="00426CCC" w:rsidP="000A3000">
      <w:pPr>
        <w:pStyle w:val="TableFooter"/>
        <w:rPr>
          <w:lang w:eastAsia="ja-JP"/>
        </w:rPr>
      </w:pPr>
      <w:r w:rsidRPr="00B06893">
        <w:rPr>
          <w:lang w:eastAsia="ja-JP"/>
        </w:rPr>
        <w:t>Note that all follow up times were converted into days to facilitate comparisons</w:t>
      </w:r>
    </w:p>
    <w:p w14:paraId="273B4C56" w14:textId="729E61E7" w:rsidR="000A3000" w:rsidRPr="00B06893" w:rsidRDefault="007E4393" w:rsidP="000A3000">
      <w:pPr>
        <w:pStyle w:val="TableFooter"/>
        <w:rPr>
          <w:lang w:eastAsia="ja-JP"/>
        </w:rPr>
      </w:pPr>
      <w:r w:rsidRPr="00B06893">
        <w:rPr>
          <w:vertAlign w:val="superscript"/>
          <w:lang w:eastAsia="ja-JP"/>
        </w:rPr>
        <w:t>a</w:t>
      </w:r>
      <w:r w:rsidR="000A3000" w:rsidRPr="00B06893">
        <w:rPr>
          <w:lang w:eastAsia="ja-JP"/>
        </w:rPr>
        <w:t>JAMA Intern Med. 2024;184(8):932–940. doi: 10.1001/jamainternmed.2024.1640</w:t>
      </w:r>
    </w:p>
    <w:p w14:paraId="06297B76" w14:textId="2C9B4107" w:rsidR="00426CCC" w:rsidRPr="00B06893" w:rsidRDefault="000A3000" w:rsidP="000A3000">
      <w:pPr>
        <w:pStyle w:val="TableFooter"/>
        <w:rPr>
          <w:lang w:eastAsia="ja-JP"/>
        </w:rPr>
      </w:pPr>
      <w:r w:rsidRPr="00B06893">
        <w:rPr>
          <w:vertAlign w:val="superscript"/>
          <w:lang w:eastAsia="ja-JP"/>
        </w:rPr>
        <w:t>b</w:t>
      </w:r>
      <w:r w:rsidRPr="00B06893">
        <w:rPr>
          <w:lang w:eastAsia="ja-JP"/>
        </w:rPr>
        <w:t>Open Forum Infect Dis (2024); 11(7):ofae370; https://doi.org/10.1093/ofid/ofae370</w:t>
      </w:r>
    </w:p>
    <w:p w14:paraId="0C4F2910" w14:textId="2F8FD76F" w:rsidR="00ED6267" w:rsidRPr="00B06893" w:rsidRDefault="00805BC2" w:rsidP="00501A02">
      <w:pPr>
        <w:pStyle w:val="3-BodyText"/>
      </w:pPr>
      <w:r w:rsidRPr="00B06893">
        <w:t xml:space="preserve">VE in preventing hospitalisation appeared similar between Spikevax and </w:t>
      </w:r>
      <w:r w:rsidR="00E34126" w:rsidRPr="00B06893">
        <w:t>Comirnaty</w:t>
      </w:r>
      <w:r w:rsidRPr="00B06893">
        <w:t>. When comparing studies with the longest follow</w:t>
      </w:r>
      <w:r w:rsidR="00193971">
        <w:noBreakHyphen/>
      </w:r>
      <w:r w:rsidRPr="00B06893">
        <w:t>up, Zheng (2025) reported a VE of 56% (95% CI: 52; 60) for Spikevax at a median follow</w:t>
      </w:r>
      <w:r w:rsidR="00193971">
        <w:noBreakHyphen/>
      </w:r>
      <w:r w:rsidRPr="00B06893">
        <w:t xml:space="preserve">up duration of 111 days whereas Andersen (2025) reported a VE of 36% (95% CI: 18; 50) for </w:t>
      </w:r>
      <w:r w:rsidR="00E34126" w:rsidRPr="00B06893">
        <w:t>Comirnaty</w:t>
      </w:r>
      <w:r w:rsidRPr="00B06893">
        <w:t xml:space="preserve"> at a median follow</w:t>
      </w:r>
      <w:r w:rsidR="00193971">
        <w:noBreakHyphen/>
      </w:r>
      <w:r w:rsidRPr="00B06893">
        <w:t>up duration of 118 days. The follow</w:t>
      </w:r>
      <w:r w:rsidR="00193971">
        <w:noBreakHyphen/>
      </w:r>
      <w:r w:rsidRPr="00B06893">
        <w:t>up times of the studies for individuals aged ≥65 years were too different to permit a useful comparison. Both studies were conducted at a time when the JN.1 strain was in circulation.</w:t>
      </w:r>
    </w:p>
    <w:p w14:paraId="165D3867" w14:textId="45359673" w:rsidR="00805BC2" w:rsidRPr="00B06893" w:rsidRDefault="00805BC2" w:rsidP="00426CCC">
      <w:pPr>
        <w:pStyle w:val="3-BodyText"/>
      </w:pPr>
      <w:r w:rsidRPr="00B06893">
        <w:t xml:space="preserve">Interval analysis of hospitalisation (XBB.1.5 variant) to assess waning of VE: </w:t>
      </w:r>
      <w:r w:rsidR="005F53AE" w:rsidRPr="00B06893">
        <w:fldChar w:fldCharType="begin"/>
      </w:r>
      <w:r w:rsidR="005F53AE" w:rsidRPr="00B06893">
        <w:instrText xml:space="preserve"> REF _Ref216271778 \h </w:instrText>
      </w:r>
      <w:r w:rsidR="007C3AD5" w:rsidRPr="00B06893">
        <w:instrText xml:space="preserve"> \* MERGEFORMAT </w:instrText>
      </w:r>
      <w:r w:rsidR="005F53AE" w:rsidRPr="00B06893">
        <w:fldChar w:fldCharType="separate"/>
      </w:r>
      <w:r w:rsidR="00810177" w:rsidRPr="00B06893">
        <w:t>Table 16</w:t>
      </w:r>
      <w:r w:rsidR="005F53AE" w:rsidRPr="00B06893">
        <w:fldChar w:fldCharType="end"/>
      </w:r>
      <w:r w:rsidR="005F53AE" w:rsidRPr="00B06893">
        <w:t xml:space="preserve"> </w:t>
      </w:r>
      <w:r w:rsidRPr="00B06893">
        <w:t>was reproduced from the 2025 ATAGI pre</w:t>
      </w:r>
      <w:r w:rsidR="00193971">
        <w:noBreakHyphen/>
      </w:r>
      <w:r w:rsidRPr="00B06893">
        <w:t xml:space="preserve">submission Advice which summarises a naïve indirect comparison of interval </w:t>
      </w:r>
      <w:r w:rsidR="005F53AE" w:rsidRPr="00B06893">
        <w:t>data</w:t>
      </w:r>
      <w:r w:rsidRPr="00B06893">
        <w:t xml:space="preserve"> </w:t>
      </w:r>
      <w:r w:rsidR="005F53AE" w:rsidRPr="00B06893">
        <w:t>for</w:t>
      </w:r>
      <w:r w:rsidRPr="00B06893">
        <w:t xml:space="preserve"> VE against hospitalisation </w:t>
      </w:r>
      <w:r w:rsidR="005F53AE" w:rsidRPr="00B06893">
        <w:t xml:space="preserve">between </w:t>
      </w:r>
      <w:r w:rsidRPr="00B06893">
        <w:t xml:space="preserve">Spikevax (XBB.1.5) and </w:t>
      </w:r>
      <w:r w:rsidR="00E34126" w:rsidRPr="00B06893">
        <w:t>Comirnaty</w:t>
      </w:r>
      <w:r w:rsidR="005F53AE" w:rsidRPr="00B06893">
        <w:t xml:space="preserve"> (XBB.1.5)</w:t>
      </w:r>
      <w:r w:rsidRPr="00B06893">
        <w:t xml:space="preserve">. </w:t>
      </w:r>
    </w:p>
    <w:p w14:paraId="502F729C" w14:textId="11E92AD9" w:rsidR="005F53AE" w:rsidRPr="00B06893" w:rsidRDefault="005F53AE" w:rsidP="005F53AE">
      <w:pPr>
        <w:pStyle w:val="Caption"/>
        <w:rPr>
          <w:shd w:val="clear" w:color="auto" w:fill="DAEEF3" w:themeFill="accent5" w:themeFillTint="33"/>
        </w:rPr>
      </w:pPr>
      <w:bookmarkStart w:id="50" w:name="_Ref216271778"/>
      <w:r w:rsidRPr="00B06893">
        <w:lastRenderedPageBreak/>
        <w:t xml:space="preserve">Table </w:t>
      </w:r>
      <w:fldSimple w:instr=" SEQ Table \* ARABIC ">
        <w:r w:rsidR="00810177" w:rsidRPr="00B06893">
          <w:t>16</w:t>
        </w:r>
      </w:fldSimple>
      <w:bookmarkEnd w:id="50"/>
      <w:r w:rsidRPr="00B06893">
        <w:t xml:space="preserve">: Naïve indirect comparison of interval data between Spikevax and </w:t>
      </w:r>
      <w:r w:rsidR="00E34126" w:rsidRPr="00B06893">
        <w:t>Comirnaty</w:t>
      </w:r>
      <w:r w:rsidRPr="00B06893">
        <w:t xml:space="preserve"> (XBB.1.5 variants) for vaccine effectiveness against hospitalisation </w:t>
      </w:r>
    </w:p>
    <w:tbl>
      <w:tblPr>
        <w:tblStyle w:val="TableGrid"/>
        <w:tblW w:w="5000" w:type="pct"/>
        <w:tblCellMar>
          <w:left w:w="57" w:type="dxa"/>
          <w:right w:w="57" w:type="dxa"/>
        </w:tblCellMar>
        <w:tblLook w:val="04A0" w:firstRow="1" w:lastRow="0" w:firstColumn="1" w:lastColumn="0" w:noHBand="0" w:noVBand="1"/>
        <w:tblCaption w:val="Table 16: Naïve indirect comparison of interval data between Spikevax and Comirnaty (XBB.1.5 variants) for vaccine effectiveness against hospitalisation "/>
      </w:tblPr>
      <w:tblGrid>
        <w:gridCol w:w="2255"/>
        <w:gridCol w:w="2254"/>
        <w:gridCol w:w="2254"/>
        <w:gridCol w:w="2254"/>
      </w:tblGrid>
      <w:tr w:rsidR="005F53AE" w:rsidRPr="00B06893" w14:paraId="2F276C64" w14:textId="77777777" w:rsidTr="00D20318">
        <w:trPr>
          <w:cantSplit/>
        </w:trPr>
        <w:tc>
          <w:tcPr>
            <w:tcW w:w="2500" w:type="pct"/>
            <w:gridSpan w:val="2"/>
            <w:vAlign w:val="center"/>
          </w:tcPr>
          <w:p w14:paraId="474CA8DB" w14:textId="77777777" w:rsidR="005F53AE" w:rsidRPr="00B06893" w:rsidRDefault="005F53AE" w:rsidP="00501A02">
            <w:pPr>
              <w:pStyle w:val="Tabletext"/>
              <w:keepNext/>
              <w:rPr>
                <w:b/>
                <w:bCs/>
              </w:rPr>
            </w:pPr>
            <w:r w:rsidRPr="00B06893">
              <w:rPr>
                <w:b/>
                <w:bCs/>
              </w:rPr>
              <w:t>Spikevax: Wilson (2025)</w:t>
            </w:r>
          </w:p>
        </w:tc>
        <w:tc>
          <w:tcPr>
            <w:tcW w:w="2500" w:type="pct"/>
            <w:gridSpan w:val="2"/>
            <w:vAlign w:val="center"/>
          </w:tcPr>
          <w:p w14:paraId="62F6BFC2" w14:textId="6A1E185E" w:rsidR="005F53AE" w:rsidRPr="00B06893" w:rsidRDefault="00E34126" w:rsidP="00501A02">
            <w:pPr>
              <w:pStyle w:val="Tabletext"/>
              <w:keepNext/>
              <w:rPr>
                <w:b/>
                <w:bCs/>
              </w:rPr>
            </w:pPr>
            <w:r w:rsidRPr="00B06893">
              <w:rPr>
                <w:b/>
                <w:bCs/>
              </w:rPr>
              <w:t>Comirnaty</w:t>
            </w:r>
            <w:r w:rsidR="005F53AE" w:rsidRPr="00B06893">
              <w:rPr>
                <w:b/>
                <w:bCs/>
              </w:rPr>
              <w:t>: Nguyen (2025)</w:t>
            </w:r>
          </w:p>
        </w:tc>
      </w:tr>
      <w:tr w:rsidR="005F53AE" w:rsidRPr="00B06893" w14:paraId="180B46B2" w14:textId="77777777" w:rsidTr="00D20318">
        <w:trPr>
          <w:cantSplit/>
        </w:trPr>
        <w:tc>
          <w:tcPr>
            <w:tcW w:w="1250" w:type="pct"/>
            <w:vAlign w:val="center"/>
          </w:tcPr>
          <w:p w14:paraId="1675F5EC" w14:textId="77777777" w:rsidR="005F53AE" w:rsidRPr="00B06893" w:rsidRDefault="005F53AE" w:rsidP="00501A02">
            <w:pPr>
              <w:pStyle w:val="Tabletext"/>
              <w:keepNext/>
              <w:rPr>
                <w:b/>
                <w:bCs/>
              </w:rPr>
            </w:pPr>
            <w:r w:rsidRPr="00B06893">
              <w:rPr>
                <w:b/>
                <w:bCs/>
              </w:rPr>
              <w:t>Interval</w:t>
            </w:r>
          </w:p>
        </w:tc>
        <w:tc>
          <w:tcPr>
            <w:tcW w:w="1250" w:type="pct"/>
            <w:vAlign w:val="center"/>
          </w:tcPr>
          <w:p w14:paraId="46681E0C" w14:textId="77777777" w:rsidR="005F53AE" w:rsidRPr="00B06893" w:rsidRDefault="005F53AE" w:rsidP="00501A02">
            <w:pPr>
              <w:pStyle w:val="Tabletext"/>
              <w:keepNext/>
              <w:rPr>
                <w:b/>
                <w:bCs/>
              </w:rPr>
            </w:pPr>
            <w:r w:rsidRPr="00B06893">
              <w:rPr>
                <w:b/>
                <w:bCs/>
              </w:rPr>
              <w:t>VE% (95% CI)</w:t>
            </w:r>
          </w:p>
        </w:tc>
        <w:tc>
          <w:tcPr>
            <w:tcW w:w="1250" w:type="pct"/>
            <w:vAlign w:val="center"/>
          </w:tcPr>
          <w:p w14:paraId="23559EDC" w14:textId="77777777" w:rsidR="005F53AE" w:rsidRPr="00B06893" w:rsidRDefault="005F53AE" w:rsidP="00501A02">
            <w:pPr>
              <w:pStyle w:val="Tabletext"/>
              <w:keepNext/>
              <w:rPr>
                <w:b/>
                <w:bCs/>
              </w:rPr>
            </w:pPr>
            <w:r w:rsidRPr="00B06893">
              <w:rPr>
                <w:b/>
                <w:bCs/>
              </w:rPr>
              <w:t>Interval</w:t>
            </w:r>
          </w:p>
        </w:tc>
        <w:tc>
          <w:tcPr>
            <w:tcW w:w="1250" w:type="pct"/>
            <w:vAlign w:val="center"/>
          </w:tcPr>
          <w:p w14:paraId="26BC1200" w14:textId="77777777" w:rsidR="005F53AE" w:rsidRPr="00B06893" w:rsidRDefault="005F53AE" w:rsidP="00501A02">
            <w:pPr>
              <w:pStyle w:val="Tabletext"/>
              <w:keepNext/>
              <w:rPr>
                <w:b/>
                <w:bCs/>
              </w:rPr>
            </w:pPr>
            <w:r w:rsidRPr="00B06893">
              <w:rPr>
                <w:b/>
                <w:bCs/>
              </w:rPr>
              <w:t>VE% (95%CI)</w:t>
            </w:r>
          </w:p>
        </w:tc>
      </w:tr>
      <w:tr w:rsidR="005F53AE" w:rsidRPr="00B06893" w14:paraId="6CF79C71" w14:textId="77777777" w:rsidTr="00D20318">
        <w:trPr>
          <w:cantSplit/>
        </w:trPr>
        <w:tc>
          <w:tcPr>
            <w:tcW w:w="1250" w:type="pct"/>
            <w:vMerge w:val="restart"/>
            <w:vAlign w:val="center"/>
          </w:tcPr>
          <w:p w14:paraId="03A3D317" w14:textId="3EF50F91" w:rsidR="005F53AE" w:rsidRPr="00B06893" w:rsidRDefault="005F53AE" w:rsidP="00501A02">
            <w:pPr>
              <w:pStyle w:val="Tabletext"/>
              <w:keepNext/>
            </w:pPr>
            <w:r w:rsidRPr="00B06893">
              <w:t>0</w:t>
            </w:r>
            <w:r w:rsidR="00193971">
              <w:noBreakHyphen/>
            </w:r>
            <w:r w:rsidRPr="00B06893">
              <w:t>58 days</w:t>
            </w:r>
          </w:p>
        </w:tc>
        <w:tc>
          <w:tcPr>
            <w:tcW w:w="1250" w:type="pct"/>
            <w:vMerge w:val="restart"/>
            <w:vAlign w:val="center"/>
          </w:tcPr>
          <w:p w14:paraId="3EE5C437" w14:textId="77777777" w:rsidR="005F53AE" w:rsidRPr="00B06893" w:rsidRDefault="005F53AE" w:rsidP="00501A02">
            <w:pPr>
              <w:pStyle w:val="Tabletext"/>
              <w:keepNext/>
            </w:pPr>
            <w:r w:rsidRPr="00B06893">
              <w:t>52% (49; 55)</w:t>
            </w:r>
          </w:p>
        </w:tc>
        <w:tc>
          <w:tcPr>
            <w:tcW w:w="1250" w:type="pct"/>
            <w:vAlign w:val="center"/>
          </w:tcPr>
          <w:p w14:paraId="0FA547ED" w14:textId="77777777" w:rsidR="005F53AE" w:rsidRPr="00B06893" w:rsidRDefault="005F53AE" w:rsidP="00501A02">
            <w:pPr>
              <w:pStyle w:val="Tabletext"/>
              <w:keepNext/>
            </w:pPr>
            <w:r w:rsidRPr="00B06893">
              <w:t>14–&lt;28 days</w:t>
            </w:r>
          </w:p>
        </w:tc>
        <w:tc>
          <w:tcPr>
            <w:tcW w:w="1250" w:type="pct"/>
            <w:vAlign w:val="center"/>
          </w:tcPr>
          <w:p w14:paraId="52C50FAF" w14:textId="77777777" w:rsidR="005F53AE" w:rsidRPr="00B06893" w:rsidRDefault="005F53AE" w:rsidP="00501A02">
            <w:pPr>
              <w:pStyle w:val="Tabletext"/>
              <w:keepNext/>
            </w:pPr>
            <w:r w:rsidRPr="00B06893">
              <w:t xml:space="preserve">52.2% (41.3; 61.1) </w:t>
            </w:r>
          </w:p>
        </w:tc>
      </w:tr>
      <w:tr w:rsidR="005F53AE" w:rsidRPr="00B06893" w14:paraId="5EFC7D85" w14:textId="77777777" w:rsidTr="00D20318">
        <w:trPr>
          <w:cantSplit/>
        </w:trPr>
        <w:tc>
          <w:tcPr>
            <w:tcW w:w="1250" w:type="pct"/>
            <w:vMerge/>
            <w:vAlign w:val="center"/>
          </w:tcPr>
          <w:p w14:paraId="72397C28" w14:textId="77777777" w:rsidR="005F53AE" w:rsidRPr="00B06893" w:rsidRDefault="005F53AE" w:rsidP="00501A02">
            <w:pPr>
              <w:pStyle w:val="Tabletext"/>
              <w:keepNext/>
            </w:pPr>
          </w:p>
        </w:tc>
        <w:tc>
          <w:tcPr>
            <w:tcW w:w="1250" w:type="pct"/>
            <w:vMerge/>
            <w:vAlign w:val="center"/>
          </w:tcPr>
          <w:p w14:paraId="225CF3F5" w14:textId="77777777" w:rsidR="005F53AE" w:rsidRPr="00B06893" w:rsidRDefault="005F53AE" w:rsidP="00501A02">
            <w:pPr>
              <w:pStyle w:val="Tabletext"/>
              <w:keepNext/>
            </w:pPr>
          </w:p>
        </w:tc>
        <w:tc>
          <w:tcPr>
            <w:tcW w:w="1250" w:type="pct"/>
            <w:vAlign w:val="center"/>
          </w:tcPr>
          <w:p w14:paraId="6307C75B" w14:textId="77777777" w:rsidR="005F53AE" w:rsidRPr="00B06893" w:rsidRDefault="005F53AE" w:rsidP="00501A02">
            <w:pPr>
              <w:pStyle w:val="Tabletext"/>
              <w:keepNext/>
            </w:pPr>
            <w:r w:rsidRPr="00B06893">
              <w:t>28–&lt;56 days</w:t>
            </w:r>
          </w:p>
        </w:tc>
        <w:tc>
          <w:tcPr>
            <w:tcW w:w="1250" w:type="pct"/>
            <w:vAlign w:val="center"/>
          </w:tcPr>
          <w:p w14:paraId="3C77E798" w14:textId="77777777" w:rsidR="005F53AE" w:rsidRPr="00B06893" w:rsidRDefault="005F53AE" w:rsidP="00501A02">
            <w:pPr>
              <w:pStyle w:val="Tabletext"/>
              <w:keepNext/>
            </w:pPr>
            <w:r w:rsidRPr="00B06893">
              <w:t xml:space="preserve">48.9% (17.9; 68.2) </w:t>
            </w:r>
          </w:p>
        </w:tc>
      </w:tr>
      <w:tr w:rsidR="005F53AE" w:rsidRPr="00B06893" w14:paraId="67B7EF0A" w14:textId="77777777" w:rsidTr="00D20318">
        <w:trPr>
          <w:cantSplit/>
        </w:trPr>
        <w:tc>
          <w:tcPr>
            <w:tcW w:w="1250" w:type="pct"/>
            <w:vAlign w:val="center"/>
          </w:tcPr>
          <w:p w14:paraId="17684637" w14:textId="25D910F8" w:rsidR="005F53AE" w:rsidRPr="00B06893" w:rsidRDefault="005F53AE" w:rsidP="00501A02">
            <w:pPr>
              <w:pStyle w:val="Tabletext"/>
              <w:keepNext/>
            </w:pPr>
            <w:r w:rsidRPr="00B06893">
              <w:t>59</w:t>
            </w:r>
            <w:r w:rsidR="00193971">
              <w:noBreakHyphen/>
            </w:r>
            <w:r w:rsidRPr="00B06893">
              <w:t>84 days</w:t>
            </w:r>
          </w:p>
        </w:tc>
        <w:tc>
          <w:tcPr>
            <w:tcW w:w="1250" w:type="pct"/>
            <w:vAlign w:val="center"/>
          </w:tcPr>
          <w:p w14:paraId="165A58DE" w14:textId="77777777" w:rsidR="005F53AE" w:rsidRPr="00B06893" w:rsidRDefault="005F53AE" w:rsidP="00501A02">
            <w:pPr>
              <w:pStyle w:val="Tabletext"/>
              <w:keepNext/>
            </w:pPr>
            <w:r w:rsidRPr="00B06893">
              <w:t>41%</w:t>
            </w:r>
          </w:p>
        </w:tc>
        <w:tc>
          <w:tcPr>
            <w:tcW w:w="1250" w:type="pct"/>
            <w:vAlign w:val="center"/>
          </w:tcPr>
          <w:p w14:paraId="230FE88F" w14:textId="77777777" w:rsidR="005F53AE" w:rsidRPr="00B06893" w:rsidRDefault="005F53AE" w:rsidP="00501A02">
            <w:pPr>
              <w:pStyle w:val="Tabletext"/>
              <w:keepNext/>
            </w:pPr>
            <w:r w:rsidRPr="00B06893">
              <w:t>56–&lt;84 days</w:t>
            </w:r>
          </w:p>
        </w:tc>
        <w:tc>
          <w:tcPr>
            <w:tcW w:w="1250" w:type="pct"/>
            <w:vAlign w:val="center"/>
          </w:tcPr>
          <w:p w14:paraId="34597A5C" w14:textId="77777777" w:rsidR="005F53AE" w:rsidRPr="00B06893" w:rsidRDefault="005F53AE" w:rsidP="00501A02">
            <w:pPr>
              <w:pStyle w:val="Tabletext"/>
              <w:keepNext/>
            </w:pPr>
            <w:r w:rsidRPr="00B06893">
              <w:t>56.9% (39.5; 69.2)</w:t>
            </w:r>
          </w:p>
        </w:tc>
      </w:tr>
      <w:tr w:rsidR="005F53AE" w:rsidRPr="00B06893" w14:paraId="382986CC" w14:textId="77777777" w:rsidTr="00D20318">
        <w:trPr>
          <w:cantSplit/>
        </w:trPr>
        <w:tc>
          <w:tcPr>
            <w:tcW w:w="1250" w:type="pct"/>
            <w:vAlign w:val="center"/>
          </w:tcPr>
          <w:p w14:paraId="165A47C0" w14:textId="4F172000" w:rsidR="005F53AE" w:rsidRPr="00B06893" w:rsidRDefault="005F53AE" w:rsidP="00501A02">
            <w:pPr>
              <w:pStyle w:val="Tabletext"/>
              <w:keepNext/>
            </w:pPr>
            <w:r w:rsidRPr="00B06893">
              <w:t>85</w:t>
            </w:r>
            <w:r w:rsidR="00193971">
              <w:noBreakHyphen/>
            </w:r>
            <w:r w:rsidRPr="00B06893">
              <w:t xml:space="preserve">101 days </w:t>
            </w:r>
          </w:p>
        </w:tc>
        <w:tc>
          <w:tcPr>
            <w:tcW w:w="1250" w:type="pct"/>
            <w:vAlign w:val="center"/>
          </w:tcPr>
          <w:p w14:paraId="207F408E" w14:textId="77777777" w:rsidR="005F53AE" w:rsidRPr="00B06893" w:rsidRDefault="005F53AE" w:rsidP="00501A02">
            <w:pPr>
              <w:pStyle w:val="Tabletext"/>
              <w:keepNext/>
            </w:pPr>
            <w:r w:rsidRPr="00B06893">
              <w:t>29%</w:t>
            </w:r>
          </w:p>
        </w:tc>
        <w:tc>
          <w:tcPr>
            <w:tcW w:w="1250" w:type="pct"/>
            <w:vMerge w:val="restart"/>
            <w:vAlign w:val="center"/>
          </w:tcPr>
          <w:p w14:paraId="4CDC5D14" w14:textId="77777777" w:rsidR="005F53AE" w:rsidRPr="00B06893" w:rsidRDefault="005F53AE" w:rsidP="00501A02">
            <w:pPr>
              <w:pStyle w:val="Tabletext"/>
              <w:keepNext/>
            </w:pPr>
            <w:r w:rsidRPr="00B06893">
              <w:t>84–&lt;112 days</w:t>
            </w:r>
          </w:p>
        </w:tc>
        <w:tc>
          <w:tcPr>
            <w:tcW w:w="1250" w:type="pct"/>
            <w:vMerge w:val="restart"/>
            <w:vAlign w:val="center"/>
          </w:tcPr>
          <w:p w14:paraId="3CEBABC5" w14:textId="77777777" w:rsidR="005F53AE" w:rsidRPr="00B06893" w:rsidRDefault="005F53AE" w:rsidP="00501A02">
            <w:pPr>
              <w:pStyle w:val="Tabletext"/>
              <w:keepNext/>
            </w:pPr>
            <w:r w:rsidRPr="00B06893">
              <w:t>54.6% (50.2; 58.5)</w:t>
            </w:r>
          </w:p>
        </w:tc>
      </w:tr>
      <w:tr w:rsidR="005F53AE" w:rsidRPr="00B06893" w14:paraId="5407A0CE" w14:textId="77777777" w:rsidTr="00D20318">
        <w:trPr>
          <w:cantSplit/>
        </w:trPr>
        <w:tc>
          <w:tcPr>
            <w:tcW w:w="1250" w:type="pct"/>
            <w:tcBorders>
              <w:bottom w:val="single" w:sz="4" w:space="0" w:color="auto"/>
            </w:tcBorders>
            <w:vAlign w:val="center"/>
          </w:tcPr>
          <w:p w14:paraId="2C251EF8" w14:textId="77777777" w:rsidR="005F53AE" w:rsidRPr="00B06893" w:rsidRDefault="005F53AE" w:rsidP="00501A02">
            <w:pPr>
              <w:pStyle w:val="Tabletext"/>
              <w:keepNext/>
            </w:pPr>
            <w:r w:rsidRPr="00B06893">
              <w:t>102–128</w:t>
            </w:r>
            <w:r w:rsidRPr="00B06893">
              <w:rPr>
                <w:vertAlign w:val="superscript"/>
              </w:rPr>
              <w:t>a</w:t>
            </w:r>
            <w:r w:rsidRPr="00B06893">
              <w:t xml:space="preserve"> days</w:t>
            </w:r>
          </w:p>
        </w:tc>
        <w:tc>
          <w:tcPr>
            <w:tcW w:w="1250" w:type="pct"/>
            <w:tcBorders>
              <w:bottom w:val="single" w:sz="4" w:space="0" w:color="auto"/>
            </w:tcBorders>
            <w:vAlign w:val="center"/>
          </w:tcPr>
          <w:p w14:paraId="2721E849" w14:textId="77777777" w:rsidR="005F53AE" w:rsidRPr="00B06893" w:rsidRDefault="005F53AE" w:rsidP="00501A02">
            <w:pPr>
              <w:pStyle w:val="Tabletext"/>
              <w:keepNext/>
            </w:pPr>
            <w:r w:rsidRPr="00B06893">
              <w:t>32% (5; 52)</w:t>
            </w:r>
          </w:p>
        </w:tc>
        <w:tc>
          <w:tcPr>
            <w:tcW w:w="1250" w:type="pct"/>
            <w:vMerge/>
            <w:vAlign w:val="center"/>
          </w:tcPr>
          <w:p w14:paraId="5AD90A57" w14:textId="77777777" w:rsidR="005F53AE" w:rsidRPr="00B06893" w:rsidRDefault="005F53AE" w:rsidP="00501A02">
            <w:pPr>
              <w:pStyle w:val="Tabletext"/>
              <w:keepNext/>
            </w:pPr>
          </w:p>
        </w:tc>
        <w:tc>
          <w:tcPr>
            <w:tcW w:w="1250" w:type="pct"/>
            <w:vMerge/>
            <w:vAlign w:val="center"/>
          </w:tcPr>
          <w:p w14:paraId="536E92EE" w14:textId="77777777" w:rsidR="005F53AE" w:rsidRPr="00B06893" w:rsidRDefault="005F53AE" w:rsidP="00501A02">
            <w:pPr>
              <w:pStyle w:val="Tabletext"/>
              <w:keepNext/>
            </w:pPr>
          </w:p>
        </w:tc>
      </w:tr>
      <w:tr w:rsidR="005F53AE" w:rsidRPr="00B06893" w14:paraId="521042C7" w14:textId="77777777" w:rsidTr="00D20318">
        <w:trPr>
          <w:cantSplit/>
        </w:trPr>
        <w:tc>
          <w:tcPr>
            <w:tcW w:w="2500" w:type="pct"/>
            <w:gridSpan w:val="2"/>
            <w:tcBorders>
              <w:top w:val="single" w:sz="4" w:space="0" w:color="auto"/>
              <w:left w:val="single" w:sz="4" w:space="0" w:color="auto"/>
              <w:bottom w:val="single" w:sz="4" w:space="0" w:color="auto"/>
              <w:right w:val="single" w:sz="4" w:space="0" w:color="auto"/>
            </w:tcBorders>
            <w:vAlign w:val="center"/>
          </w:tcPr>
          <w:p w14:paraId="43B0F1B3" w14:textId="77777777" w:rsidR="005F53AE" w:rsidRPr="00B06893" w:rsidRDefault="005F53AE" w:rsidP="00501A02">
            <w:pPr>
              <w:pStyle w:val="Tabletext"/>
              <w:keepNext/>
            </w:pPr>
            <w:r w:rsidRPr="00B06893">
              <w:t>NR</w:t>
            </w:r>
          </w:p>
        </w:tc>
        <w:tc>
          <w:tcPr>
            <w:tcW w:w="1250" w:type="pct"/>
            <w:tcBorders>
              <w:left w:val="single" w:sz="4" w:space="0" w:color="auto"/>
            </w:tcBorders>
            <w:vAlign w:val="center"/>
          </w:tcPr>
          <w:p w14:paraId="76354B52" w14:textId="77777777" w:rsidR="005F53AE" w:rsidRPr="00B06893" w:rsidRDefault="005F53AE" w:rsidP="00501A02">
            <w:pPr>
              <w:pStyle w:val="Tabletext"/>
              <w:keepNext/>
            </w:pPr>
            <w:r w:rsidRPr="00B06893">
              <w:t>112–&lt;154 days</w:t>
            </w:r>
          </w:p>
        </w:tc>
        <w:tc>
          <w:tcPr>
            <w:tcW w:w="1250" w:type="pct"/>
            <w:vAlign w:val="center"/>
          </w:tcPr>
          <w:p w14:paraId="75978D2F" w14:textId="77777777" w:rsidR="005F53AE" w:rsidRPr="00B06893" w:rsidRDefault="005F53AE" w:rsidP="00501A02">
            <w:pPr>
              <w:pStyle w:val="Tabletext"/>
              <w:keepNext/>
            </w:pPr>
            <w:r w:rsidRPr="00B06893">
              <w:t>59.5% (21.4; 79.1)</w:t>
            </w:r>
          </w:p>
        </w:tc>
      </w:tr>
    </w:tbl>
    <w:p w14:paraId="54DEAC20" w14:textId="60FE93FC" w:rsidR="005F53AE" w:rsidRPr="00B06893" w:rsidRDefault="005F53AE" w:rsidP="005F53AE">
      <w:pPr>
        <w:pStyle w:val="TableFooter"/>
        <w:rPr>
          <w:lang w:eastAsia="ja-JP"/>
        </w:rPr>
      </w:pPr>
      <w:r w:rsidRPr="00B06893">
        <w:rPr>
          <w:lang w:eastAsia="ja-JP"/>
        </w:rPr>
        <w:t>Source: Table 44, p63 of the 2025 ATAGI Pre</w:t>
      </w:r>
      <w:r w:rsidR="00193971">
        <w:rPr>
          <w:lang w:eastAsia="ja-JP"/>
        </w:rPr>
        <w:noBreakHyphen/>
      </w:r>
      <w:r w:rsidRPr="00B06893">
        <w:rPr>
          <w:lang w:eastAsia="ja-JP"/>
        </w:rPr>
        <w:t>Submission Advice</w:t>
      </w:r>
    </w:p>
    <w:p w14:paraId="7D7E2DAD" w14:textId="16C8B6A3" w:rsidR="005F53AE" w:rsidRPr="00B06893" w:rsidRDefault="005F53AE" w:rsidP="005F53AE">
      <w:pPr>
        <w:pStyle w:val="TableFooter"/>
      </w:pPr>
      <w:r w:rsidRPr="00B06893">
        <w:t xml:space="preserve">CI = confidence interval; NR = not reported; VE= </w:t>
      </w:r>
      <w:r w:rsidR="000948F8" w:rsidRPr="00B06893">
        <w:t>VE</w:t>
      </w:r>
    </w:p>
    <w:p w14:paraId="6CAB2ED2" w14:textId="77777777" w:rsidR="005F53AE" w:rsidRPr="00B06893" w:rsidRDefault="005F53AE" w:rsidP="005F53AE">
      <w:pPr>
        <w:pStyle w:val="TableFooter"/>
      </w:pPr>
      <w:r w:rsidRPr="00B06893">
        <w:rPr>
          <w:vertAlign w:val="superscript"/>
        </w:rPr>
        <w:t>a</w:t>
      </w:r>
      <w:r w:rsidRPr="00B06893">
        <w:t xml:space="preserve"> Wilson (2025) reported this as “≥102 days”, however it is noted that the maximum follow up period was 128 days (4 months).</w:t>
      </w:r>
    </w:p>
    <w:p w14:paraId="6511F83E" w14:textId="7E301A8F" w:rsidR="00805BC2" w:rsidRPr="00B06893" w:rsidRDefault="005F53AE" w:rsidP="005F53AE">
      <w:pPr>
        <w:pStyle w:val="TableFooter"/>
      </w:pPr>
      <w:r w:rsidRPr="00B06893">
        <w:t>Note that all follow up times were converted into days to facilitate comparisons</w:t>
      </w:r>
    </w:p>
    <w:p w14:paraId="77C33214" w14:textId="77777777" w:rsidR="005F53AE" w:rsidRPr="00B06893" w:rsidRDefault="005F53AE" w:rsidP="005F53AE"/>
    <w:p w14:paraId="2B1D7D18" w14:textId="411CC864" w:rsidR="005F53AE" w:rsidRPr="00B06893" w:rsidRDefault="000948F8" w:rsidP="007C3AD5">
      <w:pPr>
        <w:pStyle w:val="3-BodyText"/>
      </w:pPr>
      <w:bookmarkStart w:id="51" w:name="_Ref221723769"/>
      <w:r w:rsidRPr="00B06893">
        <w:t>VE</w:t>
      </w:r>
      <w:r w:rsidR="005F53AE" w:rsidRPr="00B06893">
        <w:t xml:space="preserve"> of Spikevax appeared to wane over a follow up period of 102 days whereas </w:t>
      </w:r>
      <w:r w:rsidR="00E34126" w:rsidRPr="00B06893">
        <w:t>Comirnaty</w:t>
      </w:r>
      <w:r w:rsidR="005F53AE" w:rsidRPr="00B06893">
        <w:t xml:space="preserve"> appeared to be relatively stable</w:t>
      </w:r>
      <w:r w:rsidR="00107853" w:rsidRPr="00B06893">
        <w:t xml:space="preserve"> over </w:t>
      </w:r>
      <w:r w:rsidR="00BB5652" w:rsidRPr="00B06893">
        <w:t>the same period</w:t>
      </w:r>
      <w:r w:rsidR="005F53AE" w:rsidRPr="00B06893">
        <w:t>. However, the 95% confidence intervals at later follow</w:t>
      </w:r>
      <w:r w:rsidR="00193971">
        <w:noBreakHyphen/>
      </w:r>
      <w:r w:rsidR="005F53AE" w:rsidRPr="00B06893">
        <w:t xml:space="preserve">up (≥102 days for Spikevax; and 84–&lt;112 days for </w:t>
      </w:r>
      <w:r w:rsidR="00E34126" w:rsidRPr="00B06893">
        <w:t>Comirnaty</w:t>
      </w:r>
      <w:r w:rsidR="005F53AE" w:rsidRPr="00B06893">
        <w:t xml:space="preserve">) appear to overlap. </w:t>
      </w:r>
      <w:r w:rsidR="00BB18D0" w:rsidRPr="00B06893">
        <w:t>The evaluation concluded that overall</w:t>
      </w:r>
      <w:r w:rsidR="005F53AE" w:rsidRPr="00B06893">
        <w:t>, it is unclear whether there is a difference in duration of VE in preventing hospitalisation across the two vaccines.</w:t>
      </w:r>
      <w:r w:rsidR="00986B16" w:rsidRPr="00B06893">
        <w:t xml:space="preserve"> Longer</w:t>
      </w:r>
      <w:r w:rsidR="00193971">
        <w:noBreakHyphen/>
      </w:r>
      <w:r w:rsidR="00986B16" w:rsidRPr="00B06893">
        <w:t xml:space="preserve">term effectiveness, particularly from 6–12 months remains unclear. The timing of the studies and different follow up periods raise concerns of transitivity </w:t>
      </w:r>
      <w:proofErr w:type="gramStart"/>
      <w:r w:rsidR="00986B16" w:rsidRPr="00B06893">
        <w:t>with regard to</w:t>
      </w:r>
      <w:proofErr w:type="gramEnd"/>
      <w:r w:rsidR="00986B16" w:rsidRPr="00B06893">
        <w:t xml:space="preserve"> circulating strains.</w:t>
      </w:r>
      <w:bookmarkEnd w:id="51"/>
    </w:p>
    <w:p w14:paraId="4FA8D893" w14:textId="60C53E4F" w:rsidR="001B5657" w:rsidRPr="00B06893" w:rsidRDefault="00BB5652" w:rsidP="00501A02">
      <w:pPr>
        <w:pStyle w:val="3-BodyText"/>
        <w:rPr>
          <w:iCs/>
        </w:rPr>
      </w:pPr>
      <w:r w:rsidRPr="00B06893">
        <w:rPr>
          <w:iCs/>
        </w:rPr>
        <w:t xml:space="preserve">The PSCR </w:t>
      </w:r>
      <w:r w:rsidR="001509AF" w:rsidRPr="00B06893">
        <w:rPr>
          <w:iCs/>
        </w:rPr>
        <w:t>noted</w:t>
      </w:r>
      <w:r w:rsidR="005B7E0C" w:rsidRPr="00B06893">
        <w:rPr>
          <w:iCs/>
        </w:rPr>
        <w:t xml:space="preserve"> the </w:t>
      </w:r>
      <w:r w:rsidR="006A71F1" w:rsidRPr="00B06893">
        <w:rPr>
          <w:iCs/>
        </w:rPr>
        <w:t xml:space="preserve">evaluation’s </w:t>
      </w:r>
      <w:r w:rsidR="005B7E0C" w:rsidRPr="00B06893">
        <w:rPr>
          <w:iCs/>
        </w:rPr>
        <w:t xml:space="preserve">observation that </w:t>
      </w:r>
      <w:r w:rsidR="000948F8" w:rsidRPr="00B06893">
        <w:rPr>
          <w:iCs/>
        </w:rPr>
        <w:t>VE</w:t>
      </w:r>
      <w:r w:rsidR="005B7E0C" w:rsidRPr="00B06893">
        <w:rPr>
          <w:iCs/>
        </w:rPr>
        <w:t xml:space="preserve"> of Spikevax appeared to wane over a follow up period of 102 days whereas Comirnaty appeared to be relatively stable over the same period as described </w:t>
      </w:r>
      <w:r w:rsidR="003746AA" w:rsidRPr="00B06893">
        <w:rPr>
          <w:iCs/>
        </w:rPr>
        <w:t>above (</w:t>
      </w:r>
      <w:r w:rsidR="005B7E0C" w:rsidRPr="00B06893">
        <w:rPr>
          <w:iCs/>
        </w:rPr>
        <w:t xml:space="preserve">paragraph </w:t>
      </w:r>
      <w:r w:rsidR="005B7E0C" w:rsidRPr="00B06893">
        <w:rPr>
          <w:iCs/>
        </w:rPr>
        <w:fldChar w:fldCharType="begin"/>
      </w:r>
      <w:r w:rsidR="005B7E0C" w:rsidRPr="00B06893">
        <w:rPr>
          <w:iCs/>
        </w:rPr>
        <w:instrText xml:space="preserve"> REF _Ref221723769 \r \h  \* MERGEFORMAT </w:instrText>
      </w:r>
      <w:r w:rsidR="005B7E0C" w:rsidRPr="00B06893">
        <w:rPr>
          <w:iCs/>
        </w:rPr>
      </w:r>
      <w:r w:rsidR="005B7E0C" w:rsidRPr="00B06893">
        <w:rPr>
          <w:iCs/>
        </w:rPr>
        <w:fldChar w:fldCharType="separate"/>
      </w:r>
      <w:r w:rsidR="00810177" w:rsidRPr="00B06893">
        <w:rPr>
          <w:iCs/>
        </w:rPr>
        <w:t>6.53</w:t>
      </w:r>
      <w:r w:rsidR="005B7E0C" w:rsidRPr="00B06893">
        <w:rPr>
          <w:iCs/>
        </w:rPr>
        <w:fldChar w:fldCharType="end"/>
      </w:r>
      <w:r w:rsidR="003746AA" w:rsidRPr="00B06893">
        <w:rPr>
          <w:iCs/>
        </w:rPr>
        <w:t>)</w:t>
      </w:r>
      <w:r w:rsidR="005B7E0C" w:rsidRPr="00B06893">
        <w:rPr>
          <w:iCs/>
        </w:rPr>
        <w:t xml:space="preserve">, which was based on the naïve indirect comparison of interval data presented in </w:t>
      </w:r>
      <w:r w:rsidR="005B7E0C" w:rsidRPr="00B06893">
        <w:rPr>
          <w:iCs/>
        </w:rPr>
        <w:fldChar w:fldCharType="begin"/>
      </w:r>
      <w:r w:rsidR="005B7E0C" w:rsidRPr="00B06893">
        <w:rPr>
          <w:iCs/>
        </w:rPr>
        <w:instrText xml:space="preserve"> REF _Ref216271778 \h  \* MERGEFORMAT </w:instrText>
      </w:r>
      <w:r w:rsidR="005B7E0C" w:rsidRPr="00B06893">
        <w:rPr>
          <w:iCs/>
        </w:rPr>
      </w:r>
      <w:r w:rsidR="005B7E0C" w:rsidRPr="00B06893">
        <w:rPr>
          <w:iCs/>
        </w:rPr>
        <w:fldChar w:fldCharType="separate"/>
      </w:r>
      <w:r w:rsidR="00810177" w:rsidRPr="00B06893">
        <w:rPr>
          <w:iCs/>
        </w:rPr>
        <w:t>Table 16</w:t>
      </w:r>
      <w:r w:rsidR="005B7E0C" w:rsidRPr="00B06893">
        <w:rPr>
          <w:iCs/>
        </w:rPr>
        <w:fldChar w:fldCharType="end"/>
      </w:r>
      <w:r w:rsidR="005B7E0C" w:rsidRPr="00B06893">
        <w:rPr>
          <w:iCs/>
        </w:rPr>
        <w:t>.</w:t>
      </w:r>
      <w:r w:rsidR="00580BAD">
        <w:rPr>
          <w:iCs/>
        </w:rPr>
        <w:t xml:space="preserve"> </w:t>
      </w:r>
      <w:r w:rsidR="001B5657" w:rsidRPr="00B06893">
        <w:rPr>
          <w:iCs/>
        </w:rPr>
        <w:t xml:space="preserve">However, the PSCR claimed it was unlikely there would be a difference in the durability of </w:t>
      </w:r>
      <w:r w:rsidR="000948F8" w:rsidRPr="00B06893">
        <w:rPr>
          <w:iCs/>
        </w:rPr>
        <w:t>VE</w:t>
      </w:r>
      <w:r w:rsidR="001B5657" w:rsidRPr="00B06893">
        <w:rPr>
          <w:iCs/>
        </w:rPr>
        <w:t xml:space="preserve">, in particular one that would favour </w:t>
      </w:r>
      <w:r w:rsidR="00A93CFE" w:rsidRPr="00B06893">
        <w:rPr>
          <w:iCs/>
        </w:rPr>
        <w:t>Comirnaty</w:t>
      </w:r>
      <w:r w:rsidR="001B5657" w:rsidRPr="00B06893">
        <w:rPr>
          <w:iCs/>
        </w:rPr>
        <w:t xml:space="preserve"> over </w:t>
      </w:r>
      <w:r w:rsidR="00A93CFE" w:rsidRPr="00B06893">
        <w:rPr>
          <w:iCs/>
        </w:rPr>
        <w:t>Spikevax</w:t>
      </w:r>
      <w:r w:rsidR="001B5657" w:rsidRPr="00B06893">
        <w:rPr>
          <w:iCs/>
        </w:rPr>
        <w:t>.</w:t>
      </w:r>
      <w:r w:rsidR="00580BAD">
        <w:rPr>
          <w:iCs/>
        </w:rPr>
        <w:t xml:space="preserve"> </w:t>
      </w:r>
      <w:r w:rsidR="005B7E0C" w:rsidRPr="00B06893">
        <w:rPr>
          <w:iCs/>
        </w:rPr>
        <w:t xml:space="preserve">The PSCR noted the comparison was based on </w:t>
      </w:r>
      <w:r w:rsidR="001509AF" w:rsidRPr="00B06893">
        <w:rPr>
          <w:iCs/>
        </w:rPr>
        <w:t>a limited evidence base of two studies (</w:t>
      </w:r>
      <w:r w:rsidR="005B7E0C" w:rsidRPr="00B06893">
        <w:rPr>
          <w:iCs/>
        </w:rPr>
        <w:t>Spikevax: Wilson 2025</w:t>
      </w:r>
      <w:r w:rsidR="001509AF" w:rsidRPr="00B06893">
        <w:rPr>
          <w:iCs/>
        </w:rPr>
        <w:t xml:space="preserve"> and </w:t>
      </w:r>
      <w:r w:rsidR="005B7E0C" w:rsidRPr="00B06893">
        <w:rPr>
          <w:iCs/>
        </w:rPr>
        <w:t>Comirnaty: Nguyen 2025)</w:t>
      </w:r>
      <w:r w:rsidR="001509AF" w:rsidRPr="00B06893">
        <w:rPr>
          <w:iCs/>
        </w:rPr>
        <w:t>.</w:t>
      </w:r>
      <w:r w:rsidR="00580BAD">
        <w:rPr>
          <w:iCs/>
        </w:rPr>
        <w:t xml:space="preserve"> </w:t>
      </w:r>
      <w:r w:rsidR="001509AF" w:rsidRPr="00B06893">
        <w:rPr>
          <w:iCs/>
        </w:rPr>
        <w:t>The PSCR suggested that the naïve indirect comparison ignore</w:t>
      </w:r>
      <w:r w:rsidR="001B5657" w:rsidRPr="00B06893">
        <w:rPr>
          <w:iCs/>
        </w:rPr>
        <w:t>d</w:t>
      </w:r>
      <w:r w:rsidR="001509AF" w:rsidRPr="00B06893">
        <w:rPr>
          <w:iCs/>
        </w:rPr>
        <w:t xml:space="preserve"> heterogeneity between </w:t>
      </w:r>
      <w:r w:rsidR="001B5657" w:rsidRPr="00B06893">
        <w:rPr>
          <w:iCs/>
        </w:rPr>
        <w:t xml:space="preserve">the </w:t>
      </w:r>
      <w:r w:rsidR="001509AF" w:rsidRPr="00B06893">
        <w:rPr>
          <w:iCs/>
        </w:rPr>
        <w:t>studies including geographic location, residual immunity in the underlying population (from infection or vaccination), and duration of follow</w:t>
      </w:r>
      <w:r w:rsidR="00193971">
        <w:rPr>
          <w:iCs/>
        </w:rPr>
        <w:noBreakHyphen/>
      </w:r>
      <w:r w:rsidR="001509AF" w:rsidRPr="00B06893">
        <w:rPr>
          <w:iCs/>
        </w:rPr>
        <w:t>up.</w:t>
      </w:r>
      <w:r w:rsidR="00580BAD">
        <w:rPr>
          <w:iCs/>
        </w:rPr>
        <w:t xml:space="preserve"> </w:t>
      </w:r>
      <w:r w:rsidR="003746AA" w:rsidRPr="00B06893">
        <w:rPr>
          <w:iCs/>
        </w:rPr>
        <w:t xml:space="preserve">The ESC noted that transitivity concerns were discussed in </w:t>
      </w:r>
      <w:r w:rsidR="001F1AFA" w:rsidRPr="00B06893">
        <w:rPr>
          <w:iCs/>
        </w:rPr>
        <w:t xml:space="preserve">the commentary as shown in </w:t>
      </w:r>
      <w:r w:rsidR="003746AA" w:rsidRPr="00B06893">
        <w:rPr>
          <w:iCs/>
        </w:rPr>
        <w:t xml:space="preserve">paragraph </w:t>
      </w:r>
      <w:r w:rsidR="003746AA" w:rsidRPr="00B06893">
        <w:rPr>
          <w:iCs/>
        </w:rPr>
        <w:fldChar w:fldCharType="begin"/>
      </w:r>
      <w:r w:rsidR="003746AA" w:rsidRPr="00B06893">
        <w:rPr>
          <w:iCs/>
        </w:rPr>
        <w:instrText xml:space="preserve"> REF _Ref221723769 \r \h  \* MERGEFORMAT </w:instrText>
      </w:r>
      <w:r w:rsidR="003746AA" w:rsidRPr="00B06893">
        <w:rPr>
          <w:iCs/>
        </w:rPr>
      </w:r>
      <w:r w:rsidR="003746AA" w:rsidRPr="00B06893">
        <w:rPr>
          <w:iCs/>
        </w:rPr>
        <w:fldChar w:fldCharType="separate"/>
      </w:r>
      <w:r w:rsidR="00810177" w:rsidRPr="00B06893">
        <w:rPr>
          <w:iCs/>
        </w:rPr>
        <w:t>6.53</w:t>
      </w:r>
      <w:r w:rsidR="003746AA" w:rsidRPr="00B06893">
        <w:rPr>
          <w:iCs/>
        </w:rPr>
        <w:fldChar w:fldCharType="end"/>
      </w:r>
      <w:r w:rsidR="003746AA" w:rsidRPr="00B06893">
        <w:rPr>
          <w:iCs/>
        </w:rPr>
        <w:t>.</w:t>
      </w:r>
    </w:p>
    <w:p w14:paraId="4D171797" w14:textId="7DECE7B3" w:rsidR="003A32AD" w:rsidRPr="00B06893" w:rsidRDefault="009E5641" w:rsidP="00501A02">
      <w:pPr>
        <w:pStyle w:val="3-BodyText"/>
        <w:rPr>
          <w:iCs/>
        </w:rPr>
      </w:pPr>
      <w:r w:rsidRPr="00B06893">
        <w:rPr>
          <w:iCs/>
        </w:rPr>
        <w:t>The PSCR stated that the sponsor had provided clarification to ATAGI regarding the relative durability of Spikevax vs Comirnaty and provided a copy of the sponsor’s response to ATAGI as Attachment 1 to the PSCR.</w:t>
      </w:r>
      <w:r w:rsidR="00580BAD">
        <w:rPr>
          <w:iCs/>
        </w:rPr>
        <w:t xml:space="preserve"> </w:t>
      </w:r>
      <w:r w:rsidRPr="00B06893">
        <w:rPr>
          <w:iCs/>
        </w:rPr>
        <w:t xml:space="preserve">The PSCR stated that a study of the KP.2 variant vaccine demonstrated “stable” </w:t>
      </w:r>
      <w:r w:rsidR="000948F8" w:rsidRPr="00B06893">
        <w:rPr>
          <w:iCs/>
        </w:rPr>
        <w:t>VE</w:t>
      </w:r>
      <w:r w:rsidRPr="00B06893">
        <w:rPr>
          <w:iCs/>
        </w:rPr>
        <w:t xml:space="preserve"> with a median follow</w:t>
      </w:r>
      <w:r w:rsidR="00193971">
        <w:rPr>
          <w:iCs/>
        </w:rPr>
        <w:noBreakHyphen/>
      </w:r>
      <w:r w:rsidRPr="00B06893">
        <w:rPr>
          <w:iCs/>
        </w:rPr>
        <w:t>up of 127 days (interquartile range: 84</w:t>
      </w:r>
      <w:r w:rsidR="00193971">
        <w:rPr>
          <w:iCs/>
        </w:rPr>
        <w:noBreakHyphen/>
      </w:r>
      <w:r w:rsidRPr="00B06893">
        <w:rPr>
          <w:iCs/>
        </w:rPr>
        <w:t>173 days)</w:t>
      </w:r>
      <w:r w:rsidR="0033062E" w:rsidRPr="00B06893">
        <w:rPr>
          <w:iCs/>
        </w:rPr>
        <w:t>, however t</w:t>
      </w:r>
      <w:r w:rsidRPr="00B06893">
        <w:rPr>
          <w:iCs/>
        </w:rPr>
        <w:t xml:space="preserve">he ESC </w:t>
      </w:r>
      <w:r w:rsidR="0033062E" w:rsidRPr="00B06893">
        <w:rPr>
          <w:iCs/>
        </w:rPr>
        <w:t xml:space="preserve">considered this description </w:t>
      </w:r>
      <w:r w:rsidR="003746AA" w:rsidRPr="00B06893">
        <w:rPr>
          <w:iCs/>
        </w:rPr>
        <w:t xml:space="preserve">was </w:t>
      </w:r>
      <w:r w:rsidRPr="00B06893">
        <w:rPr>
          <w:iCs/>
        </w:rPr>
        <w:t>incorrect.</w:t>
      </w:r>
      <w:r w:rsidR="00580BAD">
        <w:rPr>
          <w:iCs/>
        </w:rPr>
        <w:t xml:space="preserve"> </w:t>
      </w:r>
      <w:r w:rsidR="001B5657" w:rsidRPr="00B06893">
        <w:rPr>
          <w:iCs/>
        </w:rPr>
        <w:t xml:space="preserve">The </w:t>
      </w:r>
      <w:r w:rsidRPr="00B06893">
        <w:rPr>
          <w:iCs/>
        </w:rPr>
        <w:t xml:space="preserve">ESC noted that the </w:t>
      </w:r>
      <w:r w:rsidR="001B5657" w:rsidRPr="00B06893">
        <w:rPr>
          <w:iCs/>
        </w:rPr>
        <w:t xml:space="preserve">additional reference (Vicic et al 2026), reported effectiveness of the </w:t>
      </w:r>
      <w:r w:rsidR="00A93CFE" w:rsidRPr="00B06893">
        <w:rPr>
          <w:iCs/>
        </w:rPr>
        <w:t>Spikevax</w:t>
      </w:r>
      <w:r w:rsidR="001B5657" w:rsidRPr="00B06893">
        <w:rPr>
          <w:iCs/>
        </w:rPr>
        <w:t xml:space="preserve"> vaccine targeting the KP.2 variant, compared to people who did not receive any 2024–2025 COVID</w:t>
      </w:r>
      <w:r w:rsidR="00193971">
        <w:rPr>
          <w:iCs/>
        </w:rPr>
        <w:noBreakHyphen/>
      </w:r>
      <w:r w:rsidR="001B5657" w:rsidRPr="00B06893">
        <w:rPr>
          <w:iCs/>
        </w:rPr>
        <w:t>19 vaccine, in preventing COVID</w:t>
      </w:r>
      <w:r w:rsidR="00193971">
        <w:rPr>
          <w:iCs/>
        </w:rPr>
        <w:noBreakHyphen/>
      </w:r>
      <w:r w:rsidR="001B5657" w:rsidRPr="00B06893">
        <w:rPr>
          <w:iCs/>
        </w:rPr>
        <w:t>19</w:t>
      </w:r>
      <w:r w:rsidR="00193971">
        <w:rPr>
          <w:iCs/>
        </w:rPr>
        <w:noBreakHyphen/>
      </w:r>
      <w:r w:rsidR="001B5657" w:rsidRPr="00B06893">
        <w:rPr>
          <w:iCs/>
        </w:rPr>
        <w:t>associated hospitali</w:t>
      </w:r>
      <w:r w:rsidR="003746AA" w:rsidRPr="00B06893">
        <w:rPr>
          <w:iCs/>
        </w:rPr>
        <w:t>s</w:t>
      </w:r>
      <w:r w:rsidR="001B5657" w:rsidRPr="00B06893">
        <w:rPr>
          <w:iCs/>
        </w:rPr>
        <w:t>ations during the 2024–2025 season in the United States.</w:t>
      </w:r>
      <w:r w:rsidR="00580BAD">
        <w:rPr>
          <w:iCs/>
        </w:rPr>
        <w:t xml:space="preserve"> </w:t>
      </w:r>
      <w:r w:rsidR="001B5657" w:rsidRPr="00B06893">
        <w:rPr>
          <w:iCs/>
        </w:rPr>
        <w:t xml:space="preserve">The results showed there was waning between the two analysis timepoints </w:t>
      </w:r>
      <w:r w:rsidR="003A32AD" w:rsidRPr="00B06893">
        <w:rPr>
          <w:iCs/>
        </w:rPr>
        <w:t>for</w:t>
      </w:r>
      <w:r w:rsidRPr="00B06893">
        <w:rPr>
          <w:iCs/>
        </w:rPr>
        <w:t xml:space="preserve"> </w:t>
      </w:r>
      <w:r w:rsidRPr="00B06893">
        <w:rPr>
          <w:iCs/>
        </w:rPr>
        <w:lastRenderedPageBreak/>
        <w:t xml:space="preserve">the study </w:t>
      </w:r>
      <w:r w:rsidR="003A32AD" w:rsidRPr="00B06893">
        <w:rPr>
          <w:iCs/>
        </w:rPr>
        <w:t xml:space="preserve">with </w:t>
      </w:r>
      <w:r w:rsidR="001B5657" w:rsidRPr="00B06893">
        <w:rPr>
          <w:iCs/>
        </w:rPr>
        <w:t>adjusted</w:t>
      </w:r>
      <w:r w:rsidR="001B5657" w:rsidRPr="00B06893">
        <w:rPr>
          <w:rStyle w:val="FootnoteReference"/>
          <w:iCs/>
        </w:rPr>
        <w:footnoteReference w:id="15"/>
      </w:r>
      <w:r w:rsidR="001B5657" w:rsidRPr="00B06893">
        <w:rPr>
          <w:iCs/>
        </w:rPr>
        <w:t xml:space="preserve"> overall VE </w:t>
      </w:r>
      <w:r w:rsidR="0033062E" w:rsidRPr="00B06893">
        <w:rPr>
          <w:iCs/>
        </w:rPr>
        <w:t>against COVID</w:t>
      </w:r>
      <w:r w:rsidR="00193971">
        <w:rPr>
          <w:iCs/>
        </w:rPr>
        <w:noBreakHyphen/>
      </w:r>
      <w:r w:rsidR="0033062E" w:rsidRPr="00B06893">
        <w:rPr>
          <w:iCs/>
        </w:rPr>
        <w:t>19</w:t>
      </w:r>
      <w:r w:rsidR="00193971">
        <w:rPr>
          <w:iCs/>
        </w:rPr>
        <w:noBreakHyphen/>
      </w:r>
      <w:r w:rsidR="0033062E" w:rsidRPr="00B06893">
        <w:rPr>
          <w:iCs/>
        </w:rPr>
        <w:t xml:space="preserve">related hospitalisations </w:t>
      </w:r>
      <w:r w:rsidRPr="00B06893">
        <w:rPr>
          <w:iCs/>
        </w:rPr>
        <w:t xml:space="preserve">reported to be </w:t>
      </w:r>
      <w:r w:rsidR="003A32AD" w:rsidRPr="00B06893">
        <w:rPr>
          <w:iCs/>
        </w:rPr>
        <w:t>45.2% at the final analysis</w:t>
      </w:r>
      <w:r w:rsidR="006E5258" w:rsidRPr="00B06893">
        <w:rPr>
          <w:iCs/>
        </w:rPr>
        <w:t xml:space="preserve"> (median follow</w:t>
      </w:r>
      <w:r w:rsidR="00193971">
        <w:rPr>
          <w:iCs/>
        </w:rPr>
        <w:noBreakHyphen/>
      </w:r>
      <w:r w:rsidR="006E5258" w:rsidRPr="00B06893">
        <w:rPr>
          <w:iCs/>
        </w:rPr>
        <w:t>up of 127 days)</w:t>
      </w:r>
      <w:r w:rsidR="003A32AD" w:rsidRPr="00B06893">
        <w:rPr>
          <w:iCs/>
        </w:rPr>
        <w:t>, compared with 52.8% at the interim analysis</w:t>
      </w:r>
      <w:r w:rsidR="006E5258" w:rsidRPr="00B06893">
        <w:rPr>
          <w:iCs/>
        </w:rPr>
        <w:t xml:space="preserve"> (median follow</w:t>
      </w:r>
      <w:r w:rsidR="00193971">
        <w:rPr>
          <w:iCs/>
        </w:rPr>
        <w:noBreakHyphen/>
      </w:r>
      <w:r w:rsidR="006E5258" w:rsidRPr="00B06893">
        <w:rPr>
          <w:iCs/>
        </w:rPr>
        <w:t>up of 55 days)</w:t>
      </w:r>
      <w:r w:rsidR="0033062E" w:rsidRPr="00B06893">
        <w:rPr>
          <w:rStyle w:val="FootnoteReference"/>
          <w:iCs/>
        </w:rPr>
        <w:footnoteReference w:id="16"/>
      </w:r>
      <w:r w:rsidR="006E5258" w:rsidRPr="00B06893">
        <w:rPr>
          <w:iCs/>
        </w:rPr>
        <w:t>.</w:t>
      </w:r>
      <w:r w:rsidR="00580BAD">
        <w:rPr>
          <w:iCs/>
        </w:rPr>
        <w:t xml:space="preserve"> </w:t>
      </w:r>
      <w:r w:rsidRPr="00B06893">
        <w:rPr>
          <w:iCs/>
        </w:rPr>
        <w:t xml:space="preserve">The observation remains that the reported VE of Spikevax KP.2 vaccine was </w:t>
      </w:r>
      <w:r w:rsidR="00A761A8" w:rsidRPr="00B06893">
        <w:rPr>
          <w:iCs/>
        </w:rPr>
        <w:t>comparable with Comirnaty XBB.1.5 vaccine at an early timepoint but the VE of 45.2% at 127 days indicated waning VE for Spikevax KP.2 vaccine, whereas Comirnaty appeared to be relatively stable over the same period (</w:t>
      </w:r>
      <w:r w:rsidRPr="00B06893">
        <w:rPr>
          <w:iCs/>
        </w:rPr>
        <w:fldChar w:fldCharType="begin"/>
      </w:r>
      <w:r w:rsidRPr="00B06893">
        <w:rPr>
          <w:iCs/>
        </w:rPr>
        <w:instrText xml:space="preserve"> REF _Ref216271778 \h </w:instrText>
      </w:r>
      <w:r w:rsidR="005D1A16" w:rsidRPr="00B06893">
        <w:rPr>
          <w:iCs/>
        </w:rPr>
        <w:instrText xml:space="preserve"> \* MERGEFORMAT </w:instrText>
      </w:r>
      <w:r w:rsidRPr="00B06893">
        <w:rPr>
          <w:iCs/>
        </w:rPr>
      </w:r>
      <w:r w:rsidRPr="00B06893">
        <w:rPr>
          <w:iCs/>
        </w:rPr>
        <w:fldChar w:fldCharType="separate"/>
      </w:r>
      <w:r w:rsidR="00810177" w:rsidRPr="00B06893">
        <w:rPr>
          <w:iCs/>
        </w:rPr>
        <w:t>Table 16</w:t>
      </w:r>
      <w:r w:rsidRPr="00B06893">
        <w:rPr>
          <w:iCs/>
        </w:rPr>
        <w:fldChar w:fldCharType="end"/>
      </w:r>
      <w:r w:rsidR="00A761A8" w:rsidRPr="00B06893">
        <w:rPr>
          <w:iCs/>
        </w:rPr>
        <w:t>)</w:t>
      </w:r>
      <w:r w:rsidRPr="00B06893">
        <w:rPr>
          <w:iCs/>
        </w:rPr>
        <w:t>.</w:t>
      </w:r>
      <w:r w:rsidR="00580BAD">
        <w:rPr>
          <w:iCs/>
        </w:rPr>
        <w:t xml:space="preserve"> </w:t>
      </w:r>
      <w:r w:rsidR="00A761A8" w:rsidRPr="00B06893">
        <w:rPr>
          <w:iCs/>
        </w:rPr>
        <w:t xml:space="preserve">The ESC considered </w:t>
      </w:r>
      <w:r w:rsidR="00CF110E" w:rsidRPr="00B06893">
        <w:rPr>
          <w:iCs/>
        </w:rPr>
        <w:t xml:space="preserve">the </w:t>
      </w:r>
      <w:r w:rsidR="00A761A8" w:rsidRPr="00B06893">
        <w:rPr>
          <w:iCs/>
        </w:rPr>
        <w:t>evidence remains inconclusive, given the limited nature of the comparison.</w:t>
      </w:r>
    </w:p>
    <w:p w14:paraId="20EDCD07" w14:textId="08D414BE" w:rsidR="00A761A8" w:rsidRPr="00B06893" w:rsidRDefault="00A761A8" w:rsidP="00501A02">
      <w:pPr>
        <w:pStyle w:val="3-BodyText"/>
        <w:rPr>
          <w:iCs/>
        </w:rPr>
      </w:pPr>
      <w:r w:rsidRPr="00B06893">
        <w:rPr>
          <w:iCs/>
        </w:rPr>
        <w:t xml:space="preserve">The PSCR also referred to the study of </w:t>
      </w:r>
      <w:r w:rsidR="008E3E29" w:rsidRPr="00B06893">
        <w:rPr>
          <w:iCs/>
        </w:rPr>
        <w:t>Mok et al (2025)</w:t>
      </w:r>
      <w:r w:rsidRPr="00B06893">
        <w:rPr>
          <w:iCs/>
        </w:rPr>
        <w:t xml:space="preserve">, described in </w:t>
      </w:r>
      <w:r w:rsidR="005D1A16" w:rsidRPr="00B06893">
        <w:rPr>
          <w:iCs/>
        </w:rPr>
        <w:t xml:space="preserve">paragraph </w:t>
      </w:r>
      <w:r w:rsidR="005D1A16" w:rsidRPr="00B06893">
        <w:rPr>
          <w:iCs/>
        </w:rPr>
        <w:fldChar w:fldCharType="begin"/>
      </w:r>
      <w:r w:rsidR="005D1A16" w:rsidRPr="00B06893">
        <w:rPr>
          <w:iCs/>
        </w:rPr>
        <w:instrText xml:space="preserve"> REF _Ref221729829 \r \h  \* MERGEFORMAT </w:instrText>
      </w:r>
      <w:r w:rsidR="005D1A16" w:rsidRPr="00B06893">
        <w:rPr>
          <w:iCs/>
        </w:rPr>
      </w:r>
      <w:r w:rsidR="005D1A16" w:rsidRPr="00B06893">
        <w:rPr>
          <w:iCs/>
        </w:rPr>
        <w:fldChar w:fldCharType="separate"/>
      </w:r>
      <w:r w:rsidR="00810177" w:rsidRPr="00B06893">
        <w:rPr>
          <w:iCs/>
        </w:rPr>
        <w:t>6.40</w:t>
      </w:r>
      <w:r w:rsidR="005D1A16" w:rsidRPr="00B06893">
        <w:rPr>
          <w:iCs/>
        </w:rPr>
        <w:fldChar w:fldCharType="end"/>
      </w:r>
      <w:r w:rsidRPr="00B06893">
        <w:rPr>
          <w:iCs/>
        </w:rPr>
        <w:t>.</w:t>
      </w:r>
      <w:r w:rsidR="00580BAD">
        <w:rPr>
          <w:iCs/>
        </w:rPr>
        <w:t xml:space="preserve"> </w:t>
      </w:r>
      <w:r w:rsidRPr="00B06893">
        <w:rPr>
          <w:iCs/>
        </w:rPr>
        <w:t xml:space="preserve">The PSCR claimed that more stable durability of BNT162b2 </w:t>
      </w:r>
      <w:r w:rsidR="00A93CFE" w:rsidRPr="00B06893">
        <w:rPr>
          <w:iCs/>
        </w:rPr>
        <w:t xml:space="preserve">(Comirnaty) </w:t>
      </w:r>
      <w:r w:rsidRPr="00B06893">
        <w:rPr>
          <w:iCs/>
        </w:rPr>
        <w:t>vs mRNA</w:t>
      </w:r>
      <w:r w:rsidR="00193971">
        <w:rPr>
          <w:iCs/>
        </w:rPr>
        <w:noBreakHyphen/>
      </w:r>
      <w:r w:rsidRPr="00B06893">
        <w:rPr>
          <w:iCs/>
        </w:rPr>
        <w:t xml:space="preserve">1273 </w:t>
      </w:r>
      <w:r w:rsidR="00A93CFE" w:rsidRPr="00B06893">
        <w:rPr>
          <w:iCs/>
        </w:rPr>
        <w:t xml:space="preserve">(Spikevax) </w:t>
      </w:r>
      <w:r w:rsidRPr="00B06893">
        <w:rPr>
          <w:iCs/>
        </w:rPr>
        <w:t>was not supported by the comparative immunogenicity data presented by Mok et al (2025).</w:t>
      </w:r>
      <w:r w:rsidR="00580BAD">
        <w:rPr>
          <w:iCs/>
        </w:rPr>
        <w:t xml:space="preserve"> </w:t>
      </w:r>
      <w:r w:rsidR="00081AB2" w:rsidRPr="00B06893">
        <w:rPr>
          <w:iCs/>
        </w:rPr>
        <w:t>The ESC noted the conclusions of the study authors that Spikevax induced higher cellular and humoral immune responses than Comirnaty in the elderly [at one</w:t>
      </w:r>
      <w:r w:rsidR="00193971">
        <w:rPr>
          <w:iCs/>
        </w:rPr>
        <w:noBreakHyphen/>
      </w:r>
      <w:r w:rsidR="00081AB2" w:rsidRPr="00B06893">
        <w:rPr>
          <w:iCs/>
        </w:rPr>
        <w:t>month post</w:t>
      </w:r>
      <w:r w:rsidR="00193971">
        <w:rPr>
          <w:iCs/>
        </w:rPr>
        <w:noBreakHyphen/>
      </w:r>
      <w:r w:rsidR="00081AB2" w:rsidRPr="00B06893">
        <w:rPr>
          <w:iCs/>
        </w:rPr>
        <w:t>vaccination], but was also associated with a higher incidence of fever.</w:t>
      </w:r>
      <w:r w:rsidR="00580BAD">
        <w:rPr>
          <w:iCs/>
        </w:rPr>
        <w:t xml:space="preserve"> </w:t>
      </w:r>
      <w:r w:rsidR="00081AB2" w:rsidRPr="00B06893">
        <w:rPr>
          <w:iCs/>
        </w:rPr>
        <w:t>T</w:t>
      </w:r>
      <w:r w:rsidR="005D1A16" w:rsidRPr="00B06893">
        <w:rPr>
          <w:iCs/>
        </w:rPr>
        <w:t xml:space="preserve">he ESC noted that that study by Mok et al (2025) reported immunogenicity and safety results </w:t>
      </w:r>
      <w:r w:rsidR="00D17961" w:rsidRPr="00B06893">
        <w:rPr>
          <w:iCs/>
        </w:rPr>
        <w:t xml:space="preserve">for a cohort aged 60–91 years </w:t>
      </w:r>
      <w:r w:rsidR="005D1A16" w:rsidRPr="00B06893">
        <w:rPr>
          <w:iCs/>
        </w:rPr>
        <w:t>at a single point in time after vaccination (one month after vaccination) with either Spikevax or Comirnaty and therefore did not provide data with respect to the waning profile of either vaccine.</w:t>
      </w:r>
    </w:p>
    <w:p w14:paraId="506B31F3" w14:textId="71A15424" w:rsidR="00BB5652" w:rsidRPr="00B06893" w:rsidRDefault="00081AB2" w:rsidP="00501A02">
      <w:pPr>
        <w:pStyle w:val="3-BodyText"/>
      </w:pPr>
      <w:r w:rsidRPr="00B06893">
        <w:rPr>
          <w:iCs/>
        </w:rPr>
        <w:t xml:space="preserve">Overall, the ESC agreed with the </w:t>
      </w:r>
      <w:r w:rsidR="00106378" w:rsidRPr="00B06893">
        <w:rPr>
          <w:iCs/>
        </w:rPr>
        <w:t>evaluation</w:t>
      </w:r>
      <w:r w:rsidRPr="00B06893">
        <w:rPr>
          <w:iCs/>
        </w:rPr>
        <w:t xml:space="preserve"> that</w:t>
      </w:r>
      <w:r w:rsidR="00D17961" w:rsidRPr="00B06893">
        <w:rPr>
          <w:iCs/>
        </w:rPr>
        <w:t xml:space="preserve"> it remained unclear whether there is a difference in duration of response across the two vaccines.</w:t>
      </w:r>
    </w:p>
    <w:p w14:paraId="570BF4A9" w14:textId="349554B6" w:rsidR="0053010E" w:rsidRPr="00B06893" w:rsidRDefault="006F1800" w:rsidP="00501A02">
      <w:pPr>
        <w:pStyle w:val="3-BodyText"/>
      </w:pPr>
      <w:r w:rsidRPr="00B06893">
        <w:rPr>
          <w:iCs/>
        </w:rPr>
        <w:t>The pre</w:t>
      </w:r>
      <w:r w:rsidR="00193971">
        <w:rPr>
          <w:iCs/>
        </w:rPr>
        <w:noBreakHyphen/>
      </w:r>
      <w:r w:rsidRPr="00B06893">
        <w:rPr>
          <w:iCs/>
        </w:rPr>
        <w:t xml:space="preserve">PBAC response provided further discussion regarding the comparative effectiveness and durability of </w:t>
      </w:r>
      <w:r w:rsidR="00A93CFE" w:rsidRPr="00B06893">
        <w:rPr>
          <w:iCs/>
        </w:rPr>
        <w:t xml:space="preserve">Comirnaty vs Spikevax </w:t>
      </w:r>
      <w:r w:rsidRPr="00B06893">
        <w:rPr>
          <w:iCs/>
        </w:rPr>
        <w:t xml:space="preserve">based on a study by </w:t>
      </w:r>
      <w:r w:rsidRPr="00B06893">
        <w:t>Aziz et al (2025)</w:t>
      </w:r>
      <w:r w:rsidR="00B53EEB" w:rsidRPr="00B06893">
        <w:rPr>
          <w:rStyle w:val="FootnoteReference"/>
        </w:rPr>
        <w:footnoteReference w:id="17"/>
      </w:r>
      <w:r w:rsidRPr="00B06893">
        <w:t>.</w:t>
      </w:r>
      <w:r w:rsidR="00580BAD">
        <w:t xml:space="preserve"> </w:t>
      </w:r>
      <w:r w:rsidR="00342550" w:rsidRPr="00B06893">
        <w:t>Th</w:t>
      </w:r>
      <w:r w:rsidR="000221C9" w:rsidRPr="00B06893">
        <w:t xml:space="preserve">is was </w:t>
      </w:r>
      <w:r w:rsidR="00342550" w:rsidRPr="00B06893">
        <w:t>a test</w:t>
      </w:r>
      <w:r w:rsidR="00193971">
        <w:noBreakHyphen/>
      </w:r>
      <w:r w:rsidR="00342550" w:rsidRPr="00B06893">
        <w:t>negative case</w:t>
      </w:r>
      <w:r w:rsidR="00193971">
        <w:noBreakHyphen/>
      </w:r>
      <w:r w:rsidR="00342550" w:rsidRPr="00B06893">
        <w:t xml:space="preserve">control study </w:t>
      </w:r>
      <w:r w:rsidR="000221C9" w:rsidRPr="00B06893">
        <w:t>evaluating</w:t>
      </w:r>
      <w:r w:rsidR="00342550" w:rsidRPr="00B06893">
        <w:t xml:space="preserve"> </w:t>
      </w:r>
      <w:r w:rsidR="000221C9" w:rsidRPr="00B06893">
        <w:t xml:space="preserve">the effectiveness and </w:t>
      </w:r>
      <w:r w:rsidR="00342550" w:rsidRPr="00B06893">
        <w:t xml:space="preserve">waning of </w:t>
      </w:r>
      <w:r w:rsidR="00F84E18" w:rsidRPr="00B06893">
        <w:t xml:space="preserve">Spikevax and Comirnaty </w:t>
      </w:r>
      <w:r w:rsidR="00342550" w:rsidRPr="00B06893">
        <w:t>against COVID</w:t>
      </w:r>
      <w:r w:rsidR="00193971">
        <w:noBreakHyphen/>
      </w:r>
      <w:r w:rsidR="00342550" w:rsidRPr="00B06893">
        <w:t>19 hospitalisation in England using national datasets.</w:t>
      </w:r>
      <w:r w:rsidR="00580BAD">
        <w:t xml:space="preserve"> </w:t>
      </w:r>
      <w:r w:rsidR="000948F8" w:rsidRPr="00B06893">
        <w:t>VE</w:t>
      </w:r>
      <w:r w:rsidR="000221C9" w:rsidRPr="00B06893">
        <w:t xml:space="preserve"> for Autumn 2024 JN.1 vaccines</w:t>
      </w:r>
      <w:r w:rsidR="00FA2B1E" w:rsidRPr="00B06893">
        <w:t>, including both brands</w:t>
      </w:r>
      <w:r w:rsidR="00B06893">
        <w:t>,</w:t>
      </w:r>
      <w:r w:rsidR="000221C9" w:rsidRPr="00B06893">
        <w:t xml:space="preserve"> peaked at 43% (95% CI: 34–51%) at 10–14 weeks and declined to 34% (95% CI: 22–44%) by 20 weeks. The authors noted that lower effectiveness compared with earlier campaigns may reflect high population immunity and </w:t>
      </w:r>
      <w:r w:rsidR="00CF7CC9" w:rsidRPr="00B06893">
        <w:t>heterogeneous</w:t>
      </w:r>
      <w:r w:rsidR="000221C9" w:rsidRPr="00B06893">
        <w:t xml:space="preserve"> circulating lineages.</w:t>
      </w:r>
      <w:r w:rsidR="00580BAD">
        <w:t xml:space="preserve"> </w:t>
      </w:r>
      <w:r w:rsidR="00D816BE" w:rsidRPr="00B06893">
        <w:t>Despite slight differences in point estimates, confidence intervals for both vaccines overlapped at all time points, indicating no significant differences between the VE of the two vaccines (</w:t>
      </w:r>
      <w:r w:rsidR="00D816BE" w:rsidRPr="00B06893">
        <w:fldChar w:fldCharType="begin"/>
      </w:r>
      <w:r w:rsidR="00D816BE" w:rsidRPr="00B06893">
        <w:instrText xml:space="preserve"> REF _Ref225344833 \h </w:instrText>
      </w:r>
      <w:r w:rsidR="00D816BE" w:rsidRPr="00B06893">
        <w:fldChar w:fldCharType="separate"/>
      </w:r>
      <w:r w:rsidR="00810177" w:rsidRPr="00B06893">
        <w:t>Figure 4</w:t>
      </w:r>
      <w:r w:rsidR="00D816BE" w:rsidRPr="00B06893">
        <w:fldChar w:fldCharType="end"/>
      </w:r>
      <w:r w:rsidR="00D816BE" w:rsidRPr="00B06893">
        <w:t>).</w:t>
      </w:r>
    </w:p>
    <w:p w14:paraId="0820CB79" w14:textId="77777777" w:rsidR="000432A5" w:rsidRPr="00B06893" w:rsidRDefault="000432A5" w:rsidP="000432A5">
      <w:pPr>
        <w:pStyle w:val="3-BodyText"/>
        <w:numPr>
          <w:ilvl w:val="0"/>
          <w:numId w:val="0"/>
        </w:numPr>
      </w:pPr>
    </w:p>
    <w:p w14:paraId="66B57D06" w14:textId="206E2D84" w:rsidR="000432A5" w:rsidRPr="00B06893" w:rsidRDefault="00342550" w:rsidP="000432A5">
      <w:pPr>
        <w:pStyle w:val="Caption"/>
        <w:keepLines w:val="0"/>
      </w:pPr>
      <w:bookmarkStart w:id="52" w:name="_Ref225344833"/>
      <w:r w:rsidRPr="00B06893">
        <w:lastRenderedPageBreak/>
        <w:t xml:space="preserve">Figure </w:t>
      </w:r>
      <w:fldSimple w:instr=" SEQ Figure \* ARABIC ">
        <w:r w:rsidR="00810177" w:rsidRPr="00B06893">
          <w:t>4</w:t>
        </w:r>
      </w:fldSimple>
      <w:bookmarkEnd w:id="52"/>
      <w:r w:rsidRPr="00B06893">
        <w:t>: VE</w:t>
      </w:r>
      <w:r w:rsidR="006F1800" w:rsidRPr="00B06893">
        <w:t xml:space="preserve"> of COVID</w:t>
      </w:r>
      <w:r w:rsidR="00193971">
        <w:noBreakHyphen/>
      </w:r>
      <w:r w:rsidR="006F1800" w:rsidRPr="00B06893">
        <w:t>19 JN.1 vaccines against hospitalisation, stratified by manufacturer (Moderna and Pfizer) and time since vaccination</w:t>
      </w:r>
      <w:r w:rsidRPr="00B06893">
        <w:t xml:space="preserve"> (e</w:t>
      </w:r>
      <w:r w:rsidR="006F1800" w:rsidRPr="00B06893">
        <w:t>rror bars represent 95 % confidence intervals</w:t>
      </w:r>
      <w:r w:rsidRPr="00B06893">
        <w:t>)</w:t>
      </w:r>
    </w:p>
    <w:p w14:paraId="02FA2B05" w14:textId="2BAC51B1" w:rsidR="00B53EEB" w:rsidRPr="00B06893" w:rsidRDefault="006F1800" w:rsidP="00B53EEB">
      <w:pPr>
        <w:pStyle w:val="TableFooter"/>
        <w:keepNext/>
      </w:pPr>
      <w:r w:rsidRPr="00B06893">
        <w:rPr>
          <w:noProof/>
        </w:rPr>
        <w:drawing>
          <wp:anchor distT="0" distB="0" distL="114300" distR="114300" simplePos="0" relativeHeight="251658240" behindDoc="0" locked="0" layoutInCell="1" allowOverlap="1" wp14:anchorId="78206881" wp14:editId="4DD41162">
            <wp:simplePos x="0" y="0"/>
            <wp:positionH relativeFrom="column">
              <wp:posOffset>0</wp:posOffset>
            </wp:positionH>
            <wp:positionV relativeFrom="paragraph">
              <wp:posOffset>1368</wp:posOffset>
            </wp:positionV>
            <wp:extent cx="5076000" cy="2282400"/>
            <wp:effectExtent l="0" t="0" r="0" b="3810"/>
            <wp:wrapTopAndBottom/>
            <wp:docPr id="1244489708" name="Picture 1" descr="Figure 4: VE of COVID 19 JN.1 vaccines against hospitalisation, stratified by manufacturer (Moderna and Pfizer) and time since vaccination (error bars represent 95 %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89708" name="Picture 1" descr="Figure 4: VE of COVID 19 JN.1 vaccines against hospitalisation, stratified by manufacturer (Moderna and Pfizer) and time since vaccination (error bars represent 95 % confidence intervals)"/>
                    <pic:cNvPicPr/>
                  </pic:nvPicPr>
                  <pic:blipFill>
                    <a:blip r:embed="rId16"/>
                    <a:stretch>
                      <a:fillRect/>
                    </a:stretch>
                  </pic:blipFill>
                  <pic:spPr>
                    <a:xfrm>
                      <a:off x="0" y="0"/>
                      <a:ext cx="5076000" cy="2282400"/>
                    </a:xfrm>
                    <a:prstGeom prst="rect">
                      <a:avLst/>
                    </a:prstGeom>
                  </pic:spPr>
                </pic:pic>
              </a:graphicData>
            </a:graphic>
            <wp14:sizeRelH relativeFrom="margin">
              <wp14:pctWidth>0</wp14:pctWidth>
            </wp14:sizeRelH>
            <wp14:sizeRelV relativeFrom="margin">
              <wp14:pctHeight>0</wp14:pctHeight>
            </wp14:sizeRelV>
          </wp:anchor>
        </w:drawing>
      </w:r>
      <w:r w:rsidR="00B53EEB" w:rsidRPr="00B06893">
        <w:t xml:space="preserve"> Source: Pre</w:t>
      </w:r>
      <w:r w:rsidR="00193971">
        <w:noBreakHyphen/>
      </w:r>
      <w:r w:rsidR="00B53EEB" w:rsidRPr="00B06893">
        <w:t>PBAC response Figure 1, from Aziz et al 2025.</w:t>
      </w:r>
    </w:p>
    <w:p w14:paraId="140D2721" w14:textId="77777777" w:rsidR="00B53EEB" w:rsidRPr="00B06893" w:rsidRDefault="00B53EEB" w:rsidP="000432A5"/>
    <w:p w14:paraId="5AA347F6" w14:textId="70814ABF" w:rsidR="005F53AE" w:rsidRPr="00B06893" w:rsidRDefault="005F53AE" w:rsidP="005F53AE">
      <w:pPr>
        <w:pStyle w:val="3-BodyText"/>
        <w:numPr>
          <w:ilvl w:val="0"/>
          <w:numId w:val="0"/>
        </w:numPr>
        <w:rPr>
          <w:u w:val="single"/>
        </w:rPr>
      </w:pPr>
      <w:r w:rsidRPr="00B06893">
        <w:rPr>
          <w:u w:val="single"/>
        </w:rPr>
        <w:t>Medical Attendance</w:t>
      </w:r>
    </w:p>
    <w:p w14:paraId="50B951BB" w14:textId="3A37B69F" w:rsidR="005F53AE" w:rsidRPr="00B06893" w:rsidRDefault="006A71F1" w:rsidP="005F53AE">
      <w:pPr>
        <w:pStyle w:val="3-BodyText"/>
      </w:pPr>
      <w:r w:rsidRPr="00B06893">
        <w:t>A</w:t>
      </w:r>
      <w:r w:rsidR="005F53AE" w:rsidRPr="00B06893">
        <w:t xml:space="preserve"> comparison across studies for medical attendance is problematic as definitions varied across the included studies. For example, Medical Attendance in Zheng (2025) was defined as any medically attended setting which included hospital, Emergency Department [ED], outpatient, or physician encounter settings. On the other hand, Andersen (2025) (publication for </w:t>
      </w:r>
      <w:r w:rsidR="00E34126" w:rsidRPr="00B06893">
        <w:t>Comirnaty</w:t>
      </w:r>
      <w:r w:rsidR="005F53AE" w:rsidRPr="00B06893">
        <w:t xml:space="preserve">) only included emergency department presentations which is deemed more clinically informative. </w:t>
      </w:r>
      <w:proofErr w:type="gramStart"/>
      <w:r w:rsidRPr="00B06893">
        <w:t>A</w:t>
      </w:r>
      <w:r w:rsidR="005F53AE" w:rsidRPr="00B06893">
        <w:t xml:space="preserve"> brief summary</w:t>
      </w:r>
      <w:proofErr w:type="gramEnd"/>
      <w:r w:rsidR="005F53AE" w:rsidRPr="00B06893">
        <w:t xml:space="preserve"> of the indirect comparisons</w:t>
      </w:r>
      <w:r w:rsidRPr="00B06893">
        <w:t xml:space="preserve"> is provided below</w:t>
      </w:r>
      <w:r w:rsidR="005F53AE" w:rsidRPr="00B06893">
        <w:t>.</w:t>
      </w:r>
    </w:p>
    <w:p w14:paraId="36CB824C" w14:textId="54354EE4" w:rsidR="00905D00" w:rsidRPr="00B06893" w:rsidRDefault="00905D00" w:rsidP="005F53AE">
      <w:pPr>
        <w:pStyle w:val="3-BodyText"/>
      </w:pPr>
      <w:r w:rsidRPr="00B06893">
        <w:t xml:space="preserve">JN.1 variant: No comparison could be made for the JN.1 variants of Spikevax and </w:t>
      </w:r>
      <w:r w:rsidR="00E34126" w:rsidRPr="00B06893">
        <w:t>Comirnaty</w:t>
      </w:r>
      <w:r w:rsidRPr="00B06893">
        <w:t>.</w:t>
      </w:r>
    </w:p>
    <w:p w14:paraId="35526D4A" w14:textId="3D32BDB8" w:rsidR="005F53AE" w:rsidRPr="00B06893" w:rsidRDefault="005F53AE" w:rsidP="005F53AE">
      <w:pPr>
        <w:pStyle w:val="3-BodyText"/>
      </w:pPr>
      <w:r w:rsidRPr="00B06893">
        <w:t xml:space="preserve">KP.2 variant: </w:t>
      </w:r>
      <w:r w:rsidR="00905D00" w:rsidRPr="00B06893">
        <w:t xml:space="preserve">Two studies provided data for a naïve indirect comparison (Wilson [2025] for Spikevax and Appaneal [2025] for </w:t>
      </w:r>
      <w:r w:rsidR="00E34126" w:rsidRPr="00B06893">
        <w:t>Comirnaty</w:t>
      </w:r>
      <w:r w:rsidR="00905D00" w:rsidRPr="00B06893">
        <w:t xml:space="preserve">). </w:t>
      </w:r>
      <w:r w:rsidR="00905D00" w:rsidRPr="00B06893">
        <w:rPr>
          <w:rFonts w:cstheme="minorHAnsi"/>
          <w:szCs w:val="24"/>
        </w:rPr>
        <w:t xml:space="preserve">For individuals aged ≥18 years, VE favoured </w:t>
      </w:r>
      <w:r w:rsidR="00E34126" w:rsidRPr="00B06893">
        <w:rPr>
          <w:rFonts w:cstheme="minorHAnsi"/>
          <w:szCs w:val="24"/>
        </w:rPr>
        <w:t>Comirnaty</w:t>
      </w:r>
      <w:r w:rsidR="00905D00" w:rsidRPr="00B06893">
        <w:rPr>
          <w:rFonts w:cstheme="minorHAnsi"/>
          <w:szCs w:val="24"/>
        </w:rPr>
        <w:t xml:space="preserve"> over Spikevax (57.0% [95% CI: 46.0, 65.0] vs. 39.4% [95% CI: 35.0, 43.5]). For individuals aged ≥65 years, VE also numerically favoured </w:t>
      </w:r>
      <w:r w:rsidR="00E34126" w:rsidRPr="00B06893">
        <w:rPr>
          <w:rFonts w:cstheme="minorHAnsi"/>
          <w:szCs w:val="24"/>
        </w:rPr>
        <w:t>Comirnaty</w:t>
      </w:r>
      <w:r w:rsidR="00905D00" w:rsidRPr="00B06893">
        <w:rPr>
          <w:rFonts w:cstheme="minorHAnsi"/>
          <w:szCs w:val="24"/>
        </w:rPr>
        <w:t xml:space="preserve"> over Spikevax (56.0% [95% CI: 44.0, 66.0] vs. 46.7% [95% CI: 41.7, 51.2] vs.). However, there was overlap in the 95% confidence intervals</w:t>
      </w:r>
      <w:r w:rsidR="00905D00" w:rsidRPr="00B06893">
        <w:t xml:space="preserve">. The follow up time for the Spikevax from the Wilson (2025) study (57 days) was much longer than that for the </w:t>
      </w:r>
      <w:r w:rsidR="00E34126" w:rsidRPr="00B06893">
        <w:t>Comirnaty</w:t>
      </w:r>
      <w:r w:rsidR="00905D00" w:rsidRPr="00B06893">
        <w:t xml:space="preserve"> Appaneal (2025) study (33 days). </w:t>
      </w:r>
      <w:r w:rsidR="00BB18D0" w:rsidRPr="00B06893">
        <w:t xml:space="preserve">The evaluation concluded that overall, it was </w:t>
      </w:r>
      <w:r w:rsidR="00905D00" w:rsidRPr="00B06893">
        <w:t>unclear whether there is a difference between vaccines at the same follow up time</w:t>
      </w:r>
      <w:r w:rsidR="007C3AD5" w:rsidRPr="00B06893">
        <w:t>.</w:t>
      </w:r>
    </w:p>
    <w:p w14:paraId="7C4E8B04" w14:textId="5B13646F" w:rsidR="00905D00" w:rsidRPr="00B06893" w:rsidRDefault="000C0A93" w:rsidP="005F53AE">
      <w:pPr>
        <w:pStyle w:val="3-BodyText"/>
      </w:pPr>
      <w:r w:rsidRPr="00B06893">
        <w:t xml:space="preserve">XBB.1.5: </w:t>
      </w:r>
      <w:r w:rsidR="007B23A0" w:rsidRPr="00B06893">
        <w:rPr>
          <w:rFonts w:cstheme="minorHAnsi"/>
          <w:szCs w:val="24"/>
        </w:rPr>
        <w:t xml:space="preserve">Three studies provided data for Spikevax (Kopel [2025], Wilson [2025, and Zheng [2025]) and three studies (Tartof [2024], Caffery [2024, and Andersen [2025]) provided data for </w:t>
      </w:r>
      <w:r w:rsidR="00E34126" w:rsidRPr="00B06893">
        <w:rPr>
          <w:rFonts w:cstheme="minorHAnsi"/>
          <w:szCs w:val="24"/>
        </w:rPr>
        <w:t>Comirnaty</w:t>
      </w:r>
      <w:r w:rsidR="007B23A0" w:rsidRPr="00B06893">
        <w:rPr>
          <w:rFonts w:cstheme="minorHAnsi"/>
          <w:szCs w:val="24"/>
        </w:rPr>
        <w:t xml:space="preserve">. </w:t>
      </w:r>
      <w:r w:rsidRPr="00B06893">
        <w:t xml:space="preserve">In individuals aged ≥18 years, </w:t>
      </w:r>
      <w:r w:rsidR="00E34126" w:rsidRPr="00B06893">
        <w:t>Comirnaty</w:t>
      </w:r>
      <w:r w:rsidRPr="00B06893">
        <w:t xml:space="preserve"> appeared more effective than Spikevax in preventing medical attendance. When comparing studies with the longest follow</w:t>
      </w:r>
      <w:r w:rsidR="00193971">
        <w:noBreakHyphen/>
      </w:r>
      <w:r w:rsidRPr="00B06893">
        <w:t xml:space="preserve">up, the Spikevax Zheng (2025) study reported a </w:t>
      </w:r>
      <w:r w:rsidR="000948F8" w:rsidRPr="00B06893">
        <w:t>VE</w:t>
      </w:r>
      <w:r w:rsidRPr="00B06893">
        <w:t xml:space="preserve"> of 24% (95% CI: 22, 25) for a median follow</w:t>
      </w:r>
      <w:r w:rsidR="00193971">
        <w:noBreakHyphen/>
      </w:r>
      <w:r w:rsidRPr="00B06893">
        <w:t xml:space="preserve">up duration of 111 days. The </w:t>
      </w:r>
      <w:r w:rsidR="00E34126" w:rsidRPr="00B06893">
        <w:t>Comirnaty</w:t>
      </w:r>
      <w:r w:rsidRPr="00B06893">
        <w:t xml:space="preserve"> Andersen (2025) study reported a </w:t>
      </w:r>
      <w:r w:rsidR="000948F8" w:rsidRPr="00B06893">
        <w:t>VE</w:t>
      </w:r>
      <w:r w:rsidRPr="00B06893">
        <w:t xml:space="preserve"> of 45% (95% CI: 34, 54%) for a median follow</w:t>
      </w:r>
      <w:r w:rsidR="00193971">
        <w:noBreakHyphen/>
      </w:r>
      <w:r w:rsidRPr="00B06893">
        <w:t xml:space="preserve">up duration </w:t>
      </w:r>
      <w:r w:rsidRPr="00B06893">
        <w:lastRenderedPageBreak/>
        <w:t>of 118 days. Both studies were conducted at a time when the JN.1 strain was in circulation.</w:t>
      </w:r>
    </w:p>
    <w:p w14:paraId="1452C351" w14:textId="0D19F1B0" w:rsidR="00B60939" w:rsidRPr="00B06893" w:rsidRDefault="00B60939" w:rsidP="007F6A1E">
      <w:pPr>
        <w:pStyle w:val="4-SubsectionHeading"/>
        <w:rPr>
          <w:iCs/>
        </w:rPr>
      </w:pPr>
      <w:bookmarkStart w:id="53" w:name="_Toc22897642"/>
      <w:bookmarkStart w:id="54" w:name="_Toc219898336"/>
      <w:r w:rsidRPr="00B06893">
        <w:t>Comparative harms</w:t>
      </w:r>
      <w:bookmarkEnd w:id="53"/>
      <w:bookmarkEnd w:id="54"/>
    </w:p>
    <w:p w14:paraId="310A0717" w14:textId="4777A7D0" w:rsidR="00CC608B" w:rsidRPr="00B06893" w:rsidRDefault="00CC608B" w:rsidP="00CC608B">
      <w:pPr>
        <w:pStyle w:val="3-BodyText"/>
        <w:rPr>
          <w:lang w:eastAsia="en-US"/>
        </w:rPr>
      </w:pPr>
      <w:r w:rsidRPr="00B06893">
        <w:rPr>
          <w:lang w:eastAsia="en-US"/>
        </w:rPr>
        <w:t>Interpretation of the safety data should consider the high risk of bias associated with the open</w:t>
      </w:r>
      <w:r w:rsidR="00193971">
        <w:rPr>
          <w:lang w:eastAsia="en-US"/>
        </w:rPr>
        <w:noBreakHyphen/>
      </w:r>
      <w:r w:rsidRPr="00B06893">
        <w:rPr>
          <w:lang w:eastAsia="en-US"/>
        </w:rPr>
        <w:t>label design of the included studies.</w:t>
      </w:r>
    </w:p>
    <w:p w14:paraId="22449C79" w14:textId="3D33924B" w:rsidR="007B23A0" w:rsidRPr="00B06893" w:rsidRDefault="007B23A0" w:rsidP="007B23A0">
      <w:pPr>
        <w:pStyle w:val="5-SubsectionSubheading"/>
        <w:rPr>
          <w:color w:val="auto"/>
        </w:rPr>
      </w:pPr>
      <w:bookmarkStart w:id="55" w:name="_Toc219898337"/>
      <w:r w:rsidRPr="00B06893">
        <w:rPr>
          <w:lang w:eastAsia="en-US"/>
        </w:rPr>
        <w:t>Spikevax versus no vaccination</w:t>
      </w:r>
      <w:bookmarkEnd w:id="55"/>
    </w:p>
    <w:p w14:paraId="12C379BD" w14:textId="0FFE069E" w:rsidR="00044E0B" w:rsidRPr="00B06893" w:rsidRDefault="00044E0B" w:rsidP="00D86231">
      <w:pPr>
        <w:pStyle w:val="3-BodyText"/>
      </w:pPr>
      <w:r w:rsidRPr="00B06893">
        <w:t>Safety data for unsolicited</w:t>
      </w:r>
      <w:r w:rsidR="0064723B" w:rsidRPr="00B06893">
        <w:rPr>
          <w:rStyle w:val="FootnoteReference"/>
        </w:rPr>
        <w:footnoteReference w:id="18"/>
      </w:r>
      <w:r w:rsidRPr="00B06893">
        <w:t xml:space="preserve"> adverse </w:t>
      </w:r>
      <w:r w:rsidR="00CE428B" w:rsidRPr="00B06893">
        <w:t>events (AEs)</w:t>
      </w:r>
      <w:r w:rsidRPr="00B06893">
        <w:t xml:space="preserve"> across </w:t>
      </w:r>
      <w:r w:rsidR="00CE428B" w:rsidRPr="00B06893">
        <w:t xml:space="preserve">the included Spikevax trials </w:t>
      </w:r>
      <w:r w:rsidRPr="00B06893">
        <w:t>have been reproduced from the 2025 ATAGI pre</w:t>
      </w:r>
      <w:r w:rsidR="00193971">
        <w:noBreakHyphen/>
      </w:r>
      <w:r w:rsidRPr="00B06893">
        <w:t xml:space="preserve">submission Advice </w:t>
      </w:r>
      <w:r w:rsidR="00CE428B" w:rsidRPr="00B06893">
        <w:t>to the PBAC</w:t>
      </w:r>
      <w:r w:rsidR="002E2E0E" w:rsidRPr="00B06893">
        <w:t xml:space="preserve"> (</w:t>
      </w:r>
      <w:r w:rsidR="002E2E0E" w:rsidRPr="00B06893">
        <w:fldChar w:fldCharType="begin"/>
      </w:r>
      <w:r w:rsidR="002E2E0E" w:rsidRPr="00B06893">
        <w:instrText xml:space="preserve"> REF _Ref216275108 \h </w:instrText>
      </w:r>
      <w:r w:rsidR="007C3AD5" w:rsidRPr="00B06893">
        <w:instrText xml:space="preserve"> \* MERGEFORMAT </w:instrText>
      </w:r>
      <w:r w:rsidR="002E2E0E" w:rsidRPr="00B06893">
        <w:fldChar w:fldCharType="separate"/>
      </w:r>
      <w:r w:rsidR="00810177" w:rsidRPr="00B06893">
        <w:t>Table 17</w:t>
      </w:r>
      <w:r w:rsidR="002E2E0E" w:rsidRPr="00B06893">
        <w:fldChar w:fldCharType="end"/>
      </w:r>
      <w:r w:rsidR="002E2E0E" w:rsidRPr="00B06893">
        <w:t>)</w:t>
      </w:r>
      <w:r w:rsidRPr="00B06893">
        <w:t>.</w:t>
      </w:r>
    </w:p>
    <w:p w14:paraId="633BF8EB" w14:textId="09D113C9" w:rsidR="00044E0B" w:rsidRPr="00B06893" w:rsidRDefault="00044E0B" w:rsidP="00044E0B">
      <w:pPr>
        <w:pStyle w:val="Caption"/>
        <w:rPr>
          <w:rFonts w:cs="Calibri (Body)"/>
          <w:iCs/>
        </w:rPr>
      </w:pPr>
      <w:bookmarkStart w:id="56" w:name="_Ref216275108"/>
      <w:r w:rsidRPr="00B06893">
        <w:t xml:space="preserve">Table </w:t>
      </w:r>
      <w:fldSimple w:instr=" SEQ Table \* ARABIC ">
        <w:r w:rsidR="00810177" w:rsidRPr="00B06893">
          <w:t>17</w:t>
        </w:r>
      </w:fldSimple>
      <w:bookmarkEnd w:id="56"/>
      <w:r w:rsidRPr="00B06893">
        <w:t xml:space="preserve">: Unsolicited adverse reactions across </w:t>
      </w:r>
      <w:r w:rsidR="001463E8" w:rsidRPr="00B06893">
        <w:t>the Spikevax trials included in the submission</w:t>
      </w:r>
      <w:r w:rsidRPr="00B06893">
        <w:t xml:space="preserve"> (mRNA</w:t>
      </w:r>
      <w:r w:rsidR="00193971">
        <w:noBreakHyphen/>
      </w:r>
      <w:r w:rsidRPr="00B06893">
        <w:t xml:space="preserve">1273 </w:t>
      </w:r>
      <w:r w:rsidR="00193971">
        <w:noBreakHyphen/>
      </w:r>
      <w:r w:rsidRPr="00B06893">
        <w:t xml:space="preserve"> recent strains) stratified by relation to study vaccination</w:t>
      </w:r>
    </w:p>
    <w:tbl>
      <w:tblPr>
        <w:tblStyle w:val="HTAtableplain3"/>
        <w:tblW w:w="5000" w:type="pct"/>
        <w:tblInd w:w="0" w:type="dxa"/>
        <w:tblCellMar>
          <w:left w:w="57" w:type="dxa"/>
          <w:right w:w="57" w:type="dxa"/>
        </w:tblCellMar>
        <w:tblLook w:val="04A0" w:firstRow="1" w:lastRow="0" w:firstColumn="1" w:lastColumn="0" w:noHBand="0" w:noVBand="1"/>
        <w:tblCaption w:val="Table 17: Unsolicited adverse reactions across the Spikevax trials included in the submission (mRNA 1273   recent strains) stratified by relation to study vaccination"/>
      </w:tblPr>
      <w:tblGrid>
        <w:gridCol w:w="2185"/>
        <w:gridCol w:w="1710"/>
        <w:gridCol w:w="1710"/>
        <w:gridCol w:w="1710"/>
        <w:gridCol w:w="1702"/>
      </w:tblGrid>
      <w:tr w:rsidR="00044E0B" w:rsidRPr="00B06893" w14:paraId="5EC95A6E" w14:textId="77777777" w:rsidTr="00D20318">
        <w:trPr>
          <w:tblHeader/>
        </w:trPr>
        <w:tc>
          <w:tcPr>
            <w:tcW w:w="1212" w:type="pct"/>
            <w:vAlign w:val="center"/>
          </w:tcPr>
          <w:p w14:paraId="0EC940E4" w14:textId="77777777" w:rsidR="00044E0B" w:rsidRPr="00B06893" w:rsidRDefault="00044E0B" w:rsidP="001753EE">
            <w:pPr>
              <w:pStyle w:val="Tabletext"/>
              <w:keepNext/>
              <w:rPr>
                <w:b/>
                <w:bCs/>
                <w:lang w:val="en-AU"/>
              </w:rPr>
            </w:pPr>
            <w:r w:rsidRPr="00B06893">
              <w:rPr>
                <w:b/>
                <w:bCs/>
                <w:lang w:val="en-AU"/>
              </w:rPr>
              <w:t>n (%)</w:t>
            </w:r>
          </w:p>
        </w:tc>
        <w:tc>
          <w:tcPr>
            <w:tcW w:w="1896" w:type="pct"/>
            <w:gridSpan w:val="2"/>
            <w:vAlign w:val="center"/>
          </w:tcPr>
          <w:p w14:paraId="59CB256C" w14:textId="12D525A1" w:rsidR="00044E0B" w:rsidRPr="00B06893" w:rsidRDefault="00044E0B" w:rsidP="001753EE">
            <w:pPr>
              <w:pStyle w:val="Tabletext"/>
              <w:keepNext/>
              <w:rPr>
                <w:b/>
                <w:bCs/>
                <w:lang w:val="en-AU"/>
              </w:rPr>
            </w:pPr>
            <w:r w:rsidRPr="00B06893">
              <w:rPr>
                <w:b/>
                <w:bCs/>
                <w:lang w:val="en-AU"/>
              </w:rPr>
              <w:t>Monovalent mRNA</w:t>
            </w:r>
            <w:r w:rsidR="00193971">
              <w:rPr>
                <w:b/>
                <w:bCs/>
                <w:lang w:val="en-AU"/>
              </w:rPr>
              <w:noBreakHyphen/>
            </w:r>
            <w:r w:rsidRPr="00B06893">
              <w:rPr>
                <w:b/>
                <w:bCs/>
                <w:lang w:val="en-AU"/>
              </w:rPr>
              <w:t>1273.815, 50 µg</w:t>
            </w:r>
            <w:r w:rsidRPr="00B06893">
              <w:rPr>
                <w:b/>
                <w:bCs/>
                <w:lang w:val="en-AU"/>
              </w:rPr>
              <w:br/>
              <w:t>(N=50)</w:t>
            </w:r>
          </w:p>
        </w:tc>
        <w:tc>
          <w:tcPr>
            <w:tcW w:w="948" w:type="pct"/>
            <w:vAlign w:val="center"/>
          </w:tcPr>
          <w:p w14:paraId="61677BB8" w14:textId="31A3517A" w:rsidR="00044E0B" w:rsidRPr="00B06893" w:rsidRDefault="00044E0B" w:rsidP="001753EE">
            <w:pPr>
              <w:pStyle w:val="Tabletext"/>
              <w:keepNext/>
              <w:rPr>
                <w:b/>
                <w:bCs/>
                <w:lang w:val="en-AU"/>
              </w:rPr>
            </w:pPr>
            <w:r w:rsidRPr="00B06893">
              <w:rPr>
                <w:b/>
                <w:bCs/>
                <w:lang w:val="en-AU"/>
              </w:rPr>
              <w:t>Monovalent mRNA</w:t>
            </w:r>
            <w:r w:rsidR="00193971">
              <w:rPr>
                <w:b/>
                <w:bCs/>
                <w:lang w:val="en-AU"/>
              </w:rPr>
              <w:noBreakHyphen/>
            </w:r>
            <w:r w:rsidRPr="00B06893">
              <w:rPr>
                <w:b/>
                <w:bCs/>
                <w:lang w:val="en-AU"/>
              </w:rPr>
              <w:t>1273.167, 50µg</w:t>
            </w:r>
            <w:r w:rsidRPr="00B06893">
              <w:rPr>
                <w:b/>
                <w:bCs/>
                <w:lang w:val="en-AU"/>
              </w:rPr>
              <w:br/>
              <w:t>(N=50)</w:t>
            </w:r>
          </w:p>
        </w:tc>
        <w:tc>
          <w:tcPr>
            <w:tcW w:w="944" w:type="pct"/>
            <w:vAlign w:val="center"/>
          </w:tcPr>
          <w:p w14:paraId="5A0239BA" w14:textId="101F81F0" w:rsidR="00044E0B" w:rsidRPr="00B06893" w:rsidRDefault="00044E0B" w:rsidP="001753EE">
            <w:pPr>
              <w:pStyle w:val="Tabletext"/>
              <w:keepNext/>
              <w:rPr>
                <w:b/>
                <w:bCs/>
                <w:lang w:val="en-AU"/>
              </w:rPr>
            </w:pPr>
            <w:r w:rsidRPr="00B06893">
              <w:rPr>
                <w:b/>
                <w:bCs/>
                <w:lang w:val="en-AU"/>
              </w:rPr>
              <w:t>Monovalent mRNA</w:t>
            </w:r>
            <w:r w:rsidR="00193971">
              <w:rPr>
                <w:b/>
                <w:bCs/>
                <w:lang w:val="en-AU"/>
              </w:rPr>
              <w:noBreakHyphen/>
            </w:r>
            <w:r w:rsidRPr="00B06893">
              <w:rPr>
                <w:b/>
                <w:bCs/>
                <w:lang w:val="en-AU"/>
              </w:rPr>
              <w:t>1273.712, 50µg</w:t>
            </w:r>
          </w:p>
          <w:p w14:paraId="226D8663" w14:textId="77777777" w:rsidR="00044E0B" w:rsidRPr="00B06893" w:rsidRDefault="00044E0B" w:rsidP="001753EE">
            <w:pPr>
              <w:pStyle w:val="Tabletext"/>
              <w:keepNext/>
              <w:rPr>
                <w:b/>
                <w:bCs/>
                <w:lang w:val="en-AU"/>
              </w:rPr>
            </w:pPr>
            <w:r w:rsidRPr="00B06893">
              <w:rPr>
                <w:b/>
                <w:bCs/>
                <w:lang w:val="en-AU"/>
              </w:rPr>
              <w:t>(N=50)</w:t>
            </w:r>
          </w:p>
        </w:tc>
      </w:tr>
      <w:tr w:rsidR="00044E0B" w:rsidRPr="00B06893" w14:paraId="658514C7" w14:textId="77777777" w:rsidTr="00D20318">
        <w:tc>
          <w:tcPr>
            <w:tcW w:w="1212" w:type="pct"/>
            <w:vAlign w:val="center"/>
          </w:tcPr>
          <w:p w14:paraId="6D9F1F53" w14:textId="77777777" w:rsidR="00044E0B" w:rsidRPr="00B06893" w:rsidRDefault="00044E0B" w:rsidP="001753EE">
            <w:pPr>
              <w:pStyle w:val="Tabletext"/>
              <w:keepNext/>
              <w:rPr>
                <w:b/>
                <w:bCs/>
                <w:lang w:val="en-AU"/>
              </w:rPr>
            </w:pPr>
            <w:r w:rsidRPr="00B06893">
              <w:rPr>
                <w:b/>
                <w:bCs/>
                <w:lang w:val="en-AU"/>
              </w:rPr>
              <w:t>Study</w:t>
            </w:r>
          </w:p>
          <w:p w14:paraId="0C81AC8A" w14:textId="62C68B5D" w:rsidR="00044E0B" w:rsidRPr="00B06893" w:rsidRDefault="00044E0B" w:rsidP="001753EE">
            <w:pPr>
              <w:pStyle w:val="Tabletext"/>
              <w:keepNext/>
              <w:rPr>
                <w:b/>
                <w:bCs/>
                <w:lang w:val="en-AU"/>
              </w:rPr>
            </w:pPr>
            <w:r w:rsidRPr="00B06893">
              <w:rPr>
                <w:b/>
                <w:bCs/>
                <w:lang w:val="en-AU"/>
              </w:rPr>
              <w:t>Follow</w:t>
            </w:r>
            <w:r w:rsidR="00193971">
              <w:rPr>
                <w:b/>
                <w:bCs/>
                <w:lang w:val="en-AU"/>
              </w:rPr>
              <w:noBreakHyphen/>
            </w:r>
            <w:r w:rsidRPr="00B06893">
              <w:rPr>
                <w:b/>
                <w:bCs/>
                <w:lang w:val="en-AU"/>
              </w:rPr>
              <w:t>up period</w:t>
            </w:r>
          </w:p>
        </w:tc>
        <w:tc>
          <w:tcPr>
            <w:tcW w:w="948" w:type="pct"/>
            <w:vAlign w:val="center"/>
          </w:tcPr>
          <w:p w14:paraId="65C4E77F" w14:textId="77777777" w:rsidR="00044E0B" w:rsidRPr="00B06893" w:rsidRDefault="00044E0B" w:rsidP="001753EE">
            <w:pPr>
              <w:pStyle w:val="Tabletext"/>
              <w:keepNext/>
              <w:rPr>
                <w:b/>
                <w:bCs/>
                <w:lang w:val="en-AU"/>
              </w:rPr>
            </w:pPr>
            <w:r w:rsidRPr="00B06893">
              <w:rPr>
                <w:b/>
                <w:bCs/>
                <w:lang w:val="en-AU"/>
              </w:rPr>
              <w:t>Study P205, Part J</w:t>
            </w:r>
          </w:p>
          <w:p w14:paraId="4DF1EA46" w14:textId="77777777" w:rsidR="00044E0B" w:rsidRPr="00B06893" w:rsidRDefault="00044E0B" w:rsidP="001753EE">
            <w:pPr>
              <w:pStyle w:val="Tabletext"/>
              <w:keepNext/>
              <w:rPr>
                <w:b/>
                <w:bCs/>
                <w:lang w:val="en-AU"/>
              </w:rPr>
            </w:pPr>
            <w:r w:rsidRPr="00B06893">
              <w:rPr>
                <w:b/>
                <w:bCs/>
                <w:lang w:val="en-AU"/>
              </w:rPr>
              <w:t>28 days</w:t>
            </w:r>
          </w:p>
        </w:tc>
        <w:tc>
          <w:tcPr>
            <w:tcW w:w="948" w:type="pct"/>
          </w:tcPr>
          <w:p w14:paraId="54B551ED" w14:textId="77777777" w:rsidR="00044E0B" w:rsidRPr="00B06893" w:rsidRDefault="00044E0B" w:rsidP="001753EE">
            <w:pPr>
              <w:pStyle w:val="Tabletext"/>
              <w:keepNext/>
              <w:rPr>
                <w:b/>
                <w:bCs/>
                <w:lang w:val="en-AU"/>
              </w:rPr>
            </w:pPr>
            <w:r w:rsidRPr="00B06893">
              <w:rPr>
                <w:b/>
                <w:bCs/>
                <w:lang w:val="en-AU"/>
              </w:rPr>
              <w:t>Study P205, Part J</w:t>
            </w:r>
          </w:p>
          <w:p w14:paraId="4B14CA69" w14:textId="77777777" w:rsidR="00044E0B" w:rsidRPr="00B06893" w:rsidRDefault="00044E0B" w:rsidP="001753EE">
            <w:pPr>
              <w:pStyle w:val="Tabletext"/>
              <w:keepNext/>
              <w:rPr>
                <w:b/>
                <w:bCs/>
                <w:lang w:val="en-AU"/>
              </w:rPr>
            </w:pPr>
            <w:r w:rsidRPr="00B06893">
              <w:rPr>
                <w:b/>
                <w:bCs/>
                <w:lang w:val="en-AU"/>
              </w:rPr>
              <w:t>181 days</w:t>
            </w:r>
          </w:p>
        </w:tc>
        <w:tc>
          <w:tcPr>
            <w:tcW w:w="948" w:type="pct"/>
            <w:vAlign w:val="center"/>
          </w:tcPr>
          <w:p w14:paraId="77A60BC3" w14:textId="77777777" w:rsidR="00044E0B" w:rsidRPr="00B06893" w:rsidRDefault="00044E0B" w:rsidP="001753EE">
            <w:pPr>
              <w:pStyle w:val="Tabletext"/>
              <w:keepNext/>
              <w:rPr>
                <w:b/>
                <w:bCs/>
                <w:lang w:val="en-AU"/>
              </w:rPr>
            </w:pPr>
            <w:r w:rsidRPr="00B06893">
              <w:rPr>
                <w:b/>
                <w:bCs/>
                <w:lang w:val="en-AU"/>
              </w:rPr>
              <w:t>Study P403, Part 1</w:t>
            </w:r>
          </w:p>
          <w:p w14:paraId="381E2E14" w14:textId="77777777" w:rsidR="00044E0B" w:rsidRPr="00B06893" w:rsidRDefault="00044E0B" w:rsidP="001753EE">
            <w:pPr>
              <w:pStyle w:val="Tabletext"/>
              <w:keepNext/>
              <w:rPr>
                <w:b/>
                <w:bCs/>
                <w:lang w:val="en-AU"/>
              </w:rPr>
            </w:pPr>
            <w:r w:rsidRPr="00B06893">
              <w:rPr>
                <w:b/>
                <w:bCs/>
                <w:lang w:val="en-AU"/>
              </w:rPr>
              <w:t>28 days</w:t>
            </w:r>
          </w:p>
        </w:tc>
        <w:tc>
          <w:tcPr>
            <w:tcW w:w="944" w:type="pct"/>
            <w:vAlign w:val="center"/>
          </w:tcPr>
          <w:p w14:paraId="78DA8104" w14:textId="77777777" w:rsidR="00044E0B" w:rsidRPr="00B06893" w:rsidRDefault="00044E0B" w:rsidP="001753EE">
            <w:pPr>
              <w:pStyle w:val="Tabletext"/>
              <w:keepNext/>
              <w:rPr>
                <w:b/>
                <w:bCs/>
                <w:lang w:val="en-AU"/>
              </w:rPr>
            </w:pPr>
            <w:r w:rsidRPr="00B06893">
              <w:rPr>
                <w:b/>
                <w:bCs/>
                <w:lang w:val="en-AU"/>
              </w:rPr>
              <w:t>Study P403, Part 2</w:t>
            </w:r>
          </w:p>
          <w:p w14:paraId="719468CA" w14:textId="77777777" w:rsidR="00044E0B" w:rsidRPr="00B06893" w:rsidRDefault="00044E0B" w:rsidP="001753EE">
            <w:pPr>
              <w:pStyle w:val="Tabletext"/>
              <w:keepNext/>
              <w:rPr>
                <w:b/>
                <w:bCs/>
                <w:lang w:val="en-AU"/>
              </w:rPr>
            </w:pPr>
            <w:r w:rsidRPr="00B06893">
              <w:rPr>
                <w:b/>
                <w:bCs/>
                <w:lang w:val="en-AU"/>
              </w:rPr>
              <w:t>28 days</w:t>
            </w:r>
          </w:p>
        </w:tc>
      </w:tr>
      <w:tr w:rsidR="00044E0B" w:rsidRPr="00B06893" w14:paraId="0E719F43" w14:textId="77777777" w:rsidTr="00D20318">
        <w:tc>
          <w:tcPr>
            <w:tcW w:w="1212" w:type="pct"/>
            <w:vAlign w:val="center"/>
          </w:tcPr>
          <w:p w14:paraId="3D7AF8D3" w14:textId="77777777" w:rsidR="00044E0B" w:rsidRPr="00B06893" w:rsidRDefault="00044E0B" w:rsidP="001753EE">
            <w:pPr>
              <w:pStyle w:val="Tabletext"/>
              <w:keepNext/>
              <w:rPr>
                <w:lang w:val="en-AU"/>
              </w:rPr>
            </w:pPr>
            <w:r w:rsidRPr="00B06893">
              <w:rPr>
                <w:lang w:val="en-AU"/>
              </w:rPr>
              <w:t>Relevant variant</w:t>
            </w:r>
          </w:p>
        </w:tc>
        <w:tc>
          <w:tcPr>
            <w:tcW w:w="1896" w:type="pct"/>
            <w:gridSpan w:val="2"/>
            <w:vAlign w:val="center"/>
          </w:tcPr>
          <w:p w14:paraId="31A88B06" w14:textId="77777777" w:rsidR="00044E0B" w:rsidRPr="00B06893" w:rsidRDefault="00044E0B" w:rsidP="001753EE">
            <w:pPr>
              <w:pStyle w:val="Tabletext"/>
              <w:keepNext/>
              <w:rPr>
                <w:lang w:val="en-AU"/>
              </w:rPr>
            </w:pPr>
            <w:r w:rsidRPr="00B06893">
              <w:rPr>
                <w:lang w:val="en-AU"/>
              </w:rPr>
              <w:t>XBB.1.5</w:t>
            </w:r>
          </w:p>
        </w:tc>
        <w:tc>
          <w:tcPr>
            <w:tcW w:w="948" w:type="pct"/>
            <w:vAlign w:val="center"/>
          </w:tcPr>
          <w:p w14:paraId="29EA2CE3" w14:textId="77777777" w:rsidR="00044E0B" w:rsidRPr="00B06893" w:rsidRDefault="00044E0B" w:rsidP="001753EE">
            <w:pPr>
              <w:pStyle w:val="Tabletext"/>
              <w:keepNext/>
              <w:rPr>
                <w:lang w:val="en-AU"/>
              </w:rPr>
            </w:pPr>
            <w:r w:rsidRPr="00B06893">
              <w:rPr>
                <w:lang w:val="en-AU"/>
              </w:rPr>
              <w:t>JN.1</w:t>
            </w:r>
          </w:p>
        </w:tc>
        <w:tc>
          <w:tcPr>
            <w:tcW w:w="944" w:type="pct"/>
            <w:vAlign w:val="center"/>
          </w:tcPr>
          <w:p w14:paraId="17C8D3CA" w14:textId="77777777" w:rsidR="00044E0B" w:rsidRPr="00B06893" w:rsidRDefault="00044E0B" w:rsidP="001753EE">
            <w:pPr>
              <w:pStyle w:val="Tabletext"/>
              <w:keepNext/>
              <w:rPr>
                <w:lang w:val="en-AU"/>
              </w:rPr>
            </w:pPr>
            <w:r w:rsidRPr="00B06893">
              <w:rPr>
                <w:lang w:val="en-AU"/>
              </w:rPr>
              <w:t>KP.2</w:t>
            </w:r>
          </w:p>
        </w:tc>
      </w:tr>
      <w:tr w:rsidR="00044E0B" w:rsidRPr="00B06893" w14:paraId="2F012D7C" w14:textId="77777777" w:rsidTr="00D20318">
        <w:trPr>
          <w:trHeight w:val="197"/>
        </w:trPr>
        <w:tc>
          <w:tcPr>
            <w:tcW w:w="5000" w:type="pct"/>
            <w:gridSpan w:val="5"/>
          </w:tcPr>
          <w:p w14:paraId="37F78DA1" w14:textId="77777777" w:rsidR="00044E0B" w:rsidRPr="00B06893" w:rsidRDefault="00044E0B" w:rsidP="001753EE">
            <w:pPr>
              <w:pStyle w:val="Tabletext"/>
              <w:keepNext/>
              <w:rPr>
                <w:b/>
                <w:bCs/>
                <w:lang w:val="en-AU"/>
              </w:rPr>
            </w:pPr>
            <w:r w:rsidRPr="00B06893">
              <w:rPr>
                <w:b/>
                <w:bCs/>
                <w:lang w:val="en-AU"/>
              </w:rPr>
              <w:t>Unsolicited AEs Regardless of Relationship to Study Vaccination</w:t>
            </w:r>
          </w:p>
        </w:tc>
      </w:tr>
      <w:tr w:rsidR="00435DA8" w:rsidRPr="00B06893" w14:paraId="33867321" w14:textId="77777777" w:rsidTr="00D20318">
        <w:tc>
          <w:tcPr>
            <w:tcW w:w="1212" w:type="pct"/>
            <w:vAlign w:val="center"/>
          </w:tcPr>
          <w:p w14:paraId="5B3AB946" w14:textId="77777777" w:rsidR="00435DA8" w:rsidRPr="00B06893" w:rsidRDefault="00435DA8" w:rsidP="001753EE">
            <w:pPr>
              <w:pStyle w:val="Tabletext"/>
              <w:keepNext/>
              <w:rPr>
                <w:lang w:val="en-AU"/>
              </w:rPr>
            </w:pPr>
            <w:r w:rsidRPr="00B06893">
              <w:rPr>
                <w:lang w:val="en-AU"/>
              </w:rPr>
              <w:t>All</w:t>
            </w:r>
          </w:p>
        </w:tc>
        <w:tc>
          <w:tcPr>
            <w:tcW w:w="948" w:type="pct"/>
            <w:vAlign w:val="center"/>
          </w:tcPr>
          <w:p w14:paraId="76E29A5A" w14:textId="6F18B907" w:rsidR="00435DA8" w:rsidRPr="00B06893" w:rsidRDefault="00435DA8" w:rsidP="001753EE">
            <w:pPr>
              <w:pStyle w:val="Tabletext"/>
              <w:keepNext/>
              <w:rPr>
                <w:lang w:val="en-AU"/>
              </w:rPr>
            </w:pPr>
            <w:r w:rsidRPr="00B06893">
              <w:rPr>
                <w:lang w:val="en-AU"/>
              </w:rPr>
              <w:t>6 (12.0)</w:t>
            </w:r>
          </w:p>
        </w:tc>
        <w:tc>
          <w:tcPr>
            <w:tcW w:w="948" w:type="pct"/>
          </w:tcPr>
          <w:p w14:paraId="6E486C6C" w14:textId="6080B0FF" w:rsidR="00435DA8" w:rsidRPr="00B06893" w:rsidRDefault="00435DA8" w:rsidP="001753EE">
            <w:pPr>
              <w:pStyle w:val="Tabletext"/>
              <w:keepNext/>
              <w:rPr>
                <w:lang w:val="en-AU"/>
              </w:rPr>
            </w:pPr>
            <w:r w:rsidRPr="00B06893">
              <w:rPr>
                <w:lang w:val="en-AU"/>
              </w:rPr>
              <w:t>24 (48.0)</w:t>
            </w:r>
          </w:p>
        </w:tc>
        <w:tc>
          <w:tcPr>
            <w:tcW w:w="948" w:type="pct"/>
            <w:vAlign w:val="center"/>
          </w:tcPr>
          <w:p w14:paraId="6B7463A4" w14:textId="2AE5F8E3" w:rsidR="00435DA8" w:rsidRPr="00B06893" w:rsidRDefault="00435DA8" w:rsidP="001753EE">
            <w:pPr>
              <w:pStyle w:val="Tabletext"/>
              <w:keepNext/>
              <w:rPr>
                <w:lang w:val="en-AU"/>
              </w:rPr>
            </w:pPr>
            <w:r w:rsidRPr="00B06893">
              <w:rPr>
                <w:lang w:val="en-AU"/>
              </w:rPr>
              <w:t>1 (2.0)</w:t>
            </w:r>
          </w:p>
        </w:tc>
        <w:tc>
          <w:tcPr>
            <w:tcW w:w="944" w:type="pct"/>
          </w:tcPr>
          <w:p w14:paraId="6B1F86E2" w14:textId="6BC9C1E4" w:rsidR="00435DA8" w:rsidRPr="00B06893" w:rsidRDefault="00435DA8" w:rsidP="001753EE">
            <w:pPr>
              <w:pStyle w:val="Tabletext"/>
              <w:keepNext/>
              <w:rPr>
                <w:lang w:val="en-AU"/>
              </w:rPr>
            </w:pPr>
            <w:r w:rsidRPr="00B06893">
              <w:rPr>
                <w:lang w:val="en-AU"/>
              </w:rPr>
              <w:t>0 (0.0)</w:t>
            </w:r>
          </w:p>
        </w:tc>
      </w:tr>
      <w:tr w:rsidR="00435DA8" w:rsidRPr="00B06893" w14:paraId="4FA62ADF" w14:textId="77777777" w:rsidTr="00D20318">
        <w:tc>
          <w:tcPr>
            <w:tcW w:w="1212" w:type="pct"/>
            <w:vAlign w:val="center"/>
          </w:tcPr>
          <w:p w14:paraId="47FB8989" w14:textId="77777777" w:rsidR="00435DA8" w:rsidRPr="00B06893" w:rsidRDefault="00435DA8" w:rsidP="001753EE">
            <w:pPr>
              <w:pStyle w:val="Tabletext"/>
              <w:keepNext/>
              <w:rPr>
                <w:lang w:val="en-AU"/>
              </w:rPr>
            </w:pPr>
            <w:r w:rsidRPr="00B06893">
              <w:rPr>
                <w:lang w:val="en-AU"/>
              </w:rPr>
              <w:t>Serious</w:t>
            </w:r>
          </w:p>
        </w:tc>
        <w:tc>
          <w:tcPr>
            <w:tcW w:w="948" w:type="pct"/>
          </w:tcPr>
          <w:p w14:paraId="17D830BA" w14:textId="0B9369A0" w:rsidR="00435DA8" w:rsidRPr="00B06893" w:rsidRDefault="00435DA8" w:rsidP="001753EE">
            <w:pPr>
              <w:pStyle w:val="Tabletext"/>
              <w:keepNext/>
              <w:rPr>
                <w:lang w:val="en-AU"/>
              </w:rPr>
            </w:pPr>
            <w:r w:rsidRPr="00B06893">
              <w:rPr>
                <w:lang w:val="en-AU"/>
              </w:rPr>
              <w:t>0 (0.0)</w:t>
            </w:r>
          </w:p>
        </w:tc>
        <w:tc>
          <w:tcPr>
            <w:tcW w:w="948" w:type="pct"/>
          </w:tcPr>
          <w:p w14:paraId="5BD20EE2" w14:textId="28A3C37A" w:rsidR="00435DA8" w:rsidRPr="00B06893" w:rsidRDefault="00435DA8" w:rsidP="001753EE">
            <w:pPr>
              <w:pStyle w:val="Tabletext"/>
              <w:keepNext/>
              <w:rPr>
                <w:lang w:val="en-AU"/>
              </w:rPr>
            </w:pPr>
            <w:r w:rsidRPr="00B06893">
              <w:rPr>
                <w:lang w:val="en-AU"/>
              </w:rPr>
              <w:t>2 (4.0)</w:t>
            </w:r>
          </w:p>
        </w:tc>
        <w:tc>
          <w:tcPr>
            <w:tcW w:w="948" w:type="pct"/>
          </w:tcPr>
          <w:p w14:paraId="2491E09A" w14:textId="7D591D40" w:rsidR="00435DA8" w:rsidRPr="00B06893" w:rsidRDefault="00435DA8" w:rsidP="001753EE">
            <w:pPr>
              <w:pStyle w:val="Tabletext"/>
              <w:keepNext/>
              <w:rPr>
                <w:lang w:val="en-AU"/>
              </w:rPr>
            </w:pPr>
            <w:r w:rsidRPr="00B06893">
              <w:rPr>
                <w:lang w:val="en-AU"/>
              </w:rPr>
              <w:t>0 (0.0)</w:t>
            </w:r>
          </w:p>
        </w:tc>
        <w:tc>
          <w:tcPr>
            <w:tcW w:w="944" w:type="pct"/>
          </w:tcPr>
          <w:p w14:paraId="0B622806" w14:textId="23D062E4" w:rsidR="00435DA8" w:rsidRPr="00B06893" w:rsidRDefault="00435DA8" w:rsidP="001753EE">
            <w:pPr>
              <w:pStyle w:val="Tabletext"/>
              <w:keepNext/>
              <w:rPr>
                <w:lang w:val="en-AU"/>
              </w:rPr>
            </w:pPr>
            <w:r w:rsidRPr="00B06893">
              <w:rPr>
                <w:lang w:val="en-AU"/>
              </w:rPr>
              <w:t>0 (0.0)</w:t>
            </w:r>
          </w:p>
        </w:tc>
      </w:tr>
      <w:tr w:rsidR="00435DA8" w:rsidRPr="00B06893" w14:paraId="6DA524B9" w14:textId="77777777" w:rsidTr="00D20318">
        <w:tc>
          <w:tcPr>
            <w:tcW w:w="1212" w:type="pct"/>
            <w:vAlign w:val="center"/>
          </w:tcPr>
          <w:p w14:paraId="34C78BCC" w14:textId="46770571" w:rsidR="00435DA8" w:rsidRPr="00B06893" w:rsidRDefault="00435DA8" w:rsidP="001753EE">
            <w:pPr>
              <w:pStyle w:val="Tabletext"/>
              <w:keepNext/>
              <w:rPr>
                <w:lang w:val="en-AU"/>
              </w:rPr>
            </w:pPr>
            <w:r w:rsidRPr="00B06893">
              <w:rPr>
                <w:lang w:val="en-AU"/>
              </w:rPr>
              <w:t>Medically</w:t>
            </w:r>
            <w:r w:rsidR="00193971">
              <w:rPr>
                <w:lang w:val="en-AU"/>
              </w:rPr>
              <w:noBreakHyphen/>
            </w:r>
            <w:r w:rsidRPr="00B06893">
              <w:rPr>
                <w:lang w:val="en-AU"/>
              </w:rPr>
              <w:t>Attended</w:t>
            </w:r>
          </w:p>
        </w:tc>
        <w:tc>
          <w:tcPr>
            <w:tcW w:w="948" w:type="pct"/>
            <w:vAlign w:val="center"/>
          </w:tcPr>
          <w:p w14:paraId="664AE254" w14:textId="08AA903D" w:rsidR="00435DA8" w:rsidRPr="00B06893" w:rsidRDefault="00435DA8" w:rsidP="001753EE">
            <w:pPr>
              <w:pStyle w:val="Tabletext"/>
              <w:keepNext/>
              <w:rPr>
                <w:lang w:val="en-AU"/>
              </w:rPr>
            </w:pPr>
            <w:r w:rsidRPr="00B06893">
              <w:rPr>
                <w:lang w:val="en-AU"/>
              </w:rPr>
              <w:t>5 (10.0)</w:t>
            </w:r>
          </w:p>
        </w:tc>
        <w:tc>
          <w:tcPr>
            <w:tcW w:w="948" w:type="pct"/>
          </w:tcPr>
          <w:p w14:paraId="61D9ACD2" w14:textId="2FDC37FB" w:rsidR="00435DA8" w:rsidRPr="00B06893" w:rsidRDefault="00435DA8" w:rsidP="001753EE">
            <w:pPr>
              <w:pStyle w:val="Tabletext"/>
              <w:keepNext/>
              <w:rPr>
                <w:lang w:val="en-AU"/>
              </w:rPr>
            </w:pPr>
            <w:r w:rsidRPr="00B06893">
              <w:rPr>
                <w:lang w:val="en-AU"/>
              </w:rPr>
              <w:t>24 (48.0)</w:t>
            </w:r>
          </w:p>
        </w:tc>
        <w:tc>
          <w:tcPr>
            <w:tcW w:w="948" w:type="pct"/>
            <w:vAlign w:val="center"/>
          </w:tcPr>
          <w:p w14:paraId="76C7DB3D" w14:textId="4784F0BA" w:rsidR="00435DA8" w:rsidRPr="00B06893" w:rsidRDefault="00435DA8" w:rsidP="001753EE">
            <w:pPr>
              <w:pStyle w:val="Tabletext"/>
              <w:keepNext/>
              <w:rPr>
                <w:lang w:val="en-AU"/>
              </w:rPr>
            </w:pPr>
            <w:r w:rsidRPr="00B06893">
              <w:rPr>
                <w:lang w:val="en-AU"/>
              </w:rPr>
              <w:t>1 (2.0%)</w:t>
            </w:r>
          </w:p>
        </w:tc>
        <w:tc>
          <w:tcPr>
            <w:tcW w:w="944" w:type="pct"/>
          </w:tcPr>
          <w:p w14:paraId="6C32A307" w14:textId="0A7BE614" w:rsidR="00435DA8" w:rsidRPr="00B06893" w:rsidRDefault="00435DA8" w:rsidP="001753EE">
            <w:pPr>
              <w:pStyle w:val="Tabletext"/>
              <w:keepNext/>
              <w:rPr>
                <w:lang w:val="en-AU"/>
              </w:rPr>
            </w:pPr>
            <w:r w:rsidRPr="00B06893">
              <w:rPr>
                <w:lang w:val="en-AU"/>
              </w:rPr>
              <w:t>0 (0.0)</w:t>
            </w:r>
          </w:p>
        </w:tc>
      </w:tr>
      <w:tr w:rsidR="00435DA8" w:rsidRPr="00B06893" w14:paraId="5501806E" w14:textId="77777777" w:rsidTr="00D20318">
        <w:tc>
          <w:tcPr>
            <w:tcW w:w="1212" w:type="pct"/>
            <w:vAlign w:val="center"/>
          </w:tcPr>
          <w:p w14:paraId="737EBDAC" w14:textId="77777777" w:rsidR="00435DA8" w:rsidRPr="00B06893" w:rsidRDefault="00435DA8" w:rsidP="001753EE">
            <w:pPr>
              <w:pStyle w:val="Tabletext"/>
              <w:keepNext/>
              <w:rPr>
                <w:lang w:val="en-AU"/>
              </w:rPr>
            </w:pPr>
            <w:r w:rsidRPr="00B06893">
              <w:rPr>
                <w:lang w:val="en-AU"/>
              </w:rPr>
              <w:t xml:space="preserve">Severe </w:t>
            </w:r>
          </w:p>
        </w:tc>
        <w:tc>
          <w:tcPr>
            <w:tcW w:w="948" w:type="pct"/>
            <w:vAlign w:val="center"/>
          </w:tcPr>
          <w:p w14:paraId="603F620C" w14:textId="59AA6051" w:rsidR="00435DA8" w:rsidRPr="00B06893" w:rsidRDefault="00435DA8" w:rsidP="001753EE">
            <w:pPr>
              <w:pStyle w:val="Tabletext"/>
              <w:keepNext/>
              <w:rPr>
                <w:lang w:val="en-AU"/>
              </w:rPr>
            </w:pPr>
            <w:r w:rsidRPr="00B06893">
              <w:rPr>
                <w:lang w:val="en-AU"/>
              </w:rPr>
              <w:t>0 (0.0)</w:t>
            </w:r>
          </w:p>
        </w:tc>
        <w:tc>
          <w:tcPr>
            <w:tcW w:w="948" w:type="pct"/>
          </w:tcPr>
          <w:p w14:paraId="7AA15C38" w14:textId="63E230CD" w:rsidR="00435DA8" w:rsidRPr="00B06893" w:rsidRDefault="00435DA8" w:rsidP="001753EE">
            <w:pPr>
              <w:pStyle w:val="Tabletext"/>
              <w:keepNext/>
              <w:rPr>
                <w:lang w:val="en-AU"/>
              </w:rPr>
            </w:pPr>
            <w:r w:rsidRPr="00B06893">
              <w:rPr>
                <w:lang w:val="en-AU"/>
              </w:rPr>
              <w:t>2 (4.0)</w:t>
            </w:r>
          </w:p>
        </w:tc>
        <w:tc>
          <w:tcPr>
            <w:tcW w:w="948" w:type="pct"/>
            <w:vAlign w:val="center"/>
          </w:tcPr>
          <w:p w14:paraId="1B5BC5D5" w14:textId="7F2B5B75" w:rsidR="00435DA8" w:rsidRPr="00B06893" w:rsidRDefault="00435DA8" w:rsidP="001753EE">
            <w:pPr>
              <w:pStyle w:val="Tabletext"/>
              <w:keepNext/>
              <w:rPr>
                <w:lang w:val="en-AU"/>
              </w:rPr>
            </w:pPr>
            <w:r w:rsidRPr="00B06893">
              <w:rPr>
                <w:iCs/>
                <w:lang w:val="en-AU"/>
              </w:rPr>
              <w:t>NR</w:t>
            </w:r>
          </w:p>
        </w:tc>
        <w:tc>
          <w:tcPr>
            <w:tcW w:w="944" w:type="pct"/>
          </w:tcPr>
          <w:p w14:paraId="2AC14F07" w14:textId="1198339F" w:rsidR="00435DA8" w:rsidRPr="00B06893" w:rsidRDefault="00435DA8" w:rsidP="001753EE">
            <w:pPr>
              <w:pStyle w:val="Tabletext"/>
              <w:keepNext/>
              <w:rPr>
                <w:lang w:val="en-AU"/>
              </w:rPr>
            </w:pPr>
            <w:r w:rsidRPr="00B06893">
              <w:rPr>
                <w:lang w:val="en-AU"/>
              </w:rPr>
              <w:t>0 (0.0)</w:t>
            </w:r>
          </w:p>
        </w:tc>
      </w:tr>
      <w:tr w:rsidR="00044E0B" w:rsidRPr="00B06893" w14:paraId="2AD9973B" w14:textId="77777777" w:rsidTr="00D20318">
        <w:tc>
          <w:tcPr>
            <w:tcW w:w="5000" w:type="pct"/>
            <w:gridSpan w:val="5"/>
          </w:tcPr>
          <w:p w14:paraId="35A8E157" w14:textId="77777777" w:rsidR="00044E0B" w:rsidRPr="00B06893" w:rsidRDefault="00044E0B" w:rsidP="001753EE">
            <w:pPr>
              <w:pStyle w:val="Tabletext"/>
              <w:keepNext/>
              <w:rPr>
                <w:b/>
                <w:bCs/>
                <w:lang w:val="en-AU"/>
              </w:rPr>
            </w:pPr>
            <w:r w:rsidRPr="00B06893">
              <w:rPr>
                <w:b/>
                <w:bCs/>
                <w:lang w:val="en-AU"/>
              </w:rPr>
              <w:t>Unsolicited AEs Related to Study Vaccination</w:t>
            </w:r>
          </w:p>
        </w:tc>
      </w:tr>
      <w:tr w:rsidR="00435DA8" w:rsidRPr="00B06893" w14:paraId="444AA0DC" w14:textId="77777777" w:rsidTr="00D20318">
        <w:tc>
          <w:tcPr>
            <w:tcW w:w="1212" w:type="pct"/>
            <w:vAlign w:val="center"/>
          </w:tcPr>
          <w:p w14:paraId="788B76FD" w14:textId="77777777" w:rsidR="00435DA8" w:rsidRPr="00B06893" w:rsidRDefault="00435DA8" w:rsidP="001753EE">
            <w:pPr>
              <w:pStyle w:val="Tabletext"/>
              <w:keepNext/>
              <w:rPr>
                <w:lang w:val="en-AU"/>
              </w:rPr>
            </w:pPr>
            <w:r w:rsidRPr="00B06893">
              <w:rPr>
                <w:lang w:val="en-AU"/>
              </w:rPr>
              <w:t>All</w:t>
            </w:r>
          </w:p>
        </w:tc>
        <w:tc>
          <w:tcPr>
            <w:tcW w:w="948" w:type="pct"/>
            <w:vAlign w:val="center"/>
          </w:tcPr>
          <w:p w14:paraId="1960CFD5" w14:textId="5CEA7ED2" w:rsidR="00435DA8" w:rsidRPr="00B06893" w:rsidRDefault="00435DA8" w:rsidP="001753EE">
            <w:pPr>
              <w:pStyle w:val="Tabletext"/>
              <w:keepNext/>
              <w:rPr>
                <w:lang w:val="en-AU"/>
              </w:rPr>
            </w:pPr>
            <w:r w:rsidRPr="00B06893">
              <w:rPr>
                <w:lang w:val="en-AU"/>
              </w:rPr>
              <w:t>1 (2.0)</w:t>
            </w:r>
          </w:p>
        </w:tc>
        <w:tc>
          <w:tcPr>
            <w:tcW w:w="948" w:type="pct"/>
          </w:tcPr>
          <w:p w14:paraId="3211E50A" w14:textId="26AAD6EF" w:rsidR="00435DA8" w:rsidRPr="00B06893" w:rsidRDefault="00435DA8" w:rsidP="001753EE">
            <w:pPr>
              <w:pStyle w:val="Tabletext"/>
              <w:keepNext/>
              <w:rPr>
                <w:lang w:val="en-AU"/>
              </w:rPr>
            </w:pPr>
            <w:r w:rsidRPr="00B06893">
              <w:rPr>
                <w:lang w:val="en-AU"/>
              </w:rPr>
              <w:t>0 (0.0)</w:t>
            </w:r>
          </w:p>
        </w:tc>
        <w:tc>
          <w:tcPr>
            <w:tcW w:w="948" w:type="pct"/>
          </w:tcPr>
          <w:p w14:paraId="738C6F1F" w14:textId="583375D4" w:rsidR="00435DA8" w:rsidRPr="00B06893" w:rsidRDefault="00435DA8" w:rsidP="001753EE">
            <w:pPr>
              <w:pStyle w:val="Tabletext"/>
              <w:keepNext/>
              <w:rPr>
                <w:lang w:val="en-AU"/>
              </w:rPr>
            </w:pPr>
            <w:r w:rsidRPr="00B06893">
              <w:rPr>
                <w:lang w:val="en-AU"/>
              </w:rPr>
              <w:t>0 (0.0)</w:t>
            </w:r>
          </w:p>
        </w:tc>
        <w:tc>
          <w:tcPr>
            <w:tcW w:w="944" w:type="pct"/>
          </w:tcPr>
          <w:p w14:paraId="6D8FE4D5" w14:textId="25DAD7FD" w:rsidR="00435DA8" w:rsidRPr="00B06893" w:rsidRDefault="00435DA8" w:rsidP="001753EE">
            <w:pPr>
              <w:pStyle w:val="Tabletext"/>
              <w:keepNext/>
              <w:rPr>
                <w:lang w:val="en-AU"/>
              </w:rPr>
            </w:pPr>
            <w:r w:rsidRPr="00B06893">
              <w:rPr>
                <w:lang w:val="en-AU"/>
              </w:rPr>
              <w:t>0 (0.0)</w:t>
            </w:r>
          </w:p>
        </w:tc>
      </w:tr>
      <w:tr w:rsidR="00435DA8" w:rsidRPr="00B06893" w14:paraId="005C5161" w14:textId="77777777" w:rsidTr="00D20318">
        <w:tc>
          <w:tcPr>
            <w:tcW w:w="1212" w:type="pct"/>
            <w:vAlign w:val="center"/>
          </w:tcPr>
          <w:p w14:paraId="7E09FDE5" w14:textId="77777777" w:rsidR="00435DA8" w:rsidRPr="00B06893" w:rsidRDefault="00435DA8" w:rsidP="001753EE">
            <w:pPr>
              <w:pStyle w:val="Tabletext"/>
              <w:keepNext/>
              <w:rPr>
                <w:lang w:val="en-AU"/>
              </w:rPr>
            </w:pPr>
            <w:r w:rsidRPr="00B06893">
              <w:rPr>
                <w:lang w:val="en-AU"/>
              </w:rPr>
              <w:t>Serious</w:t>
            </w:r>
          </w:p>
        </w:tc>
        <w:tc>
          <w:tcPr>
            <w:tcW w:w="948" w:type="pct"/>
          </w:tcPr>
          <w:p w14:paraId="605E428F" w14:textId="370929B5" w:rsidR="00435DA8" w:rsidRPr="00B06893" w:rsidRDefault="00435DA8" w:rsidP="001753EE">
            <w:pPr>
              <w:pStyle w:val="Tabletext"/>
              <w:keepNext/>
              <w:rPr>
                <w:lang w:val="en-AU"/>
              </w:rPr>
            </w:pPr>
            <w:r w:rsidRPr="00B06893">
              <w:rPr>
                <w:lang w:val="en-AU"/>
              </w:rPr>
              <w:t>0 (0.0)</w:t>
            </w:r>
          </w:p>
        </w:tc>
        <w:tc>
          <w:tcPr>
            <w:tcW w:w="948" w:type="pct"/>
          </w:tcPr>
          <w:p w14:paraId="1B2C5845" w14:textId="7931D216" w:rsidR="00435DA8" w:rsidRPr="00B06893" w:rsidRDefault="00435DA8" w:rsidP="001753EE">
            <w:pPr>
              <w:pStyle w:val="Tabletext"/>
              <w:keepNext/>
              <w:rPr>
                <w:lang w:val="en-AU"/>
              </w:rPr>
            </w:pPr>
            <w:r w:rsidRPr="00B06893">
              <w:rPr>
                <w:lang w:val="en-AU"/>
              </w:rPr>
              <w:t>0 (0.0)</w:t>
            </w:r>
          </w:p>
        </w:tc>
        <w:tc>
          <w:tcPr>
            <w:tcW w:w="948" w:type="pct"/>
          </w:tcPr>
          <w:p w14:paraId="0F430D43" w14:textId="75BB3896" w:rsidR="00435DA8" w:rsidRPr="00B06893" w:rsidRDefault="00435DA8" w:rsidP="001753EE">
            <w:pPr>
              <w:pStyle w:val="Tabletext"/>
              <w:keepNext/>
              <w:rPr>
                <w:lang w:val="en-AU"/>
              </w:rPr>
            </w:pPr>
            <w:r w:rsidRPr="00B06893">
              <w:rPr>
                <w:lang w:val="en-AU"/>
              </w:rPr>
              <w:t>0 (0.0)</w:t>
            </w:r>
          </w:p>
        </w:tc>
        <w:tc>
          <w:tcPr>
            <w:tcW w:w="944" w:type="pct"/>
          </w:tcPr>
          <w:p w14:paraId="1A606DAD" w14:textId="294D418E" w:rsidR="00435DA8" w:rsidRPr="00B06893" w:rsidRDefault="00435DA8" w:rsidP="001753EE">
            <w:pPr>
              <w:pStyle w:val="Tabletext"/>
              <w:keepNext/>
              <w:rPr>
                <w:lang w:val="en-AU"/>
              </w:rPr>
            </w:pPr>
            <w:r w:rsidRPr="00B06893">
              <w:rPr>
                <w:lang w:val="en-AU"/>
              </w:rPr>
              <w:t>0 (0.0)</w:t>
            </w:r>
          </w:p>
        </w:tc>
      </w:tr>
      <w:tr w:rsidR="00435DA8" w:rsidRPr="00B06893" w14:paraId="5DC829F0" w14:textId="77777777" w:rsidTr="00D20318">
        <w:tc>
          <w:tcPr>
            <w:tcW w:w="1212" w:type="pct"/>
            <w:vAlign w:val="center"/>
          </w:tcPr>
          <w:p w14:paraId="70AAAD4F" w14:textId="4E364D1A" w:rsidR="00435DA8" w:rsidRPr="00B06893" w:rsidRDefault="00435DA8" w:rsidP="001753EE">
            <w:pPr>
              <w:pStyle w:val="Tabletext"/>
              <w:keepNext/>
              <w:rPr>
                <w:lang w:val="en-AU"/>
              </w:rPr>
            </w:pPr>
            <w:r w:rsidRPr="00B06893">
              <w:rPr>
                <w:lang w:val="en-AU"/>
              </w:rPr>
              <w:t>Medically</w:t>
            </w:r>
            <w:r w:rsidR="00193971">
              <w:rPr>
                <w:lang w:val="en-AU"/>
              </w:rPr>
              <w:noBreakHyphen/>
            </w:r>
            <w:r w:rsidRPr="00B06893">
              <w:rPr>
                <w:lang w:val="en-AU"/>
              </w:rPr>
              <w:t>Attended</w:t>
            </w:r>
          </w:p>
        </w:tc>
        <w:tc>
          <w:tcPr>
            <w:tcW w:w="948" w:type="pct"/>
            <w:vAlign w:val="center"/>
          </w:tcPr>
          <w:p w14:paraId="5EC79CF2" w14:textId="7CAF5189" w:rsidR="00435DA8" w:rsidRPr="00B06893" w:rsidRDefault="00435DA8" w:rsidP="001753EE">
            <w:pPr>
              <w:pStyle w:val="Tabletext"/>
              <w:keepNext/>
              <w:rPr>
                <w:lang w:val="en-AU"/>
              </w:rPr>
            </w:pPr>
            <w:r w:rsidRPr="00B06893">
              <w:rPr>
                <w:lang w:val="en-AU"/>
              </w:rPr>
              <w:t>1 (2.0)</w:t>
            </w:r>
          </w:p>
        </w:tc>
        <w:tc>
          <w:tcPr>
            <w:tcW w:w="948" w:type="pct"/>
          </w:tcPr>
          <w:p w14:paraId="2ADCD1B2" w14:textId="312EC50A" w:rsidR="00435DA8" w:rsidRPr="00B06893" w:rsidRDefault="00435DA8" w:rsidP="001753EE">
            <w:pPr>
              <w:pStyle w:val="Tabletext"/>
              <w:keepNext/>
              <w:rPr>
                <w:lang w:val="en-AU"/>
              </w:rPr>
            </w:pPr>
            <w:r w:rsidRPr="00B06893">
              <w:rPr>
                <w:lang w:val="en-AU"/>
              </w:rPr>
              <w:t>0 (0.0)</w:t>
            </w:r>
          </w:p>
        </w:tc>
        <w:tc>
          <w:tcPr>
            <w:tcW w:w="948" w:type="pct"/>
            <w:vAlign w:val="center"/>
          </w:tcPr>
          <w:p w14:paraId="74657513" w14:textId="2EC68BE0" w:rsidR="00435DA8" w:rsidRPr="00B06893" w:rsidRDefault="00435DA8" w:rsidP="001753EE">
            <w:pPr>
              <w:pStyle w:val="Tabletext"/>
              <w:keepNext/>
              <w:rPr>
                <w:lang w:val="en-AU"/>
              </w:rPr>
            </w:pPr>
            <w:r w:rsidRPr="00B06893">
              <w:rPr>
                <w:iCs/>
                <w:lang w:val="en-AU"/>
              </w:rPr>
              <w:t>NR</w:t>
            </w:r>
          </w:p>
        </w:tc>
        <w:tc>
          <w:tcPr>
            <w:tcW w:w="944" w:type="pct"/>
          </w:tcPr>
          <w:p w14:paraId="73494AD1" w14:textId="5F427516" w:rsidR="00435DA8" w:rsidRPr="00B06893" w:rsidRDefault="00435DA8" w:rsidP="001753EE">
            <w:pPr>
              <w:pStyle w:val="Tabletext"/>
              <w:keepNext/>
              <w:rPr>
                <w:lang w:val="en-AU"/>
              </w:rPr>
            </w:pPr>
            <w:r w:rsidRPr="00B06893">
              <w:rPr>
                <w:lang w:val="en-AU"/>
              </w:rPr>
              <w:t>0 (0.0)</w:t>
            </w:r>
          </w:p>
        </w:tc>
      </w:tr>
      <w:tr w:rsidR="00435DA8" w:rsidRPr="00B06893" w14:paraId="45401D5E" w14:textId="77777777" w:rsidTr="00D20318">
        <w:tc>
          <w:tcPr>
            <w:tcW w:w="1212" w:type="pct"/>
            <w:vAlign w:val="center"/>
          </w:tcPr>
          <w:p w14:paraId="62FDB952" w14:textId="77777777" w:rsidR="00435DA8" w:rsidRPr="00B06893" w:rsidRDefault="00435DA8" w:rsidP="001753EE">
            <w:pPr>
              <w:pStyle w:val="Tabletext"/>
              <w:keepNext/>
              <w:rPr>
                <w:lang w:val="en-AU"/>
              </w:rPr>
            </w:pPr>
            <w:r w:rsidRPr="00B06893">
              <w:rPr>
                <w:lang w:val="en-AU"/>
              </w:rPr>
              <w:t xml:space="preserve">Severe </w:t>
            </w:r>
          </w:p>
        </w:tc>
        <w:tc>
          <w:tcPr>
            <w:tcW w:w="948" w:type="pct"/>
          </w:tcPr>
          <w:p w14:paraId="3ABB7686" w14:textId="7E83EF1D" w:rsidR="00435DA8" w:rsidRPr="00B06893" w:rsidRDefault="00435DA8" w:rsidP="001753EE">
            <w:pPr>
              <w:pStyle w:val="Tabletext"/>
              <w:keepNext/>
              <w:rPr>
                <w:lang w:val="en-AU"/>
              </w:rPr>
            </w:pPr>
            <w:r w:rsidRPr="00B06893">
              <w:rPr>
                <w:lang w:val="en-AU"/>
              </w:rPr>
              <w:t>0 (0.0)</w:t>
            </w:r>
          </w:p>
        </w:tc>
        <w:tc>
          <w:tcPr>
            <w:tcW w:w="948" w:type="pct"/>
          </w:tcPr>
          <w:p w14:paraId="44BED68F" w14:textId="105391A3" w:rsidR="00435DA8" w:rsidRPr="00B06893" w:rsidRDefault="00435DA8" w:rsidP="001753EE">
            <w:pPr>
              <w:pStyle w:val="Tabletext"/>
              <w:keepNext/>
              <w:rPr>
                <w:lang w:val="en-AU"/>
              </w:rPr>
            </w:pPr>
            <w:r w:rsidRPr="00B06893">
              <w:rPr>
                <w:lang w:val="en-AU"/>
              </w:rPr>
              <w:t>0 (0.0)</w:t>
            </w:r>
          </w:p>
        </w:tc>
        <w:tc>
          <w:tcPr>
            <w:tcW w:w="948" w:type="pct"/>
          </w:tcPr>
          <w:p w14:paraId="683A0AA8" w14:textId="2CF9B1E1" w:rsidR="00435DA8" w:rsidRPr="00B06893" w:rsidRDefault="00435DA8" w:rsidP="001753EE">
            <w:pPr>
              <w:pStyle w:val="Tabletext"/>
              <w:keepNext/>
              <w:rPr>
                <w:lang w:val="en-AU"/>
              </w:rPr>
            </w:pPr>
            <w:r w:rsidRPr="00B06893">
              <w:rPr>
                <w:lang w:val="en-AU"/>
              </w:rPr>
              <w:t>0 (0.0)</w:t>
            </w:r>
          </w:p>
        </w:tc>
        <w:tc>
          <w:tcPr>
            <w:tcW w:w="944" w:type="pct"/>
          </w:tcPr>
          <w:p w14:paraId="15B7BFA7" w14:textId="19D13683" w:rsidR="00435DA8" w:rsidRPr="00B06893" w:rsidRDefault="00435DA8" w:rsidP="001753EE">
            <w:pPr>
              <w:pStyle w:val="Tabletext"/>
              <w:keepNext/>
              <w:rPr>
                <w:lang w:val="en-AU"/>
              </w:rPr>
            </w:pPr>
            <w:r w:rsidRPr="00B06893">
              <w:rPr>
                <w:lang w:val="en-AU"/>
              </w:rPr>
              <w:t>0 (0.0)</w:t>
            </w:r>
          </w:p>
        </w:tc>
      </w:tr>
    </w:tbl>
    <w:p w14:paraId="47B385BA" w14:textId="12B2BFE8" w:rsidR="00044E0B" w:rsidRPr="00B06893" w:rsidRDefault="00044E0B" w:rsidP="001753EE">
      <w:pPr>
        <w:pStyle w:val="TableFooter"/>
        <w:keepNext/>
      </w:pPr>
      <w:r w:rsidRPr="00B06893">
        <w:t>Source: Table 28, pp43</w:t>
      </w:r>
      <w:r w:rsidR="00193971">
        <w:noBreakHyphen/>
      </w:r>
      <w:r w:rsidRPr="00B06893">
        <w:t xml:space="preserve">44 of the 2025 ATAGI </w:t>
      </w:r>
      <w:r w:rsidR="004D5C6C" w:rsidRPr="00B06893">
        <w:t>pre</w:t>
      </w:r>
      <w:r w:rsidR="00193971">
        <w:noBreakHyphen/>
      </w:r>
      <w:r w:rsidR="004D5C6C" w:rsidRPr="00B06893">
        <w:t>submission</w:t>
      </w:r>
      <w:r w:rsidRPr="00B06893">
        <w:t xml:space="preserve"> Advice</w:t>
      </w:r>
    </w:p>
    <w:p w14:paraId="310B92AE" w14:textId="77777777" w:rsidR="00CE428B" w:rsidRPr="00B06893" w:rsidRDefault="00044E0B" w:rsidP="001753EE">
      <w:pPr>
        <w:pStyle w:val="TableFooter"/>
        <w:keepNext/>
        <w:jc w:val="left"/>
      </w:pPr>
      <w:r w:rsidRPr="00B06893">
        <w:t>AEs = adverse reactions. AE = adverse event</w:t>
      </w:r>
      <w:r w:rsidR="00CE428B" w:rsidRPr="00B06893">
        <w:t>; mRNA = messenger ribonucleic acid.</w:t>
      </w:r>
    </w:p>
    <w:p w14:paraId="3866FC60" w14:textId="2C87207F" w:rsidR="00CE428B" w:rsidRPr="00B06893" w:rsidRDefault="00CE428B" w:rsidP="001753EE">
      <w:pPr>
        <w:pStyle w:val="TableFooter"/>
        <w:keepNext/>
        <w:jc w:val="left"/>
      </w:pPr>
      <w:r w:rsidRPr="00B06893">
        <w:t>mRNA</w:t>
      </w:r>
      <w:r w:rsidR="00193971">
        <w:noBreakHyphen/>
      </w:r>
      <w:r w:rsidRPr="00B06893">
        <w:t xml:space="preserve">1273.815 encodes the S protein for Omicron XBB.1.5. </w:t>
      </w:r>
    </w:p>
    <w:p w14:paraId="4D1DFD99" w14:textId="0D7ABB10" w:rsidR="00044E0B" w:rsidRPr="00B06893" w:rsidRDefault="00044E0B" w:rsidP="001753EE">
      <w:pPr>
        <w:pStyle w:val="TableFooter"/>
        <w:keepNext/>
        <w:jc w:val="left"/>
      </w:pPr>
      <w:r w:rsidRPr="00B06893">
        <w:t xml:space="preserve">An adverse event was defined as any event that was not present prior to study </w:t>
      </w:r>
      <w:proofErr w:type="gramStart"/>
      <w:r w:rsidRPr="00B06893">
        <w:t>vaccination</w:t>
      </w:r>
      <w:proofErr w:type="gramEnd"/>
      <w:r w:rsidRPr="00B06893">
        <w:t xml:space="preserve"> or any event already present that worsened in intensity or frequency after vaccination</w:t>
      </w:r>
      <w:r w:rsidR="00CE428B" w:rsidRPr="00B06893">
        <w:t>.</w:t>
      </w:r>
    </w:p>
    <w:p w14:paraId="1296A5EF" w14:textId="77777777" w:rsidR="00044E0B" w:rsidRPr="00B06893" w:rsidRDefault="00044E0B" w:rsidP="001753EE">
      <w:pPr>
        <w:pStyle w:val="TableFooter"/>
        <w:keepNext/>
      </w:pPr>
      <w:r w:rsidRPr="00B06893">
        <w:t>NOTES</w:t>
      </w:r>
    </w:p>
    <w:p w14:paraId="38688303" w14:textId="4783C0E9" w:rsidR="00044E0B" w:rsidRPr="00B06893" w:rsidRDefault="00044E0B" w:rsidP="001753EE">
      <w:pPr>
        <w:pStyle w:val="TableFooter"/>
        <w:keepNext/>
      </w:pPr>
      <w:r w:rsidRPr="00B06893">
        <w:t>Medically attended AEs of hypertension and urticaria (both grade 1) in the mRNA</w:t>
      </w:r>
      <w:r w:rsidR="00193971">
        <w:noBreakHyphen/>
      </w:r>
      <w:r w:rsidRPr="00B06893">
        <w:t xml:space="preserve">1273 group. Percentages are based on the number of participants in the safety set. </w:t>
      </w:r>
    </w:p>
    <w:p w14:paraId="1C76E4FB" w14:textId="77777777" w:rsidR="00044E0B" w:rsidRPr="00B06893" w:rsidRDefault="00044E0B" w:rsidP="001753EE">
      <w:pPr>
        <w:pStyle w:val="TableFooter"/>
        <w:keepNext/>
      </w:pPr>
      <w:r w:rsidRPr="00B06893">
        <w:t>There were no fatal events or events that resulted in study discontinuation.</w:t>
      </w:r>
    </w:p>
    <w:p w14:paraId="2DAF16D1" w14:textId="183B3153" w:rsidR="00B60939" w:rsidRPr="00B06893" w:rsidRDefault="00044E0B" w:rsidP="00044E0B">
      <w:pPr>
        <w:pStyle w:val="TableFooter"/>
      </w:pPr>
      <w:r w:rsidRPr="00B06893">
        <w:t>Results presented as n(%)</w:t>
      </w:r>
    </w:p>
    <w:p w14:paraId="2A81FF36" w14:textId="77777777" w:rsidR="001463E8" w:rsidRPr="00B06893" w:rsidRDefault="001463E8" w:rsidP="001463E8"/>
    <w:p w14:paraId="157A431D" w14:textId="3C64AA7F" w:rsidR="001463E8" w:rsidRPr="00B06893" w:rsidRDefault="001463E8" w:rsidP="001463E8">
      <w:pPr>
        <w:pStyle w:val="3-BodyText"/>
      </w:pPr>
      <w:r w:rsidRPr="00B06893">
        <w:t xml:space="preserve">In Study P205, unsolicited TEAEs (up to 28 days) were reported in 6 (12%) participants, of whom five sought medical attention. One of these events was related to the study vaccination. However, no further details were provided in the </w:t>
      </w:r>
      <w:r w:rsidR="00C27CB4" w:rsidRPr="00B06893">
        <w:t>CSRs</w:t>
      </w:r>
      <w:r w:rsidRPr="00B06893">
        <w:t>. At 6 months of follow</w:t>
      </w:r>
      <w:r w:rsidR="00193971">
        <w:noBreakHyphen/>
      </w:r>
      <w:r w:rsidRPr="00B06893">
        <w:t>up, approximately half of participants experienced an unsolicited TEAE</w:t>
      </w:r>
      <w:r w:rsidR="00CE428B" w:rsidRPr="00B06893">
        <w:t xml:space="preserve"> (not </w:t>
      </w:r>
      <w:r w:rsidR="00CE428B" w:rsidRPr="00B06893">
        <w:lastRenderedPageBreak/>
        <w:t>considered related to the study vaccine)</w:t>
      </w:r>
      <w:r w:rsidRPr="00B06893">
        <w:t xml:space="preserve">, all of </w:t>
      </w:r>
      <w:r w:rsidR="00CE428B" w:rsidRPr="00B06893">
        <w:t>whom</w:t>
      </w:r>
      <w:r w:rsidRPr="00B06893">
        <w:t xml:space="preserve"> were medically attended. Two participants experienced an </w:t>
      </w:r>
      <w:r w:rsidR="00CE428B" w:rsidRPr="00B06893">
        <w:t>AE of special interest (</w:t>
      </w:r>
      <w:r w:rsidRPr="00B06893">
        <w:t>AESI</w:t>
      </w:r>
      <w:r w:rsidR="00CE428B" w:rsidRPr="00B06893">
        <w:t>)</w:t>
      </w:r>
      <w:r w:rsidRPr="00B06893">
        <w:t xml:space="preserve">. No other serious adverse events (SAEs), deaths, or AEs leading to study withdrawal were reported </w:t>
      </w:r>
      <w:r w:rsidR="00CE428B" w:rsidRPr="00B06893">
        <w:t>across</w:t>
      </w:r>
      <w:r w:rsidRPr="00B06893">
        <w:t xml:space="preserve"> the stud</w:t>
      </w:r>
      <w:r w:rsidR="00CE428B" w:rsidRPr="00B06893">
        <w:t>ies</w:t>
      </w:r>
      <w:r w:rsidRPr="00B06893">
        <w:t>.</w:t>
      </w:r>
    </w:p>
    <w:p w14:paraId="536D7158" w14:textId="71776BDA" w:rsidR="0064723B" w:rsidRPr="00B06893" w:rsidRDefault="0064723B" w:rsidP="001463E8">
      <w:pPr>
        <w:pStyle w:val="3-BodyText"/>
      </w:pPr>
      <w:r w:rsidRPr="00B06893">
        <w:t>Solicited AEs from Study P205 (Part J) are summarised</w:t>
      </w:r>
      <w:r w:rsidR="00EB7231" w:rsidRPr="00B06893">
        <w:t xml:space="preserve"> in </w:t>
      </w:r>
      <w:r w:rsidR="00EB7231" w:rsidRPr="00B06893">
        <w:fldChar w:fldCharType="begin"/>
      </w:r>
      <w:r w:rsidR="00EB7231" w:rsidRPr="00B06893">
        <w:instrText xml:space="preserve"> REF _Ref216295906 \h </w:instrText>
      </w:r>
      <w:r w:rsidR="00EB7231" w:rsidRPr="00B06893">
        <w:fldChar w:fldCharType="separate"/>
      </w:r>
      <w:r w:rsidR="00810177" w:rsidRPr="00B06893">
        <w:t>Table 18</w:t>
      </w:r>
      <w:r w:rsidR="00EB7231" w:rsidRPr="00B06893">
        <w:fldChar w:fldCharType="end"/>
      </w:r>
      <w:r w:rsidR="00EB7231" w:rsidRPr="00B06893">
        <w:t>.</w:t>
      </w:r>
    </w:p>
    <w:p w14:paraId="2C10964E" w14:textId="3322759F" w:rsidR="0064723B" w:rsidRPr="00B06893" w:rsidRDefault="0064723B" w:rsidP="0064723B">
      <w:pPr>
        <w:pStyle w:val="TableFigureHeading"/>
        <w:rPr>
          <w:rFonts w:cs="Calibri (Body)"/>
          <w:iCs/>
          <w:szCs w:val="18"/>
        </w:rPr>
      </w:pPr>
      <w:bookmarkStart w:id="57" w:name="_Ref216295906"/>
      <w:r w:rsidRPr="00B06893">
        <w:t xml:space="preserve">Table </w:t>
      </w:r>
      <w:fldSimple w:instr=" SEQ Table \* ARABIC ">
        <w:r w:rsidR="00810177" w:rsidRPr="00B06893">
          <w:t>18</w:t>
        </w:r>
      </w:fldSimple>
      <w:bookmarkEnd w:id="57"/>
      <w:r w:rsidRPr="00B06893">
        <w:t>: Solicited and systemic adverse reactions, Spikevax (XBB.1.5 variant) (Study P205, Part 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8: Solicited and systemic adverse reactions, Spikevax (XBB.1.5 variant) (Study P205, Part J)"/>
      </w:tblPr>
      <w:tblGrid>
        <w:gridCol w:w="2101"/>
        <w:gridCol w:w="2346"/>
        <w:gridCol w:w="2285"/>
        <w:gridCol w:w="2285"/>
      </w:tblGrid>
      <w:tr w:rsidR="0064723B" w:rsidRPr="00B06893" w14:paraId="65C5263D" w14:textId="77777777" w:rsidTr="00D20318">
        <w:trPr>
          <w:cantSplit/>
          <w:trHeight w:val="20"/>
          <w:tblHeader/>
        </w:trPr>
        <w:tc>
          <w:tcPr>
            <w:tcW w:w="5000" w:type="pct"/>
            <w:gridSpan w:val="4"/>
            <w:vAlign w:val="center"/>
            <w:hideMark/>
          </w:tcPr>
          <w:p w14:paraId="443FFC76" w14:textId="44427949" w:rsidR="0064723B" w:rsidRPr="00B06893" w:rsidRDefault="0064723B" w:rsidP="0064723B">
            <w:pPr>
              <w:pStyle w:val="TableText0"/>
              <w:rPr>
                <w:b/>
                <w:bCs w:val="0"/>
              </w:rPr>
            </w:pPr>
            <w:r w:rsidRPr="00B06893">
              <w:rPr>
                <w:b/>
                <w:bCs w:val="0"/>
              </w:rPr>
              <w:t>Monovalent Spikevax (mRNA</w:t>
            </w:r>
            <w:r w:rsidR="00193971">
              <w:rPr>
                <w:b/>
                <w:bCs w:val="0"/>
              </w:rPr>
              <w:noBreakHyphen/>
            </w:r>
            <w:r w:rsidRPr="00B06893">
              <w:rPr>
                <w:b/>
                <w:bCs w:val="0"/>
              </w:rPr>
              <w:t>1273.815), 50 µg (N=50)</w:t>
            </w:r>
          </w:p>
        </w:tc>
      </w:tr>
      <w:tr w:rsidR="0064723B" w:rsidRPr="00B06893" w14:paraId="5C245A95" w14:textId="77777777" w:rsidTr="00D20318">
        <w:trPr>
          <w:cantSplit/>
          <w:trHeight w:val="20"/>
        </w:trPr>
        <w:tc>
          <w:tcPr>
            <w:tcW w:w="2466" w:type="pct"/>
            <w:gridSpan w:val="2"/>
            <w:vAlign w:val="center"/>
          </w:tcPr>
          <w:p w14:paraId="5758D72A" w14:textId="77777777" w:rsidR="0064723B" w:rsidRPr="00B06893" w:rsidRDefault="0064723B" w:rsidP="00501A02">
            <w:pPr>
              <w:pStyle w:val="TableText0"/>
              <w:rPr>
                <w:b/>
                <w:bCs w:val="0"/>
              </w:rPr>
            </w:pPr>
            <w:r w:rsidRPr="00B06893">
              <w:rPr>
                <w:b/>
                <w:bCs w:val="0"/>
              </w:rPr>
              <w:t>Solicited ARs, n(%)</w:t>
            </w:r>
          </w:p>
        </w:tc>
        <w:tc>
          <w:tcPr>
            <w:tcW w:w="2534" w:type="pct"/>
            <w:gridSpan w:val="2"/>
            <w:vAlign w:val="center"/>
          </w:tcPr>
          <w:p w14:paraId="06433A68" w14:textId="77777777" w:rsidR="0064723B" w:rsidRPr="00B06893" w:rsidRDefault="0064723B" w:rsidP="00501A02">
            <w:pPr>
              <w:pStyle w:val="TableText0"/>
              <w:rPr>
                <w:b/>
                <w:bCs w:val="0"/>
              </w:rPr>
            </w:pPr>
            <w:r w:rsidRPr="00B06893">
              <w:rPr>
                <w:b/>
                <w:bCs w:val="0"/>
              </w:rPr>
              <w:t>Systemic ARs, .n(%)</w:t>
            </w:r>
          </w:p>
        </w:tc>
      </w:tr>
      <w:tr w:rsidR="0064723B" w:rsidRPr="00B06893" w14:paraId="1B4C8EF3" w14:textId="77777777" w:rsidTr="00D20318">
        <w:trPr>
          <w:cantSplit/>
          <w:trHeight w:val="20"/>
        </w:trPr>
        <w:tc>
          <w:tcPr>
            <w:tcW w:w="1165" w:type="pct"/>
            <w:vAlign w:val="center"/>
          </w:tcPr>
          <w:p w14:paraId="79B3E5CF" w14:textId="77777777" w:rsidR="0064723B" w:rsidRPr="00B06893" w:rsidRDefault="0064723B" w:rsidP="00501A02">
            <w:pPr>
              <w:pStyle w:val="TableText0"/>
            </w:pPr>
            <w:r w:rsidRPr="00B06893">
              <w:t xml:space="preserve">    Grade 1</w:t>
            </w:r>
          </w:p>
        </w:tc>
        <w:tc>
          <w:tcPr>
            <w:tcW w:w="1301" w:type="pct"/>
            <w:vAlign w:val="center"/>
          </w:tcPr>
          <w:p w14:paraId="058434AF" w14:textId="77777777" w:rsidR="0064723B" w:rsidRPr="00B06893" w:rsidRDefault="0064723B" w:rsidP="00501A02">
            <w:pPr>
              <w:pStyle w:val="TableText0"/>
            </w:pPr>
            <w:r w:rsidRPr="00B06893">
              <w:t>23 (46.0)</w:t>
            </w:r>
          </w:p>
        </w:tc>
        <w:tc>
          <w:tcPr>
            <w:tcW w:w="1267" w:type="pct"/>
            <w:vAlign w:val="center"/>
          </w:tcPr>
          <w:p w14:paraId="3BE5C211" w14:textId="77777777" w:rsidR="0064723B" w:rsidRPr="00B06893" w:rsidRDefault="0064723B" w:rsidP="00501A02">
            <w:pPr>
              <w:pStyle w:val="TableText0"/>
            </w:pPr>
            <w:r w:rsidRPr="00B06893">
              <w:t xml:space="preserve">    Grade 1</w:t>
            </w:r>
          </w:p>
        </w:tc>
        <w:tc>
          <w:tcPr>
            <w:tcW w:w="1267" w:type="pct"/>
            <w:vAlign w:val="center"/>
          </w:tcPr>
          <w:p w14:paraId="7852CB42" w14:textId="77777777" w:rsidR="0064723B" w:rsidRPr="00B06893" w:rsidRDefault="0064723B" w:rsidP="00501A02">
            <w:pPr>
              <w:pStyle w:val="TableText0"/>
            </w:pPr>
            <w:r w:rsidRPr="00B06893">
              <w:t>16 (32.0)</w:t>
            </w:r>
          </w:p>
        </w:tc>
      </w:tr>
      <w:tr w:rsidR="0064723B" w:rsidRPr="00B06893" w14:paraId="2D2F1539" w14:textId="77777777" w:rsidTr="00D20318">
        <w:trPr>
          <w:cantSplit/>
          <w:trHeight w:val="20"/>
        </w:trPr>
        <w:tc>
          <w:tcPr>
            <w:tcW w:w="1165" w:type="pct"/>
            <w:vAlign w:val="center"/>
          </w:tcPr>
          <w:p w14:paraId="6314D060" w14:textId="77777777" w:rsidR="0064723B" w:rsidRPr="00B06893" w:rsidRDefault="0064723B" w:rsidP="00501A02">
            <w:pPr>
              <w:pStyle w:val="TableText0"/>
            </w:pPr>
            <w:r w:rsidRPr="00B06893">
              <w:t xml:space="preserve">    Grade 2</w:t>
            </w:r>
          </w:p>
        </w:tc>
        <w:tc>
          <w:tcPr>
            <w:tcW w:w="1301" w:type="pct"/>
            <w:vAlign w:val="center"/>
          </w:tcPr>
          <w:p w14:paraId="308AD362" w14:textId="77777777" w:rsidR="0064723B" w:rsidRPr="00B06893" w:rsidRDefault="0064723B" w:rsidP="00501A02">
            <w:pPr>
              <w:pStyle w:val="TableText0"/>
            </w:pPr>
            <w:r w:rsidRPr="00B06893">
              <w:t>14 (28.0)</w:t>
            </w:r>
          </w:p>
        </w:tc>
        <w:tc>
          <w:tcPr>
            <w:tcW w:w="1267" w:type="pct"/>
            <w:vAlign w:val="center"/>
          </w:tcPr>
          <w:p w14:paraId="58DC2EA4" w14:textId="77777777" w:rsidR="0064723B" w:rsidRPr="00B06893" w:rsidRDefault="0064723B" w:rsidP="00501A02">
            <w:pPr>
              <w:pStyle w:val="TableText0"/>
            </w:pPr>
            <w:r w:rsidRPr="00B06893">
              <w:t xml:space="preserve">    Grade 2</w:t>
            </w:r>
          </w:p>
        </w:tc>
        <w:tc>
          <w:tcPr>
            <w:tcW w:w="1267" w:type="pct"/>
            <w:vAlign w:val="center"/>
          </w:tcPr>
          <w:p w14:paraId="11F633D4" w14:textId="77777777" w:rsidR="0064723B" w:rsidRPr="00B06893" w:rsidRDefault="0064723B" w:rsidP="00501A02">
            <w:pPr>
              <w:pStyle w:val="TableText0"/>
            </w:pPr>
            <w:r w:rsidRPr="00B06893">
              <w:t>12 (24.0)</w:t>
            </w:r>
          </w:p>
        </w:tc>
      </w:tr>
      <w:tr w:rsidR="0064723B" w:rsidRPr="00B06893" w14:paraId="626D19CF" w14:textId="77777777" w:rsidTr="00D20318">
        <w:trPr>
          <w:cantSplit/>
          <w:trHeight w:val="20"/>
        </w:trPr>
        <w:tc>
          <w:tcPr>
            <w:tcW w:w="1165" w:type="pct"/>
            <w:vAlign w:val="center"/>
          </w:tcPr>
          <w:p w14:paraId="024DF0F2" w14:textId="77777777" w:rsidR="0064723B" w:rsidRPr="00B06893" w:rsidRDefault="0064723B" w:rsidP="00501A02">
            <w:pPr>
              <w:pStyle w:val="TableText0"/>
            </w:pPr>
            <w:r w:rsidRPr="00B06893">
              <w:t xml:space="preserve">    Grade 3</w:t>
            </w:r>
          </w:p>
        </w:tc>
        <w:tc>
          <w:tcPr>
            <w:tcW w:w="1301" w:type="pct"/>
            <w:vAlign w:val="center"/>
          </w:tcPr>
          <w:p w14:paraId="0321211A" w14:textId="77777777" w:rsidR="0064723B" w:rsidRPr="00B06893" w:rsidRDefault="0064723B" w:rsidP="00501A02">
            <w:pPr>
              <w:pStyle w:val="TableText0"/>
            </w:pPr>
            <w:r w:rsidRPr="00B06893">
              <w:t>1 (2.0)</w:t>
            </w:r>
          </w:p>
        </w:tc>
        <w:tc>
          <w:tcPr>
            <w:tcW w:w="1267" w:type="pct"/>
            <w:vAlign w:val="center"/>
          </w:tcPr>
          <w:p w14:paraId="28FF83DE" w14:textId="77777777" w:rsidR="0064723B" w:rsidRPr="00B06893" w:rsidRDefault="0064723B" w:rsidP="00501A02">
            <w:pPr>
              <w:pStyle w:val="TableText0"/>
            </w:pPr>
            <w:r w:rsidRPr="00B06893">
              <w:t xml:space="preserve">    Grade 3</w:t>
            </w:r>
          </w:p>
        </w:tc>
        <w:tc>
          <w:tcPr>
            <w:tcW w:w="1267" w:type="pct"/>
            <w:vAlign w:val="center"/>
          </w:tcPr>
          <w:p w14:paraId="6D72A692" w14:textId="77777777" w:rsidR="0064723B" w:rsidRPr="00B06893" w:rsidRDefault="0064723B" w:rsidP="00501A02">
            <w:pPr>
              <w:pStyle w:val="TableText0"/>
            </w:pPr>
            <w:r w:rsidRPr="00B06893">
              <w:t>1 (2.0)</w:t>
            </w:r>
          </w:p>
        </w:tc>
      </w:tr>
      <w:tr w:rsidR="0064723B" w:rsidRPr="00B06893" w14:paraId="265667B6" w14:textId="77777777" w:rsidTr="00D20318">
        <w:trPr>
          <w:cantSplit/>
          <w:trHeight w:val="20"/>
        </w:trPr>
        <w:tc>
          <w:tcPr>
            <w:tcW w:w="2466" w:type="pct"/>
            <w:gridSpan w:val="2"/>
            <w:vAlign w:val="center"/>
          </w:tcPr>
          <w:p w14:paraId="0E841443" w14:textId="77777777" w:rsidR="0064723B" w:rsidRPr="00B06893" w:rsidRDefault="0064723B" w:rsidP="00501A02">
            <w:pPr>
              <w:pStyle w:val="TableText0"/>
              <w:rPr>
                <w:b/>
                <w:bCs w:val="0"/>
              </w:rPr>
            </w:pPr>
            <w:r w:rsidRPr="00B06893">
              <w:rPr>
                <w:b/>
                <w:bCs w:val="0"/>
              </w:rPr>
              <w:t>Local ARs</w:t>
            </w:r>
          </w:p>
        </w:tc>
        <w:tc>
          <w:tcPr>
            <w:tcW w:w="2534" w:type="pct"/>
            <w:gridSpan w:val="2"/>
            <w:vAlign w:val="center"/>
          </w:tcPr>
          <w:p w14:paraId="7C09FDB1" w14:textId="77777777" w:rsidR="0064723B" w:rsidRPr="00B06893" w:rsidRDefault="0064723B" w:rsidP="00501A02">
            <w:pPr>
              <w:pStyle w:val="TableText0"/>
              <w:rPr>
                <w:b/>
                <w:bCs w:val="0"/>
              </w:rPr>
            </w:pPr>
            <w:r w:rsidRPr="00B06893">
              <w:rPr>
                <w:b/>
                <w:bCs w:val="0"/>
              </w:rPr>
              <w:t>Fever</w:t>
            </w:r>
          </w:p>
        </w:tc>
      </w:tr>
      <w:tr w:rsidR="0064723B" w:rsidRPr="00B06893" w14:paraId="7D079487" w14:textId="77777777" w:rsidTr="00D20318">
        <w:trPr>
          <w:cantSplit/>
          <w:trHeight w:val="20"/>
        </w:trPr>
        <w:tc>
          <w:tcPr>
            <w:tcW w:w="1165" w:type="pct"/>
            <w:vAlign w:val="center"/>
          </w:tcPr>
          <w:p w14:paraId="5BD5870F" w14:textId="77777777" w:rsidR="0064723B" w:rsidRPr="00B06893" w:rsidRDefault="0064723B" w:rsidP="00501A02">
            <w:pPr>
              <w:pStyle w:val="TableText0"/>
            </w:pPr>
            <w:r w:rsidRPr="00B06893">
              <w:t xml:space="preserve">    Grade 1</w:t>
            </w:r>
          </w:p>
        </w:tc>
        <w:tc>
          <w:tcPr>
            <w:tcW w:w="1301" w:type="pct"/>
            <w:vAlign w:val="center"/>
          </w:tcPr>
          <w:p w14:paraId="29AB3167" w14:textId="77777777" w:rsidR="0064723B" w:rsidRPr="00B06893" w:rsidRDefault="0064723B" w:rsidP="00501A02">
            <w:pPr>
              <w:pStyle w:val="TableText0"/>
            </w:pPr>
            <w:r w:rsidRPr="00B06893">
              <w:t>26 (52.0)</w:t>
            </w:r>
          </w:p>
        </w:tc>
        <w:tc>
          <w:tcPr>
            <w:tcW w:w="1267" w:type="pct"/>
            <w:vAlign w:val="center"/>
          </w:tcPr>
          <w:p w14:paraId="279305ED" w14:textId="77777777" w:rsidR="0064723B" w:rsidRPr="00B06893" w:rsidRDefault="0064723B" w:rsidP="00501A02">
            <w:pPr>
              <w:pStyle w:val="TableText0"/>
            </w:pPr>
            <w:r w:rsidRPr="00B06893">
              <w:t xml:space="preserve">    Grade 1</w:t>
            </w:r>
          </w:p>
        </w:tc>
        <w:tc>
          <w:tcPr>
            <w:tcW w:w="1267" w:type="pct"/>
            <w:vAlign w:val="center"/>
          </w:tcPr>
          <w:p w14:paraId="4E570FD7" w14:textId="77777777" w:rsidR="0064723B" w:rsidRPr="00B06893" w:rsidRDefault="0064723B" w:rsidP="00501A02">
            <w:pPr>
              <w:pStyle w:val="TableText0"/>
            </w:pPr>
            <w:r w:rsidRPr="00B06893">
              <w:t>1 (2.0)</w:t>
            </w:r>
          </w:p>
        </w:tc>
      </w:tr>
      <w:tr w:rsidR="0064723B" w:rsidRPr="00B06893" w14:paraId="4B1EBDFD" w14:textId="77777777" w:rsidTr="00D20318">
        <w:trPr>
          <w:cantSplit/>
          <w:trHeight w:val="20"/>
        </w:trPr>
        <w:tc>
          <w:tcPr>
            <w:tcW w:w="1165" w:type="pct"/>
            <w:vAlign w:val="center"/>
          </w:tcPr>
          <w:p w14:paraId="26D9EEB0" w14:textId="77777777" w:rsidR="0064723B" w:rsidRPr="00B06893" w:rsidRDefault="0064723B" w:rsidP="00501A02">
            <w:pPr>
              <w:pStyle w:val="TableText0"/>
            </w:pPr>
            <w:r w:rsidRPr="00B06893">
              <w:t xml:space="preserve">    Grade 2</w:t>
            </w:r>
          </w:p>
        </w:tc>
        <w:tc>
          <w:tcPr>
            <w:tcW w:w="1301" w:type="pct"/>
            <w:vAlign w:val="center"/>
          </w:tcPr>
          <w:p w14:paraId="11A6A24B" w14:textId="77777777" w:rsidR="0064723B" w:rsidRPr="00B06893" w:rsidRDefault="0064723B" w:rsidP="00501A02">
            <w:pPr>
              <w:pStyle w:val="TableText0"/>
            </w:pPr>
            <w:r w:rsidRPr="00B06893">
              <w:t>8 (16.0)</w:t>
            </w:r>
          </w:p>
        </w:tc>
        <w:tc>
          <w:tcPr>
            <w:tcW w:w="1267" w:type="pct"/>
            <w:vAlign w:val="center"/>
          </w:tcPr>
          <w:p w14:paraId="40ACCE3E" w14:textId="77777777" w:rsidR="0064723B" w:rsidRPr="00B06893" w:rsidRDefault="0064723B" w:rsidP="00501A02">
            <w:pPr>
              <w:pStyle w:val="TableText0"/>
            </w:pPr>
            <w:r w:rsidRPr="00B06893">
              <w:t xml:space="preserve">    Grade 2</w:t>
            </w:r>
          </w:p>
        </w:tc>
        <w:tc>
          <w:tcPr>
            <w:tcW w:w="1267" w:type="pct"/>
            <w:vAlign w:val="center"/>
          </w:tcPr>
          <w:p w14:paraId="407106CD" w14:textId="77777777" w:rsidR="0064723B" w:rsidRPr="00B06893" w:rsidRDefault="0064723B" w:rsidP="00501A02">
            <w:pPr>
              <w:pStyle w:val="TableText0"/>
            </w:pPr>
            <w:r w:rsidRPr="00B06893">
              <w:t>1 (2.0)</w:t>
            </w:r>
          </w:p>
        </w:tc>
      </w:tr>
      <w:tr w:rsidR="0064723B" w:rsidRPr="00B06893" w14:paraId="1C9978C0" w14:textId="77777777" w:rsidTr="00D20318">
        <w:trPr>
          <w:cantSplit/>
          <w:trHeight w:val="20"/>
        </w:trPr>
        <w:tc>
          <w:tcPr>
            <w:tcW w:w="1165" w:type="pct"/>
            <w:vAlign w:val="center"/>
          </w:tcPr>
          <w:p w14:paraId="756B72BE" w14:textId="77777777" w:rsidR="0064723B" w:rsidRPr="00B06893" w:rsidRDefault="0064723B" w:rsidP="00501A02">
            <w:pPr>
              <w:pStyle w:val="TableText0"/>
            </w:pPr>
            <w:r w:rsidRPr="00B06893">
              <w:t xml:space="preserve">    Grade 3</w:t>
            </w:r>
          </w:p>
        </w:tc>
        <w:tc>
          <w:tcPr>
            <w:tcW w:w="1301" w:type="pct"/>
            <w:vAlign w:val="center"/>
          </w:tcPr>
          <w:p w14:paraId="361DC914" w14:textId="77777777" w:rsidR="0064723B" w:rsidRPr="00B06893" w:rsidRDefault="0064723B" w:rsidP="00501A02">
            <w:pPr>
              <w:pStyle w:val="TableText0"/>
            </w:pPr>
            <w:r w:rsidRPr="00B06893">
              <w:t>0</w:t>
            </w:r>
          </w:p>
        </w:tc>
        <w:tc>
          <w:tcPr>
            <w:tcW w:w="1267" w:type="pct"/>
            <w:vAlign w:val="center"/>
          </w:tcPr>
          <w:p w14:paraId="2FB7C707" w14:textId="77777777" w:rsidR="0064723B" w:rsidRPr="00B06893" w:rsidRDefault="0064723B" w:rsidP="00501A02">
            <w:pPr>
              <w:pStyle w:val="TableText0"/>
            </w:pPr>
            <w:r w:rsidRPr="00B06893">
              <w:t xml:space="preserve">    Grade 3</w:t>
            </w:r>
          </w:p>
        </w:tc>
        <w:tc>
          <w:tcPr>
            <w:tcW w:w="1267" w:type="pct"/>
            <w:vAlign w:val="center"/>
          </w:tcPr>
          <w:p w14:paraId="385B2B50" w14:textId="77777777" w:rsidR="0064723B" w:rsidRPr="00B06893" w:rsidRDefault="0064723B" w:rsidP="00501A02">
            <w:pPr>
              <w:pStyle w:val="TableText0"/>
            </w:pPr>
            <w:r w:rsidRPr="00B06893">
              <w:t>1 (2.0)</w:t>
            </w:r>
          </w:p>
        </w:tc>
      </w:tr>
      <w:tr w:rsidR="0064723B" w:rsidRPr="00B06893" w14:paraId="4801E8D1" w14:textId="77777777" w:rsidTr="00D20318">
        <w:trPr>
          <w:cantSplit/>
          <w:trHeight w:val="20"/>
        </w:trPr>
        <w:tc>
          <w:tcPr>
            <w:tcW w:w="2466" w:type="pct"/>
            <w:gridSpan w:val="2"/>
            <w:vAlign w:val="center"/>
          </w:tcPr>
          <w:p w14:paraId="46BA2BAD" w14:textId="77777777" w:rsidR="0064723B" w:rsidRPr="00B06893" w:rsidRDefault="0064723B" w:rsidP="00501A02">
            <w:pPr>
              <w:pStyle w:val="TableText0"/>
              <w:rPr>
                <w:b/>
                <w:bCs w:val="0"/>
              </w:rPr>
            </w:pPr>
            <w:r w:rsidRPr="00B06893">
              <w:rPr>
                <w:b/>
                <w:bCs w:val="0"/>
              </w:rPr>
              <w:t>Pain</w:t>
            </w:r>
          </w:p>
        </w:tc>
        <w:tc>
          <w:tcPr>
            <w:tcW w:w="2534" w:type="pct"/>
            <w:gridSpan w:val="2"/>
            <w:vAlign w:val="center"/>
          </w:tcPr>
          <w:p w14:paraId="6F2A6216" w14:textId="77777777" w:rsidR="0064723B" w:rsidRPr="00B06893" w:rsidRDefault="0064723B" w:rsidP="00501A02">
            <w:pPr>
              <w:pStyle w:val="TableText0"/>
              <w:rPr>
                <w:b/>
                <w:bCs w:val="0"/>
              </w:rPr>
            </w:pPr>
            <w:r w:rsidRPr="00B06893">
              <w:rPr>
                <w:b/>
                <w:bCs w:val="0"/>
              </w:rPr>
              <w:t>Headache</w:t>
            </w:r>
          </w:p>
        </w:tc>
      </w:tr>
      <w:tr w:rsidR="0064723B" w:rsidRPr="00B06893" w14:paraId="07639DC3" w14:textId="77777777" w:rsidTr="00D20318">
        <w:trPr>
          <w:cantSplit/>
          <w:trHeight w:val="20"/>
        </w:trPr>
        <w:tc>
          <w:tcPr>
            <w:tcW w:w="1165" w:type="pct"/>
            <w:vAlign w:val="center"/>
          </w:tcPr>
          <w:p w14:paraId="0C4D7976" w14:textId="77777777" w:rsidR="0064723B" w:rsidRPr="00B06893" w:rsidRDefault="0064723B" w:rsidP="00501A02">
            <w:pPr>
              <w:pStyle w:val="TableText0"/>
            </w:pPr>
            <w:r w:rsidRPr="00B06893">
              <w:t xml:space="preserve">    Grade 1</w:t>
            </w:r>
          </w:p>
        </w:tc>
        <w:tc>
          <w:tcPr>
            <w:tcW w:w="1301" w:type="pct"/>
            <w:vAlign w:val="center"/>
          </w:tcPr>
          <w:p w14:paraId="13396E0D" w14:textId="77777777" w:rsidR="0064723B" w:rsidRPr="00B06893" w:rsidRDefault="0064723B" w:rsidP="00501A02">
            <w:pPr>
              <w:pStyle w:val="TableText0"/>
            </w:pPr>
            <w:r w:rsidRPr="00B06893">
              <w:t>28 (56.0)</w:t>
            </w:r>
          </w:p>
        </w:tc>
        <w:tc>
          <w:tcPr>
            <w:tcW w:w="1267" w:type="pct"/>
            <w:vAlign w:val="center"/>
          </w:tcPr>
          <w:p w14:paraId="1D3F9575" w14:textId="77777777" w:rsidR="0064723B" w:rsidRPr="00B06893" w:rsidRDefault="0064723B" w:rsidP="00501A02">
            <w:pPr>
              <w:pStyle w:val="TableText0"/>
            </w:pPr>
            <w:r w:rsidRPr="00B06893">
              <w:t xml:space="preserve">    Grade 1</w:t>
            </w:r>
          </w:p>
        </w:tc>
        <w:tc>
          <w:tcPr>
            <w:tcW w:w="1267" w:type="pct"/>
            <w:vAlign w:val="center"/>
          </w:tcPr>
          <w:p w14:paraId="2B556DD7" w14:textId="77777777" w:rsidR="0064723B" w:rsidRPr="00B06893" w:rsidRDefault="0064723B" w:rsidP="00501A02">
            <w:pPr>
              <w:pStyle w:val="TableText0"/>
            </w:pPr>
            <w:r w:rsidRPr="00B06893">
              <w:t>14 (28.0)</w:t>
            </w:r>
          </w:p>
        </w:tc>
      </w:tr>
      <w:tr w:rsidR="0064723B" w:rsidRPr="00B06893" w14:paraId="4258EF83" w14:textId="77777777" w:rsidTr="00D20318">
        <w:trPr>
          <w:cantSplit/>
          <w:trHeight w:val="20"/>
        </w:trPr>
        <w:tc>
          <w:tcPr>
            <w:tcW w:w="1165" w:type="pct"/>
            <w:vAlign w:val="center"/>
          </w:tcPr>
          <w:p w14:paraId="13A7EE5A" w14:textId="77777777" w:rsidR="0064723B" w:rsidRPr="00B06893" w:rsidRDefault="0064723B" w:rsidP="00501A02">
            <w:pPr>
              <w:pStyle w:val="TableText0"/>
            </w:pPr>
            <w:r w:rsidRPr="00B06893">
              <w:t xml:space="preserve">    Grade 2</w:t>
            </w:r>
          </w:p>
        </w:tc>
        <w:tc>
          <w:tcPr>
            <w:tcW w:w="1301" w:type="pct"/>
            <w:vAlign w:val="center"/>
          </w:tcPr>
          <w:p w14:paraId="2C6FA220" w14:textId="77777777" w:rsidR="0064723B" w:rsidRPr="00B06893" w:rsidRDefault="0064723B" w:rsidP="00501A02">
            <w:pPr>
              <w:pStyle w:val="TableText0"/>
            </w:pPr>
            <w:r w:rsidRPr="00B06893">
              <w:t>6 (12.0)</w:t>
            </w:r>
          </w:p>
        </w:tc>
        <w:tc>
          <w:tcPr>
            <w:tcW w:w="1267" w:type="pct"/>
            <w:vAlign w:val="center"/>
          </w:tcPr>
          <w:p w14:paraId="51AB7EA4" w14:textId="77777777" w:rsidR="0064723B" w:rsidRPr="00B06893" w:rsidRDefault="0064723B" w:rsidP="00501A02">
            <w:pPr>
              <w:pStyle w:val="TableText0"/>
            </w:pPr>
            <w:r w:rsidRPr="00B06893">
              <w:t xml:space="preserve">    Grade 2</w:t>
            </w:r>
          </w:p>
        </w:tc>
        <w:tc>
          <w:tcPr>
            <w:tcW w:w="1267" w:type="pct"/>
            <w:vAlign w:val="center"/>
          </w:tcPr>
          <w:p w14:paraId="3B262B53" w14:textId="77777777" w:rsidR="0064723B" w:rsidRPr="00B06893" w:rsidRDefault="0064723B" w:rsidP="00501A02">
            <w:pPr>
              <w:pStyle w:val="TableText0"/>
            </w:pPr>
            <w:r w:rsidRPr="00B06893">
              <w:t>3 (6.0)</w:t>
            </w:r>
          </w:p>
        </w:tc>
      </w:tr>
      <w:tr w:rsidR="0064723B" w:rsidRPr="00B06893" w14:paraId="28397A34" w14:textId="77777777" w:rsidTr="00D20318">
        <w:trPr>
          <w:cantSplit/>
          <w:trHeight w:val="20"/>
        </w:trPr>
        <w:tc>
          <w:tcPr>
            <w:tcW w:w="2466" w:type="pct"/>
            <w:gridSpan w:val="2"/>
            <w:vAlign w:val="center"/>
          </w:tcPr>
          <w:p w14:paraId="68E93EB1" w14:textId="77777777" w:rsidR="0064723B" w:rsidRPr="00B06893" w:rsidRDefault="0064723B" w:rsidP="00501A02">
            <w:pPr>
              <w:pStyle w:val="TableText0"/>
              <w:rPr>
                <w:b/>
                <w:bCs w:val="0"/>
              </w:rPr>
            </w:pPr>
            <w:r w:rsidRPr="00B06893">
              <w:rPr>
                <w:b/>
                <w:bCs w:val="0"/>
              </w:rPr>
              <w:t xml:space="preserve">Erythema (Redness) </w:t>
            </w:r>
          </w:p>
        </w:tc>
        <w:tc>
          <w:tcPr>
            <w:tcW w:w="2534" w:type="pct"/>
            <w:gridSpan w:val="2"/>
            <w:vAlign w:val="center"/>
          </w:tcPr>
          <w:p w14:paraId="5716FECA" w14:textId="77777777" w:rsidR="0064723B" w:rsidRPr="00B06893" w:rsidRDefault="0064723B" w:rsidP="00501A02">
            <w:pPr>
              <w:pStyle w:val="TableText0"/>
              <w:rPr>
                <w:b/>
                <w:bCs w:val="0"/>
              </w:rPr>
            </w:pPr>
            <w:r w:rsidRPr="00B06893">
              <w:rPr>
                <w:b/>
                <w:bCs w:val="0"/>
              </w:rPr>
              <w:t>Fatigue</w:t>
            </w:r>
          </w:p>
        </w:tc>
      </w:tr>
      <w:tr w:rsidR="0064723B" w:rsidRPr="00B06893" w14:paraId="366BB494" w14:textId="77777777" w:rsidTr="00D20318">
        <w:trPr>
          <w:cantSplit/>
          <w:trHeight w:val="20"/>
        </w:trPr>
        <w:tc>
          <w:tcPr>
            <w:tcW w:w="1165" w:type="pct"/>
            <w:vAlign w:val="center"/>
          </w:tcPr>
          <w:p w14:paraId="4011E92B" w14:textId="77777777" w:rsidR="0064723B" w:rsidRPr="00B06893" w:rsidRDefault="0064723B" w:rsidP="00501A02">
            <w:pPr>
              <w:pStyle w:val="TableText0"/>
            </w:pPr>
            <w:r w:rsidRPr="00B06893">
              <w:t xml:space="preserve">    Grade 1</w:t>
            </w:r>
          </w:p>
        </w:tc>
        <w:tc>
          <w:tcPr>
            <w:tcW w:w="1301" w:type="pct"/>
            <w:vAlign w:val="center"/>
          </w:tcPr>
          <w:p w14:paraId="0A2AED04" w14:textId="77777777" w:rsidR="0064723B" w:rsidRPr="00B06893" w:rsidRDefault="0064723B" w:rsidP="00501A02">
            <w:pPr>
              <w:pStyle w:val="TableText0"/>
            </w:pPr>
            <w:r w:rsidRPr="00B06893">
              <w:t>1 (2.0)</w:t>
            </w:r>
          </w:p>
        </w:tc>
        <w:tc>
          <w:tcPr>
            <w:tcW w:w="1267" w:type="pct"/>
            <w:vAlign w:val="center"/>
          </w:tcPr>
          <w:p w14:paraId="2BD3767D" w14:textId="77777777" w:rsidR="0064723B" w:rsidRPr="00B06893" w:rsidRDefault="0064723B" w:rsidP="00501A02">
            <w:pPr>
              <w:pStyle w:val="TableText0"/>
            </w:pPr>
            <w:r w:rsidRPr="00B06893">
              <w:t xml:space="preserve">    Grade 1</w:t>
            </w:r>
          </w:p>
        </w:tc>
        <w:tc>
          <w:tcPr>
            <w:tcW w:w="1267" w:type="pct"/>
            <w:vAlign w:val="center"/>
          </w:tcPr>
          <w:p w14:paraId="6A75708D" w14:textId="77777777" w:rsidR="0064723B" w:rsidRPr="00B06893" w:rsidRDefault="0064723B" w:rsidP="00501A02">
            <w:pPr>
              <w:pStyle w:val="TableText0"/>
            </w:pPr>
            <w:r w:rsidRPr="00B06893">
              <w:t>12 (24.0)</w:t>
            </w:r>
          </w:p>
        </w:tc>
      </w:tr>
      <w:tr w:rsidR="0064723B" w:rsidRPr="00B06893" w14:paraId="104443F0" w14:textId="77777777" w:rsidTr="00D20318">
        <w:trPr>
          <w:cantSplit/>
          <w:trHeight w:val="20"/>
        </w:trPr>
        <w:tc>
          <w:tcPr>
            <w:tcW w:w="1165" w:type="pct"/>
            <w:vAlign w:val="center"/>
          </w:tcPr>
          <w:p w14:paraId="5CFB660F" w14:textId="77777777" w:rsidR="0064723B" w:rsidRPr="00B06893" w:rsidRDefault="0064723B" w:rsidP="00501A02">
            <w:pPr>
              <w:pStyle w:val="TableText0"/>
            </w:pPr>
            <w:r w:rsidRPr="00B06893">
              <w:t xml:space="preserve">    Grade 2</w:t>
            </w:r>
          </w:p>
        </w:tc>
        <w:tc>
          <w:tcPr>
            <w:tcW w:w="1301" w:type="pct"/>
            <w:vAlign w:val="center"/>
          </w:tcPr>
          <w:p w14:paraId="3387348D" w14:textId="77777777" w:rsidR="0064723B" w:rsidRPr="00B06893" w:rsidRDefault="0064723B" w:rsidP="00501A02">
            <w:pPr>
              <w:pStyle w:val="TableText0"/>
            </w:pPr>
            <w:r w:rsidRPr="00B06893">
              <w:t>1 (2.0)</w:t>
            </w:r>
          </w:p>
        </w:tc>
        <w:tc>
          <w:tcPr>
            <w:tcW w:w="1267" w:type="pct"/>
            <w:vAlign w:val="center"/>
          </w:tcPr>
          <w:p w14:paraId="64F7DCA9" w14:textId="77777777" w:rsidR="0064723B" w:rsidRPr="00B06893" w:rsidRDefault="0064723B" w:rsidP="00501A02">
            <w:pPr>
              <w:pStyle w:val="TableText0"/>
            </w:pPr>
            <w:r w:rsidRPr="00B06893">
              <w:t xml:space="preserve">    Grade 2</w:t>
            </w:r>
          </w:p>
        </w:tc>
        <w:tc>
          <w:tcPr>
            <w:tcW w:w="1267" w:type="pct"/>
            <w:vAlign w:val="center"/>
          </w:tcPr>
          <w:p w14:paraId="13D93EA0" w14:textId="77777777" w:rsidR="0064723B" w:rsidRPr="00B06893" w:rsidRDefault="0064723B" w:rsidP="00501A02">
            <w:pPr>
              <w:pStyle w:val="TableText0"/>
            </w:pPr>
            <w:r w:rsidRPr="00B06893">
              <w:t>10 (20.0)</w:t>
            </w:r>
          </w:p>
        </w:tc>
      </w:tr>
      <w:tr w:rsidR="0064723B" w:rsidRPr="00B06893" w14:paraId="7EBCD9CF" w14:textId="77777777" w:rsidTr="00D20318">
        <w:trPr>
          <w:cantSplit/>
          <w:trHeight w:val="20"/>
        </w:trPr>
        <w:tc>
          <w:tcPr>
            <w:tcW w:w="2466" w:type="pct"/>
            <w:gridSpan w:val="2"/>
            <w:vAlign w:val="center"/>
          </w:tcPr>
          <w:p w14:paraId="25EF106D" w14:textId="77777777" w:rsidR="0064723B" w:rsidRPr="00B06893" w:rsidRDefault="0064723B" w:rsidP="00501A02">
            <w:pPr>
              <w:pStyle w:val="TableText0"/>
              <w:rPr>
                <w:b/>
                <w:bCs w:val="0"/>
              </w:rPr>
            </w:pPr>
            <w:r w:rsidRPr="00B06893">
              <w:rPr>
                <w:b/>
                <w:bCs w:val="0"/>
              </w:rPr>
              <w:t>Swelling (Hardness)</w:t>
            </w:r>
          </w:p>
        </w:tc>
        <w:tc>
          <w:tcPr>
            <w:tcW w:w="2534" w:type="pct"/>
            <w:gridSpan w:val="2"/>
            <w:vAlign w:val="center"/>
          </w:tcPr>
          <w:p w14:paraId="5F55EEF3" w14:textId="77777777" w:rsidR="0064723B" w:rsidRPr="00B06893" w:rsidRDefault="0064723B" w:rsidP="00501A02">
            <w:pPr>
              <w:pStyle w:val="TableText0"/>
              <w:rPr>
                <w:b/>
                <w:bCs w:val="0"/>
              </w:rPr>
            </w:pPr>
            <w:r w:rsidRPr="00B06893">
              <w:rPr>
                <w:b/>
                <w:bCs w:val="0"/>
              </w:rPr>
              <w:t>Myalgia</w:t>
            </w:r>
          </w:p>
        </w:tc>
      </w:tr>
      <w:tr w:rsidR="0064723B" w:rsidRPr="00B06893" w14:paraId="0D6B2869" w14:textId="77777777" w:rsidTr="00D20318">
        <w:trPr>
          <w:cantSplit/>
          <w:trHeight w:val="20"/>
        </w:trPr>
        <w:tc>
          <w:tcPr>
            <w:tcW w:w="1165" w:type="pct"/>
            <w:vAlign w:val="center"/>
          </w:tcPr>
          <w:p w14:paraId="2DFCCBDE" w14:textId="77777777" w:rsidR="0064723B" w:rsidRPr="00B06893" w:rsidRDefault="0064723B" w:rsidP="00501A02">
            <w:pPr>
              <w:pStyle w:val="TableText0"/>
            </w:pPr>
            <w:r w:rsidRPr="00B06893">
              <w:t xml:space="preserve">    Grade 1</w:t>
            </w:r>
          </w:p>
        </w:tc>
        <w:tc>
          <w:tcPr>
            <w:tcW w:w="1301" w:type="pct"/>
            <w:vAlign w:val="center"/>
          </w:tcPr>
          <w:p w14:paraId="5625CC41" w14:textId="77777777" w:rsidR="0064723B" w:rsidRPr="00B06893" w:rsidRDefault="0064723B" w:rsidP="00501A02">
            <w:pPr>
              <w:pStyle w:val="TableText0"/>
            </w:pPr>
            <w:r w:rsidRPr="00B06893">
              <w:t>2 (4.0)</w:t>
            </w:r>
          </w:p>
        </w:tc>
        <w:tc>
          <w:tcPr>
            <w:tcW w:w="1267" w:type="pct"/>
            <w:vAlign w:val="center"/>
          </w:tcPr>
          <w:p w14:paraId="0319B3D5" w14:textId="77777777" w:rsidR="0064723B" w:rsidRPr="00B06893" w:rsidRDefault="0064723B" w:rsidP="00501A02">
            <w:pPr>
              <w:pStyle w:val="TableText0"/>
            </w:pPr>
            <w:r w:rsidRPr="00B06893">
              <w:t xml:space="preserve">    Grade 1</w:t>
            </w:r>
          </w:p>
        </w:tc>
        <w:tc>
          <w:tcPr>
            <w:tcW w:w="1267" w:type="pct"/>
            <w:vAlign w:val="center"/>
          </w:tcPr>
          <w:p w14:paraId="0C149A2B" w14:textId="77777777" w:rsidR="0064723B" w:rsidRPr="00B06893" w:rsidRDefault="0064723B" w:rsidP="00501A02">
            <w:pPr>
              <w:pStyle w:val="TableText0"/>
            </w:pPr>
            <w:r w:rsidRPr="00B06893">
              <w:t>14 (28.0)</w:t>
            </w:r>
          </w:p>
        </w:tc>
      </w:tr>
      <w:tr w:rsidR="0064723B" w:rsidRPr="00B06893" w14:paraId="7A0F92F9" w14:textId="77777777" w:rsidTr="00D20318">
        <w:trPr>
          <w:cantSplit/>
          <w:trHeight w:val="20"/>
        </w:trPr>
        <w:tc>
          <w:tcPr>
            <w:tcW w:w="1165" w:type="pct"/>
            <w:vAlign w:val="center"/>
          </w:tcPr>
          <w:p w14:paraId="62FA04DF" w14:textId="77777777" w:rsidR="0064723B" w:rsidRPr="00B06893" w:rsidRDefault="0064723B" w:rsidP="00501A02">
            <w:pPr>
              <w:pStyle w:val="TableText0"/>
            </w:pPr>
            <w:r w:rsidRPr="00B06893">
              <w:t xml:space="preserve">    Grade 2</w:t>
            </w:r>
          </w:p>
        </w:tc>
        <w:tc>
          <w:tcPr>
            <w:tcW w:w="1301" w:type="pct"/>
            <w:vAlign w:val="center"/>
          </w:tcPr>
          <w:p w14:paraId="2C99CD92" w14:textId="77777777" w:rsidR="0064723B" w:rsidRPr="00B06893" w:rsidRDefault="0064723B" w:rsidP="00501A02">
            <w:pPr>
              <w:pStyle w:val="TableText0"/>
            </w:pPr>
            <w:r w:rsidRPr="00B06893">
              <w:t>3 (6.0)</w:t>
            </w:r>
          </w:p>
        </w:tc>
        <w:tc>
          <w:tcPr>
            <w:tcW w:w="1267" w:type="pct"/>
            <w:vAlign w:val="center"/>
          </w:tcPr>
          <w:p w14:paraId="23702113" w14:textId="77777777" w:rsidR="0064723B" w:rsidRPr="00B06893" w:rsidRDefault="0064723B" w:rsidP="00501A02">
            <w:pPr>
              <w:pStyle w:val="TableText0"/>
            </w:pPr>
            <w:r w:rsidRPr="00B06893">
              <w:t xml:space="preserve">    Grade 2</w:t>
            </w:r>
          </w:p>
        </w:tc>
        <w:tc>
          <w:tcPr>
            <w:tcW w:w="1267" w:type="pct"/>
            <w:vAlign w:val="center"/>
          </w:tcPr>
          <w:p w14:paraId="1FB190E0" w14:textId="77777777" w:rsidR="0064723B" w:rsidRPr="00B06893" w:rsidRDefault="0064723B" w:rsidP="00501A02">
            <w:pPr>
              <w:pStyle w:val="TableText0"/>
            </w:pPr>
            <w:r w:rsidRPr="00B06893">
              <w:t>5 (10.0)</w:t>
            </w:r>
          </w:p>
        </w:tc>
      </w:tr>
      <w:tr w:rsidR="0064723B" w:rsidRPr="00B06893" w14:paraId="7A027EA8" w14:textId="77777777" w:rsidTr="00D20318">
        <w:trPr>
          <w:cantSplit/>
          <w:trHeight w:val="20"/>
        </w:trPr>
        <w:tc>
          <w:tcPr>
            <w:tcW w:w="2466" w:type="pct"/>
            <w:gridSpan w:val="2"/>
            <w:vAlign w:val="center"/>
          </w:tcPr>
          <w:p w14:paraId="4286641A" w14:textId="77777777" w:rsidR="0064723B" w:rsidRPr="00B06893" w:rsidRDefault="0064723B" w:rsidP="00501A02">
            <w:pPr>
              <w:pStyle w:val="TableText0"/>
              <w:rPr>
                <w:b/>
                <w:bCs w:val="0"/>
              </w:rPr>
            </w:pPr>
            <w:r w:rsidRPr="00B06893">
              <w:rPr>
                <w:b/>
                <w:bCs w:val="0"/>
              </w:rPr>
              <w:t>Axillary Swelling or Tenderness</w:t>
            </w:r>
          </w:p>
        </w:tc>
        <w:tc>
          <w:tcPr>
            <w:tcW w:w="2534" w:type="pct"/>
            <w:gridSpan w:val="2"/>
            <w:vAlign w:val="center"/>
          </w:tcPr>
          <w:p w14:paraId="38BB06D9" w14:textId="77777777" w:rsidR="0064723B" w:rsidRPr="00B06893" w:rsidRDefault="0064723B" w:rsidP="00501A02">
            <w:pPr>
              <w:pStyle w:val="TableText0"/>
              <w:rPr>
                <w:b/>
                <w:bCs w:val="0"/>
              </w:rPr>
            </w:pPr>
            <w:r w:rsidRPr="00B06893">
              <w:rPr>
                <w:b/>
                <w:bCs w:val="0"/>
              </w:rPr>
              <w:t>Arthralgia</w:t>
            </w:r>
          </w:p>
        </w:tc>
      </w:tr>
      <w:tr w:rsidR="0064723B" w:rsidRPr="00B06893" w14:paraId="1A87F0F1" w14:textId="77777777" w:rsidTr="00D20318">
        <w:trPr>
          <w:cantSplit/>
          <w:trHeight w:val="20"/>
        </w:trPr>
        <w:tc>
          <w:tcPr>
            <w:tcW w:w="1165" w:type="pct"/>
            <w:vAlign w:val="center"/>
          </w:tcPr>
          <w:p w14:paraId="4CC1EC57" w14:textId="77777777" w:rsidR="0064723B" w:rsidRPr="00B06893" w:rsidRDefault="0064723B" w:rsidP="00501A02">
            <w:pPr>
              <w:pStyle w:val="TableText0"/>
            </w:pPr>
            <w:r w:rsidRPr="00B06893">
              <w:t xml:space="preserve">    Grade 1</w:t>
            </w:r>
          </w:p>
        </w:tc>
        <w:tc>
          <w:tcPr>
            <w:tcW w:w="1301" w:type="pct"/>
            <w:vAlign w:val="center"/>
          </w:tcPr>
          <w:p w14:paraId="4694A271" w14:textId="77777777" w:rsidR="0064723B" w:rsidRPr="00B06893" w:rsidRDefault="0064723B" w:rsidP="00501A02">
            <w:pPr>
              <w:pStyle w:val="TableText0"/>
            </w:pPr>
            <w:r w:rsidRPr="00B06893">
              <w:t>8 (16.0)</w:t>
            </w:r>
          </w:p>
        </w:tc>
        <w:tc>
          <w:tcPr>
            <w:tcW w:w="1267" w:type="pct"/>
            <w:vAlign w:val="center"/>
          </w:tcPr>
          <w:p w14:paraId="4F28A4EA" w14:textId="77777777" w:rsidR="0064723B" w:rsidRPr="00B06893" w:rsidRDefault="0064723B" w:rsidP="00501A02">
            <w:pPr>
              <w:pStyle w:val="TableText0"/>
            </w:pPr>
            <w:r w:rsidRPr="00B06893">
              <w:t xml:space="preserve">    Grade 1</w:t>
            </w:r>
          </w:p>
        </w:tc>
        <w:tc>
          <w:tcPr>
            <w:tcW w:w="1267" w:type="pct"/>
            <w:vAlign w:val="center"/>
          </w:tcPr>
          <w:p w14:paraId="654B7302" w14:textId="77777777" w:rsidR="0064723B" w:rsidRPr="00B06893" w:rsidRDefault="0064723B" w:rsidP="00501A02">
            <w:pPr>
              <w:pStyle w:val="TableText0"/>
            </w:pPr>
            <w:r w:rsidRPr="00B06893">
              <w:t>12 (24.0)</w:t>
            </w:r>
          </w:p>
        </w:tc>
      </w:tr>
      <w:tr w:rsidR="0064723B" w:rsidRPr="00B06893" w14:paraId="1FC0D6B0" w14:textId="77777777" w:rsidTr="00D20318">
        <w:trPr>
          <w:cantSplit/>
          <w:trHeight w:val="20"/>
        </w:trPr>
        <w:tc>
          <w:tcPr>
            <w:tcW w:w="1165" w:type="pct"/>
            <w:tcBorders>
              <w:bottom w:val="single" w:sz="4" w:space="0" w:color="auto"/>
            </w:tcBorders>
            <w:vAlign w:val="center"/>
          </w:tcPr>
          <w:p w14:paraId="6C32FF87" w14:textId="77777777" w:rsidR="0064723B" w:rsidRPr="00B06893" w:rsidRDefault="0064723B" w:rsidP="00501A02">
            <w:pPr>
              <w:pStyle w:val="TableText0"/>
            </w:pPr>
            <w:r w:rsidRPr="00B06893">
              <w:t xml:space="preserve">    Grade 2</w:t>
            </w:r>
          </w:p>
        </w:tc>
        <w:tc>
          <w:tcPr>
            <w:tcW w:w="1301" w:type="pct"/>
            <w:tcBorders>
              <w:bottom w:val="single" w:sz="4" w:space="0" w:color="auto"/>
            </w:tcBorders>
            <w:vAlign w:val="center"/>
          </w:tcPr>
          <w:p w14:paraId="7B81BDCC" w14:textId="77777777" w:rsidR="0064723B" w:rsidRPr="00B06893" w:rsidRDefault="0064723B" w:rsidP="00501A02">
            <w:pPr>
              <w:pStyle w:val="TableText0"/>
            </w:pPr>
            <w:r w:rsidRPr="00B06893">
              <w:t>0</w:t>
            </w:r>
          </w:p>
        </w:tc>
        <w:tc>
          <w:tcPr>
            <w:tcW w:w="1267" w:type="pct"/>
            <w:vAlign w:val="center"/>
          </w:tcPr>
          <w:p w14:paraId="3B5B40B5" w14:textId="77777777" w:rsidR="0064723B" w:rsidRPr="00B06893" w:rsidRDefault="0064723B" w:rsidP="00501A02">
            <w:pPr>
              <w:pStyle w:val="TableText0"/>
            </w:pPr>
            <w:r w:rsidRPr="00B06893">
              <w:t xml:space="preserve">    Grade 2</w:t>
            </w:r>
          </w:p>
        </w:tc>
        <w:tc>
          <w:tcPr>
            <w:tcW w:w="1267" w:type="pct"/>
            <w:vAlign w:val="center"/>
          </w:tcPr>
          <w:p w14:paraId="36CE3480" w14:textId="77777777" w:rsidR="0064723B" w:rsidRPr="00B06893" w:rsidRDefault="0064723B" w:rsidP="00501A02">
            <w:pPr>
              <w:pStyle w:val="TableText0"/>
            </w:pPr>
            <w:r w:rsidRPr="00B06893">
              <w:t>2 (4.0)</w:t>
            </w:r>
          </w:p>
        </w:tc>
      </w:tr>
      <w:tr w:rsidR="0064723B" w:rsidRPr="00B06893" w14:paraId="542446B3" w14:textId="77777777" w:rsidTr="00D20318">
        <w:trPr>
          <w:cantSplit/>
          <w:trHeight w:val="20"/>
        </w:trPr>
        <w:tc>
          <w:tcPr>
            <w:tcW w:w="2466" w:type="pct"/>
            <w:gridSpan w:val="2"/>
            <w:vMerge w:val="restart"/>
            <w:tcBorders>
              <w:top w:val="single" w:sz="4" w:space="0" w:color="auto"/>
              <w:left w:val="single" w:sz="4" w:space="0" w:color="auto"/>
            </w:tcBorders>
            <w:vAlign w:val="center"/>
          </w:tcPr>
          <w:p w14:paraId="43F8DCA7" w14:textId="77777777" w:rsidR="0064723B" w:rsidRPr="00B06893" w:rsidRDefault="0064723B" w:rsidP="00501A02">
            <w:pPr>
              <w:pStyle w:val="TableText0"/>
            </w:pPr>
          </w:p>
        </w:tc>
        <w:tc>
          <w:tcPr>
            <w:tcW w:w="2534" w:type="pct"/>
            <w:gridSpan w:val="2"/>
            <w:tcBorders>
              <w:top w:val="single" w:sz="4" w:space="0" w:color="auto"/>
              <w:left w:val="single" w:sz="4" w:space="0" w:color="auto"/>
              <w:bottom w:val="single" w:sz="4" w:space="0" w:color="auto"/>
            </w:tcBorders>
            <w:vAlign w:val="center"/>
          </w:tcPr>
          <w:p w14:paraId="3D35CDC8" w14:textId="77777777" w:rsidR="0064723B" w:rsidRPr="00B06893" w:rsidRDefault="0064723B" w:rsidP="00501A02">
            <w:pPr>
              <w:pStyle w:val="TableText0"/>
              <w:rPr>
                <w:b/>
                <w:bCs w:val="0"/>
              </w:rPr>
            </w:pPr>
            <w:r w:rsidRPr="00B06893">
              <w:rPr>
                <w:b/>
                <w:bCs w:val="0"/>
              </w:rPr>
              <w:t>Nausea/Vomiting</w:t>
            </w:r>
          </w:p>
        </w:tc>
      </w:tr>
      <w:tr w:rsidR="0064723B" w:rsidRPr="00B06893" w14:paraId="5B8032C4" w14:textId="77777777" w:rsidTr="00D20318">
        <w:trPr>
          <w:cantSplit/>
          <w:trHeight w:val="20"/>
        </w:trPr>
        <w:tc>
          <w:tcPr>
            <w:tcW w:w="2466" w:type="pct"/>
            <w:gridSpan w:val="2"/>
            <w:vMerge/>
            <w:tcBorders>
              <w:left w:val="single" w:sz="4" w:space="0" w:color="auto"/>
            </w:tcBorders>
            <w:vAlign w:val="center"/>
          </w:tcPr>
          <w:p w14:paraId="0EB92117" w14:textId="77777777" w:rsidR="0064723B" w:rsidRPr="00B06893" w:rsidRDefault="0064723B" w:rsidP="00501A02">
            <w:pPr>
              <w:pStyle w:val="TableText0"/>
            </w:pPr>
          </w:p>
        </w:tc>
        <w:tc>
          <w:tcPr>
            <w:tcW w:w="1267" w:type="pct"/>
            <w:vAlign w:val="center"/>
          </w:tcPr>
          <w:p w14:paraId="6F371D95" w14:textId="77777777" w:rsidR="0064723B" w:rsidRPr="00B06893" w:rsidRDefault="0064723B" w:rsidP="00501A02">
            <w:pPr>
              <w:pStyle w:val="TableText0"/>
            </w:pPr>
            <w:r w:rsidRPr="00B06893">
              <w:t xml:space="preserve">    Grade 1</w:t>
            </w:r>
          </w:p>
        </w:tc>
        <w:tc>
          <w:tcPr>
            <w:tcW w:w="1267" w:type="pct"/>
            <w:vAlign w:val="center"/>
          </w:tcPr>
          <w:p w14:paraId="3076E01B" w14:textId="77777777" w:rsidR="0064723B" w:rsidRPr="00B06893" w:rsidRDefault="0064723B" w:rsidP="00501A02">
            <w:pPr>
              <w:pStyle w:val="TableText0"/>
            </w:pPr>
            <w:r w:rsidRPr="00B06893">
              <w:t>4 (8.0)</w:t>
            </w:r>
          </w:p>
        </w:tc>
      </w:tr>
      <w:tr w:rsidR="0064723B" w:rsidRPr="00B06893" w14:paraId="46CB54BF" w14:textId="77777777" w:rsidTr="00D20318">
        <w:trPr>
          <w:cantSplit/>
          <w:trHeight w:val="20"/>
        </w:trPr>
        <w:tc>
          <w:tcPr>
            <w:tcW w:w="2466" w:type="pct"/>
            <w:gridSpan w:val="2"/>
            <w:vMerge/>
            <w:tcBorders>
              <w:left w:val="single" w:sz="4" w:space="0" w:color="auto"/>
            </w:tcBorders>
            <w:vAlign w:val="center"/>
          </w:tcPr>
          <w:p w14:paraId="60286391" w14:textId="77777777" w:rsidR="0064723B" w:rsidRPr="00B06893" w:rsidRDefault="0064723B" w:rsidP="00501A02">
            <w:pPr>
              <w:pStyle w:val="TableText0"/>
            </w:pPr>
          </w:p>
        </w:tc>
        <w:tc>
          <w:tcPr>
            <w:tcW w:w="2534" w:type="pct"/>
            <w:gridSpan w:val="2"/>
            <w:tcBorders>
              <w:top w:val="single" w:sz="4" w:space="0" w:color="auto"/>
              <w:left w:val="single" w:sz="4" w:space="0" w:color="auto"/>
              <w:bottom w:val="single" w:sz="4" w:space="0" w:color="auto"/>
            </w:tcBorders>
            <w:vAlign w:val="center"/>
          </w:tcPr>
          <w:p w14:paraId="08808DC4" w14:textId="77777777" w:rsidR="0064723B" w:rsidRPr="00B06893" w:rsidRDefault="0064723B" w:rsidP="00501A02">
            <w:pPr>
              <w:pStyle w:val="TableText0"/>
              <w:rPr>
                <w:b/>
                <w:bCs w:val="0"/>
              </w:rPr>
            </w:pPr>
            <w:r w:rsidRPr="00B06893">
              <w:rPr>
                <w:b/>
                <w:bCs w:val="0"/>
              </w:rPr>
              <w:t>Chills</w:t>
            </w:r>
          </w:p>
        </w:tc>
      </w:tr>
      <w:tr w:rsidR="0064723B" w:rsidRPr="00B06893" w14:paraId="7685F103" w14:textId="77777777" w:rsidTr="00D20318">
        <w:trPr>
          <w:cantSplit/>
          <w:trHeight w:val="20"/>
        </w:trPr>
        <w:tc>
          <w:tcPr>
            <w:tcW w:w="2466" w:type="pct"/>
            <w:gridSpan w:val="2"/>
            <w:vMerge/>
            <w:tcBorders>
              <w:left w:val="single" w:sz="4" w:space="0" w:color="auto"/>
            </w:tcBorders>
            <w:vAlign w:val="center"/>
          </w:tcPr>
          <w:p w14:paraId="017EF43D" w14:textId="77777777" w:rsidR="0064723B" w:rsidRPr="00B06893" w:rsidRDefault="0064723B" w:rsidP="00501A02">
            <w:pPr>
              <w:pStyle w:val="TableText0"/>
            </w:pPr>
          </w:p>
        </w:tc>
        <w:tc>
          <w:tcPr>
            <w:tcW w:w="1267" w:type="pct"/>
            <w:vAlign w:val="center"/>
          </w:tcPr>
          <w:p w14:paraId="7E6C7B42" w14:textId="77777777" w:rsidR="0064723B" w:rsidRPr="00B06893" w:rsidRDefault="0064723B" w:rsidP="00501A02">
            <w:pPr>
              <w:pStyle w:val="TableText0"/>
            </w:pPr>
            <w:r w:rsidRPr="00B06893">
              <w:t xml:space="preserve">    Grade 1</w:t>
            </w:r>
          </w:p>
        </w:tc>
        <w:tc>
          <w:tcPr>
            <w:tcW w:w="1267" w:type="pct"/>
            <w:vAlign w:val="center"/>
          </w:tcPr>
          <w:p w14:paraId="22C18E89" w14:textId="77777777" w:rsidR="0064723B" w:rsidRPr="00B06893" w:rsidRDefault="0064723B" w:rsidP="00501A02">
            <w:pPr>
              <w:pStyle w:val="TableText0"/>
            </w:pPr>
            <w:r w:rsidRPr="00B06893">
              <w:t>5 (10.0)</w:t>
            </w:r>
          </w:p>
        </w:tc>
      </w:tr>
      <w:tr w:rsidR="0064723B" w:rsidRPr="00B06893" w14:paraId="4116045E" w14:textId="77777777" w:rsidTr="00D20318">
        <w:trPr>
          <w:cantSplit/>
          <w:trHeight w:val="20"/>
        </w:trPr>
        <w:tc>
          <w:tcPr>
            <w:tcW w:w="2466" w:type="pct"/>
            <w:gridSpan w:val="2"/>
            <w:vMerge/>
            <w:tcBorders>
              <w:left w:val="single" w:sz="4" w:space="0" w:color="auto"/>
              <w:bottom w:val="single" w:sz="4" w:space="0" w:color="auto"/>
            </w:tcBorders>
            <w:vAlign w:val="center"/>
          </w:tcPr>
          <w:p w14:paraId="0B7BF8BA" w14:textId="77777777" w:rsidR="0064723B" w:rsidRPr="00B06893" w:rsidRDefault="0064723B" w:rsidP="00501A02">
            <w:pPr>
              <w:pStyle w:val="TableText0"/>
            </w:pPr>
          </w:p>
        </w:tc>
        <w:tc>
          <w:tcPr>
            <w:tcW w:w="1267" w:type="pct"/>
            <w:vAlign w:val="center"/>
          </w:tcPr>
          <w:p w14:paraId="2E01BC22" w14:textId="77777777" w:rsidR="0064723B" w:rsidRPr="00B06893" w:rsidRDefault="0064723B" w:rsidP="00501A02">
            <w:pPr>
              <w:pStyle w:val="TableText0"/>
            </w:pPr>
            <w:r w:rsidRPr="00B06893">
              <w:t xml:space="preserve">    Grade 2</w:t>
            </w:r>
          </w:p>
        </w:tc>
        <w:tc>
          <w:tcPr>
            <w:tcW w:w="1267" w:type="pct"/>
            <w:vAlign w:val="center"/>
          </w:tcPr>
          <w:p w14:paraId="139B1F8C" w14:textId="77777777" w:rsidR="0064723B" w:rsidRPr="00B06893" w:rsidRDefault="0064723B" w:rsidP="00501A02">
            <w:pPr>
              <w:pStyle w:val="TableText0"/>
            </w:pPr>
            <w:r w:rsidRPr="00B06893">
              <w:t>2 (4.0)</w:t>
            </w:r>
          </w:p>
        </w:tc>
      </w:tr>
    </w:tbl>
    <w:p w14:paraId="04B26112" w14:textId="6C4F88F4" w:rsidR="0064723B" w:rsidRPr="00B06893" w:rsidRDefault="0064723B" w:rsidP="00EB7231">
      <w:pPr>
        <w:pStyle w:val="TableFooter"/>
      </w:pPr>
      <w:r w:rsidRPr="00B06893">
        <w:t xml:space="preserve">Source: Table 28, p43 of the 2025 ATAGI </w:t>
      </w:r>
      <w:r w:rsidR="004D5C6C" w:rsidRPr="00B06893">
        <w:t>pre</w:t>
      </w:r>
      <w:r w:rsidR="00193971">
        <w:noBreakHyphen/>
      </w:r>
      <w:r w:rsidR="004D5C6C" w:rsidRPr="00B06893">
        <w:t>submission</w:t>
      </w:r>
      <w:r w:rsidRPr="00B06893">
        <w:t xml:space="preserve"> Advice for Spikevax.</w:t>
      </w:r>
    </w:p>
    <w:p w14:paraId="703493A2" w14:textId="4A4297A0" w:rsidR="0064723B" w:rsidRPr="00B06893" w:rsidRDefault="0064723B" w:rsidP="00EB7231">
      <w:pPr>
        <w:pStyle w:val="TableFooter"/>
      </w:pPr>
      <w:r w:rsidRPr="00B06893">
        <w:t>AR = adverse reaction</w:t>
      </w:r>
    </w:p>
    <w:p w14:paraId="78A7CED2" w14:textId="393B1817" w:rsidR="00EB7231" w:rsidRPr="00B06893" w:rsidRDefault="00EB7231" w:rsidP="00EB7231">
      <w:pPr>
        <w:pStyle w:val="3-BodyText"/>
      </w:pPr>
      <w:r w:rsidRPr="00B06893">
        <w:t>Study P205 (Part J) was a Phase 2/3 randomised trial comparing the reactogenicity, AEs, and immunogenicity of 50 µg doses of the monovalent mRNA</w:t>
      </w:r>
      <w:r w:rsidR="00193971">
        <w:noBreakHyphen/>
      </w:r>
      <w:r w:rsidRPr="00B06893">
        <w:t>1273.815 vaccine (50</w:t>
      </w:r>
      <w:r w:rsidR="00193971">
        <w:noBreakHyphen/>
      </w:r>
      <w:r w:rsidRPr="00B06893">
        <w:t>µg Omicron XBB.1.5 spike protein mRNA) with bivalent mRNA</w:t>
      </w:r>
      <w:r w:rsidR="00193971">
        <w:noBreakHyphen/>
      </w:r>
      <w:r w:rsidRPr="00B06893">
        <w:t>1273.231 vaccine (25</w:t>
      </w:r>
      <w:r w:rsidR="00193971">
        <w:noBreakHyphen/>
      </w:r>
      <w:r w:rsidRPr="00B06893">
        <w:t>µg Omicron XBB.1.5 and 25</w:t>
      </w:r>
      <w:r w:rsidR="00193971">
        <w:noBreakHyphen/>
      </w:r>
      <w:r w:rsidRPr="00B06893">
        <w:t>µg Omicron BA.4/BA.5 spike protein mRNAs). The applicability of this study remains uncertain given that the variants assessed are no longer predominant. The Interim safety data 29 days after vaccination indicated that most local and systemic adverse reactions were mild (Grade 1). There was one serious (Grade 3) systemic AE (fever). Approximately half of all patients reported taking medication to treat pain and/or fever.</w:t>
      </w:r>
    </w:p>
    <w:p w14:paraId="4DDC0144" w14:textId="0C2965BF" w:rsidR="00EB7231" w:rsidRPr="00B06893" w:rsidRDefault="00EB7231" w:rsidP="00EB7231">
      <w:pPr>
        <w:pStyle w:val="3-BodyText"/>
      </w:pPr>
      <w:r w:rsidRPr="00B06893">
        <w:t xml:space="preserve">In Study P205 (Part J), </w:t>
      </w:r>
      <w:proofErr w:type="gramStart"/>
      <w:r w:rsidRPr="00B06893">
        <w:t>the majority of</w:t>
      </w:r>
      <w:proofErr w:type="gramEnd"/>
      <w:r w:rsidRPr="00B06893">
        <w:t xml:space="preserve"> local and systemic AEs were mild (grade 1). There was one serious (Grade 3) systemic adverse reaction (fever). Approximately half of all patients reported taking medication to treat pain and/or fever</w:t>
      </w:r>
    </w:p>
    <w:p w14:paraId="28C41134" w14:textId="7F5EF346" w:rsidR="00EB7231" w:rsidRPr="00B06893" w:rsidRDefault="00EB7231" w:rsidP="00EB7231">
      <w:pPr>
        <w:pStyle w:val="3-BodyText"/>
      </w:pPr>
      <w:r w:rsidRPr="00B06893">
        <w:t xml:space="preserve">No solicited AEs were provided in the Clinical Study Report (CSR) for Study P403 (Parts 1 and 2). In Study P403 (part 2), no AESIs, SAEs, deaths, or AEs leading to study </w:t>
      </w:r>
      <w:r w:rsidRPr="00B06893">
        <w:lastRenderedPageBreak/>
        <w:t>withdrawal were reported. There was one serious (Grade 3) systemic adverse reaction (fever) reported in P403 for Spikevax.</w:t>
      </w:r>
    </w:p>
    <w:p w14:paraId="542C8681" w14:textId="1DD7EB82" w:rsidR="00EC506B" w:rsidRPr="00B06893" w:rsidRDefault="00EB7231" w:rsidP="00501A02">
      <w:pPr>
        <w:pStyle w:val="3-BodyText"/>
        <w:keepNext/>
      </w:pPr>
      <w:r w:rsidRPr="00B06893">
        <w:t>Adverse Events of Special Interest (AESIs):</w:t>
      </w:r>
      <w:r w:rsidR="00EC506B" w:rsidRPr="00B06893">
        <w:t>Two AESIs were reported in the P205 (Part J) study for the XBB.1.5 variant</w:t>
      </w:r>
      <w:r w:rsidR="00CC608B" w:rsidRPr="00B06893">
        <w:t>. Neither event was deemed related to the study vaccine by the investigator</w:t>
      </w:r>
      <w:r w:rsidR="00EC506B" w:rsidRPr="00B06893">
        <w:t>:</w:t>
      </w:r>
    </w:p>
    <w:p w14:paraId="2B5C24E7" w14:textId="4E77C73F" w:rsidR="00EC506B" w:rsidRPr="00B06893" w:rsidRDefault="00EC506B" w:rsidP="00D80B33">
      <w:pPr>
        <w:pStyle w:val="3-BodyText"/>
        <w:numPr>
          <w:ilvl w:val="0"/>
          <w:numId w:val="22"/>
        </w:numPr>
      </w:pPr>
      <w:r w:rsidRPr="00B06893">
        <w:t xml:space="preserve">The first participant experienced an event of serious ventricular tachycardia. </w:t>
      </w:r>
      <w:r w:rsidR="00CC608B" w:rsidRPr="00B06893">
        <w:t>The</w:t>
      </w:r>
      <w:r w:rsidRPr="00B06893">
        <w:t xml:space="preserve"> patient was discharged 2 days later with medication. As of the end of the study period, the event had not resolved.</w:t>
      </w:r>
    </w:p>
    <w:p w14:paraId="364FE875" w14:textId="4FF62B69" w:rsidR="00BD4874" w:rsidRPr="00B06893" w:rsidRDefault="00EC506B" w:rsidP="00EC506B">
      <w:pPr>
        <w:pStyle w:val="3-BodyText"/>
      </w:pPr>
      <w:r w:rsidRPr="00B06893">
        <w:t>One AESI was reported in the P403 (Part 1) study for the JN.1 variant. One participant who received mRNA</w:t>
      </w:r>
      <w:r w:rsidR="00193971">
        <w:noBreakHyphen/>
      </w:r>
      <w:r w:rsidRPr="00B06893">
        <w:t xml:space="preserve">1273.167 presented to the emergency department with chest pain. A small pulmonary embolism was found and treated with anticoagulants. The event was not deemed related to vaccination by the investigator. </w:t>
      </w:r>
    </w:p>
    <w:p w14:paraId="3948626C" w14:textId="25FB67E7" w:rsidR="007E6280" w:rsidRPr="00B06893" w:rsidRDefault="007E6280" w:rsidP="007E6280">
      <w:pPr>
        <w:pStyle w:val="5-SubsectionSubheading"/>
        <w:rPr>
          <w:lang w:eastAsia="en-US"/>
        </w:rPr>
      </w:pPr>
      <w:bookmarkStart w:id="58" w:name="_Toc219898338"/>
      <w:r w:rsidRPr="00B06893">
        <w:rPr>
          <w:lang w:eastAsia="en-US"/>
        </w:rPr>
        <w:t>Spikevax versus Comirnaty</w:t>
      </w:r>
      <w:bookmarkEnd w:id="58"/>
    </w:p>
    <w:p w14:paraId="69138BCC" w14:textId="4CEA8288" w:rsidR="007E6280" w:rsidRPr="00B06893" w:rsidRDefault="007E6280" w:rsidP="007E6280">
      <w:pPr>
        <w:pStyle w:val="3-BodyText"/>
      </w:pPr>
      <w:r w:rsidRPr="00B06893">
        <w:t xml:space="preserve">The study population in Mok (2025) constituted of 129 individuals ≥60 years of age who were recruited between 2 January and 3 February 2024 and received a dose of either Comirnaty (n=59) or </w:t>
      </w:r>
      <w:r w:rsidR="00A93CFE" w:rsidRPr="00B06893">
        <w:t>Spikevax</w:t>
      </w:r>
      <w:r w:rsidRPr="00B06893">
        <w:t xml:space="preserve"> (n=70) monovalent XBB.1.5 COVID</w:t>
      </w:r>
      <w:r w:rsidR="00193971">
        <w:noBreakHyphen/>
      </w:r>
      <w:r w:rsidRPr="00B06893">
        <w:t>19 vaccine.</w:t>
      </w:r>
    </w:p>
    <w:p w14:paraId="666513CA" w14:textId="2E77410A" w:rsidR="00450DF7" w:rsidRPr="00B06893" w:rsidRDefault="00450DF7" w:rsidP="007E6280">
      <w:pPr>
        <w:pStyle w:val="3-BodyText"/>
      </w:pPr>
      <w:r w:rsidRPr="00B06893">
        <w:t>AEs were more frequent in the Spikevax arm compared to the Comirnaty arm for both local and systemic reactions. Local reactions included (non</w:t>
      </w:r>
      <w:r w:rsidR="00193971">
        <w:noBreakHyphen/>
      </w:r>
      <w:r w:rsidRPr="00B06893">
        <w:t>exhaustive) included pain (48.6% vs. 42.4%), pruritus (10.0% vs. 3.4%), and swelling (15.7% vs. 10.2%). Systemic reactions included (non</w:t>
      </w:r>
      <w:r w:rsidR="00193971">
        <w:noBreakHyphen/>
      </w:r>
      <w:r w:rsidRPr="00B06893">
        <w:t>exhaustive) fever (15.7% vs. 1.7%), fatigue (25.7% vs. 11.9%), muscle pain (12.9% vs. 8.5%), and headache (10.0% vs. 3.4%).</w:t>
      </w:r>
    </w:p>
    <w:p w14:paraId="3D62C89B" w14:textId="7FD35DD3" w:rsidR="00834B65" w:rsidRPr="00B06893" w:rsidRDefault="00450DF7" w:rsidP="00DC1DE1">
      <w:pPr>
        <w:pStyle w:val="3-BodyText"/>
        <w:spacing w:before="160"/>
      </w:pPr>
      <w:proofErr w:type="gramStart"/>
      <w:r w:rsidRPr="00B06893">
        <w:t>The majority of</w:t>
      </w:r>
      <w:proofErr w:type="gramEnd"/>
      <w:r w:rsidRPr="00B06893">
        <w:t xml:space="preserve"> reactions were mild and resolved on their own. The authors noted that the higher frequency of adverse events in the Spikevax arm may be associated with a higher dose of mRNA in the vaccine compared to the Comirnaty vaccine (50μg versus 30μg per dose, respectively).</w:t>
      </w:r>
    </w:p>
    <w:p w14:paraId="0A717821" w14:textId="1441A79E" w:rsidR="00996F57" w:rsidRPr="00B06893" w:rsidRDefault="00996F57" w:rsidP="00501A02">
      <w:pPr>
        <w:pStyle w:val="3-BodyText"/>
        <w:spacing w:before="160"/>
        <w:rPr>
          <w:iCs/>
        </w:rPr>
      </w:pPr>
      <w:r w:rsidRPr="00B06893">
        <w:rPr>
          <w:iCs/>
        </w:rPr>
        <w:t xml:space="preserve">The ESC noted that a dose of either </w:t>
      </w:r>
      <w:r w:rsidR="00A93CFE" w:rsidRPr="00B06893">
        <w:rPr>
          <w:iCs/>
        </w:rPr>
        <w:t>Spikevax</w:t>
      </w:r>
      <w:r w:rsidRPr="00B06893">
        <w:rPr>
          <w:iCs/>
        </w:rPr>
        <w:t xml:space="preserve"> or Comirnaty has been reported to increase the risk of myocarditis or pericarditis compared to no mRNA COVID</w:t>
      </w:r>
      <w:r w:rsidR="00193971">
        <w:rPr>
          <w:iCs/>
        </w:rPr>
        <w:noBreakHyphen/>
      </w:r>
      <w:r w:rsidRPr="00B06893">
        <w:rPr>
          <w:iCs/>
        </w:rPr>
        <w:t xml:space="preserve">19 vaccine, as discussed in paragraph </w:t>
      </w:r>
      <w:r w:rsidRPr="00B06893">
        <w:rPr>
          <w:iCs/>
        </w:rPr>
        <w:fldChar w:fldCharType="begin"/>
      </w:r>
      <w:r w:rsidRPr="00B06893">
        <w:rPr>
          <w:iCs/>
        </w:rPr>
        <w:instrText xml:space="preserve"> REF _Ref221717438 \r \h  \* MERGEFORMAT </w:instrText>
      </w:r>
      <w:r w:rsidRPr="00B06893">
        <w:rPr>
          <w:iCs/>
        </w:rPr>
      </w:r>
      <w:r w:rsidRPr="00B06893">
        <w:rPr>
          <w:iCs/>
        </w:rPr>
        <w:fldChar w:fldCharType="separate"/>
      </w:r>
      <w:r w:rsidR="00810177" w:rsidRPr="00B06893">
        <w:rPr>
          <w:iCs/>
        </w:rPr>
        <w:t>2.10</w:t>
      </w:r>
      <w:r w:rsidRPr="00B06893">
        <w:rPr>
          <w:iCs/>
        </w:rPr>
        <w:fldChar w:fldCharType="end"/>
      </w:r>
      <w:r w:rsidRPr="00B06893">
        <w:rPr>
          <w:iCs/>
        </w:rPr>
        <w:t>.</w:t>
      </w:r>
    </w:p>
    <w:p w14:paraId="631A4D8D" w14:textId="77777777" w:rsidR="00834B65" w:rsidRPr="00B06893" w:rsidRDefault="00834B65" w:rsidP="00DC1DE1">
      <w:pPr>
        <w:spacing w:before="160"/>
        <w:rPr>
          <w:b/>
          <w:bCs/>
        </w:rPr>
      </w:pPr>
      <w:r w:rsidRPr="00B06893">
        <w:rPr>
          <w:b/>
          <w:bCs/>
        </w:rPr>
        <w:t>National Centre for Immunisation and Surveillance (2025) systematic review (K=4 studies)</w:t>
      </w:r>
    </w:p>
    <w:p w14:paraId="356C36F0" w14:textId="6F26301E" w:rsidR="00834B65" w:rsidRPr="00B06893" w:rsidRDefault="00834B65" w:rsidP="00834B65">
      <w:pPr>
        <w:pStyle w:val="3-BodyText"/>
      </w:pPr>
      <w:r w:rsidRPr="00B06893">
        <w:t>The 2025 ATAGI pre</w:t>
      </w:r>
      <w:r w:rsidR="00193971">
        <w:noBreakHyphen/>
      </w:r>
      <w:r w:rsidRPr="00B06893">
        <w:t>submission Advice</w:t>
      </w:r>
      <w:r w:rsidR="000829FB">
        <w:t xml:space="preserve"> </w:t>
      </w:r>
      <w:r w:rsidRPr="00B06893">
        <w:t>also presented safety data from the National Centre for Immunisation and Surveillance (2025) systematic review (K=4 studies).</w:t>
      </w:r>
    </w:p>
    <w:p w14:paraId="031E176F" w14:textId="2A5D3F92" w:rsidR="00834B65" w:rsidRPr="00B06893" w:rsidRDefault="00834B65" w:rsidP="00834B65">
      <w:pPr>
        <w:pStyle w:val="3-BodyText"/>
      </w:pPr>
      <w:r w:rsidRPr="00B06893">
        <w:t xml:space="preserve">This review consistently reported that frequency of solicited adverse events was slightly lower in Comirnaty versus </w:t>
      </w:r>
      <w:r w:rsidR="00A93CFE" w:rsidRPr="00B06893">
        <w:t>Spikevax</w:t>
      </w:r>
      <w:r w:rsidRPr="00B06893">
        <w:t xml:space="preserve"> (</w:t>
      </w:r>
      <w:r w:rsidRPr="00B06893">
        <w:fldChar w:fldCharType="begin"/>
      </w:r>
      <w:r w:rsidRPr="00B06893">
        <w:instrText xml:space="preserve"> REF _Ref219894839 \h </w:instrText>
      </w:r>
      <w:r w:rsidR="00DA291F" w:rsidRPr="00B06893">
        <w:instrText xml:space="preserve"> \* MERGEFORMAT </w:instrText>
      </w:r>
      <w:r w:rsidRPr="00B06893">
        <w:fldChar w:fldCharType="separate"/>
      </w:r>
      <w:r w:rsidR="00810177" w:rsidRPr="00B06893">
        <w:t>Table 19</w:t>
      </w:r>
      <w:r w:rsidRPr="00B06893">
        <w:fldChar w:fldCharType="end"/>
      </w:r>
      <w:r w:rsidRPr="00B06893">
        <w:t>).</w:t>
      </w:r>
    </w:p>
    <w:p w14:paraId="17BC3B15" w14:textId="77777777" w:rsidR="00834B65" w:rsidRPr="00B06893" w:rsidRDefault="00834B65" w:rsidP="00834B65"/>
    <w:p w14:paraId="34759E72" w14:textId="1C2490EF" w:rsidR="00834B65" w:rsidRPr="00B06893" w:rsidRDefault="00834B65" w:rsidP="00334943">
      <w:pPr>
        <w:pStyle w:val="Caption"/>
        <w:rPr>
          <w:b w:val="0"/>
        </w:rPr>
      </w:pPr>
      <w:bookmarkStart w:id="59" w:name="_Ref219894839"/>
      <w:r w:rsidRPr="00B06893">
        <w:lastRenderedPageBreak/>
        <w:t xml:space="preserve">Table </w:t>
      </w:r>
      <w:fldSimple w:instr=" SEQ Table \* ARABIC ">
        <w:r w:rsidR="00810177" w:rsidRPr="00B06893">
          <w:t>19</w:t>
        </w:r>
      </w:fldSimple>
      <w:bookmarkEnd w:id="59"/>
      <w:r w:rsidRPr="00B06893">
        <w:t>: National Centre for Immunisation and Surveillance (2025) systematic review (K=4 studies): Comparison of solicited adverse events in individuals who received mRNA COVID</w:t>
      </w:r>
      <w:r w:rsidR="00193971">
        <w:noBreakHyphen/>
      </w:r>
      <w:r w:rsidRPr="00B06893">
        <w:t>19 vaccines</w:t>
      </w:r>
    </w:p>
    <w:tbl>
      <w:tblPr>
        <w:tblStyle w:val="TableGrid"/>
        <w:tblW w:w="5000" w:type="pct"/>
        <w:tblCellMar>
          <w:left w:w="57" w:type="dxa"/>
          <w:right w:w="57" w:type="dxa"/>
        </w:tblCellMar>
        <w:tblLook w:val="04A0" w:firstRow="1" w:lastRow="0" w:firstColumn="1" w:lastColumn="0" w:noHBand="0" w:noVBand="1"/>
        <w:tblCaption w:val="Table 19: National Centre for Immunisation and Surveillance (2025) systematic review (K=4 studies): Comparison of solicited adverse events in individuals who received mRNA COVID 19 vaccines"/>
      </w:tblPr>
      <w:tblGrid>
        <w:gridCol w:w="1804"/>
        <w:gridCol w:w="1804"/>
        <w:gridCol w:w="1803"/>
        <w:gridCol w:w="1803"/>
        <w:gridCol w:w="1803"/>
      </w:tblGrid>
      <w:tr w:rsidR="00834B65" w:rsidRPr="00B06893" w14:paraId="6D2F0017" w14:textId="77777777" w:rsidTr="00501A02">
        <w:trPr>
          <w:cantSplit/>
        </w:trPr>
        <w:tc>
          <w:tcPr>
            <w:tcW w:w="1000" w:type="pct"/>
            <w:vMerge w:val="restart"/>
          </w:tcPr>
          <w:p w14:paraId="1F4C39D6" w14:textId="77777777" w:rsidR="00834B65" w:rsidRPr="00B06893" w:rsidRDefault="00834B65" w:rsidP="00334943">
            <w:pPr>
              <w:pStyle w:val="Tabletext"/>
              <w:keepNext/>
              <w:keepLines/>
              <w:rPr>
                <w:b/>
                <w:bCs/>
              </w:rPr>
            </w:pPr>
          </w:p>
        </w:tc>
        <w:tc>
          <w:tcPr>
            <w:tcW w:w="2000" w:type="pct"/>
            <w:gridSpan w:val="2"/>
          </w:tcPr>
          <w:p w14:paraId="4A53769F" w14:textId="34FD0DA4" w:rsidR="00834B65" w:rsidRPr="00B06893" w:rsidRDefault="00A93CFE" w:rsidP="00334943">
            <w:pPr>
              <w:pStyle w:val="Tabletext"/>
              <w:keepNext/>
              <w:keepLines/>
              <w:rPr>
                <w:b/>
                <w:bCs/>
              </w:rPr>
            </w:pPr>
            <w:r w:rsidRPr="00B06893">
              <w:rPr>
                <w:b/>
                <w:bCs/>
              </w:rPr>
              <w:t>Spikevax</w:t>
            </w:r>
          </w:p>
        </w:tc>
        <w:tc>
          <w:tcPr>
            <w:tcW w:w="2000" w:type="pct"/>
            <w:gridSpan w:val="2"/>
          </w:tcPr>
          <w:p w14:paraId="7EFA8E38" w14:textId="77777777" w:rsidR="00834B65" w:rsidRPr="00B06893" w:rsidRDefault="00834B65" w:rsidP="00334943">
            <w:pPr>
              <w:pStyle w:val="Tabletext"/>
              <w:keepNext/>
              <w:keepLines/>
              <w:rPr>
                <w:b/>
                <w:bCs/>
              </w:rPr>
            </w:pPr>
            <w:r w:rsidRPr="00B06893">
              <w:rPr>
                <w:b/>
                <w:bCs/>
              </w:rPr>
              <w:t>Comirnaty</w:t>
            </w:r>
          </w:p>
        </w:tc>
      </w:tr>
      <w:tr w:rsidR="00834B65" w:rsidRPr="00B06893" w14:paraId="1EBDE5A0" w14:textId="77777777" w:rsidTr="00501A02">
        <w:trPr>
          <w:cantSplit/>
        </w:trPr>
        <w:tc>
          <w:tcPr>
            <w:tcW w:w="1000" w:type="pct"/>
            <w:vMerge/>
          </w:tcPr>
          <w:p w14:paraId="3F235509" w14:textId="77777777" w:rsidR="00834B65" w:rsidRPr="00B06893" w:rsidRDefault="00834B65" w:rsidP="00334943">
            <w:pPr>
              <w:pStyle w:val="Tabletext"/>
              <w:keepNext/>
              <w:keepLines/>
            </w:pPr>
          </w:p>
        </w:tc>
        <w:tc>
          <w:tcPr>
            <w:tcW w:w="1000" w:type="pct"/>
          </w:tcPr>
          <w:p w14:paraId="49821CA6" w14:textId="77777777" w:rsidR="00834B65" w:rsidRPr="00B06893" w:rsidRDefault="00834B65" w:rsidP="00334943">
            <w:pPr>
              <w:pStyle w:val="Tabletext"/>
              <w:keepNext/>
              <w:keepLines/>
            </w:pPr>
            <w:r w:rsidRPr="00B06893">
              <w:t>Dose 1</w:t>
            </w:r>
          </w:p>
        </w:tc>
        <w:tc>
          <w:tcPr>
            <w:tcW w:w="1000" w:type="pct"/>
          </w:tcPr>
          <w:p w14:paraId="1F91F91A" w14:textId="77777777" w:rsidR="00834B65" w:rsidRPr="00B06893" w:rsidRDefault="00834B65" w:rsidP="00334943">
            <w:pPr>
              <w:pStyle w:val="Tabletext"/>
              <w:keepNext/>
              <w:keepLines/>
            </w:pPr>
            <w:r w:rsidRPr="00B06893">
              <w:t>Dose 2</w:t>
            </w:r>
          </w:p>
        </w:tc>
        <w:tc>
          <w:tcPr>
            <w:tcW w:w="1000" w:type="pct"/>
          </w:tcPr>
          <w:p w14:paraId="3E0E2A65" w14:textId="77777777" w:rsidR="00834B65" w:rsidRPr="00B06893" w:rsidRDefault="00834B65" w:rsidP="00334943">
            <w:pPr>
              <w:pStyle w:val="Tabletext"/>
              <w:keepNext/>
              <w:keepLines/>
            </w:pPr>
            <w:r w:rsidRPr="00B06893">
              <w:t>Dose 1</w:t>
            </w:r>
          </w:p>
        </w:tc>
        <w:tc>
          <w:tcPr>
            <w:tcW w:w="1000" w:type="pct"/>
          </w:tcPr>
          <w:p w14:paraId="407D3743" w14:textId="77777777" w:rsidR="00834B65" w:rsidRPr="00B06893" w:rsidRDefault="00834B65" w:rsidP="00334943">
            <w:pPr>
              <w:pStyle w:val="Tabletext"/>
              <w:keepNext/>
              <w:keepLines/>
            </w:pPr>
            <w:r w:rsidRPr="00B06893">
              <w:t>Dose 2</w:t>
            </w:r>
          </w:p>
        </w:tc>
      </w:tr>
      <w:tr w:rsidR="00834B65" w:rsidRPr="00B06893" w14:paraId="68E3D0F7" w14:textId="77777777" w:rsidTr="00501A02">
        <w:trPr>
          <w:cantSplit/>
        </w:trPr>
        <w:tc>
          <w:tcPr>
            <w:tcW w:w="1000" w:type="pct"/>
          </w:tcPr>
          <w:p w14:paraId="761EEE42" w14:textId="77777777" w:rsidR="00834B65" w:rsidRPr="00B06893" w:rsidRDefault="00834B65" w:rsidP="00334943">
            <w:pPr>
              <w:pStyle w:val="Tabletext"/>
              <w:keepNext/>
              <w:keepLines/>
            </w:pPr>
            <w:r w:rsidRPr="00B06893">
              <w:t>Local</w:t>
            </w:r>
          </w:p>
        </w:tc>
        <w:tc>
          <w:tcPr>
            <w:tcW w:w="1000" w:type="pct"/>
          </w:tcPr>
          <w:p w14:paraId="1BA75097" w14:textId="77777777" w:rsidR="00834B65" w:rsidRPr="00B06893" w:rsidRDefault="00834B65" w:rsidP="00334943">
            <w:pPr>
              <w:pStyle w:val="Tabletext"/>
              <w:keepNext/>
              <w:keepLines/>
            </w:pPr>
            <w:r w:rsidRPr="00B06893">
              <w:t>78%</w:t>
            </w:r>
          </w:p>
        </w:tc>
        <w:tc>
          <w:tcPr>
            <w:tcW w:w="1000" w:type="pct"/>
          </w:tcPr>
          <w:p w14:paraId="7CCB7902" w14:textId="77777777" w:rsidR="00834B65" w:rsidRPr="00B06893" w:rsidRDefault="00834B65" w:rsidP="00334943">
            <w:pPr>
              <w:pStyle w:val="Tabletext"/>
              <w:keepNext/>
              <w:keepLines/>
            </w:pPr>
            <w:r w:rsidRPr="00B06893">
              <w:t>84.2%</w:t>
            </w:r>
          </w:p>
        </w:tc>
        <w:tc>
          <w:tcPr>
            <w:tcW w:w="1000" w:type="pct"/>
          </w:tcPr>
          <w:p w14:paraId="24EE3EDC" w14:textId="77777777" w:rsidR="00834B65" w:rsidRPr="00B06893" w:rsidRDefault="00834B65" w:rsidP="00334943">
            <w:pPr>
              <w:pStyle w:val="Tabletext"/>
              <w:keepNext/>
              <w:keepLines/>
            </w:pPr>
            <w:r w:rsidRPr="00B06893">
              <w:t>43%</w:t>
            </w:r>
          </w:p>
        </w:tc>
        <w:tc>
          <w:tcPr>
            <w:tcW w:w="1000" w:type="pct"/>
          </w:tcPr>
          <w:p w14:paraId="62EE3E95" w14:textId="77777777" w:rsidR="00834B65" w:rsidRPr="00B06893" w:rsidRDefault="00834B65" w:rsidP="00334943">
            <w:pPr>
              <w:pStyle w:val="Tabletext"/>
              <w:keepNext/>
              <w:keepLines/>
            </w:pPr>
            <w:r w:rsidRPr="00B06893">
              <w:t>58%</w:t>
            </w:r>
          </w:p>
        </w:tc>
      </w:tr>
      <w:tr w:rsidR="00834B65" w:rsidRPr="00B06893" w14:paraId="1C7F973E" w14:textId="77777777" w:rsidTr="00501A02">
        <w:trPr>
          <w:cantSplit/>
        </w:trPr>
        <w:tc>
          <w:tcPr>
            <w:tcW w:w="1000" w:type="pct"/>
          </w:tcPr>
          <w:p w14:paraId="06D470B8" w14:textId="77777777" w:rsidR="00834B65" w:rsidRPr="00B06893" w:rsidRDefault="00834B65" w:rsidP="00334943">
            <w:pPr>
              <w:pStyle w:val="Tabletext"/>
              <w:keepNext/>
              <w:keepLines/>
            </w:pPr>
            <w:r w:rsidRPr="00B06893">
              <w:t>Systemic</w:t>
            </w:r>
          </w:p>
        </w:tc>
        <w:tc>
          <w:tcPr>
            <w:tcW w:w="1000" w:type="pct"/>
          </w:tcPr>
          <w:p w14:paraId="1EF50648" w14:textId="77777777" w:rsidR="00834B65" w:rsidRPr="00B06893" w:rsidRDefault="00834B65" w:rsidP="00334943">
            <w:pPr>
              <w:pStyle w:val="Tabletext"/>
              <w:keepNext/>
              <w:keepLines/>
            </w:pPr>
            <w:r w:rsidRPr="00B06893">
              <w:t>74%</w:t>
            </w:r>
          </w:p>
        </w:tc>
        <w:tc>
          <w:tcPr>
            <w:tcW w:w="1000" w:type="pct"/>
          </w:tcPr>
          <w:p w14:paraId="38FEBDEA" w14:textId="77777777" w:rsidR="00834B65" w:rsidRPr="00B06893" w:rsidRDefault="00834B65" w:rsidP="00334943">
            <w:pPr>
              <w:pStyle w:val="Tabletext"/>
              <w:keepNext/>
              <w:keepLines/>
            </w:pPr>
            <w:r w:rsidRPr="00B06893">
              <w:t>88.7%</w:t>
            </w:r>
          </w:p>
        </w:tc>
        <w:tc>
          <w:tcPr>
            <w:tcW w:w="1000" w:type="pct"/>
          </w:tcPr>
          <w:p w14:paraId="1FC897F8" w14:textId="77777777" w:rsidR="00834B65" w:rsidRPr="00B06893" w:rsidRDefault="00834B65" w:rsidP="00334943">
            <w:pPr>
              <w:pStyle w:val="Tabletext"/>
              <w:keepNext/>
              <w:keepLines/>
            </w:pPr>
            <w:r w:rsidRPr="00B06893">
              <w:t>54.8%</w:t>
            </w:r>
          </w:p>
        </w:tc>
        <w:tc>
          <w:tcPr>
            <w:tcW w:w="1000" w:type="pct"/>
          </w:tcPr>
          <w:p w14:paraId="6D7AD663" w14:textId="77777777" w:rsidR="00834B65" w:rsidRPr="00B06893" w:rsidRDefault="00834B65" w:rsidP="00334943">
            <w:pPr>
              <w:pStyle w:val="Tabletext"/>
              <w:keepNext/>
              <w:keepLines/>
            </w:pPr>
            <w:r w:rsidRPr="00B06893">
              <w:t>79.5%</w:t>
            </w:r>
          </w:p>
        </w:tc>
      </w:tr>
    </w:tbl>
    <w:p w14:paraId="65D9E1FD" w14:textId="35A8E768" w:rsidR="00834B65" w:rsidRPr="00B06893" w:rsidRDefault="00834B65" w:rsidP="00334943">
      <w:pPr>
        <w:pStyle w:val="TableFooter"/>
        <w:keepNext/>
        <w:keepLines/>
      </w:pPr>
      <w:r w:rsidRPr="00B06893">
        <w:t>Source: Table 37, p58 of the 2025 ATAGI pre</w:t>
      </w:r>
      <w:r w:rsidR="00193971">
        <w:noBreakHyphen/>
      </w:r>
      <w:r w:rsidRPr="00B06893">
        <w:t>submission Advice.</w:t>
      </w:r>
    </w:p>
    <w:p w14:paraId="72BF9726" w14:textId="56D9BCF0" w:rsidR="00834B65" w:rsidRPr="00B06893" w:rsidRDefault="00834B65" w:rsidP="00334943">
      <w:pPr>
        <w:pStyle w:val="TableFooter"/>
        <w:keepNext/>
        <w:keepLines/>
      </w:pPr>
      <w:r w:rsidRPr="00B06893">
        <w:t>COVID</w:t>
      </w:r>
      <w:r w:rsidR="00193971">
        <w:noBreakHyphen/>
      </w:r>
      <w:r w:rsidRPr="00B06893">
        <w:t>19 = against coronavirus disease 2019; mRNA = messenger ribonucleic acid</w:t>
      </w:r>
    </w:p>
    <w:p w14:paraId="66372D71" w14:textId="77777777" w:rsidR="00834B65" w:rsidRPr="00B06893" w:rsidRDefault="00834B65" w:rsidP="00834B65"/>
    <w:p w14:paraId="04908C7F" w14:textId="415B9B7D" w:rsidR="007F1017" w:rsidRPr="00B06893" w:rsidRDefault="007F1017" w:rsidP="007F6A1E">
      <w:pPr>
        <w:pStyle w:val="4-SubsectionHeading"/>
      </w:pPr>
      <w:bookmarkStart w:id="60" w:name="_Toc22897643"/>
      <w:bookmarkStart w:id="61" w:name="_Toc219898339"/>
      <w:r w:rsidRPr="00B06893">
        <w:t>Benefits/harms</w:t>
      </w:r>
      <w:bookmarkEnd w:id="60"/>
      <w:bookmarkEnd w:id="61"/>
    </w:p>
    <w:p w14:paraId="613E06A0" w14:textId="41129EF1" w:rsidR="00810233" w:rsidRPr="00B06893" w:rsidRDefault="008954E9" w:rsidP="00501A02">
      <w:pPr>
        <w:pStyle w:val="3-BodyText"/>
      </w:pPr>
      <w:r w:rsidRPr="00B06893">
        <w:t>The</w:t>
      </w:r>
      <w:r w:rsidR="00810233" w:rsidRPr="00B06893">
        <w:t>re</w:t>
      </w:r>
      <w:r w:rsidRPr="00B06893">
        <w:t xml:space="preserve"> was no randomised clinical evidence to support benefit statements for </w:t>
      </w:r>
      <w:r w:rsidR="00810233" w:rsidRPr="00B06893">
        <w:t>Spikevax</w:t>
      </w:r>
      <w:r w:rsidRPr="00B06893">
        <w:t>.</w:t>
      </w:r>
      <w:r w:rsidR="00810233" w:rsidRPr="00B06893">
        <w:t xml:space="preserve"> </w:t>
      </w:r>
      <w:r w:rsidRPr="00B06893">
        <w:t>An estimate of benefit</w:t>
      </w:r>
      <w:r w:rsidR="00856AC2" w:rsidRPr="00B06893">
        <w:t xml:space="preserve"> and harms</w:t>
      </w:r>
      <w:r w:rsidRPr="00B06893">
        <w:t xml:space="preserve"> is </w:t>
      </w:r>
      <w:r w:rsidR="004906BE" w:rsidRPr="00B06893">
        <w:t xml:space="preserve">not </w:t>
      </w:r>
      <w:r w:rsidRPr="00B06893">
        <w:t>presented</w:t>
      </w:r>
      <w:r w:rsidR="00810233" w:rsidRPr="00B06893">
        <w:t xml:space="preserve">. </w:t>
      </w:r>
    </w:p>
    <w:p w14:paraId="7A1772B6" w14:textId="23BB3145" w:rsidR="00B60939" w:rsidRPr="00B06893" w:rsidRDefault="00B60939" w:rsidP="007F6A1E">
      <w:pPr>
        <w:pStyle w:val="4-SubsectionHeading"/>
        <w:rPr>
          <w:iCs/>
        </w:rPr>
      </w:pPr>
      <w:bookmarkStart w:id="62" w:name="_Toc22897644"/>
      <w:bookmarkStart w:id="63" w:name="_Toc219898340"/>
      <w:r w:rsidRPr="00B06893">
        <w:t>Clinical claim</w:t>
      </w:r>
      <w:bookmarkEnd w:id="62"/>
      <w:bookmarkEnd w:id="63"/>
    </w:p>
    <w:p w14:paraId="1BF4504A" w14:textId="77777777" w:rsidR="007F1C9F" w:rsidRPr="00B06893" w:rsidRDefault="007F1C9F" w:rsidP="007F1C9F">
      <w:pPr>
        <w:pStyle w:val="3-BodyText"/>
      </w:pPr>
      <w:r w:rsidRPr="00B06893">
        <w:t>The therapeutic claims made in the submission were as follows:</w:t>
      </w:r>
    </w:p>
    <w:p w14:paraId="76C1E195" w14:textId="705F5DE7" w:rsidR="007F1C9F" w:rsidRPr="00B06893" w:rsidRDefault="007F1C9F" w:rsidP="00D80B33">
      <w:pPr>
        <w:pStyle w:val="3-BodyText"/>
        <w:numPr>
          <w:ilvl w:val="0"/>
          <w:numId w:val="15"/>
        </w:numPr>
      </w:pPr>
      <w:r w:rsidRPr="00B06893">
        <w:t>Spikevax (mRNA</w:t>
      </w:r>
      <w:r w:rsidR="00193971">
        <w:noBreakHyphen/>
      </w:r>
      <w:r w:rsidRPr="00B06893">
        <w:t xml:space="preserve">1273) is superior in effectiveness and inferior in safety compared to no vaccine in the </w:t>
      </w:r>
      <w:r w:rsidR="00106378" w:rsidRPr="00B06893">
        <w:t>requested NIP populations</w:t>
      </w:r>
      <w:r w:rsidRPr="00B06893">
        <w:t>.</w:t>
      </w:r>
    </w:p>
    <w:p w14:paraId="06F7FC81" w14:textId="1E75D40C" w:rsidR="007F1C9F" w:rsidRPr="00B06893" w:rsidRDefault="007F1C9F" w:rsidP="00D80B33">
      <w:pPr>
        <w:pStyle w:val="3-BodyText"/>
        <w:numPr>
          <w:ilvl w:val="0"/>
          <w:numId w:val="15"/>
        </w:numPr>
      </w:pPr>
      <w:r w:rsidRPr="00B06893">
        <w:t>Spikevax (mRNA</w:t>
      </w:r>
      <w:r w:rsidR="00193971">
        <w:noBreakHyphen/>
      </w:r>
      <w:r w:rsidRPr="00B06893">
        <w:t>1273) is at least non</w:t>
      </w:r>
      <w:r w:rsidR="00193971">
        <w:noBreakHyphen/>
      </w:r>
      <w:r w:rsidRPr="00B06893">
        <w:t xml:space="preserve">inferior in terms of effectiveness and safety compared to </w:t>
      </w:r>
      <w:r w:rsidR="00E34126" w:rsidRPr="00B06893">
        <w:t>Comirnaty</w:t>
      </w:r>
      <w:r w:rsidRPr="00B06893">
        <w:t xml:space="preserve"> (BNT162b2) in the </w:t>
      </w:r>
      <w:r w:rsidR="00106378" w:rsidRPr="00B06893">
        <w:t>requested NIP populations</w:t>
      </w:r>
      <w:r w:rsidRPr="00B06893">
        <w:t>.</w:t>
      </w:r>
    </w:p>
    <w:p w14:paraId="729E9F93" w14:textId="2D57B7A0" w:rsidR="007F1C9F" w:rsidRPr="00B06893" w:rsidRDefault="007F1C9F" w:rsidP="007F1C9F">
      <w:pPr>
        <w:pStyle w:val="3-BodyText"/>
      </w:pPr>
      <w:r w:rsidRPr="00B06893">
        <w:t xml:space="preserve">The </w:t>
      </w:r>
      <w:r w:rsidR="00905688" w:rsidRPr="00B06893">
        <w:t xml:space="preserve">evaluation considered that the </w:t>
      </w:r>
      <w:r w:rsidRPr="00B06893">
        <w:t xml:space="preserve">therapeutic conclusions presented in the submission </w:t>
      </w:r>
      <w:r w:rsidR="005C5889" w:rsidRPr="00B06893">
        <w:t>are debatable</w:t>
      </w:r>
      <w:r w:rsidRPr="00B06893">
        <w:t xml:space="preserve">. </w:t>
      </w:r>
      <w:r w:rsidR="005C5889" w:rsidRPr="00B06893">
        <w:t>T</w:t>
      </w:r>
      <w:r w:rsidRPr="00B06893">
        <w:t xml:space="preserve">here were several limitations associated with the </w:t>
      </w:r>
      <w:r w:rsidR="00CE04D1" w:rsidRPr="00B06893">
        <w:t xml:space="preserve">observational </w:t>
      </w:r>
      <w:r w:rsidR="005C5889" w:rsidRPr="00B06893">
        <w:t xml:space="preserve">and retrospective </w:t>
      </w:r>
      <w:r w:rsidR="00CE04D1" w:rsidRPr="00B06893">
        <w:t xml:space="preserve">nature of the </w:t>
      </w:r>
      <w:r w:rsidRPr="00B06893">
        <w:t>evidence</w:t>
      </w:r>
      <w:r w:rsidR="005C5889" w:rsidRPr="00B06893">
        <w:t>,</w:t>
      </w:r>
      <w:r w:rsidR="00CE04D1" w:rsidRPr="00B06893">
        <w:t xml:space="preserve"> and methodological issues regarding estimation of VE in various populations. These limitations </w:t>
      </w:r>
      <w:r w:rsidRPr="00B06893">
        <w:t>engender a high degree of uncertainty</w:t>
      </w:r>
      <w:r w:rsidR="00CE04D1" w:rsidRPr="00B06893">
        <w:t xml:space="preserve"> regarding the magnitude and the duration of benefit associated with Spikevax vaccination (for most recent circulating variants during conduct of the studies) versus no </w:t>
      </w:r>
      <w:r w:rsidR="005C5889" w:rsidRPr="00B06893">
        <w:t>vaccination.</w:t>
      </w:r>
      <w:r w:rsidR="00CE04D1" w:rsidRPr="00B06893">
        <w:t xml:space="preserve"> There were similar limitations associated with the evidence for </w:t>
      </w:r>
      <w:r w:rsidR="00E34126" w:rsidRPr="00B06893">
        <w:t>Comirnaty</w:t>
      </w:r>
      <w:r w:rsidR="00CE04D1" w:rsidRPr="00B06893">
        <w:t xml:space="preserve"> although cautiously, the totality of the evidence presented suggests that Spikevax is likely to be </w:t>
      </w:r>
      <w:r w:rsidR="00B618E3" w:rsidRPr="00B06893">
        <w:t>non</w:t>
      </w:r>
      <w:r w:rsidR="00193971">
        <w:noBreakHyphen/>
      </w:r>
      <w:r w:rsidR="00CE04D1" w:rsidRPr="00B06893">
        <w:t xml:space="preserve">inferior to </w:t>
      </w:r>
      <w:r w:rsidR="00E34126" w:rsidRPr="00B06893">
        <w:t>Comirnaty</w:t>
      </w:r>
      <w:r w:rsidR="00CE04D1" w:rsidRPr="00B06893">
        <w:t xml:space="preserve">. </w:t>
      </w:r>
    </w:p>
    <w:p w14:paraId="4A5CCBE1" w14:textId="0F11429F" w:rsidR="007F1C9F" w:rsidRPr="00B06893" w:rsidRDefault="007F1C9F" w:rsidP="007F1C9F">
      <w:pPr>
        <w:pStyle w:val="3-BodyText"/>
      </w:pPr>
      <w:r w:rsidRPr="00B06893">
        <w:t>For the comparison between Spikevax (updated variants) versus no vaccination</w:t>
      </w:r>
      <w:r w:rsidR="00CE04D1" w:rsidRPr="00B06893">
        <w:t>:</w:t>
      </w:r>
    </w:p>
    <w:p w14:paraId="65064BC8" w14:textId="54654553" w:rsidR="007F1C9F" w:rsidRPr="00B06893" w:rsidRDefault="007F1C9F" w:rsidP="00D80B33">
      <w:pPr>
        <w:pStyle w:val="3-BodyText"/>
        <w:numPr>
          <w:ilvl w:val="0"/>
          <w:numId w:val="17"/>
        </w:numPr>
      </w:pPr>
      <w:r w:rsidRPr="00B06893">
        <w:t xml:space="preserve">The studies providing evidence of effectiveness </w:t>
      </w:r>
      <w:r w:rsidR="00B618E3" w:rsidRPr="00B06893">
        <w:t>were</w:t>
      </w:r>
      <w:r w:rsidRPr="00B06893">
        <w:t xml:space="preserve"> associated with a high risk of section bias and confounding. Notwithstanding the heterogeneity across the studies in terms of study design, patient characteristics, and follow</w:t>
      </w:r>
      <w:r w:rsidR="00193971">
        <w:noBreakHyphen/>
      </w:r>
      <w:r w:rsidRPr="00B06893">
        <w:t>up durations, there is a high risk of confounding by circulating variants which could impact the magnitude of effectiveness.</w:t>
      </w:r>
    </w:p>
    <w:p w14:paraId="3D9617B7" w14:textId="6306BC46" w:rsidR="007F1C9F" w:rsidRPr="00B06893" w:rsidRDefault="007F1C9F" w:rsidP="00D80B33">
      <w:pPr>
        <w:pStyle w:val="3-BodyText"/>
        <w:numPr>
          <w:ilvl w:val="0"/>
          <w:numId w:val="17"/>
        </w:numPr>
      </w:pPr>
      <w:r w:rsidRPr="00B06893">
        <w:t xml:space="preserve">Interval analyses of </w:t>
      </w:r>
      <w:r w:rsidR="00B132F3" w:rsidRPr="00B06893">
        <w:t xml:space="preserve">the Spikevax </w:t>
      </w:r>
      <w:r w:rsidR="008D40B4" w:rsidRPr="00B06893">
        <w:t>VE</w:t>
      </w:r>
      <w:r w:rsidR="00B132F3" w:rsidRPr="00B06893">
        <w:t xml:space="preserve"> (XBB.1.5 variant) against</w:t>
      </w:r>
      <w:r w:rsidRPr="00B06893">
        <w:t xml:space="preserve"> hospitalisation indicated there was waning of the observed benefit over a period of 4 months after which the magnitude of effectiveness remains unclear. Thus, a key uncertainty is the </w:t>
      </w:r>
      <w:r w:rsidR="000948F8" w:rsidRPr="00B06893">
        <w:t>VE</w:t>
      </w:r>
      <w:r w:rsidRPr="00B06893">
        <w:t xml:space="preserve"> at longer follow</w:t>
      </w:r>
      <w:r w:rsidR="00193971">
        <w:noBreakHyphen/>
      </w:r>
      <w:r w:rsidRPr="00B06893">
        <w:t>up periods, particular for the 6 month–12</w:t>
      </w:r>
      <w:r w:rsidR="00193971">
        <w:noBreakHyphen/>
      </w:r>
      <w:r w:rsidRPr="00B06893">
        <w:t xml:space="preserve">month interval, where protection is likely to further wane. This has </w:t>
      </w:r>
      <w:r w:rsidR="00CF17EA" w:rsidRPr="00B06893">
        <w:t xml:space="preserve">major </w:t>
      </w:r>
      <w:r w:rsidRPr="00B06893">
        <w:t>implications for the populations who are recommended for doses every 12 months.</w:t>
      </w:r>
    </w:p>
    <w:p w14:paraId="42189C13" w14:textId="79DB159F" w:rsidR="007F1C9F" w:rsidRPr="00B06893" w:rsidRDefault="007F1C9F" w:rsidP="00D80B33">
      <w:pPr>
        <w:pStyle w:val="3-BodyText"/>
        <w:numPr>
          <w:ilvl w:val="0"/>
          <w:numId w:val="17"/>
        </w:numPr>
      </w:pPr>
      <w:r w:rsidRPr="00B06893">
        <w:lastRenderedPageBreak/>
        <w:t>Most of the evidence presented for Spikevax was</w:t>
      </w:r>
      <w:r w:rsidR="00B618E3" w:rsidRPr="00B06893">
        <w:t xml:space="preserve"> based on </w:t>
      </w:r>
      <w:r w:rsidRPr="00B06893">
        <w:t>the JN.1, KP.2, and XBB.1.5 variants. The Spikevax vaccine currently being assessed by the TGA is the Spikevax LP.8.1 (SARS</w:t>
      </w:r>
      <w:r w:rsidR="00193971">
        <w:noBreakHyphen/>
      </w:r>
      <w:r w:rsidRPr="00B06893">
        <w:t>CoV</w:t>
      </w:r>
      <w:r w:rsidR="00193971">
        <w:noBreakHyphen/>
      </w:r>
      <w:r w:rsidRPr="00B06893">
        <w:t>2 LP.8.1 mRNA)</w:t>
      </w:r>
      <w:r w:rsidR="001721B0" w:rsidRPr="00B06893">
        <w:t xml:space="preserve">. </w:t>
      </w:r>
    </w:p>
    <w:p w14:paraId="3CBA2F71" w14:textId="17A4D01F" w:rsidR="009834F6" w:rsidRPr="00B06893" w:rsidRDefault="009834F6" w:rsidP="00D80B33">
      <w:pPr>
        <w:pStyle w:val="3-BodyText"/>
        <w:numPr>
          <w:ilvl w:val="0"/>
          <w:numId w:val="17"/>
        </w:numPr>
      </w:pPr>
      <w:r w:rsidRPr="00B06893">
        <w:t>It Is important to consider which estimates of VE will be most relevant for decision</w:t>
      </w:r>
      <w:r w:rsidR="00193971">
        <w:noBreakHyphen/>
      </w:r>
      <w:r w:rsidRPr="00B06893">
        <w:t>making, i.e., whether it is reasonable to propose a weighted average VE for Spikevax based on earlier time periods in which XBB.1.5 for example was predominant or whether VE of Spikevax now and into the future is most relevant. The evolution of SARS</w:t>
      </w:r>
      <w:r w:rsidR="00193971">
        <w:noBreakHyphen/>
      </w:r>
      <w:r w:rsidRPr="00B06893">
        <w:t>CoV</w:t>
      </w:r>
      <w:r w:rsidR="00193971">
        <w:noBreakHyphen/>
      </w:r>
      <w:r w:rsidRPr="00B06893">
        <w:t>2 can be rapid and remains unpredictable. It is likely that vaccines that are better matched to currently circulating variants offer enhanced protection compared with vaccines adapted to respond to previous variants.</w:t>
      </w:r>
    </w:p>
    <w:p w14:paraId="2E216468" w14:textId="420D0DB9" w:rsidR="00A3795C" w:rsidRPr="00B06893" w:rsidRDefault="00770A89" w:rsidP="00501A02">
      <w:pPr>
        <w:pStyle w:val="3-BodyText"/>
        <w:rPr>
          <w:iCs/>
        </w:rPr>
      </w:pPr>
      <w:bookmarkStart w:id="64" w:name="_Ref221715383"/>
      <w:r w:rsidRPr="00B06893">
        <w:rPr>
          <w:iCs/>
        </w:rPr>
        <w:t>The ESC agreed with the evaluation there were several limitations associated with the observational and retrospective nature of the evidence</w:t>
      </w:r>
      <w:r w:rsidR="00FC2EE8" w:rsidRPr="00B06893">
        <w:rPr>
          <w:iCs/>
        </w:rPr>
        <w:t>,</w:t>
      </w:r>
      <w:r w:rsidRPr="00B06893">
        <w:rPr>
          <w:iCs/>
        </w:rPr>
        <w:t xml:space="preserve"> </w:t>
      </w:r>
      <w:r w:rsidR="00FC2EE8" w:rsidRPr="00B06893">
        <w:rPr>
          <w:iCs/>
        </w:rPr>
        <w:t>along with</w:t>
      </w:r>
      <w:r w:rsidRPr="00B06893">
        <w:rPr>
          <w:iCs/>
        </w:rPr>
        <w:t xml:space="preserve"> methodological issues </w:t>
      </w:r>
      <w:r w:rsidR="00FC2EE8" w:rsidRPr="00B06893">
        <w:rPr>
          <w:iCs/>
        </w:rPr>
        <w:t>in</w:t>
      </w:r>
      <w:r w:rsidRPr="00B06893">
        <w:rPr>
          <w:iCs/>
        </w:rPr>
        <w:t xml:space="preserve"> estimati</w:t>
      </w:r>
      <w:r w:rsidR="00FC2EE8" w:rsidRPr="00B06893">
        <w:rPr>
          <w:iCs/>
        </w:rPr>
        <w:t>ng</w:t>
      </w:r>
      <w:r w:rsidRPr="00B06893">
        <w:rPr>
          <w:iCs/>
        </w:rPr>
        <w:t xml:space="preserve"> VE in </w:t>
      </w:r>
      <w:r w:rsidR="00FC2EE8" w:rsidRPr="00B06893">
        <w:rPr>
          <w:iCs/>
        </w:rPr>
        <w:t>the requested</w:t>
      </w:r>
      <w:r w:rsidRPr="00B06893">
        <w:rPr>
          <w:iCs/>
        </w:rPr>
        <w:t xml:space="preserve"> populations. </w:t>
      </w:r>
      <w:r w:rsidR="00FC2EE8" w:rsidRPr="00B06893">
        <w:rPr>
          <w:iCs/>
        </w:rPr>
        <w:t>The ESC also noted considerable heterogeneity across studies (e.g. design, patient characteristics, follow up) making comparisons difficult.</w:t>
      </w:r>
      <w:r w:rsidR="00A3795C" w:rsidRPr="00B06893">
        <w:rPr>
          <w:iCs/>
        </w:rPr>
        <w:t xml:space="preserve"> </w:t>
      </w:r>
      <w:r w:rsidR="00FC2EE8" w:rsidRPr="00B06893">
        <w:rPr>
          <w:iCs/>
        </w:rPr>
        <w:t>In addition, changes in circulating variants during and between studies could influence VE across different timepoints.</w:t>
      </w:r>
      <w:r w:rsidR="00580BAD">
        <w:rPr>
          <w:iCs/>
        </w:rPr>
        <w:t xml:space="preserve"> </w:t>
      </w:r>
      <w:r w:rsidR="00FC2EE8" w:rsidRPr="00B06893">
        <w:rPr>
          <w:iCs/>
        </w:rPr>
        <w:t xml:space="preserve">Other factors </w:t>
      </w:r>
      <w:r w:rsidR="00A3795C" w:rsidRPr="00B06893">
        <w:rPr>
          <w:iCs/>
        </w:rPr>
        <w:t xml:space="preserve">impacting </w:t>
      </w:r>
      <w:r w:rsidR="00FC2EE8" w:rsidRPr="00B06893">
        <w:rPr>
          <w:iCs/>
        </w:rPr>
        <w:t xml:space="preserve">effectiveness </w:t>
      </w:r>
      <w:r w:rsidR="00A3795C" w:rsidRPr="00B06893">
        <w:rPr>
          <w:iCs/>
        </w:rPr>
        <w:t>estimates</w:t>
      </w:r>
      <w:r w:rsidR="00FC2EE8" w:rsidRPr="00B06893">
        <w:rPr>
          <w:iCs/>
        </w:rPr>
        <w:t xml:space="preserve"> include uncertaint</w:t>
      </w:r>
      <w:r w:rsidR="00A3795C" w:rsidRPr="00B06893">
        <w:rPr>
          <w:iCs/>
        </w:rPr>
        <w:t>ies</w:t>
      </w:r>
      <w:r w:rsidR="00FC2EE8" w:rsidRPr="00B06893">
        <w:rPr>
          <w:iCs/>
        </w:rPr>
        <w:t xml:space="preserve"> </w:t>
      </w:r>
      <w:r w:rsidR="00A3795C" w:rsidRPr="00B06893">
        <w:rPr>
          <w:iCs/>
        </w:rPr>
        <w:t>related to shifts in SARS</w:t>
      </w:r>
      <w:r w:rsidR="00A3795C" w:rsidRPr="00B06893">
        <w:rPr>
          <w:rFonts w:ascii="Cambria Math" w:hAnsi="Cambria Math" w:cs="Cambria Math"/>
          <w:iCs/>
        </w:rPr>
        <w:t>‑</w:t>
      </w:r>
      <w:r w:rsidR="00A3795C" w:rsidRPr="00B06893">
        <w:rPr>
          <w:iCs/>
        </w:rPr>
        <w:t>CoV</w:t>
      </w:r>
      <w:r w:rsidR="00A3795C" w:rsidRPr="00B06893">
        <w:rPr>
          <w:rFonts w:ascii="Cambria Math" w:hAnsi="Cambria Math" w:cs="Cambria Math"/>
          <w:iCs/>
        </w:rPr>
        <w:t>‑</w:t>
      </w:r>
      <w:r w:rsidR="00A3795C" w:rsidRPr="00B06893">
        <w:rPr>
          <w:iCs/>
        </w:rPr>
        <w:t>2 transmissibility or pathogenicity, and the unknown performance of future vaccines in the context of ongoing viral evolution, which may or may not allow beneficial cross</w:t>
      </w:r>
      <w:r w:rsidR="00A3795C" w:rsidRPr="00B06893">
        <w:rPr>
          <w:rFonts w:ascii="Cambria Math" w:hAnsi="Cambria Math" w:cs="Cambria Math"/>
          <w:iCs/>
        </w:rPr>
        <w:t>‑</w:t>
      </w:r>
      <w:r w:rsidR="00A3795C" w:rsidRPr="00B06893">
        <w:rPr>
          <w:iCs/>
        </w:rPr>
        <w:t>reactivity across variants. The ESC also noted that the vaccine</w:t>
      </w:r>
      <w:r w:rsidR="00A3795C" w:rsidRPr="00B06893">
        <w:rPr>
          <w:rFonts w:ascii="Calibri" w:hAnsi="Calibri" w:cs="Calibri"/>
          <w:iCs/>
        </w:rPr>
        <w:t>’</w:t>
      </w:r>
      <w:r w:rsidR="00A3795C" w:rsidRPr="00B06893">
        <w:rPr>
          <w:iCs/>
        </w:rPr>
        <w:t>s waning profile will affect overall effectiveness in clinical practice, and overall considered there was a</w:t>
      </w:r>
      <w:r w:rsidRPr="00B06893">
        <w:rPr>
          <w:iCs/>
        </w:rPr>
        <w:t xml:space="preserve"> high degree of uncertainty regarding the magnitude and the duration of benefit associated with Spikevax vaccination versus no vaccination</w:t>
      </w:r>
      <w:r w:rsidR="00A3795C" w:rsidRPr="00B06893">
        <w:rPr>
          <w:iCs/>
        </w:rPr>
        <w:t>.</w:t>
      </w:r>
      <w:r w:rsidR="00580BAD">
        <w:rPr>
          <w:iCs/>
        </w:rPr>
        <w:t xml:space="preserve"> </w:t>
      </w:r>
      <w:r w:rsidR="00A3795C" w:rsidRPr="00B06893">
        <w:rPr>
          <w:iCs/>
        </w:rPr>
        <w:t xml:space="preserve">Lastly, the ESC noted that updated vaccines </w:t>
      </w:r>
      <w:proofErr w:type="gramStart"/>
      <w:r w:rsidR="00A3795C" w:rsidRPr="00B06893">
        <w:rPr>
          <w:iCs/>
        </w:rPr>
        <w:t>lag behind</w:t>
      </w:r>
      <w:proofErr w:type="gramEnd"/>
      <w:r w:rsidR="00A3795C" w:rsidRPr="00B06893">
        <w:rPr>
          <w:iCs/>
        </w:rPr>
        <w:t xml:space="preserve"> circulating variants, due to the time needed for vaccine development and the TGA evaluation process as a new chemical entity, which contributed additional uncertainty to this assessment.</w:t>
      </w:r>
      <w:bookmarkEnd w:id="64"/>
    </w:p>
    <w:p w14:paraId="025DE534" w14:textId="30EEF49A" w:rsidR="00A3795C" w:rsidRPr="00B06893" w:rsidRDefault="00A3795C" w:rsidP="00501A02">
      <w:pPr>
        <w:pStyle w:val="3-BodyText"/>
        <w:rPr>
          <w:iCs/>
        </w:rPr>
      </w:pPr>
      <w:r w:rsidRPr="00B06893">
        <w:rPr>
          <w:iCs/>
        </w:rPr>
        <w:t>Overall, while noting the uncertainties described above</w:t>
      </w:r>
      <w:r w:rsidR="00EF39D4" w:rsidRPr="00B06893">
        <w:rPr>
          <w:iCs/>
        </w:rPr>
        <w:t xml:space="preserve"> (paragraph </w:t>
      </w:r>
      <w:r w:rsidR="00EF39D4" w:rsidRPr="00B06893">
        <w:rPr>
          <w:iCs/>
        </w:rPr>
        <w:fldChar w:fldCharType="begin"/>
      </w:r>
      <w:r w:rsidR="00EF39D4" w:rsidRPr="00B06893">
        <w:rPr>
          <w:iCs/>
        </w:rPr>
        <w:instrText xml:space="preserve"> REF _Ref221715383 \r \h </w:instrText>
      </w:r>
      <w:r w:rsidR="00EF39D4" w:rsidRPr="00B06893">
        <w:rPr>
          <w:iCs/>
        </w:rPr>
      </w:r>
      <w:r w:rsidR="00EF39D4" w:rsidRPr="00B06893">
        <w:rPr>
          <w:iCs/>
        </w:rPr>
        <w:fldChar w:fldCharType="separate"/>
      </w:r>
      <w:r w:rsidR="00810177" w:rsidRPr="00B06893">
        <w:rPr>
          <w:iCs/>
        </w:rPr>
        <w:t>6.83</w:t>
      </w:r>
      <w:r w:rsidR="00EF39D4" w:rsidRPr="00B06893">
        <w:rPr>
          <w:iCs/>
        </w:rPr>
        <w:fldChar w:fldCharType="end"/>
      </w:r>
      <w:r w:rsidR="00EF39D4" w:rsidRPr="00B06893">
        <w:rPr>
          <w:iCs/>
        </w:rPr>
        <w:t>)</w:t>
      </w:r>
      <w:r w:rsidRPr="00B06893">
        <w:rPr>
          <w:iCs/>
        </w:rPr>
        <w:t>, the ESC considered that the submission’s claim that Spikevax is superior in effectiveness and inferior in safety compared to no vaccine in the requested NIP populations was supported by the clinical evidence.</w:t>
      </w:r>
      <w:r w:rsidR="00580BAD">
        <w:rPr>
          <w:iCs/>
        </w:rPr>
        <w:t xml:space="preserve"> </w:t>
      </w:r>
    </w:p>
    <w:p w14:paraId="490244CB" w14:textId="3E821A69" w:rsidR="000F2368" w:rsidRPr="00B06893" w:rsidRDefault="007F1C9F" w:rsidP="00501A02">
      <w:pPr>
        <w:pStyle w:val="3-BodyText"/>
        <w:rPr>
          <w:rFonts w:eastAsia="Calibri"/>
        </w:rPr>
      </w:pPr>
      <w:bookmarkStart w:id="65" w:name="_Ref221715578"/>
      <w:r w:rsidRPr="00B06893">
        <w:t xml:space="preserve">For the comparison between Spikevax versus </w:t>
      </w:r>
      <w:r w:rsidR="00E34126" w:rsidRPr="00B06893">
        <w:t>Comirnaty</w:t>
      </w:r>
      <w:r w:rsidRPr="00B06893">
        <w:t xml:space="preserve">, the evidence was based on naïve indirect comparisons between observational studies. The </w:t>
      </w:r>
      <w:r w:rsidR="00EF39D4" w:rsidRPr="00B06893">
        <w:rPr>
          <w:iCs/>
        </w:rPr>
        <w:t>ESC agreed with the evaluation that the presented</w:t>
      </w:r>
      <w:r w:rsidR="00EF39D4" w:rsidRPr="00B06893">
        <w:t xml:space="preserve"> </w:t>
      </w:r>
      <w:r w:rsidRPr="00B06893">
        <w:t xml:space="preserve">evidence was not reliable, and remains inconclusive, given the high risk of bias and confounding associated with the comparisons. </w:t>
      </w:r>
      <w:r w:rsidR="00B132F3" w:rsidRPr="00B06893">
        <w:t xml:space="preserve">The evaluation </w:t>
      </w:r>
      <w:r w:rsidR="00EF39D4" w:rsidRPr="00B06893">
        <w:t xml:space="preserve">considered </w:t>
      </w:r>
      <w:r w:rsidR="00B132F3" w:rsidRPr="00B06893">
        <w:t xml:space="preserve">that </w:t>
      </w:r>
      <w:r w:rsidR="00A91DB2" w:rsidRPr="00B06893">
        <w:t xml:space="preserve">a cautious conclusion based on the totality of the evidence is that </w:t>
      </w:r>
      <w:r w:rsidRPr="00B06893">
        <w:t xml:space="preserve">the effectiveness and safety profiles of Spikevax and </w:t>
      </w:r>
      <w:r w:rsidR="00E34126" w:rsidRPr="00B06893">
        <w:t>Comirnaty</w:t>
      </w:r>
      <w:r w:rsidRPr="00B06893">
        <w:t xml:space="preserve"> appear</w:t>
      </w:r>
      <w:r w:rsidR="00A91DB2" w:rsidRPr="00B06893">
        <w:t xml:space="preserve"> </w:t>
      </w:r>
      <w:r w:rsidRPr="00B06893">
        <w:t xml:space="preserve">to be similar. </w:t>
      </w:r>
      <w:r w:rsidR="00A91DB2" w:rsidRPr="00B06893">
        <w:t xml:space="preserve">However, recognising the naïve nature of the indirect comparisons, </w:t>
      </w:r>
      <w:r w:rsidR="00B618E3" w:rsidRPr="00B06893">
        <w:t>interval analyses of effectiveness indicated that the</w:t>
      </w:r>
      <w:r w:rsidR="00A91DB2" w:rsidRPr="00B06893">
        <w:t xml:space="preserve"> effectiveness </w:t>
      </w:r>
      <w:r w:rsidR="00B618E3" w:rsidRPr="00B06893">
        <w:t>against COVID</w:t>
      </w:r>
      <w:r w:rsidR="00193971">
        <w:noBreakHyphen/>
      </w:r>
      <w:r w:rsidR="00B618E3" w:rsidRPr="00B06893">
        <w:t xml:space="preserve">19 </w:t>
      </w:r>
      <w:r w:rsidR="00193971">
        <w:noBreakHyphen/>
      </w:r>
      <w:r w:rsidR="00B618E3" w:rsidRPr="00B06893">
        <w:t xml:space="preserve">related hospitalisation </w:t>
      </w:r>
      <w:r w:rsidR="00A91DB2" w:rsidRPr="00B06893">
        <w:t xml:space="preserve">for </w:t>
      </w:r>
      <w:r w:rsidR="00E34126" w:rsidRPr="00B06893">
        <w:t>Comirnaty</w:t>
      </w:r>
      <w:r w:rsidR="00A91DB2" w:rsidRPr="00B06893">
        <w:t xml:space="preserve"> appear</w:t>
      </w:r>
      <w:r w:rsidR="00B618E3" w:rsidRPr="00B06893">
        <w:t>ed</w:t>
      </w:r>
      <w:r w:rsidR="00A91DB2" w:rsidRPr="00B06893">
        <w:t xml:space="preserve"> to be more stable than that for Spikevax over time.</w:t>
      </w:r>
      <w:bookmarkEnd w:id="65"/>
      <w:r w:rsidR="00580BAD">
        <w:t xml:space="preserve"> </w:t>
      </w:r>
      <w:r w:rsidR="00664F18" w:rsidRPr="00B06893">
        <w:rPr>
          <w:iCs/>
        </w:rPr>
        <w:t xml:space="preserve">The ESC </w:t>
      </w:r>
      <w:r w:rsidR="000F2368" w:rsidRPr="00B06893">
        <w:rPr>
          <w:iCs/>
        </w:rPr>
        <w:t xml:space="preserve">considered that </w:t>
      </w:r>
      <w:r w:rsidR="000F2368" w:rsidRPr="00B06893">
        <w:rPr>
          <w:rFonts w:eastAsia="Calibri"/>
          <w:iCs/>
        </w:rPr>
        <w:t xml:space="preserve">waning </w:t>
      </w:r>
      <w:r w:rsidR="000948F8" w:rsidRPr="00B06893">
        <w:rPr>
          <w:rFonts w:eastAsia="Calibri"/>
          <w:iCs/>
        </w:rPr>
        <w:t>VE</w:t>
      </w:r>
      <w:r w:rsidR="000F2368" w:rsidRPr="00B06893">
        <w:rPr>
          <w:rFonts w:eastAsia="Calibri"/>
          <w:iCs/>
        </w:rPr>
        <w:t xml:space="preserve"> for Spikevax was a key uncertainty, and the </w:t>
      </w:r>
      <w:r w:rsidR="000F2368" w:rsidRPr="00B06893">
        <w:rPr>
          <w:rFonts w:eastAsia="Calibri"/>
          <w:iCs/>
        </w:rPr>
        <w:lastRenderedPageBreak/>
        <w:t xml:space="preserve">comparison of Spikevax with Comirnaty was more uncertain over longer time periods due to the </w:t>
      </w:r>
      <w:r w:rsidR="00BE25ED" w:rsidRPr="00B06893">
        <w:rPr>
          <w:rFonts w:eastAsia="Calibri"/>
          <w:iCs/>
        </w:rPr>
        <w:t>limited</w:t>
      </w:r>
      <w:r w:rsidR="000F2368" w:rsidRPr="00B06893">
        <w:rPr>
          <w:rFonts w:eastAsia="Calibri"/>
          <w:iCs/>
        </w:rPr>
        <w:t xml:space="preserve"> clinical data for Spikevax</w:t>
      </w:r>
      <w:r w:rsidR="00BE25ED" w:rsidRPr="00B06893">
        <w:rPr>
          <w:rFonts w:eastAsia="Calibri"/>
          <w:iCs/>
        </w:rPr>
        <w:t xml:space="preserve"> to inform this comparison</w:t>
      </w:r>
      <w:r w:rsidR="000F2368" w:rsidRPr="00B06893">
        <w:rPr>
          <w:rFonts w:eastAsia="Calibri"/>
          <w:iCs/>
        </w:rPr>
        <w:t xml:space="preserve">. </w:t>
      </w:r>
    </w:p>
    <w:p w14:paraId="222C7C21" w14:textId="4B9940BA" w:rsidR="00EF39D4" w:rsidRPr="00B06893" w:rsidRDefault="00EF39D4" w:rsidP="00501A02">
      <w:pPr>
        <w:pStyle w:val="3-BodyText"/>
        <w:rPr>
          <w:rFonts w:eastAsia="Calibri"/>
        </w:rPr>
      </w:pPr>
      <w:r w:rsidRPr="00B06893">
        <w:rPr>
          <w:iCs/>
        </w:rPr>
        <w:t xml:space="preserve">While noting the uncertainties described above (paragraph </w:t>
      </w:r>
      <w:r w:rsidRPr="00B06893">
        <w:rPr>
          <w:iCs/>
        </w:rPr>
        <w:fldChar w:fldCharType="begin"/>
      </w:r>
      <w:r w:rsidRPr="00B06893">
        <w:rPr>
          <w:iCs/>
        </w:rPr>
        <w:instrText xml:space="preserve"> REF _Ref221715578 \r \h </w:instrText>
      </w:r>
      <w:r w:rsidRPr="00B06893">
        <w:rPr>
          <w:iCs/>
        </w:rPr>
      </w:r>
      <w:r w:rsidRPr="00B06893">
        <w:rPr>
          <w:iCs/>
        </w:rPr>
        <w:fldChar w:fldCharType="separate"/>
      </w:r>
      <w:r w:rsidR="00810177" w:rsidRPr="00B06893">
        <w:rPr>
          <w:iCs/>
        </w:rPr>
        <w:t>6.85</w:t>
      </w:r>
      <w:r w:rsidRPr="00B06893">
        <w:rPr>
          <w:iCs/>
        </w:rPr>
        <w:fldChar w:fldCharType="end"/>
      </w:r>
      <w:r w:rsidRPr="00B06893">
        <w:rPr>
          <w:iCs/>
        </w:rPr>
        <w:t>), the ESC considered that a claim that Spikevax is non</w:t>
      </w:r>
      <w:r w:rsidR="00193971">
        <w:rPr>
          <w:iCs/>
        </w:rPr>
        <w:noBreakHyphen/>
      </w:r>
      <w:r w:rsidRPr="00B06893">
        <w:rPr>
          <w:iCs/>
        </w:rPr>
        <w:t>inferior to Comirnaty in terms of comparative effectiveness and safety in the requested NIP populations was reasonable.</w:t>
      </w:r>
      <w:r w:rsidR="00580BAD">
        <w:rPr>
          <w:iCs/>
        </w:rPr>
        <w:t xml:space="preserve"> </w:t>
      </w:r>
      <w:r w:rsidRPr="00B06893">
        <w:rPr>
          <w:iCs/>
        </w:rPr>
        <w:t xml:space="preserve">The ESC noted that the broader evidence review conducted by the ATAGI also supported this view (see paragraph </w:t>
      </w:r>
      <w:r w:rsidRPr="00B06893">
        <w:rPr>
          <w:iCs/>
        </w:rPr>
        <w:fldChar w:fldCharType="begin"/>
      </w:r>
      <w:r w:rsidRPr="00B06893">
        <w:rPr>
          <w:iCs/>
        </w:rPr>
        <w:instrText xml:space="preserve"> REF _Ref221715964 \r \h </w:instrText>
      </w:r>
      <w:r w:rsidRPr="00B06893">
        <w:rPr>
          <w:iCs/>
        </w:rPr>
      </w:r>
      <w:r w:rsidRPr="00B06893">
        <w:rPr>
          <w:iCs/>
        </w:rPr>
        <w:fldChar w:fldCharType="separate"/>
      </w:r>
      <w:r w:rsidR="00810177" w:rsidRPr="00B06893">
        <w:rPr>
          <w:iCs/>
        </w:rPr>
        <w:t>2.9</w:t>
      </w:r>
      <w:r w:rsidRPr="00B06893">
        <w:rPr>
          <w:iCs/>
        </w:rPr>
        <w:fldChar w:fldCharType="end"/>
      </w:r>
      <w:r w:rsidRPr="00B06893">
        <w:rPr>
          <w:iCs/>
        </w:rPr>
        <w:t>).</w:t>
      </w:r>
    </w:p>
    <w:p w14:paraId="0C42CA5B" w14:textId="68DFEC68" w:rsidR="000642D2" w:rsidRPr="00B06893" w:rsidRDefault="000642D2" w:rsidP="000642D2">
      <w:pPr>
        <w:pStyle w:val="3-BodyText"/>
        <w:rPr>
          <w:rFonts w:eastAsia="Calibri"/>
        </w:rPr>
      </w:pPr>
      <w:r w:rsidRPr="00B06893">
        <w:rPr>
          <w:rFonts w:eastAsia="Calibri"/>
        </w:rPr>
        <w:t xml:space="preserve">The clinical </w:t>
      </w:r>
      <w:r w:rsidR="001B3BCF" w:rsidRPr="00B06893">
        <w:rPr>
          <w:rFonts w:eastAsia="Calibri"/>
        </w:rPr>
        <w:t xml:space="preserve">evidence such as that based on the </w:t>
      </w:r>
      <w:r w:rsidRPr="00B06893">
        <w:rPr>
          <w:rFonts w:eastAsia="Calibri"/>
        </w:rPr>
        <w:t>XBB.1.5</w:t>
      </w:r>
      <w:r w:rsidR="00193971">
        <w:rPr>
          <w:rFonts w:eastAsia="Calibri"/>
        </w:rPr>
        <w:noBreakHyphen/>
      </w:r>
      <w:r w:rsidRPr="00B06893">
        <w:rPr>
          <w:rFonts w:eastAsia="Calibri"/>
        </w:rPr>
        <w:t>adapted vaccine</w:t>
      </w:r>
      <w:r w:rsidR="001B3BCF" w:rsidRPr="00B06893">
        <w:rPr>
          <w:rFonts w:eastAsia="Calibri"/>
        </w:rPr>
        <w:t xml:space="preserve">s may have limited applicability in the current Australia setting given that this variant </w:t>
      </w:r>
      <w:r w:rsidR="002F090E" w:rsidRPr="00B06893">
        <w:rPr>
          <w:rFonts w:eastAsia="Calibri"/>
        </w:rPr>
        <w:t>does</w:t>
      </w:r>
      <w:r w:rsidR="001B3BCF" w:rsidRPr="00B06893">
        <w:rPr>
          <w:rFonts w:eastAsia="Calibri"/>
        </w:rPr>
        <w:t xml:space="preserve"> not represent t</w:t>
      </w:r>
      <w:r w:rsidRPr="00B06893">
        <w:rPr>
          <w:rFonts w:eastAsia="Calibri"/>
        </w:rPr>
        <w:t xml:space="preserve">he </w:t>
      </w:r>
      <w:r w:rsidR="001B3BCF" w:rsidRPr="00B06893">
        <w:rPr>
          <w:rFonts w:eastAsia="Calibri"/>
        </w:rPr>
        <w:t xml:space="preserve">current </w:t>
      </w:r>
      <w:r w:rsidRPr="00B06893">
        <w:rPr>
          <w:rFonts w:eastAsia="Calibri"/>
        </w:rPr>
        <w:t xml:space="preserve">predominant circulating </w:t>
      </w:r>
      <w:r w:rsidR="001B3BCF" w:rsidRPr="00B06893">
        <w:rPr>
          <w:rFonts w:eastAsia="Calibri"/>
        </w:rPr>
        <w:t>SARS</w:t>
      </w:r>
      <w:r w:rsidR="00193971">
        <w:rPr>
          <w:rFonts w:eastAsia="Calibri"/>
        </w:rPr>
        <w:noBreakHyphen/>
      </w:r>
      <w:r w:rsidR="001B3BCF" w:rsidRPr="00B06893">
        <w:rPr>
          <w:rFonts w:eastAsia="Calibri"/>
        </w:rPr>
        <w:t>CoV</w:t>
      </w:r>
      <w:r w:rsidR="00193971">
        <w:rPr>
          <w:rFonts w:eastAsia="Calibri"/>
        </w:rPr>
        <w:noBreakHyphen/>
      </w:r>
      <w:r w:rsidR="001B3BCF" w:rsidRPr="00B06893">
        <w:rPr>
          <w:rFonts w:eastAsia="Calibri"/>
        </w:rPr>
        <w:t xml:space="preserve">2 </w:t>
      </w:r>
      <w:r w:rsidRPr="00B06893">
        <w:rPr>
          <w:rFonts w:eastAsia="Calibri"/>
        </w:rPr>
        <w:t xml:space="preserve">variants </w:t>
      </w:r>
      <w:r w:rsidR="001B3BCF" w:rsidRPr="00B06893">
        <w:rPr>
          <w:rFonts w:eastAsia="Calibri"/>
        </w:rPr>
        <w:t>in Australia. NB.1.8.1 (under monitoring) is the current dominant SARS</w:t>
      </w:r>
      <w:r w:rsidR="00193971">
        <w:rPr>
          <w:rFonts w:eastAsia="Calibri"/>
        </w:rPr>
        <w:noBreakHyphen/>
      </w:r>
      <w:r w:rsidR="001B3BCF" w:rsidRPr="00B06893">
        <w:rPr>
          <w:rFonts w:eastAsia="Calibri"/>
        </w:rPr>
        <w:t>CoV</w:t>
      </w:r>
      <w:r w:rsidR="00193971">
        <w:rPr>
          <w:rFonts w:eastAsia="Calibri"/>
        </w:rPr>
        <w:noBreakHyphen/>
      </w:r>
      <w:r w:rsidR="001B3BCF" w:rsidRPr="00B06893">
        <w:rPr>
          <w:rFonts w:eastAsia="Calibri"/>
        </w:rPr>
        <w:t>2 variant (14 July to 10 August 2025) accounting for 72.2% of sequences in Australia. Small numbers of sequences of other variants under monitoring, including XFG, LP.</w:t>
      </w:r>
      <w:r w:rsidR="00815D7C" w:rsidRPr="00B06893">
        <w:rPr>
          <w:rFonts w:eastAsia="Calibri"/>
        </w:rPr>
        <w:t>8.1</w:t>
      </w:r>
      <w:r w:rsidRPr="00B06893">
        <w:rPr>
          <w:rFonts w:eastAsia="Calibri"/>
        </w:rPr>
        <w:t xml:space="preserve"> of SARS</w:t>
      </w:r>
      <w:r w:rsidR="00193971">
        <w:rPr>
          <w:rFonts w:eastAsia="Calibri"/>
        </w:rPr>
        <w:noBreakHyphen/>
      </w:r>
      <w:r w:rsidRPr="00B06893">
        <w:rPr>
          <w:rFonts w:eastAsia="Calibri"/>
        </w:rPr>
        <w:t>CoV</w:t>
      </w:r>
      <w:r w:rsidR="00193971">
        <w:rPr>
          <w:rFonts w:eastAsia="Calibri"/>
        </w:rPr>
        <w:noBreakHyphen/>
      </w:r>
      <w:r w:rsidRPr="00B06893">
        <w:rPr>
          <w:rFonts w:eastAsia="Calibri"/>
        </w:rPr>
        <w:t>2</w:t>
      </w:r>
      <w:r w:rsidR="001B3BCF" w:rsidRPr="00B06893">
        <w:rPr>
          <w:rStyle w:val="FootnoteReference"/>
          <w:rFonts w:eastAsia="Calibri"/>
        </w:rPr>
        <w:footnoteReference w:id="19"/>
      </w:r>
      <w:r w:rsidR="001B3BCF" w:rsidRPr="00B06893">
        <w:rPr>
          <w:rFonts w:eastAsia="Calibri"/>
        </w:rPr>
        <w:t>.</w:t>
      </w:r>
    </w:p>
    <w:p w14:paraId="510ECE87" w14:textId="2FED7790" w:rsidR="004C751F" w:rsidRPr="00B06893" w:rsidRDefault="00795708" w:rsidP="00501A02">
      <w:pPr>
        <w:pStyle w:val="3-BodyText"/>
        <w:spacing w:before="120" w:after="120"/>
        <w:rPr>
          <w:snapToGrid w:val="0"/>
        </w:rPr>
      </w:pPr>
      <w:bookmarkStart w:id="66" w:name="_Hlk76376200"/>
      <w:r w:rsidRPr="00B06893">
        <w:t xml:space="preserve">The PBAC considered that the claim of superior effectiveness compared with no vaccination was reasonable, </w:t>
      </w:r>
      <w:r w:rsidR="004C751F" w:rsidRPr="00B06893">
        <w:t>although</w:t>
      </w:r>
      <w:r w:rsidRPr="00B06893">
        <w:t xml:space="preserve"> the magnitude of benefit and the duration of benefit were uncertain given the observational nature of the available evidence and limit</w:t>
      </w:r>
      <w:r w:rsidR="00CE2677" w:rsidRPr="00B06893">
        <w:t xml:space="preserve">ed </w:t>
      </w:r>
      <w:r w:rsidRPr="00B06893">
        <w:t xml:space="preserve">evidence </w:t>
      </w:r>
      <w:r w:rsidR="00CE2677" w:rsidRPr="00B06893">
        <w:t xml:space="preserve">to </w:t>
      </w:r>
      <w:r w:rsidR="009C72B4" w:rsidRPr="00B06893">
        <w:t>estimat</w:t>
      </w:r>
      <w:r w:rsidR="00CE2677" w:rsidRPr="00B06893">
        <w:t>e</w:t>
      </w:r>
      <w:r w:rsidR="009C72B4" w:rsidRPr="00B06893">
        <w:t xml:space="preserve"> </w:t>
      </w:r>
      <w:r w:rsidRPr="00B06893">
        <w:t xml:space="preserve">VE in </w:t>
      </w:r>
      <w:r w:rsidR="009C72B4" w:rsidRPr="00B06893">
        <w:t xml:space="preserve">the requested </w:t>
      </w:r>
      <w:r w:rsidRPr="00B06893">
        <w:t>populations</w:t>
      </w:r>
      <w:r w:rsidR="00AF0F22" w:rsidRPr="00B06893">
        <w:t xml:space="preserve"> over</w:t>
      </w:r>
      <w:r w:rsidR="00AF0F22" w:rsidRPr="00B06893">
        <w:rPr>
          <w:rFonts w:eastAsia="Calibri"/>
          <w:iCs/>
        </w:rPr>
        <w:t xml:space="preserve"> longer time periods</w:t>
      </w:r>
      <w:r w:rsidRPr="00B06893">
        <w:t>.</w:t>
      </w:r>
      <w:r w:rsidR="00580BAD">
        <w:t xml:space="preserve"> </w:t>
      </w:r>
      <w:r w:rsidR="004C751F" w:rsidRPr="00B06893">
        <w:t xml:space="preserve">However, the PBAC also noted that the conclusion of superior effectiveness was only appropriate if the delay which has impacted the TGA evaluation of Spikevax LP.8.1 is satisfactorily resolved (see paragraph </w:t>
      </w:r>
      <w:r w:rsidR="004C751F" w:rsidRPr="00B06893">
        <w:fldChar w:fldCharType="begin"/>
      </w:r>
      <w:r w:rsidR="004C751F" w:rsidRPr="00B06893">
        <w:instrText xml:space="preserve"> REF _Ref225327212 \r \h </w:instrText>
      </w:r>
      <w:r w:rsidR="004C751F" w:rsidRPr="00B06893">
        <w:fldChar w:fldCharType="separate"/>
      </w:r>
      <w:r w:rsidR="00810177" w:rsidRPr="00B06893">
        <w:t>2.1</w:t>
      </w:r>
      <w:r w:rsidR="004C751F" w:rsidRPr="00B06893">
        <w:fldChar w:fldCharType="end"/>
      </w:r>
      <w:r w:rsidR="004C751F" w:rsidRPr="00B06893">
        <w:t>).</w:t>
      </w:r>
    </w:p>
    <w:p w14:paraId="0D91D835" w14:textId="7914F0E9" w:rsidR="00795708" w:rsidRPr="00B06893" w:rsidRDefault="00795708" w:rsidP="00501A02">
      <w:pPr>
        <w:pStyle w:val="3-BodyText"/>
        <w:spacing w:before="120" w:after="120"/>
        <w:rPr>
          <w:snapToGrid w:val="0"/>
        </w:rPr>
      </w:pPr>
      <w:r w:rsidRPr="00B06893">
        <w:t>The PBAC considered that the claim of inferior safety compared with no vaccination was reasonable.</w:t>
      </w:r>
      <w:r w:rsidR="00580BAD">
        <w:t xml:space="preserve"> </w:t>
      </w:r>
      <w:r w:rsidRPr="00B06893">
        <w:t xml:space="preserve">The PBAC noted that the safety of </w:t>
      </w:r>
      <w:r w:rsidR="00104391" w:rsidRPr="00B06893">
        <w:t>Spikevax</w:t>
      </w:r>
      <w:r w:rsidRPr="00B06893">
        <w:t xml:space="preserve"> was supported by randomised clinical trials and real</w:t>
      </w:r>
      <w:r w:rsidR="00193971">
        <w:noBreakHyphen/>
      </w:r>
      <w:r w:rsidRPr="00B06893">
        <w:t xml:space="preserve">world experience with earlier </w:t>
      </w:r>
      <w:r w:rsidR="00104391" w:rsidRPr="00B06893">
        <w:t>Spikevax</w:t>
      </w:r>
      <w:r w:rsidRPr="00B06893">
        <w:t xml:space="preserve"> vaccines</w:t>
      </w:r>
      <w:r w:rsidR="00752BAE" w:rsidRPr="00B06893">
        <w:t>, as described in the ATAGI advice and TGA</w:t>
      </w:r>
      <w:r w:rsidR="00193971">
        <w:noBreakHyphen/>
      </w:r>
      <w:r w:rsidR="00752BAE" w:rsidRPr="00B06893">
        <w:t>approved product information documents</w:t>
      </w:r>
      <w:r w:rsidRPr="00B06893">
        <w:t>.</w:t>
      </w:r>
    </w:p>
    <w:p w14:paraId="7F613CD1" w14:textId="4BF751B3" w:rsidR="005F7588" w:rsidRPr="00556933" w:rsidRDefault="00673607" w:rsidP="00556933">
      <w:pPr>
        <w:pStyle w:val="3-BodyText"/>
      </w:pPr>
      <w:r w:rsidRPr="00B06893">
        <w:t>The PBAC noted the limitations of the evidence informing the indirect comparison of Spikevax and Comi</w:t>
      </w:r>
      <w:r w:rsidR="000C1B19" w:rsidRPr="00B06893">
        <w:t>r</w:t>
      </w:r>
      <w:r w:rsidRPr="00B06893">
        <w:t>naty, and the concerns raised by the evaluation and the ESC as described above.</w:t>
      </w:r>
      <w:r w:rsidR="00580BAD">
        <w:t xml:space="preserve"> </w:t>
      </w:r>
      <w:r w:rsidRPr="00B06893">
        <w:t>Overall</w:t>
      </w:r>
      <w:r w:rsidR="0042075D" w:rsidRPr="00B06893">
        <w:t>,</w:t>
      </w:r>
      <w:r w:rsidRPr="00B06893">
        <w:t xml:space="preserve"> the PBAC advised that it </w:t>
      </w:r>
      <w:r w:rsidR="00D35B54" w:rsidRPr="00B06893">
        <w:t>would be</w:t>
      </w:r>
      <w:r w:rsidRPr="00B06893">
        <w:t xml:space="preserve"> reasonable to consider the Spikevax mRNA</w:t>
      </w:r>
      <w:r w:rsidR="00193971">
        <w:noBreakHyphen/>
      </w:r>
      <w:r w:rsidRPr="00B06893">
        <w:t xml:space="preserve">1273 vaccine platform </w:t>
      </w:r>
      <w:r w:rsidR="00F5070E">
        <w:t xml:space="preserve">across strains and seasons as </w:t>
      </w:r>
      <w:r w:rsidRPr="00B06893">
        <w:t>non</w:t>
      </w:r>
      <w:r w:rsidR="00193971">
        <w:noBreakHyphen/>
      </w:r>
      <w:r w:rsidRPr="00B06893">
        <w:t>inferior to the Comirnaty BNT162b2 vaccine platform</w:t>
      </w:r>
      <w:r w:rsidR="00D35B54" w:rsidRPr="00B06893">
        <w:t xml:space="preserve"> with respect to effectiveness and safety, when corresponding versions of the vaccines are compared, e.g. Spikevax LP.8.1 compared with Comirnaty LP.8.1.</w:t>
      </w:r>
      <w:r w:rsidR="00580BAD">
        <w:t xml:space="preserve"> </w:t>
      </w:r>
      <w:r w:rsidR="00D35B54" w:rsidRPr="00B06893">
        <w:t>The PBAC noted this conclusion was consistent with ATAGI advice.</w:t>
      </w:r>
      <w:r w:rsidR="00580BAD">
        <w:t xml:space="preserve"> </w:t>
      </w:r>
      <w:r w:rsidR="00D35B54" w:rsidRPr="00B06893">
        <w:rPr>
          <w:iCs/>
        </w:rPr>
        <w:t xml:space="preserve">The PBAC considered that the future </w:t>
      </w:r>
      <w:r w:rsidR="000948F8" w:rsidRPr="00B06893">
        <w:rPr>
          <w:iCs/>
        </w:rPr>
        <w:t>VE</w:t>
      </w:r>
      <w:r w:rsidR="00D35B54" w:rsidRPr="00B06893">
        <w:rPr>
          <w:iCs/>
        </w:rPr>
        <w:t xml:space="preserve"> of Spikevax would be dependent upon </w:t>
      </w:r>
      <w:r w:rsidR="0042075D" w:rsidRPr="00B06893">
        <w:rPr>
          <w:iCs/>
        </w:rPr>
        <w:t>availability</w:t>
      </w:r>
      <w:r w:rsidR="00D35B54" w:rsidRPr="00B06893">
        <w:rPr>
          <w:iCs/>
        </w:rPr>
        <w:t xml:space="preserve"> of updated variant vaccines</w:t>
      </w:r>
      <w:r w:rsidR="0042075D" w:rsidRPr="00B06893">
        <w:rPr>
          <w:iCs/>
        </w:rPr>
        <w:t xml:space="preserve"> on an ongoing basis for the NIP</w:t>
      </w:r>
      <w:r w:rsidR="00D35B54" w:rsidRPr="00B06893">
        <w:rPr>
          <w:iCs/>
        </w:rPr>
        <w:t>.</w:t>
      </w:r>
      <w:r w:rsidR="00580BAD">
        <w:rPr>
          <w:iCs/>
        </w:rPr>
        <w:t xml:space="preserve"> </w:t>
      </w:r>
      <w:r w:rsidR="00D35B54" w:rsidRPr="00B06893">
        <w:t>As such, a conclusion of non</w:t>
      </w:r>
      <w:r w:rsidR="00193971">
        <w:noBreakHyphen/>
      </w:r>
      <w:r w:rsidR="00D35B54" w:rsidRPr="00B06893">
        <w:t>inferior effectiveness is only appropriate if the delay which has impacted the TGA evaluation of Spikevax LP.8.1 is satisfactorily resolved</w:t>
      </w:r>
      <w:r w:rsidR="004C751F" w:rsidRPr="00B06893">
        <w:t xml:space="preserve"> (see paragraph </w:t>
      </w:r>
      <w:r w:rsidR="004C751F" w:rsidRPr="00B06893">
        <w:fldChar w:fldCharType="begin"/>
      </w:r>
      <w:r w:rsidR="004C751F" w:rsidRPr="00B06893">
        <w:instrText xml:space="preserve"> REF _Ref225327212 \r \h </w:instrText>
      </w:r>
      <w:r w:rsidR="004C751F" w:rsidRPr="00B06893">
        <w:fldChar w:fldCharType="separate"/>
      </w:r>
      <w:r w:rsidR="00810177" w:rsidRPr="00B06893">
        <w:t>2.1</w:t>
      </w:r>
      <w:r w:rsidR="004C751F" w:rsidRPr="00B06893">
        <w:fldChar w:fldCharType="end"/>
      </w:r>
      <w:r w:rsidR="004C751F" w:rsidRPr="00B06893">
        <w:t>)</w:t>
      </w:r>
      <w:r w:rsidR="00D35B54" w:rsidRPr="00B06893">
        <w:t>.</w:t>
      </w:r>
      <w:r w:rsidR="00580BAD">
        <w:t xml:space="preserve"> </w:t>
      </w:r>
      <w:r w:rsidR="00D35B54" w:rsidRPr="00B06893">
        <w:t>The PBAC noted that Comirnaty LP.8.1 was granted TGA approval on 1 October 2025</w:t>
      </w:r>
      <w:r w:rsidR="00662970" w:rsidRPr="00B06893">
        <w:t xml:space="preserve"> (</w:t>
      </w:r>
      <w:r w:rsidR="004C751F" w:rsidRPr="00B06893">
        <w:t xml:space="preserve">see </w:t>
      </w:r>
      <w:r w:rsidR="00662970" w:rsidRPr="00B06893">
        <w:t xml:space="preserve">paragraph </w:t>
      </w:r>
      <w:r w:rsidR="00662970" w:rsidRPr="00B06893">
        <w:fldChar w:fldCharType="begin"/>
      </w:r>
      <w:r w:rsidR="00662970" w:rsidRPr="00B06893">
        <w:instrText xml:space="preserve"> REF _Ref225327033 \r \h </w:instrText>
      </w:r>
      <w:r w:rsidR="00662970" w:rsidRPr="00B06893">
        <w:fldChar w:fldCharType="separate"/>
      </w:r>
      <w:r w:rsidR="00810177" w:rsidRPr="00B06893">
        <w:t>2.5</w:t>
      </w:r>
      <w:r w:rsidR="00662970" w:rsidRPr="00B06893">
        <w:fldChar w:fldCharType="end"/>
      </w:r>
      <w:r w:rsidR="00662970" w:rsidRPr="00B06893">
        <w:t>)</w:t>
      </w:r>
      <w:r w:rsidR="00D35B54" w:rsidRPr="00B06893">
        <w:rPr>
          <w:iCs/>
        </w:rPr>
        <w:t>.</w:t>
      </w:r>
      <w:bookmarkEnd w:id="66"/>
    </w:p>
    <w:p w14:paraId="09073FBF" w14:textId="77777777" w:rsidR="00D85592" w:rsidRPr="00B06893" w:rsidRDefault="00D85592" w:rsidP="00D85592">
      <w:pPr>
        <w:keepNext/>
        <w:spacing w:before="120" w:after="120"/>
        <w:outlineLvl w:val="1"/>
        <w:rPr>
          <w:rFonts w:eastAsiaTheme="majorEastAsia" w:cstheme="majorBidi"/>
          <w:b/>
          <w:i/>
          <w:color w:val="000000" w:themeColor="text1"/>
          <w:spacing w:val="5"/>
          <w:kern w:val="28"/>
          <w:sz w:val="28"/>
          <w:szCs w:val="36"/>
          <w:lang w:eastAsia="en-US"/>
        </w:rPr>
      </w:pPr>
      <w:bookmarkStart w:id="67" w:name="_Toc216287503"/>
      <w:r w:rsidRPr="00B06893">
        <w:rPr>
          <w:rFonts w:eastAsiaTheme="majorEastAsia" w:cstheme="majorBidi"/>
          <w:b/>
          <w:i/>
          <w:color w:val="000000" w:themeColor="text1"/>
          <w:spacing w:val="5"/>
          <w:kern w:val="28"/>
          <w:sz w:val="28"/>
          <w:szCs w:val="36"/>
          <w:lang w:eastAsia="en-US"/>
        </w:rPr>
        <w:lastRenderedPageBreak/>
        <w:t>Economic analysis</w:t>
      </w:r>
      <w:bookmarkEnd w:id="67"/>
      <w:r w:rsidRPr="00B06893">
        <w:rPr>
          <w:rFonts w:eastAsiaTheme="majorEastAsia" w:cstheme="majorBidi"/>
          <w:b/>
          <w:i/>
          <w:color w:val="000000" w:themeColor="text1"/>
          <w:spacing w:val="5"/>
          <w:kern w:val="28"/>
          <w:sz w:val="28"/>
          <w:szCs w:val="36"/>
          <w:lang w:eastAsia="en-US"/>
        </w:rPr>
        <w:t xml:space="preserve"> </w:t>
      </w:r>
    </w:p>
    <w:p w14:paraId="557D0E1B" w14:textId="4818C0CE" w:rsidR="00414596" w:rsidRPr="00B06893" w:rsidRDefault="00414596" w:rsidP="00414596">
      <w:pPr>
        <w:pStyle w:val="3-BodyText"/>
        <w:rPr>
          <w:b/>
          <w:bCs/>
        </w:rPr>
      </w:pPr>
      <w:r w:rsidRPr="00B06893">
        <w:t>The submission presented a modelled economic evaluation of Spikevax compared with no vaccine for the prevention of COVID</w:t>
      </w:r>
      <w:r w:rsidR="00193971">
        <w:noBreakHyphen/>
      </w:r>
      <w:r w:rsidRPr="00B06893">
        <w:t>19. Relative reduction in COVID</w:t>
      </w:r>
      <w:r w:rsidR="00193971">
        <w:noBreakHyphen/>
      </w:r>
      <w:r w:rsidRPr="00B06893">
        <w:t>19 infections and hospitalisations is derived from a large observational study of mRNA</w:t>
      </w:r>
      <w:r w:rsidR="00193971">
        <w:noBreakHyphen/>
      </w:r>
      <w:r w:rsidRPr="00B06893">
        <w:t>1273 (Spikevax) targeting the KP.2 SARS</w:t>
      </w:r>
      <w:r w:rsidR="00193971">
        <w:noBreakHyphen/>
      </w:r>
      <w:r w:rsidRPr="00B06893">
        <w:t>CoV2 variant</w:t>
      </w:r>
      <w:r w:rsidR="003035F7" w:rsidRPr="00B06893">
        <w:t xml:space="preserve"> (Wilson et al 2025</w:t>
      </w:r>
      <w:r w:rsidR="003035F7" w:rsidRPr="00B06893">
        <w:rPr>
          <w:rStyle w:val="FootnoteReference"/>
        </w:rPr>
        <w:footnoteReference w:id="20"/>
      </w:r>
      <w:r w:rsidR="003035F7" w:rsidRPr="00B06893">
        <w:t>)</w:t>
      </w:r>
      <w:r w:rsidRPr="00B06893">
        <w:t>. Consistent with the claim of superior effectiveness and inferior safety to no vaccine, the economic evaluation was a cost</w:t>
      </w:r>
      <w:r w:rsidR="00193971">
        <w:noBreakHyphen/>
      </w:r>
      <w:r w:rsidRPr="00B06893">
        <w:t>effectiveness / cost</w:t>
      </w:r>
      <w:r w:rsidR="00193971">
        <w:noBreakHyphen/>
      </w:r>
      <w:r w:rsidRPr="00B06893">
        <w:t>utility analysis.</w:t>
      </w:r>
    </w:p>
    <w:p w14:paraId="49A5C339" w14:textId="19E305C5" w:rsidR="00C42DA6" w:rsidRPr="00B06893" w:rsidRDefault="00414596" w:rsidP="00486A55">
      <w:pPr>
        <w:pStyle w:val="3-BodyText"/>
        <w:rPr>
          <w:b/>
          <w:bCs/>
        </w:rPr>
      </w:pPr>
      <w:r w:rsidRPr="00B06893">
        <w:t xml:space="preserve">The </w:t>
      </w:r>
      <w:r w:rsidR="00F27228" w:rsidRPr="00B06893">
        <w:t xml:space="preserve">evaluation reported that the </w:t>
      </w:r>
      <w:r w:rsidRPr="00B06893">
        <w:t xml:space="preserve">submission’s description of the economic approach </w:t>
      </w:r>
      <w:r w:rsidR="00F27228" w:rsidRPr="00B06893">
        <w:t xml:space="preserve">was </w:t>
      </w:r>
      <w:r w:rsidRPr="00B06893">
        <w:t xml:space="preserve">inadequate. </w:t>
      </w:r>
      <w:r w:rsidR="00F27228" w:rsidRPr="00B06893">
        <w:t>M</w:t>
      </w:r>
      <w:r w:rsidRPr="00B06893">
        <w:t xml:space="preserve">any steps and assumptions </w:t>
      </w:r>
      <w:r w:rsidR="00F27228" w:rsidRPr="00B06893">
        <w:t>in the model were</w:t>
      </w:r>
      <w:r w:rsidRPr="00B06893">
        <w:t xml:space="preserve"> not well explained, </w:t>
      </w:r>
      <w:r w:rsidR="00F27228" w:rsidRPr="00B06893">
        <w:t xml:space="preserve">were </w:t>
      </w:r>
      <w:r w:rsidRPr="00B06893">
        <w:t xml:space="preserve">poorly justified or not discussed </w:t>
      </w:r>
      <w:r w:rsidR="00B06893" w:rsidRPr="00B06893">
        <w:t>in the</w:t>
      </w:r>
      <w:r w:rsidRPr="00B06893">
        <w:t xml:space="preserve"> submission. The submission </w:t>
      </w:r>
      <w:r w:rsidR="00F27228" w:rsidRPr="00B06893">
        <w:t xml:space="preserve">did </w:t>
      </w:r>
      <w:r w:rsidRPr="00B06893">
        <w:t xml:space="preserve">not discuss the applicability of inputs for the model, </w:t>
      </w:r>
      <w:r w:rsidR="00F27228" w:rsidRPr="00B06893">
        <w:t xml:space="preserve">did </w:t>
      </w:r>
      <w:r w:rsidRPr="00B06893">
        <w:t xml:space="preserve">not </w:t>
      </w:r>
      <w:r w:rsidR="00F27228" w:rsidRPr="00B06893">
        <w:t xml:space="preserve">identify </w:t>
      </w:r>
      <w:r w:rsidRPr="00B06893">
        <w:t xml:space="preserve">alternative sources for inputs, nor justified why some sources have been used instead of more recent or more applicable sources. In many cases, the model functions could only be identified </w:t>
      </w:r>
      <w:r w:rsidR="00F27228" w:rsidRPr="00B06893">
        <w:t xml:space="preserve">by evaluators </w:t>
      </w:r>
      <w:r w:rsidRPr="00B06893">
        <w:t>by tracing the inputs of the model through to sources</w:t>
      </w:r>
      <w:r w:rsidR="00F27228" w:rsidRPr="00B06893">
        <w:t>,</w:t>
      </w:r>
      <w:r w:rsidRPr="00B06893">
        <w:t xml:space="preserve"> as the submission did not provide adequate documentation. Despite the availability of Australian estimates of hospitalisation and deaths, the submission provided only superficial attempts at validating the model accuracy (and did not include deaths in this approach, which would have uncovered a considerable flaw in the model). An extensive re</w:t>
      </w:r>
      <w:r w:rsidR="00193971">
        <w:noBreakHyphen/>
      </w:r>
      <w:r w:rsidRPr="00B06893">
        <w:t xml:space="preserve">specified base case that corrects key errors, and applies more reasonable parameter estimates, </w:t>
      </w:r>
      <w:r w:rsidR="002E2AA4" w:rsidRPr="00B06893">
        <w:t>was</w:t>
      </w:r>
      <w:r w:rsidRPr="00B06893">
        <w:t xml:space="preserve"> proposed during the evaluation.</w:t>
      </w:r>
      <w:r w:rsidR="00580BAD">
        <w:t xml:space="preserve"> </w:t>
      </w:r>
      <w:r w:rsidR="002E2AA4" w:rsidRPr="00B06893">
        <w:rPr>
          <w:iCs/>
        </w:rPr>
        <w:t>The ESC’s advice is summarised in paragraph</w:t>
      </w:r>
      <w:r w:rsidR="00F25831" w:rsidRPr="00B06893">
        <w:rPr>
          <w:iCs/>
        </w:rPr>
        <w:t>s</w:t>
      </w:r>
      <w:r w:rsidR="002E2AA4" w:rsidRPr="00B06893">
        <w:rPr>
          <w:iCs/>
        </w:rPr>
        <w:t xml:space="preserve"> </w:t>
      </w:r>
      <w:r w:rsidR="00A9247A" w:rsidRPr="00B06893">
        <w:rPr>
          <w:iCs/>
        </w:rPr>
        <w:fldChar w:fldCharType="begin"/>
      </w:r>
      <w:r w:rsidR="00A9247A" w:rsidRPr="00B06893">
        <w:rPr>
          <w:iCs/>
        </w:rPr>
        <w:instrText xml:space="preserve"> REF _Ref222838977 \r \h </w:instrText>
      </w:r>
      <w:r w:rsidR="00A9247A" w:rsidRPr="00B06893">
        <w:rPr>
          <w:iCs/>
        </w:rPr>
      </w:r>
      <w:r w:rsidR="00A9247A" w:rsidRPr="00B06893">
        <w:rPr>
          <w:iCs/>
        </w:rPr>
        <w:fldChar w:fldCharType="separate"/>
      </w:r>
      <w:r w:rsidR="00334943">
        <w:rPr>
          <w:iCs/>
        </w:rPr>
        <w:t>6.122</w:t>
      </w:r>
      <w:r w:rsidR="00A9247A" w:rsidRPr="00B06893">
        <w:rPr>
          <w:iCs/>
        </w:rPr>
        <w:fldChar w:fldCharType="end"/>
      </w:r>
      <w:r w:rsidR="00A9247A" w:rsidRPr="00B06893">
        <w:rPr>
          <w:iCs/>
        </w:rPr>
        <w:t xml:space="preserve"> to </w:t>
      </w:r>
      <w:r w:rsidR="00A9247A" w:rsidRPr="00B06893">
        <w:rPr>
          <w:iCs/>
        </w:rPr>
        <w:fldChar w:fldCharType="begin"/>
      </w:r>
      <w:r w:rsidR="00A9247A" w:rsidRPr="00B06893">
        <w:rPr>
          <w:iCs/>
        </w:rPr>
        <w:instrText xml:space="preserve"> REF _Ref221888828 \r \h </w:instrText>
      </w:r>
      <w:r w:rsidR="00A9247A" w:rsidRPr="00B06893">
        <w:rPr>
          <w:iCs/>
        </w:rPr>
      </w:r>
      <w:r w:rsidR="00A9247A" w:rsidRPr="00B06893">
        <w:rPr>
          <w:iCs/>
        </w:rPr>
        <w:fldChar w:fldCharType="separate"/>
      </w:r>
      <w:r w:rsidR="00334943">
        <w:rPr>
          <w:iCs/>
        </w:rPr>
        <w:t>6.129</w:t>
      </w:r>
      <w:r w:rsidR="00A9247A" w:rsidRPr="00B06893">
        <w:rPr>
          <w:iCs/>
        </w:rPr>
        <w:fldChar w:fldCharType="end"/>
      </w:r>
      <w:r w:rsidR="00A9247A" w:rsidRPr="00B06893">
        <w:rPr>
          <w:iCs/>
        </w:rPr>
        <w:t>.</w:t>
      </w:r>
    </w:p>
    <w:p w14:paraId="5B809F07" w14:textId="77777777" w:rsidR="00C42DA6" w:rsidRPr="00B06893" w:rsidRDefault="00C42DA6" w:rsidP="00A9247A"/>
    <w:p w14:paraId="5D4803ED" w14:textId="4C625C6D" w:rsidR="00D85592" w:rsidRPr="00B06893" w:rsidRDefault="00D85592" w:rsidP="00521114">
      <w:pPr>
        <w:rPr>
          <w:rFonts w:ascii="Arial Narrow" w:hAnsi="Arial Narrow" w:cs="Arial"/>
          <w:b/>
          <w:bCs/>
          <w:sz w:val="20"/>
        </w:rPr>
      </w:pPr>
      <w:r w:rsidRPr="00B06893">
        <w:rPr>
          <w:rFonts w:ascii="Arial Narrow" w:hAnsi="Arial Narrow" w:cs="Arial"/>
          <w:b/>
          <w:bCs/>
          <w:sz w:val="20"/>
          <w:szCs w:val="18"/>
        </w:rPr>
        <w:t xml:space="preserve">Table </w:t>
      </w:r>
      <w:r w:rsidR="00B531BD" w:rsidRPr="00B06893">
        <w:rPr>
          <w:rFonts w:ascii="Arial Narrow" w:hAnsi="Arial Narrow" w:cs="Arial"/>
          <w:b/>
          <w:bCs/>
          <w:sz w:val="20"/>
          <w:szCs w:val="18"/>
        </w:rPr>
        <w:fldChar w:fldCharType="begin"/>
      </w:r>
      <w:r w:rsidR="00B531BD" w:rsidRPr="00B06893">
        <w:rPr>
          <w:rFonts w:ascii="Arial Narrow" w:hAnsi="Arial Narrow" w:cs="Arial"/>
          <w:b/>
          <w:bCs/>
          <w:sz w:val="20"/>
          <w:szCs w:val="18"/>
        </w:rPr>
        <w:instrText xml:space="preserve"> SEQ Table \* ARABIC </w:instrText>
      </w:r>
      <w:r w:rsidR="00B531BD" w:rsidRPr="00B06893">
        <w:rPr>
          <w:rFonts w:ascii="Arial Narrow" w:hAnsi="Arial Narrow" w:cs="Arial"/>
          <w:b/>
          <w:bCs/>
          <w:sz w:val="20"/>
          <w:szCs w:val="18"/>
        </w:rPr>
        <w:fldChar w:fldCharType="separate"/>
      </w:r>
      <w:r w:rsidR="00810177" w:rsidRPr="00B06893">
        <w:rPr>
          <w:rFonts w:ascii="Arial Narrow" w:hAnsi="Arial Narrow" w:cs="Arial"/>
          <w:b/>
          <w:bCs/>
          <w:sz w:val="20"/>
          <w:szCs w:val="18"/>
        </w:rPr>
        <w:t>20</w:t>
      </w:r>
      <w:r w:rsidR="00B531BD" w:rsidRPr="00B06893">
        <w:rPr>
          <w:rFonts w:ascii="Arial Narrow" w:hAnsi="Arial Narrow" w:cs="Arial"/>
          <w:b/>
          <w:bCs/>
          <w:sz w:val="20"/>
          <w:szCs w:val="18"/>
        </w:rPr>
        <w:fldChar w:fldCharType="end"/>
      </w:r>
      <w:r w:rsidRPr="00B06893">
        <w:rPr>
          <w:rFonts w:ascii="Arial Narrow" w:hAnsi="Arial Narrow" w:cs="Arial"/>
          <w:b/>
          <w:bCs/>
          <w:sz w:val="20"/>
          <w:szCs w:val="18"/>
        </w:rPr>
        <w:t>:</w:t>
      </w:r>
      <w:r w:rsidRPr="00B06893">
        <w:rPr>
          <w:rFonts w:ascii="Arial Narrow" w:hAnsi="Arial Narrow" w:cs="Arial"/>
          <w:b/>
          <w:bCs/>
          <w:sz w:val="20"/>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0: Summary of model structure, key inputs and rationale"/>
      </w:tblPr>
      <w:tblGrid>
        <w:gridCol w:w="1465"/>
        <w:gridCol w:w="3776"/>
        <w:gridCol w:w="3776"/>
      </w:tblGrid>
      <w:tr w:rsidR="0053257A" w:rsidRPr="00B06893" w14:paraId="53843512" w14:textId="77777777" w:rsidTr="00501A02">
        <w:trPr>
          <w:tblHeader/>
        </w:trPr>
        <w:tc>
          <w:tcPr>
            <w:tcW w:w="812" w:type="pct"/>
            <w:vAlign w:val="center"/>
          </w:tcPr>
          <w:p w14:paraId="13C921F5" w14:textId="77777777" w:rsidR="0053257A" w:rsidRPr="00B06893" w:rsidRDefault="0053257A" w:rsidP="00521114">
            <w:pPr>
              <w:jc w:val="center"/>
              <w:rPr>
                <w:rFonts w:ascii="Arial Narrow" w:eastAsiaTheme="majorEastAsia" w:hAnsi="Arial Narrow"/>
                <w:b/>
                <w:sz w:val="20"/>
              </w:rPr>
            </w:pPr>
            <w:bookmarkStart w:id="68" w:name="_Hlk216701456"/>
            <w:r w:rsidRPr="00B06893">
              <w:rPr>
                <w:rFonts w:ascii="Arial Narrow" w:eastAsiaTheme="majorEastAsia" w:hAnsi="Arial Narrow"/>
                <w:b/>
                <w:sz w:val="20"/>
              </w:rPr>
              <w:t>Component</w:t>
            </w:r>
          </w:p>
        </w:tc>
        <w:tc>
          <w:tcPr>
            <w:tcW w:w="2094" w:type="pct"/>
            <w:vAlign w:val="center"/>
          </w:tcPr>
          <w:p w14:paraId="262860E3" w14:textId="77777777" w:rsidR="0053257A" w:rsidRPr="00B06893" w:rsidRDefault="0053257A" w:rsidP="00521114">
            <w:pPr>
              <w:jc w:val="center"/>
              <w:rPr>
                <w:rFonts w:ascii="Arial Narrow" w:eastAsiaTheme="majorEastAsia" w:hAnsi="Arial Narrow"/>
                <w:b/>
                <w:sz w:val="20"/>
              </w:rPr>
            </w:pPr>
            <w:r w:rsidRPr="00B06893">
              <w:rPr>
                <w:rFonts w:ascii="Arial Narrow" w:eastAsiaTheme="majorEastAsia" w:hAnsi="Arial Narrow"/>
                <w:b/>
                <w:sz w:val="20"/>
              </w:rPr>
              <w:t>Summary</w:t>
            </w:r>
          </w:p>
        </w:tc>
        <w:tc>
          <w:tcPr>
            <w:tcW w:w="2094" w:type="pct"/>
          </w:tcPr>
          <w:p w14:paraId="7619B6BC" w14:textId="575256A0" w:rsidR="0053257A" w:rsidRPr="00B06893" w:rsidRDefault="00486A55" w:rsidP="00521114">
            <w:pPr>
              <w:jc w:val="center"/>
              <w:rPr>
                <w:rFonts w:ascii="Arial Narrow" w:eastAsiaTheme="majorEastAsia" w:hAnsi="Arial Narrow"/>
                <w:b/>
                <w:sz w:val="20"/>
              </w:rPr>
            </w:pPr>
            <w:r w:rsidRPr="00B06893">
              <w:rPr>
                <w:rFonts w:ascii="Arial Narrow" w:eastAsiaTheme="majorEastAsia" w:hAnsi="Arial Narrow"/>
                <w:b/>
                <w:sz w:val="20"/>
              </w:rPr>
              <w:t xml:space="preserve">Evaluation </w:t>
            </w:r>
            <w:r w:rsidR="0053257A" w:rsidRPr="00B06893">
              <w:rPr>
                <w:rFonts w:ascii="Arial Narrow" w:eastAsiaTheme="majorEastAsia" w:hAnsi="Arial Narrow"/>
                <w:b/>
                <w:sz w:val="20"/>
              </w:rPr>
              <w:t>comments</w:t>
            </w:r>
            <w:r w:rsidRPr="00B06893">
              <w:rPr>
                <w:rFonts w:ascii="Arial Narrow" w:eastAsiaTheme="majorEastAsia" w:hAnsi="Arial Narrow"/>
                <w:b/>
                <w:sz w:val="20"/>
              </w:rPr>
              <w:t xml:space="preserve"> </w:t>
            </w:r>
          </w:p>
        </w:tc>
      </w:tr>
      <w:tr w:rsidR="0053257A" w:rsidRPr="00B06893" w14:paraId="34EA55F2" w14:textId="77777777" w:rsidTr="00501A02">
        <w:tc>
          <w:tcPr>
            <w:tcW w:w="812" w:type="pct"/>
            <w:vAlign w:val="center"/>
          </w:tcPr>
          <w:p w14:paraId="11F4C73D" w14:textId="77777777"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Treatments</w:t>
            </w:r>
          </w:p>
        </w:tc>
        <w:tc>
          <w:tcPr>
            <w:tcW w:w="2094" w:type="pct"/>
            <w:vAlign w:val="center"/>
          </w:tcPr>
          <w:p w14:paraId="768C1E83" w14:textId="77777777" w:rsidR="0053257A" w:rsidRPr="00B06893" w:rsidRDefault="0053257A" w:rsidP="00521114">
            <w:pPr>
              <w:jc w:val="left"/>
              <w:rPr>
                <w:rFonts w:ascii="Arial Narrow" w:eastAsiaTheme="majorEastAsia" w:hAnsi="Arial Narrow" w:cstheme="majorBidi"/>
                <w:bCs/>
                <w:i/>
                <w:iCs/>
                <w:sz w:val="20"/>
              </w:rPr>
            </w:pPr>
            <w:r w:rsidRPr="00B06893">
              <w:rPr>
                <w:rFonts w:ascii="Arial Narrow" w:eastAsiaTheme="majorEastAsia" w:hAnsi="Arial Narrow" w:cstheme="majorBidi"/>
                <w:bCs/>
                <w:sz w:val="20"/>
              </w:rPr>
              <w:t>Spikevax vs no updated vaccine.</w:t>
            </w:r>
          </w:p>
        </w:tc>
        <w:tc>
          <w:tcPr>
            <w:tcW w:w="2094" w:type="pct"/>
          </w:tcPr>
          <w:p w14:paraId="787B7FFF" w14:textId="3F07D61D"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 xml:space="preserve">The model compares Spikevax with no recent vaccination. </w:t>
            </w:r>
            <w:bookmarkStart w:id="69" w:name="_Hlk218681399"/>
            <w:r w:rsidRPr="00B06893">
              <w:rPr>
                <w:rFonts w:ascii="Arial Narrow" w:eastAsiaTheme="majorEastAsia" w:hAnsi="Arial Narrow" w:cstheme="majorBidi"/>
                <w:bCs/>
                <w:sz w:val="20"/>
              </w:rPr>
              <w:t>Comirnaty is a near market comparator, and a cost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minimisation approach of Spikevax and Comirnaty may be a reasonable approach if non</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inferiority is established.</w:t>
            </w:r>
            <w:bookmarkEnd w:id="69"/>
          </w:p>
        </w:tc>
      </w:tr>
      <w:tr w:rsidR="0053257A" w:rsidRPr="00B06893" w14:paraId="16CDB93E" w14:textId="77777777" w:rsidTr="00501A02">
        <w:tc>
          <w:tcPr>
            <w:tcW w:w="812" w:type="pct"/>
            <w:vAlign w:val="center"/>
          </w:tcPr>
          <w:p w14:paraId="1CEFE594" w14:textId="77777777"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Time horizon</w:t>
            </w:r>
          </w:p>
        </w:tc>
        <w:tc>
          <w:tcPr>
            <w:tcW w:w="2094" w:type="pct"/>
            <w:vAlign w:val="center"/>
          </w:tcPr>
          <w:p w14:paraId="3A472F3D" w14:textId="6CE2F071"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1 year for estimating the consequences of vaccination. Life years and QALYs lost due to early death due to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are estimated over the remaining life expectancy of patients.</w:t>
            </w:r>
          </w:p>
        </w:tc>
        <w:tc>
          <w:tcPr>
            <w:tcW w:w="2094" w:type="pct"/>
          </w:tcPr>
          <w:p w14:paraId="57EC1425" w14:textId="244C5C31"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 xml:space="preserve">This is reasonable. However, to fully estimate the impact of vaccination, the model only includes vaccine uptake in the first 6 months of the model for most patients. Although this is artificial, including uptake across the full year would have resulted in considerable loss of benefit as </w:t>
            </w:r>
            <w:r w:rsidR="000948F8" w:rsidRPr="00B06893">
              <w:rPr>
                <w:rFonts w:ascii="Arial Narrow" w:eastAsiaTheme="majorEastAsia" w:hAnsi="Arial Narrow" w:cstheme="majorBidi"/>
                <w:bCs/>
                <w:sz w:val="20"/>
              </w:rPr>
              <w:t>VE</w:t>
            </w:r>
            <w:r w:rsidRPr="00B06893">
              <w:rPr>
                <w:rFonts w:ascii="Arial Narrow" w:eastAsiaTheme="majorEastAsia" w:hAnsi="Arial Narrow" w:cstheme="majorBidi"/>
                <w:bCs/>
                <w:sz w:val="20"/>
              </w:rPr>
              <w:t xml:space="preserve"> would continue into the subsequent year and not be captured.</w:t>
            </w:r>
          </w:p>
        </w:tc>
      </w:tr>
      <w:tr w:rsidR="0053257A" w:rsidRPr="00B06893" w14:paraId="0E306BD2" w14:textId="77777777" w:rsidTr="00501A02">
        <w:tc>
          <w:tcPr>
            <w:tcW w:w="812" w:type="pct"/>
            <w:vAlign w:val="center"/>
          </w:tcPr>
          <w:p w14:paraId="6D484547" w14:textId="77777777"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Outcomes</w:t>
            </w:r>
          </w:p>
        </w:tc>
        <w:tc>
          <w:tcPr>
            <w:tcW w:w="2094" w:type="pct"/>
            <w:vAlign w:val="center"/>
          </w:tcPr>
          <w:p w14:paraId="0896B91F" w14:textId="7F111AE4"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Life</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years gained and quality adjusted life years gained. The model also presents clinical outcomes such as hospitalisation and outpatient cases.</w:t>
            </w:r>
          </w:p>
        </w:tc>
        <w:tc>
          <w:tcPr>
            <w:tcW w:w="2094" w:type="pct"/>
          </w:tcPr>
          <w:p w14:paraId="19488559" w14:textId="77777777"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 xml:space="preserve">This is reasonable. </w:t>
            </w:r>
          </w:p>
        </w:tc>
      </w:tr>
      <w:tr w:rsidR="0053257A" w:rsidRPr="00B06893" w14:paraId="3456B375" w14:textId="77777777" w:rsidTr="00501A02">
        <w:tc>
          <w:tcPr>
            <w:tcW w:w="812" w:type="pct"/>
            <w:vAlign w:val="center"/>
          </w:tcPr>
          <w:p w14:paraId="72A50B83" w14:textId="77777777"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lastRenderedPageBreak/>
              <w:t>Methods used to generate results</w:t>
            </w:r>
          </w:p>
        </w:tc>
        <w:tc>
          <w:tcPr>
            <w:tcW w:w="2094" w:type="pct"/>
          </w:tcPr>
          <w:p w14:paraId="40B79195" w14:textId="77777777" w:rsidR="0053257A" w:rsidRPr="00B06893" w:rsidRDefault="0053257A"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Decision tree with cohorts separated by age.</w:t>
            </w:r>
          </w:p>
        </w:tc>
        <w:tc>
          <w:tcPr>
            <w:tcW w:w="2094" w:type="pct"/>
          </w:tcPr>
          <w:p w14:paraId="1C9DE34F" w14:textId="47B05C61" w:rsidR="0053257A" w:rsidRPr="00B06893" w:rsidRDefault="00F60C63"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approach could have been simpler.</w:t>
            </w:r>
            <w:r w:rsidR="00580BAD">
              <w:rPr>
                <w:rFonts w:ascii="Arial Narrow" w:eastAsiaTheme="majorEastAsia" w:hAnsi="Arial Narrow" w:cstheme="majorBidi"/>
                <w:bCs/>
                <w:sz w:val="20"/>
              </w:rPr>
              <w:t xml:space="preserve"> </w:t>
            </w:r>
            <w:r w:rsidR="0053257A" w:rsidRPr="00B06893">
              <w:rPr>
                <w:rFonts w:ascii="Arial Narrow" w:eastAsiaTheme="majorEastAsia" w:hAnsi="Arial Narrow" w:cstheme="majorBidi"/>
                <w:bCs/>
                <w:sz w:val="20"/>
              </w:rPr>
              <w:t>Vaccine uptake and COVID</w:t>
            </w:r>
            <w:r w:rsidR="00193971">
              <w:rPr>
                <w:rFonts w:ascii="Arial Narrow" w:eastAsiaTheme="majorEastAsia" w:hAnsi="Arial Narrow" w:cstheme="majorBidi"/>
                <w:bCs/>
                <w:sz w:val="20"/>
              </w:rPr>
              <w:noBreakHyphen/>
            </w:r>
            <w:r w:rsidR="0053257A" w:rsidRPr="00B06893">
              <w:rPr>
                <w:rFonts w:ascii="Arial Narrow" w:eastAsiaTheme="majorEastAsia" w:hAnsi="Arial Narrow" w:cstheme="majorBidi"/>
                <w:bCs/>
                <w:sz w:val="20"/>
              </w:rPr>
              <w:t>19 cases are simulated monthly over 1 yea</w:t>
            </w:r>
            <w:r w:rsidRPr="00B06893">
              <w:rPr>
                <w:rFonts w:ascii="Arial Narrow" w:eastAsiaTheme="majorEastAsia" w:hAnsi="Arial Narrow" w:cstheme="majorBidi"/>
                <w:bCs/>
                <w:sz w:val="20"/>
              </w:rPr>
              <w:t>r whi</w:t>
            </w:r>
            <w:r w:rsidR="00AD3FDC" w:rsidRPr="00B06893">
              <w:rPr>
                <w:rFonts w:ascii="Arial Narrow" w:eastAsiaTheme="majorEastAsia" w:hAnsi="Arial Narrow" w:cstheme="majorBidi"/>
                <w:bCs/>
                <w:sz w:val="20"/>
              </w:rPr>
              <w:t>ch</w:t>
            </w:r>
            <w:r w:rsidRPr="00B06893">
              <w:rPr>
                <w:rFonts w:ascii="Arial Narrow" w:eastAsiaTheme="majorEastAsia" w:hAnsi="Arial Narrow" w:cstheme="majorBidi"/>
                <w:bCs/>
                <w:sz w:val="20"/>
              </w:rPr>
              <w:t xml:space="preserve"> is a complex approach</w:t>
            </w:r>
            <w:r w:rsidR="0053257A" w:rsidRPr="00B06893">
              <w:rPr>
                <w:rFonts w:ascii="Arial Narrow" w:eastAsiaTheme="majorEastAsia" w:hAnsi="Arial Narrow" w:cstheme="majorBidi"/>
                <w:bCs/>
                <w:sz w:val="20"/>
              </w:rPr>
              <w:t>.</w:t>
            </w:r>
            <w:r w:rsidRPr="00B06893">
              <w:rPr>
                <w:rFonts w:ascii="Arial Narrow" w:eastAsiaTheme="majorEastAsia" w:hAnsi="Arial Narrow" w:cstheme="majorBidi"/>
                <w:bCs/>
                <w:sz w:val="20"/>
              </w:rPr>
              <w:t xml:space="preserve"> </w:t>
            </w:r>
          </w:p>
          <w:p w14:paraId="14EF83CD" w14:textId="77777777" w:rsidR="00F60C63" w:rsidRPr="00B06893" w:rsidRDefault="00F60C63" w:rsidP="00521114">
            <w:pPr>
              <w:jc w:val="left"/>
              <w:rPr>
                <w:rFonts w:ascii="Arial Narrow" w:eastAsiaTheme="majorEastAsia" w:hAnsi="Arial Narrow" w:cstheme="majorBidi"/>
                <w:bCs/>
                <w:sz w:val="20"/>
              </w:rPr>
            </w:pPr>
          </w:p>
          <w:p w14:paraId="5D58D7AB" w14:textId="3DA242F5" w:rsidR="00F60C63" w:rsidRPr="00B06893" w:rsidRDefault="00F60C63"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results were presented for the overall population only, and not for each requested population.</w:t>
            </w:r>
          </w:p>
        </w:tc>
      </w:tr>
      <w:tr w:rsidR="003413E3" w:rsidRPr="00B06893" w14:paraId="2D21BCEF" w14:textId="77777777" w:rsidTr="00501A02">
        <w:tc>
          <w:tcPr>
            <w:tcW w:w="812" w:type="pct"/>
            <w:vAlign w:val="center"/>
          </w:tcPr>
          <w:p w14:paraId="1F49AF83" w14:textId="06326EA3"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Counterfactual model incidence</w:t>
            </w:r>
          </w:p>
        </w:tc>
        <w:tc>
          <w:tcPr>
            <w:tcW w:w="2094" w:type="pct"/>
          </w:tcPr>
          <w:p w14:paraId="68DEEC2F" w14:textId="246137BA"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hospitalisations, infections and impact of recent vaccination</w:t>
            </w:r>
          </w:p>
        </w:tc>
        <w:tc>
          <w:tcPr>
            <w:tcW w:w="2094" w:type="pct"/>
          </w:tcPr>
          <w:p w14:paraId="4B17BEBC" w14:textId="4FEC5DD6"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AIHW 2023</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24 hospitalisation data for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converted to infections using Le et al 2025</w:t>
            </w:r>
            <w:r w:rsidR="00025E50" w:rsidRPr="00B06893">
              <w:rPr>
                <w:rStyle w:val="FootnoteReference"/>
                <w:rFonts w:ascii="Arial Narrow" w:eastAsiaTheme="majorEastAsia" w:hAnsi="Arial Narrow" w:cstheme="majorBidi"/>
                <w:bCs/>
                <w:sz w:val="20"/>
              </w:rPr>
              <w:footnoteReference w:id="21"/>
            </w:r>
            <w:r w:rsidRPr="00B06893">
              <w:rPr>
                <w:rFonts w:ascii="Arial Narrow" w:eastAsiaTheme="majorEastAsia" w:hAnsi="Arial Narrow" w:cstheme="majorBidi"/>
                <w:bCs/>
                <w:sz w:val="20"/>
              </w:rPr>
              <w:t>, effect of recent vaccination removed using vaccine coverage from NNDSS data, VE from Wilson et al 2025</w:t>
            </w:r>
            <w:r w:rsidR="00AE48B0" w:rsidRPr="00B06893">
              <w:rPr>
                <w:rStyle w:val="FootnoteReference"/>
                <w:rFonts w:ascii="Arial Narrow" w:eastAsiaTheme="majorEastAsia" w:hAnsi="Arial Narrow" w:cstheme="majorBidi"/>
                <w:bCs/>
                <w:sz w:val="20"/>
              </w:rPr>
              <w:footnoteReference w:id="22"/>
            </w:r>
            <w:r w:rsidRPr="00B06893">
              <w:rPr>
                <w:rFonts w:ascii="Arial Narrow" w:eastAsiaTheme="majorEastAsia" w:hAnsi="Arial Narrow" w:cstheme="majorBidi"/>
                <w:bCs/>
                <w:sz w:val="20"/>
              </w:rPr>
              <w:t xml:space="preserve"> and rVE from Kavidondala et al 2024</w:t>
            </w:r>
            <w:r w:rsidR="00521114" w:rsidRPr="00B06893">
              <w:rPr>
                <w:rStyle w:val="FootnoteReference"/>
                <w:rFonts w:ascii="Arial Narrow" w:eastAsiaTheme="majorEastAsia" w:hAnsi="Arial Narrow" w:cstheme="majorBidi"/>
                <w:bCs/>
                <w:sz w:val="20"/>
              </w:rPr>
              <w:footnoteReference w:id="23"/>
            </w:r>
            <w:r w:rsidRPr="00B06893">
              <w:rPr>
                <w:rFonts w:ascii="Arial Narrow" w:eastAsiaTheme="majorEastAsia" w:hAnsi="Arial Narrow" w:cstheme="majorBidi"/>
                <w:bCs/>
                <w:sz w:val="20"/>
              </w:rPr>
              <w:t xml:space="preserve">. </w:t>
            </w:r>
          </w:p>
        </w:tc>
      </w:tr>
      <w:tr w:rsidR="00C144E9" w:rsidRPr="00B06893" w14:paraId="3B1AF322" w14:textId="77777777" w:rsidTr="00501A02">
        <w:tc>
          <w:tcPr>
            <w:tcW w:w="812" w:type="pct"/>
            <w:vAlign w:val="center"/>
          </w:tcPr>
          <w:p w14:paraId="7D2F5E66" w14:textId="77777777"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Health states</w:t>
            </w:r>
          </w:p>
        </w:tc>
        <w:tc>
          <w:tcPr>
            <w:tcW w:w="2094" w:type="pct"/>
          </w:tcPr>
          <w:p w14:paraId="1D457986" w14:textId="77777777"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No infection, infection, dead.</w:t>
            </w:r>
          </w:p>
          <w:p w14:paraId="0D53D6EF" w14:textId="327A1CB4"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infection health state has several possible consequences that are associated with different utilities and costs. These include no care, outpatient care, inpatient care, ICU, ventilator, readmission, long</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COVID and mortality. See model structure</w:t>
            </w:r>
            <w:r w:rsidR="000201BD" w:rsidRPr="00B06893">
              <w:rPr>
                <w:rFonts w:ascii="Arial Narrow" w:eastAsiaTheme="majorEastAsia" w:hAnsi="Arial Narrow" w:cstheme="majorBidi"/>
                <w:bCs/>
                <w:sz w:val="20"/>
              </w:rPr>
              <w:t xml:space="preserve"> (Figure 3</w:t>
            </w:r>
            <w:r w:rsidR="00193971">
              <w:rPr>
                <w:rFonts w:ascii="Arial Narrow" w:eastAsiaTheme="majorEastAsia" w:hAnsi="Arial Narrow" w:cstheme="majorBidi"/>
                <w:bCs/>
                <w:sz w:val="20"/>
              </w:rPr>
              <w:noBreakHyphen/>
            </w:r>
            <w:r w:rsidR="000201BD" w:rsidRPr="00B06893">
              <w:rPr>
                <w:rFonts w:ascii="Arial Narrow" w:eastAsiaTheme="majorEastAsia" w:hAnsi="Arial Narrow" w:cstheme="majorBidi"/>
                <w:bCs/>
                <w:sz w:val="20"/>
              </w:rPr>
              <w:t>1, p120 of the submission)</w:t>
            </w:r>
            <w:r w:rsidRPr="00B06893">
              <w:rPr>
                <w:rFonts w:ascii="Arial Narrow" w:eastAsiaTheme="majorEastAsia" w:hAnsi="Arial Narrow" w:cstheme="majorBidi"/>
                <w:bCs/>
                <w:sz w:val="20"/>
              </w:rPr>
              <w:t>.</w:t>
            </w:r>
          </w:p>
        </w:tc>
        <w:tc>
          <w:tcPr>
            <w:tcW w:w="2094" w:type="pct"/>
          </w:tcPr>
          <w:p w14:paraId="64694CB7" w14:textId="60178F8B"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Conceptually, the health states appear reasonable. However, non</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hospitalised health states may not align with the purpose of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vaccinations, which is to reduce the risk of severe disease and death. The non</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hospitalised health states are significant drivers of the model results.</w:t>
            </w:r>
          </w:p>
          <w:p w14:paraId="36B0E3AB" w14:textId="4F2FD3C0"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evidence required to inform the membership of the nominated health states is disparate, may not be sufficiently transitive, and may not be applicable to the estimate of VE applied in the model.</w:t>
            </w:r>
          </w:p>
        </w:tc>
      </w:tr>
      <w:tr w:rsidR="00C144E9" w:rsidRPr="00B06893" w14:paraId="789120CD" w14:textId="77777777" w:rsidTr="00501A02">
        <w:tc>
          <w:tcPr>
            <w:tcW w:w="812" w:type="pct"/>
            <w:vAlign w:val="center"/>
          </w:tcPr>
          <w:p w14:paraId="7E6434BF" w14:textId="1A1DC962"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Transition probabilities</w:t>
            </w:r>
          </w:p>
        </w:tc>
        <w:tc>
          <w:tcPr>
            <w:tcW w:w="2094" w:type="pct"/>
          </w:tcPr>
          <w:p w14:paraId="6548725B" w14:textId="77777777"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Various sources for the no vaccine arm.</w:t>
            </w:r>
          </w:p>
          <w:p w14:paraId="2757E759" w14:textId="62435170" w:rsidR="00C144E9" w:rsidRPr="00B06893" w:rsidRDefault="000948F8"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VE</w:t>
            </w:r>
            <w:r w:rsidR="00C144E9" w:rsidRPr="00B06893">
              <w:rPr>
                <w:rFonts w:ascii="Arial Narrow" w:eastAsiaTheme="majorEastAsia" w:hAnsi="Arial Narrow" w:cstheme="majorBidi"/>
                <w:bCs/>
                <w:sz w:val="20"/>
              </w:rPr>
              <w:t xml:space="preserve"> influences the rate of infections and hospitalisations, and this is sourced from a U.S. cohort study.</w:t>
            </w:r>
          </w:p>
        </w:tc>
        <w:tc>
          <w:tcPr>
            <w:tcW w:w="2094" w:type="pct"/>
            <w:vAlign w:val="center"/>
          </w:tcPr>
          <w:p w14:paraId="72531673" w14:textId="13894E97"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model estimates the incidence of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19, the likelihood of hospitalisation and downstream impacts. These estimates are </w:t>
            </w:r>
            <w:r w:rsidR="00B353DA" w:rsidRPr="00B06893">
              <w:rPr>
                <w:rFonts w:ascii="Arial Narrow" w:eastAsiaTheme="majorEastAsia" w:hAnsi="Arial Narrow" w:cstheme="majorBidi"/>
                <w:bCs/>
                <w:sz w:val="20"/>
              </w:rPr>
              <w:t xml:space="preserve">primarily </w:t>
            </w:r>
            <w:r w:rsidRPr="00B06893">
              <w:rPr>
                <w:rFonts w:ascii="Arial Narrow" w:eastAsiaTheme="majorEastAsia" w:hAnsi="Arial Narrow" w:cstheme="majorBidi"/>
                <w:bCs/>
                <w:sz w:val="20"/>
              </w:rPr>
              <w:t>sourced from Australian publications (including Australian Department of Health publications). The vaccine only has an impact on the number of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19 cases or hospitalisations. All other downstream transitions remain constant. </w:t>
            </w:r>
          </w:p>
        </w:tc>
      </w:tr>
      <w:tr w:rsidR="00C144E9" w:rsidRPr="00B06893" w14:paraId="00938F9A" w14:textId="77777777" w:rsidTr="00501A02">
        <w:tc>
          <w:tcPr>
            <w:tcW w:w="812" w:type="pct"/>
            <w:vAlign w:val="center"/>
          </w:tcPr>
          <w:p w14:paraId="72A44F62" w14:textId="77777777"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Health related quality of life</w:t>
            </w:r>
          </w:p>
        </w:tc>
        <w:tc>
          <w:tcPr>
            <w:tcW w:w="2094" w:type="pct"/>
            <w:vAlign w:val="center"/>
          </w:tcPr>
          <w:p w14:paraId="248646A2" w14:textId="34550BD8"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QALY decrements are estimated for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cases, hospitalisations, consequences of hospitalisation and 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w:t>
            </w:r>
          </w:p>
        </w:tc>
        <w:tc>
          <w:tcPr>
            <w:tcW w:w="2094" w:type="pct"/>
          </w:tcPr>
          <w:p w14:paraId="4E507B35" w14:textId="425F2A0A" w:rsidR="00C144E9" w:rsidRPr="00B06893" w:rsidRDefault="00C144E9" w:rsidP="00521114">
            <w:pPr>
              <w:jc w:val="left"/>
              <w:rPr>
                <w:rFonts w:ascii="Arial Narrow" w:eastAsiaTheme="majorEastAsia" w:hAnsi="Arial Narrow" w:cstheme="majorBidi"/>
                <w:bCs/>
                <w:sz w:val="20"/>
              </w:rPr>
            </w:pPr>
            <w:r w:rsidRPr="00B06893">
              <w:rPr>
                <w:rFonts w:ascii="Arial Narrow" w:eastAsiaTheme="majorEastAsia" w:hAnsi="Arial Narrow" w:cstheme="majorBidi"/>
                <w:bCs/>
                <w:sz w:val="20"/>
              </w:rPr>
              <w:t>Some sources of estimates for QALY decrements may not be applicable to current circulating variants of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w:t>
            </w:r>
          </w:p>
        </w:tc>
      </w:tr>
    </w:tbl>
    <w:bookmarkEnd w:id="68"/>
    <w:p w14:paraId="337B9D1B" w14:textId="2E9AE462" w:rsidR="00D85592" w:rsidRPr="00B06893" w:rsidRDefault="00D85592" w:rsidP="00521114">
      <w:pPr>
        <w:spacing w:after="120"/>
        <w:contextualSpacing/>
        <w:rPr>
          <w:rFonts w:ascii="Arial Narrow" w:hAnsi="Arial Narrow" w:cs="Arial"/>
          <w:snapToGrid w:val="0"/>
          <w:sz w:val="18"/>
          <w:szCs w:val="22"/>
        </w:rPr>
      </w:pPr>
      <w:r w:rsidRPr="00B06893">
        <w:rPr>
          <w:rFonts w:ascii="Arial Narrow" w:hAnsi="Arial Narrow" w:cs="Arial"/>
          <w:snapToGrid w:val="0"/>
          <w:sz w:val="18"/>
          <w:szCs w:val="22"/>
        </w:rPr>
        <w:t>Source: Table 3</w:t>
      </w:r>
      <w:r w:rsidR="00193971">
        <w:rPr>
          <w:rFonts w:ascii="Arial Narrow" w:hAnsi="Arial Narrow" w:cs="Arial"/>
          <w:snapToGrid w:val="0"/>
          <w:sz w:val="18"/>
          <w:szCs w:val="22"/>
        </w:rPr>
        <w:noBreakHyphen/>
      </w:r>
      <w:r w:rsidRPr="00B06893">
        <w:rPr>
          <w:rFonts w:ascii="Arial Narrow" w:hAnsi="Arial Narrow" w:cs="Arial"/>
          <w:snapToGrid w:val="0"/>
          <w:sz w:val="18"/>
          <w:szCs w:val="22"/>
        </w:rPr>
        <w:t>1, p114 of the submission.</w:t>
      </w:r>
    </w:p>
    <w:p w14:paraId="74BEEEE4" w14:textId="15F2E5EB" w:rsidR="0053257A" w:rsidRPr="00B06893" w:rsidRDefault="000201BD" w:rsidP="00521114">
      <w:pPr>
        <w:spacing w:after="120"/>
        <w:contextualSpacing/>
        <w:jc w:val="left"/>
        <w:rPr>
          <w:rFonts w:ascii="Arial Narrow" w:hAnsi="Arial Narrow" w:cs="Arial"/>
          <w:snapToGrid w:val="0"/>
          <w:sz w:val="18"/>
          <w:szCs w:val="22"/>
        </w:rPr>
      </w:pPr>
      <w:r w:rsidRPr="00B06893">
        <w:rPr>
          <w:rFonts w:ascii="Arial Narrow" w:hAnsi="Arial Narrow" w:cs="Arial"/>
          <w:snapToGrid w:val="0"/>
          <w:sz w:val="18"/>
          <w:szCs w:val="22"/>
        </w:rPr>
        <w:t xml:space="preserve">AIHW = Australian Institute for Health and Welfare; </w:t>
      </w:r>
      <w:r w:rsidR="0053257A" w:rsidRPr="00B06893">
        <w:rPr>
          <w:rFonts w:ascii="Arial Narrow" w:hAnsi="Arial Narrow" w:cs="Arial"/>
          <w:snapToGrid w:val="0"/>
          <w:sz w:val="18"/>
          <w:szCs w:val="22"/>
        </w:rPr>
        <w:t xml:space="preserve">COVID = Coronavirus disease of 2019; ICU = Intensive Care Unit; NIP = National Immunisation Program; </w:t>
      </w:r>
      <w:r w:rsidRPr="00B06893">
        <w:rPr>
          <w:rFonts w:ascii="Arial Narrow" w:hAnsi="Arial Narrow" w:cs="Arial"/>
          <w:snapToGrid w:val="0"/>
          <w:sz w:val="18"/>
          <w:szCs w:val="22"/>
        </w:rPr>
        <w:t xml:space="preserve">NNDSS = National Notifiable Diseases Surveillance System; </w:t>
      </w:r>
      <w:r w:rsidR="0053257A" w:rsidRPr="00B06893">
        <w:rPr>
          <w:rFonts w:ascii="Arial Narrow" w:hAnsi="Arial Narrow" w:cs="Arial"/>
          <w:snapToGrid w:val="0"/>
          <w:sz w:val="18"/>
          <w:szCs w:val="22"/>
        </w:rPr>
        <w:t>QALY = Quality</w:t>
      </w:r>
      <w:r w:rsidR="00193971">
        <w:rPr>
          <w:rFonts w:ascii="Arial Narrow" w:hAnsi="Arial Narrow" w:cs="Arial"/>
          <w:snapToGrid w:val="0"/>
          <w:sz w:val="18"/>
          <w:szCs w:val="22"/>
        </w:rPr>
        <w:noBreakHyphen/>
      </w:r>
      <w:r w:rsidR="0053257A" w:rsidRPr="00B06893">
        <w:rPr>
          <w:rFonts w:ascii="Arial Narrow" w:hAnsi="Arial Narrow" w:cs="Arial"/>
          <w:snapToGrid w:val="0"/>
          <w:sz w:val="18"/>
          <w:szCs w:val="22"/>
        </w:rPr>
        <w:t xml:space="preserve">Adjusted Life Year; </w:t>
      </w:r>
      <w:r w:rsidR="00C33BC3" w:rsidRPr="00B06893">
        <w:rPr>
          <w:rFonts w:ascii="Arial Narrow" w:hAnsi="Arial Narrow" w:cs="Arial"/>
          <w:snapToGrid w:val="0"/>
          <w:sz w:val="18"/>
          <w:szCs w:val="22"/>
        </w:rPr>
        <w:t xml:space="preserve">rVE = relative vaccine effectiveness; </w:t>
      </w:r>
      <w:r w:rsidR="0053257A" w:rsidRPr="00B06893">
        <w:rPr>
          <w:rFonts w:ascii="Arial Narrow" w:hAnsi="Arial Narrow" w:cs="Arial"/>
          <w:snapToGrid w:val="0"/>
          <w:sz w:val="18"/>
          <w:szCs w:val="22"/>
        </w:rPr>
        <w:t>VE = Vaccine effectiveness.</w:t>
      </w:r>
    </w:p>
    <w:p w14:paraId="794F461B" w14:textId="278FCFD5" w:rsidR="00001425" w:rsidRPr="00B06893" w:rsidRDefault="0053257A" w:rsidP="0053257A">
      <w:pPr>
        <w:pStyle w:val="3-BodyText"/>
      </w:pPr>
      <w:r w:rsidRPr="00B06893">
        <w:t>The submission applied a 1 year time horizon to estimate the impact of Spikevax on COVID</w:t>
      </w:r>
      <w:r w:rsidR="00193971">
        <w:noBreakHyphen/>
      </w:r>
      <w:r w:rsidRPr="00B06893">
        <w:t xml:space="preserve">19 cases and hospitalisations. Infections </w:t>
      </w:r>
      <w:r w:rsidR="00D3597A" w:rsidRPr="00B06893">
        <w:t xml:space="preserve">were </w:t>
      </w:r>
      <w:r w:rsidRPr="00B06893">
        <w:t xml:space="preserve">estimated per month, and </w:t>
      </w:r>
      <w:r w:rsidRPr="00B06893">
        <w:lastRenderedPageBreak/>
        <w:t xml:space="preserve">vaccine uptake </w:t>
      </w:r>
      <w:r w:rsidR="00E87782" w:rsidRPr="00B06893">
        <w:t xml:space="preserve">was </w:t>
      </w:r>
      <w:r w:rsidRPr="00B06893">
        <w:t xml:space="preserve">estimated per month. </w:t>
      </w:r>
      <w:r w:rsidR="00C33BC3" w:rsidRPr="00B06893">
        <w:t>The submission only include</w:t>
      </w:r>
      <w:r w:rsidR="00E87782" w:rsidRPr="00B06893">
        <w:t>d</w:t>
      </w:r>
      <w:r w:rsidR="00C33BC3" w:rsidRPr="00B06893">
        <w:t xml:space="preserve"> vaccine uptake for the first 6 months of the 12 month model duration for those populations that only receive 1 dose per year (18</w:t>
      </w:r>
      <w:r w:rsidR="00193971">
        <w:noBreakHyphen/>
      </w:r>
      <w:r w:rsidR="00C33BC3" w:rsidRPr="00B06893">
        <w:t>64 and 65</w:t>
      </w:r>
      <w:r w:rsidR="00193971">
        <w:noBreakHyphen/>
      </w:r>
      <w:r w:rsidR="00C33BC3" w:rsidRPr="00B06893">
        <w:t>74 year cohorts). For the 75+ year cohort, a second dose is assumed to fall in the latter half of the model duration.</w:t>
      </w:r>
      <w:r w:rsidR="00580BAD">
        <w:t xml:space="preserve"> </w:t>
      </w:r>
      <w:r w:rsidRPr="00B06893">
        <w:t>The approach is not realistic, but may be</w:t>
      </w:r>
      <w:r w:rsidR="00044DB6" w:rsidRPr="00B06893">
        <w:t xml:space="preserve"> a</w:t>
      </w:r>
      <w:r w:rsidRPr="00B06893">
        <w:t xml:space="preserve"> reasonable</w:t>
      </w:r>
      <w:r w:rsidR="00044DB6" w:rsidRPr="00B06893">
        <w:t xml:space="preserve"> simplification</w:t>
      </w:r>
      <w:r w:rsidRPr="00B06893">
        <w:t>. By including all vaccinations at the beginning of the modelled year, the vaccine has sufficient time to prevent COVID</w:t>
      </w:r>
      <w:r w:rsidR="00193971">
        <w:noBreakHyphen/>
      </w:r>
      <w:r w:rsidRPr="00B06893">
        <w:t xml:space="preserve">19 cases and hospitalisations prior to </w:t>
      </w:r>
      <w:r w:rsidR="000948F8" w:rsidRPr="00B06893">
        <w:t>VE</w:t>
      </w:r>
      <w:r w:rsidRPr="00B06893">
        <w:t xml:space="preserve"> wanes. If vaccinations had been simulated over the full year, vaccinations administered toward the end of the model time horizon would incur the full cost of the vaccination, but achieve fewer avoided COVID</w:t>
      </w:r>
      <w:r w:rsidR="00193971">
        <w:noBreakHyphen/>
      </w:r>
      <w:r w:rsidRPr="00B06893">
        <w:t>19 cases or hospitalisations as these consequences may occur in the following year.</w:t>
      </w:r>
      <w:r w:rsidR="00580BAD">
        <w:t xml:space="preserve"> </w:t>
      </w:r>
      <w:r w:rsidR="00001425" w:rsidRPr="00B06893">
        <w:t>The model assumes that a minority of the 75+ year cohort will receive 2 doses (27% of 75+ year olds are estimated to receive the vaccine. Of those, 43.3% will receive a second dose corresponding to 11.7% of 75+ year olds) which does not reflect the requested NIP listing which requests biannual doses for this age group.</w:t>
      </w:r>
    </w:p>
    <w:p w14:paraId="1DAD474C" w14:textId="404FFF9F" w:rsidR="0053257A" w:rsidRPr="00B06893" w:rsidRDefault="0053257A" w:rsidP="0053257A">
      <w:pPr>
        <w:pStyle w:val="3-BodyText"/>
      </w:pPr>
      <w:r w:rsidRPr="00B06893">
        <w:t>The populations included in the model are aged 18</w:t>
      </w:r>
      <w:r w:rsidR="00193971">
        <w:noBreakHyphen/>
      </w:r>
      <w:r w:rsidRPr="00B06893">
        <w:t xml:space="preserve">64 with </w:t>
      </w:r>
      <w:r w:rsidR="0067643F" w:rsidRPr="00B06893">
        <w:t xml:space="preserve">severe </w:t>
      </w:r>
      <w:r w:rsidRPr="00B06893">
        <w:t>immunocompromise (assumed to be 3.76% of the total 18</w:t>
      </w:r>
      <w:r w:rsidR="00193971">
        <w:noBreakHyphen/>
      </w:r>
      <w:r w:rsidRPr="00B06893">
        <w:t>64 year age cohort), aged 65</w:t>
      </w:r>
      <w:r w:rsidR="00193971">
        <w:noBreakHyphen/>
      </w:r>
      <w:r w:rsidRPr="00B06893">
        <w:t>74, and aged ≥75 years. The model includes age specific COVID</w:t>
      </w:r>
      <w:r w:rsidR="00193971">
        <w:noBreakHyphen/>
      </w:r>
      <w:r w:rsidRPr="00B06893">
        <w:t>19 infection rates, age specific COVID</w:t>
      </w:r>
      <w:r w:rsidR="00193971">
        <w:noBreakHyphen/>
      </w:r>
      <w:r w:rsidRPr="00B06893">
        <w:t xml:space="preserve">19 hospitalisation rates and age specific </w:t>
      </w:r>
      <w:r w:rsidR="000948F8" w:rsidRPr="00B06893">
        <w:t>VE</w:t>
      </w:r>
      <w:r w:rsidRPr="00B06893">
        <w:t xml:space="preserve"> estimates. The model </w:t>
      </w:r>
      <w:r w:rsidR="00E87782" w:rsidRPr="00B06893">
        <w:t xml:space="preserve">did </w:t>
      </w:r>
      <w:r w:rsidRPr="00B06893">
        <w:t>not include estimates of uptake or effectiveness in the Aboriginal and Torres Strait Islander population aged 50</w:t>
      </w:r>
      <w:r w:rsidR="00193971">
        <w:noBreakHyphen/>
      </w:r>
      <w:r w:rsidRPr="00B06893">
        <w:t xml:space="preserve">64 </w:t>
      </w:r>
      <w:r w:rsidR="00D5353A" w:rsidRPr="00B06893">
        <w:t>years and</w:t>
      </w:r>
      <w:r w:rsidRPr="00B06893">
        <w:t xml:space="preserve"> </w:t>
      </w:r>
      <w:r w:rsidR="00E87782" w:rsidRPr="00B06893">
        <w:t xml:space="preserve">was </w:t>
      </w:r>
      <w:r w:rsidRPr="00B06893">
        <w:t xml:space="preserve">therefore inconsistent with the proposed NIP listing. </w:t>
      </w:r>
    </w:p>
    <w:p w14:paraId="3C12AF30" w14:textId="385F33CF" w:rsidR="009113A1" w:rsidRPr="00B06893" w:rsidRDefault="009113A1" w:rsidP="009113A1">
      <w:pPr>
        <w:pStyle w:val="3-BodyText"/>
      </w:pPr>
      <w:r w:rsidRPr="00B06893">
        <w:t>Cumulative vaccine uptake rates used in the model are presented below</w:t>
      </w:r>
      <w:r w:rsidR="00513075" w:rsidRPr="00B06893">
        <w:t xml:space="preserve"> in </w:t>
      </w:r>
      <w:r w:rsidR="00513075" w:rsidRPr="00B06893">
        <w:fldChar w:fldCharType="begin"/>
      </w:r>
      <w:r w:rsidR="00513075" w:rsidRPr="00B06893">
        <w:instrText xml:space="preserve"> REF _Ref219895351 \h </w:instrText>
      </w:r>
      <w:r w:rsidR="00D5353A" w:rsidRPr="00B06893">
        <w:instrText xml:space="preserve"> \* MERGEFORMAT </w:instrText>
      </w:r>
      <w:r w:rsidR="00513075" w:rsidRPr="00B06893">
        <w:fldChar w:fldCharType="separate"/>
      </w:r>
      <w:r w:rsidR="00810177" w:rsidRPr="00B06893">
        <w:rPr>
          <w:rFonts w:cs="Arial"/>
        </w:rPr>
        <w:t>Table 21</w:t>
      </w:r>
      <w:r w:rsidR="00513075" w:rsidRPr="00B06893">
        <w:fldChar w:fldCharType="end"/>
      </w:r>
      <w:r w:rsidR="00513075" w:rsidRPr="00B06893">
        <w:t>.</w:t>
      </w:r>
      <w:r w:rsidR="00580BAD">
        <w:t xml:space="preserve"> </w:t>
      </w:r>
      <w:r w:rsidR="00513075" w:rsidRPr="00B06893">
        <w:t xml:space="preserve">Altering the uptake of vaccine by month has the potential to change the ICER </w:t>
      </w:r>
      <w:r w:rsidR="0072057E" w:rsidRPr="00B06893">
        <w:t>within the corresponding</w:t>
      </w:r>
      <w:r w:rsidR="00513075" w:rsidRPr="00B06893">
        <w:t xml:space="preserve"> age group.</w:t>
      </w:r>
      <w:r w:rsidR="00580BAD">
        <w:t xml:space="preserve"> </w:t>
      </w:r>
      <w:r w:rsidR="00513075" w:rsidRPr="00B06893">
        <w:t xml:space="preserve">Altering the uptake of vaccine in a way that changes the proportional use of Spikevax </w:t>
      </w:r>
      <w:r w:rsidR="00684B61" w:rsidRPr="00B06893">
        <w:t>across</w:t>
      </w:r>
      <w:r w:rsidR="00513075" w:rsidRPr="00B06893">
        <w:t xml:space="preserve"> different age group</w:t>
      </w:r>
      <w:r w:rsidR="00684B61" w:rsidRPr="00B06893">
        <w:t>s</w:t>
      </w:r>
      <w:r w:rsidR="00513075" w:rsidRPr="00B06893">
        <w:t xml:space="preserve"> has the potential to change the weighted ICER, since the cost</w:t>
      </w:r>
      <w:r w:rsidR="00193971">
        <w:noBreakHyphen/>
      </w:r>
      <w:r w:rsidR="00513075" w:rsidRPr="00B06893">
        <w:t>effectiveness of Spikevax varies by age group</w:t>
      </w:r>
      <w:r w:rsidR="002E2AA4" w:rsidRPr="00B06893">
        <w:t>.</w:t>
      </w:r>
    </w:p>
    <w:p w14:paraId="33D7A09A" w14:textId="7F4290D0" w:rsidR="009113A1" w:rsidRPr="00B06893" w:rsidRDefault="009113A1" w:rsidP="009113A1">
      <w:pPr>
        <w:rPr>
          <w:rFonts w:ascii="Calibri" w:hAnsi="Calibri" w:cs="Arial"/>
          <w:szCs w:val="24"/>
        </w:rPr>
      </w:pPr>
    </w:p>
    <w:p w14:paraId="7238F774" w14:textId="60125470" w:rsidR="009113A1" w:rsidRPr="00B06893" w:rsidRDefault="00513075" w:rsidP="009113A1">
      <w:pPr>
        <w:pStyle w:val="Caption"/>
      </w:pPr>
      <w:bookmarkStart w:id="70" w:name="_Ref219895351"/>
      <w:r w:rsidRPr="00B06893">
        <w:rPr>
          <w:rFonts w:cs="Arial"/>
        </w:rPr>
        <w:t xml:space="preserve">Table </w:t>
      </w:r>
      <w:r w:rsidR="00B531BD" w:rsidRPr="00B06893">
        <w:rPr>
          <w:rFonts w:cs="Arial"/>
        </w:rPr>
        <w:fldChar w:fldCharType="begin"/>
      </w:r>
      <w:r w:rsidR="00B531BD" w:rsidRPr="00B06893">
        <w:rPr>
          <w:rFonts w:cs="Arial"/>
        </w:rPr>
        <w:instrText xml:space="preserve"> SEQ Table \* ARABIC </w:instrText>
      </w:r>
      <w:r w:rsidR="00B531BD" w:rsidRPr="00B06893">
        <w:rPr>
          <w:rFonts w:cs="Arial"/>
        </w:rPr>
        <w:fldChar w:fldCharType="separate"/>
      </w:r>
      <w:r w:rsidR="00810177" w:rsidRPr="00B06893">
        <w:rPr>
          <w:rFonts w:cs="Arial"/>
        </w:rPr>
        <w:t>21</w:t>
      </w:r>
      <w:r w:rsidR="00B531BD" w:rsidRPr="00B06893">
        <w:rPr>
          <w:rFonts w:cs="Arial"/>
        </w:rPr>
        <w:fldChar w:fldCharType="end"/>
      </w:r>
      <w:bookmarkEnd w:id="70"/>
      <w:r w:rsidRPr="00B06893">
        <w:rPr>
          <w:rFonts w:cs="Arial"/>
        </w:rPr>
        <w:t>:</w:t>
      </w:r>
      <w:r w:rsidR="009113A1" w:rsidRPr="00B06893">
        <w:tab/>
      </w:r>
      <w:r w:rsidR="00334943">
        <w:t xml:space="preserve"> </w:t>
      </w:r>
      <w:r w:rsidR="009113A1" w:rsidRPr="00B06893">
        <w:t xml:space="preserve">Cumulative vaccine uptake for Spikevax by age group (%) in the economic model </w:t>
      </w:r>
    </w:p>
    <w:tbl>
      <w:tblPr>
        <w:tblW w:w="5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Cumulative vaccine uptake for Spikevax by age group (%) in the economic model "/>
      </w:tblPr>
      <w:tblGrid>
        <w:gridCol w:w="1133"/>
        <w:gridCol w:w="657"/>
        <w:gridCol w:w="657"/>
        <w:gridCol w:w="658"/>
        <w:gridCol w:w="657"/>
        <w:gridCol w:w="657"/>
        <w:gridCol w:w="656"/>
        <w:gridCol w:w="657"/>
        <w:gridCol w:w="657"/>
        <w:gridCol w:w="657"/>
        <w:gridCol w:w="656"/>
        <w:gridCol w:w="657"/>
        <w:gridCol w:w="657"/>
        <w:gridCol w:w="657"/>
      </w:tblGrid>
      <w:tr w:rsidR="00334943" w:rsidRPr="00B06893" w14:paraId="734202C0" w14:textId="77777777" w:rsidTr="00334943">
        <w:trPr>
          <w:trHeight w:val="330"/>
        </w:trPr>
        <w:tc>
          <w:tcPr>
            <w:tcW w:w="1134" w:type="dxa"/>
            <w:shd w:val="clear" w:color="auto" w:fill="FFFFFF" w:themeFill="background1"/>
            <w:noWrap/>
            <w:vAlign w:val="center"/>
            <w:hideMark/>
          </w:tcPr>
          <w:p w14:paraId="0E7A103C" w14:textId="77777777" w:rsidR="00334943" w:rsidRPr="00B06893" w:rsidRDefault="00334943" w:rsidP="00501A02">
            <w:pPr>
              <w:keepNext/>
              <w:jc w:val="left"/>
              <w:rPr>
                <w:rFonts w:ascii="Arial Narrow" w:hAnsi="Arial Narrow"/>
                <w:b/>
                <w:bCs/>
                <w:snapToGrid w:val="0"/>
                <w:sz w:val="20"/>
                <w:szCs w:val="24"/>
              </w:rPr>
            </w:pPr>
            <w:r w:rsidRPr="00B06893">
              <w:rPr>
                <w:rFonts w:ascii="Arial Narrow" w:hAnsi="Arial Narrow"/>
                <w:b/>
                <w:bCs/>
                <w:snapToGrid w:val="0"/>
                <w:sz w:val="20"/>
                <w:szCs w:val="24"/>
              </w:rPr>
              <w:t>Age group</w:t>
            </w:r>
          </w:p>
        </w:tc>
        <w:tc>
          <w:tcPr>
            <w:tcW w:w="657" w:type="dxa"/>
            <w:shd w:val="clear" w:color="auto" w:fill="FFFFFF" w:themeFill="background1"/>
          </w:tcPr>
          <w:p w14:paraId="36419E1D" w14:textId="77777777" w:rsidR="00334943" w:rsidRPr="00B06893" w:rsidRDefault="00334943" w:rsidP="00501A02">
            <w:pPr>
              <w:keepNext/>
              <w:jc w:val="center"/>
              <w:rPr>
                <w:rFonts w:ascii="Arial Narrow" w:hAnsi="Arial Narrow"/>
                <w:b/>
                <w:bCs/>
                <w:snapToGrid w:val="0"/>
                <w:sz w:val="20"/>
                <w:szCs w:val="24"/>
              </w:rPr>
            </w:pPr>
          </w:p>
        </w:tc>
        <w:tc>
          <w:tcPr>
            <w:tcW w:w="657" w:type="dxa"/>
            <w:shd w:val="clear" w:color="auto" w:fill="FFFFFF" w:themeFill="background1"/>
            <w:noWrap/>
            <w:vAlign w:val="center"/>
            <w:hideMark/>
          </w:tcPr>
          <w:p w14:paraId="7BCD8145" w14:textId="245043B1"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Mar</w:t>
            </w:r>
          </w:p>
        </w:tc>
        <w:tc>
          <w:tcPr>
            <w:tcW w:w="658" w:type="dxa"/>
            <w:shd w:val="clear" w:color="auto" w:fill="FFFFFF" w:themeFill="background1"/>
            <w:noWrap/>
            <w:vAlign w:val="center"/>
            <w:hideMark/>
          </w:tcPr>
          <w:p w14:paraId="15E52C1B"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Apr</w:t>
            </w:r>
          </w:p>
        </w:tc>
        <w:tc>
          <w:tcPr>
            <w:tcW w:w="657" w:type="dxa"/>
            <w:shd w:val="clear" w:color="auto" w:fill="FFFFFF" w:themeFill="background1"/>
            <w:noWrap/>
            <w:vAlign w:val="center"/>
            <w:hideMark/>
          </w:tcPr>
          <w:p w14:paraId="13D9BAFD"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May</w:t>
            </w:r>
          </w:p>
        </w:tc>
        <w:tc>
          <w:tcPr>
            <w:tcW w:w="657" w:type="dxa"/>
            <w:shd w:val="clear" w:color="auto" w:fill="FFFFFF" w:themeFill="background1"/>
            <w:noWrap/>
            <w:vAlign w:val="center"/>
            <w:hideMark/>
          </w:tcPr>
          <w:p w14:paraId="22E731B6"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Jun</w:t>
            </w:r>
          </w:p>
        </w:tc>
        <w:tc>
          <w:tcPr>
            <w:tcW w:w="656" w:type="dxa"/>
            <w:shd w:val="clear" w:color="auto" w:fill="FFFFFF" w:themeFill="background1"/>
            <w:noWrap/>
            <w:vAlign w:val="center"/>
            <w:hideMark/>
          </w:tcPr>
          <w:p w14:paraId="1A6AD6A1"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Jul</w:t>
            </w:r>
          </w:p>
        </w:tc>
        <w:tc>
          <w:tcPr>
            <w:tcW w:w="657" w:type="dxa"/>
            <w:shd w:val="clear" w:color="auto" w:fill="FFFFFF" w:themeFill="background1"/>
            <w:noWrap/>
            <w:vAlign w:val="center"/>
            <w:hideMark/>
          </w:tcPr>
          <w:p w14:paraId="0FB8AB38"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Aug</w:t>
            </w:r>
          </w:p>
        </w:tc>
        <w:tc>
          <w:tcPr>
            <w:tcW w:w="657" w:type="dxa"/>
            <w:shd w:val="clear" w:color="auto" w:fill="FFFFFF" w:themeFill="background1"/>
            <w:noWrap/>
            <w:vAlign w:val="center"/>
            <w:hideMark/>
          </w:tcPr>
          <w:p w14:paraId="3A8D36D2"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Sep</w:t>
            </w:r>
          </w:p>
        </w:tc>
        <w:tc>
          <w:tcPr>
            <w:tcW w:w="657" w:type="dxa"/>
            <w:shd w:val="clear" w:color="auto" w:fill="FFFFFF" w:themeFill="background1"/>
            <w:noWrap/>
            <w:vAlign w:val="center"/>
            <w:hideMark/>
          </w:tcPr>
          <w:p w14:paraId="567CE7F6"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Oct</w:t>
            </w:r>
          </w:p>
        </w:tc>
        <w:tc>
          <w:tcPr>
            <w:tcW w:w="656" w:type="dxa"/>
            <w:shd w:val="clear" w:color="auto" w:fill="FFFFFF" w:themeFill="background1"/>
            <w:noWrap/>
            <w:vAlign w:val="center"/>
            <w:hideMark/>
          </w:tcPr>
          <w:p w14:paraId="10DBA1C3"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Nov</w:t>
            </w:r>
          </w:p>
        </w:tc>
        <w:tc>
          <w:tcPr>
            <w:tcW w:w="657" w:type="dxa"/>
            <w:shd w:val="clear" w:color="auto" w:fill="FFFFFF" w:themeFill="background1"/>
            <w:noWrap/>
            <w:vAlign w:val="center"/>
            <w:hideMark/>
          </w:tcPr>
          <w:p w14:paraId="54D95DB3"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Dec</w:t>
            </w:r>
          </w:p>
        </w:tc>
        <w:tc>
          <w:tcPr>
            <w:tcW w:w="657" w:type="dxa"/>
            <w:shd w:val="clear" w:color="auto" w:fill="FFFFFF" w:themeFill="background1"/>
            <w:noWrap/>
            <w:vAlign w:val="center"/>
            <w:hideMark/>
          </w:tcPr>
          <w:p w14:paraId="31EC8E25"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Jan</w:t>
            </w:r>
          </w:p>
        </w:tc>
        <w:tc>
          <w:tcPr>
            <w:tcW w:w="657" w:type="dxa"/>
            <w:shd w:val="clear" w:color="auto" w:fill="FFFFFF" w:themeFill="background1"/>
            <w:noWrap/>
            <w:vAlign w:val="center"/>
            <w:hideMark/>
          </w:tcPr>
          <w:p w14:paraId="5B15ED6B" w14:textId="77777777" w:rsidR="00334943" w:rsidRPr="00B06893" w:rsidRDefault="00334943" w:rsidP="00501A02">
            <w:pPr>
              <w:keepNext/>
              <w:jc w:val="center"/>
              <w:rPr>
                <w:rFonts w:ascii="Arial Narrow" w:hAnsi="Arial Narrow"/>
                <w:b/>
                <w:bCs/>
                <w:snapToGrid w:val="0"/>
                <w:sz w:val="20"/>
                <w:szCs w:val="24"/>
              </w:rPr>
            </w:pPr>
            <w:r w:rsidRPr="00B06893">
              <w:rPr>
                <w:rFonts w:ascii="Arial Narrow" w:hAnsi="Arial Narrow"/>
                <w:b/>
                <w:bCs/>
                <w:snapToGrid w:val="0"/>
                <w:sz w:val="20"/>
                <w:szCs w:val="24"/>
              </w:rPr>
              <w:t>Feb</w:t>
            </w:r>
          </w:p>
        </w:tc>
      </w:tr>
      <w:tr w:rsidR="00334943" w:rsidRPr="00B06893" w14:paraId="7FF57541" w14:textId="77777777" w:rsidTr="00334943">
        <w:trPr>
          <w:trHeight w:val="330"/>
        </w:trPr>
        <w:tc>
          <w:tcPr>
            <w:tcW w:w="1134" w:type="dxa"/>
            <w:shd w:val="clear" w:color="000000" w:fill="FFFFFF"/>
            <w:noWrap/>
            <w:vAlign w:val="center"/>
            <w:hideMark/>
          </w:tcPr>
          <w:p w14:paraId="46707AA2" w14:textId="12878173" w:rsidR="00334943" w:rsidRPr="00B06893" w:rsidRDefault="00334943" w:rsidP="00501A02">
            <w:pPr>
              <w:keepNext/>
              <w:jc w:val="left"/>
              <w:rPr>
                <w:rFonts w:ascii="Arial Narrow" w:hAnsi="Arial Narrow"/>
                <w:snapToGrid w:val="0"/>
                <w:sz w:val="20"/>
                <w:szCs w:val="24"/>
              </w:rPr>
            </w:pPr>
            <w:r w:rsidRPr="00B06893">
              <w:rPr>
                <w:rFonts w:ascii="Arial Narrow" w:hAnsi="Arial Narrow"/>
                <w:snapToGrid w:val="0"/>
                <w:sz w:val="20"/>
                <w:szCs w:val="24"/>
              </w:rPr>
              <w:t>18</w:t>
            </w:r>
            <w:r>
              <w:rPr>
                <w:rFonts w:ascii="Arial Narrow" w:hAnsi="Arial Narrow"/>
                <w:snapToGrid w:val="0"/>
                <w:sz w:val="20"/>
                <w:szCs w:val="24"/>
              </w:rPr>
              <w:noBreakHyphen/>
            </w:r>
            <w:r w:rsidRPr="00B06893">
              <w:rPr>
                <w:rFonts w:ascii="Arial Narrow" w:hAnsi="Arial Narrow"/>
                <w:snapToGrid w:val="0"/>
                <w:sz w:val="20"/>
                <w:szCs w:val="24"/>
              </w:rPr>
              <w:t>64</w:t>
            </w:r>
          </w:p>
        </w:tc>
        <w:tc>
          <w:tcPr>
            <w:tcW w:w="657" w:type="dxa"/>
            <w:shd w:val="clear" w:color="000000" w:fill="FFFFFF"/>
          </w:tcPr>
          <w:p w14:paraId="0D5151FF" w14:textId="77777777" w:rsidR="00334943" w:rsidRPr="00B06893" w:rsidRDefault="00334943" w:rsidP="00501A02">
            <w:pPr>
              <w:keepNext/>
              <w:jc w:val="center"/>
              <w:rPr>
                <w:rFonts w:ascii="Arial Narrow" w:hAnsi="Arial Narrow"/>
                <w:snapToGrid w:val="0"/>
                <w:sz w:val="20"/>
                <w:szCs w:val="24"/>
              </w:rPr>
            </w:pPr>
          </w:p>
        </w:tc>
        <w:tc>
          <w:tcPr>
            <w:tcW w:w="657" w:type="dxa"/>
            <w:shd w:val="clear" w:color="000000" w:fill="FFFFFF"/>
            <w:noWrap/>
            <w:vAlign w:val="center"/>
            <w:hideMark/>
          </w:tcPr>
          <w:p w14:paraId="641D6E7E" w14:textId="11A54B95"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3.5</w:t>
            </w:r>
          </w:p>
        </w:tc>
        <w:tc>
          <w:tcPr>
            <w:tcW w:w="658" w:type="dxa"/>
            <w:shd w:val="clear" w:color="000000" w:fill="FFFFFF"/>
            <w:noWrap/>
            <w:vAlign w:val="center"/>
            <w:hideMark/>
          </w:tcPr>
          <w:p w14:paraId="5824C937"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12.5</w:t>
            </w:r>
          </w:p>
        </w:tc>
        <w:tc>
          <w:tcPr>
            <w:tcW w:w="657" w:type="dxa"/>
            <w:shd w:val="clear" w:color="000000" w:fill="FFFFFF"/>
            <w:noWrap/>
            <w:vAlign w:val="center"/>
            <w:hideMark/>
          </w:tcPr>
          <w:p w14:paraId="16481CF9"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25.1</w:t>
            </w:r>
          </w:p>
        </w:tc>
        <w:tc>
          <w:tcPr>
            <w:tcW w:w="657" w:type="dxa"/>
            <w:shd w:val="clear" w:color="000000" w:fill="FFFFFF"/>
            <w:noWrap/>
            <w:vAlign w:val="center"/>
            <w:hideMark/>
          </w:tcPr>
          <w:p w14:paraId="678C35B3"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38.4</w:t>
            </w:r>
          </w:p>
        </w:tc>
        <w:tc>
          <w:tcPr>
            <w:tcW w:w="656" w:type="dxa"/>
            <w:shd w:val="clear" w:color="000000" w:fill="FFFFFF"/>
            <w:noWrap/>
            <w:vAlign w:val="center"/>
            <w:hideMark/>
          </w:tcPr>
          <w:p w14:paraId="08F50B8B"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44.1</w:t>
            </w:r>
          </w:p>
        </w:tc>
        <w:tc>
          <w:tcPr>
            <w:tcW w:w="657" w:type="dxa"/>
            <w:shd w:val="clear" w:color="000000" w:fill="FFFFFF"/>
            <w:noWrap/>
            <w:vAlign w:val="center"/>
            <w:hideMark/>
          </w:tcPr>
          <w:p w14:paraId="3BC87C1C"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46.9</w:t>
            </w:r>
          </w:p>
        </w:tc>
        <w:tc>
          <w:tcPr>
            <w:tcW w:w="657" w:type="dxa"/>
            <w:shd w:val="clear" w:color="000000" w:fill="FFFFFF"/>
            <w:noWrap/>
            <w:vAlign w:val="center"/>
            <w:hideMark/>
          </w:tcPr>
          <w:p w14:paraId="154E02E2"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46.9</w:t>
            </w:r>
          </w:p>
        </w:tc>
        <w:tc>
          <w:tcPr>
            <w:tcW w:w="657" w:type="dxa"/>
            <w:shd w:val="clear" w:color="000000" w:fill="FFFFFF"/>
            <w:noWrap/>
            <w:vAlign w:val="center"/>
            <w:hideMark/>
          </w:tcPr>
          <w:p w14:paraId="6CD1613B"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46.9</w:t>
            </w:r>
          </w:p>
        </w:tc>
        <w:tc>
          <w:tcPr>
            <w:tcW w:w="656" w:type="dxa"/>
            <w:shd w:val="clear" w:color="000000" w:fill="FFFFFF"/>
            <w:noWrap/>
            <w:vAlign w:val="center"/>
            <w:hideMark/>
          </w:tcPr>
          <w:p w14:paraId="378BF910"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46.9</w:t>
            </w:r>
          </w:p>
        </w:tc>
        <w:tc>
          <w:tcPr>
            <w:tcW w:w="657" w:type="dxa"/>
            <w:shd w:val="clear" w:color="000000" w:fill="FFFFFF"/>
            <w:noWrap/>
            <w:vAlign w:val="center"/>
            <w:hideMark/>
          </w:tcPr>
          <w:p w14:paraId="0FDEB28F"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46.9</w:t>
            </w:r>
          </w:p>
        </w:tc>
        <w:tc>
          <w:tcPr>
            <w:tcW w:w="657" w:type="dxa"/>
            <w:shd w:val="clear" w:color="000000" w:fill="FFFFFF"/>
            <w:noWrap/>
            <w:vAlign w:val="center"/>
            <w:hideMark/>
          </w:tcPr>
          <w:p w14:paraId="6D74BFF5"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46.9</w:t>
            </w:r>
          </w:p>
        </w:tc>
        <w:tc>
          <w:tcPr>
            <w:tcW w:w="657" w:type="dxa"/>
            <w:shd w:val="clear" w:color="000000" w:fill="FFFFFF"/>
            <w:noWrap/>
            <w:vAlign w:val="center"/>
            <w:hideMark/>
          </w:tcPr>
          <w:p w14:paraId="32F51A0F"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46.9</w:t>
            </w:r>
          </w:p>
        </w:tc>
      </w:tr>
      <w:tr w:rsidR="00334943" w:rsidRPr="00B06893" w14:paraId="3A926F50" w14:textId="77777777" w:rsidTr="00334943">
        <w:trPr>
          <w:trHeight w:val="330"/>
        </w:trPr>
        <w:tc>
          <w:tcPr>
            <w:tcW w:w="1134" w:type="dxa"/>
            <w:shd w:val="clear" w:color="000000" w:fill="FFFFFF"/>
            <w:noWrap/>
            <w:vAlign w:val="center"/>
            <w:hideMark/>
          </w:tcPr>
          <w:p w14:paraId="06A04D95" w14:textId="3E115444" w:rsidR="00334943" w:rsidRPr="00B06893" w:rsidRDefault="00334943" w:rsidP="00501A02">
            <w:pPr>
              <w:keepNext/>
              <w:jc w:val="left"/>
              <w:rPr>
                <w:rFonts w:ascii="Arial Narrow" w:hAnsi="Arial Narrow"/>
                <w:snapToGrid w:val="0"/>
                <w:sz w:val="20"/>
                <w:szCs w:val="24"/>
              </w:rPr>
            </w:pPr>
            <w:r w:rsidRPr="00B06893">
              <w:rPr>
                <w:rFonts w:ascii="Arial Narrow" w:hAnsi="Arial Narrow"/>
                <w:snapToGrid w:val="0"/>
                <w:sz w:val="20"/>
                <w:szCs w:val="24"/>
              </w:rPr>
              <w:t>65</w:t>
            </w:r>
            <w:r>
              <w:rPr>
                <w:rFonts w:ascii="Arial Narrow" w:hAnsi="Arial Narrow"/>
                <w:snapToGrid w:val="0"/>
                <w:sz w:val="20"/>
                <w:szCs w:val="24"/>
              </w:rPr>
              <w:noBreakHyphen/>
            </w:r>
            <w:r w:rsidRPr="00B06893">
              <w:rPr>
                <w:rFonts w:ascii="Arial Narrow" w:hAnsi="Arial Narrow"/>
                <w:snapToGrid w:val="0"/>
                <w:sz w:val="20"/>
                <w:szCs w:val="24"/>
              </w:rPr>
              <w:t>74</w:t>
            </w:r>
          </w:p>
        </w:tc>
        <w:tc>
          <w:tcPr>
            <w:tcW w:w="657" w:type="dxa"/>
            <w:shd w:val="clear" w:color="000000" w:fill="FFFFFF"/>
          </w:tcPr>
          <w:p w14:paraId="4B773054" w14:textId="77777777" w:rsidR="00334943" w:rsidRPr="00B06893" w:rsidRDefault="00334943" w:rsidP="00501A02">
            <w:pPr>
              <w:keepNext/>
              <w:jc w:val="center"/>
              <w:rPr>
                <w:rFonts w:ascii="Arial Narrow" w:hAnsi="Arial Narrow"/>
                <w:snapToGrid w:val="0"/>
                <w:sz w:val="20"/>
                <w:szCs w:val="24"/>
              </w:rPr>
            </w:pPr>
          </w:p>
        </w:tc>
        <w:tc>
          <w:tcPr>
            <w:tcW w:w="657" w:type="dxa"/>
            <w:shd w:val="clear" w:color="000000" w:fill="FFFFFF"/>
            <w:noWrap/>
            <w:vAlign w:val="center"/>
            <w:hideMark/>
          </w:tcPr>
          <w:p w14:paraId="4ECCF01F" w14:textId="02FD5374"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w:t>
            </w:r>
          </w:p>
        </w:tc>
        <w:tc>
          <w:tcPr>
            <w:tcW w:w="658" w:type="dxa"/>
            <w:shd w:val="clear" w:color="000000" w:fill="FFFFFF"/>
            <w:noWrap/>
            <w:vAlign w:val="center"/>
            <w:hideMark/>
          </w:tcPr>
          <w:p w14:paraId="2724A86F"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8.8</w:t>
            </w:r>
          </w:p>
        </w:tc>
        <w:tc>
          <w:tcPr>
            <w:tcW w:w="657" w:type="dxa"/>
            <w:shd w:val="clear" w:color="000000" w:fill="FFFFFF"/>
            <w:noWrap/>
            <w:vAlign w:val="center"/>
            <w:hideMark/>
          </w:tcPr>
          <w:p w14:paraId="445E75A1"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15.0</w:t>
            </w:r>
          </w:p>
        </w:tc>
        <w:tc>
          <w:tcPr>
            <w:tcW w:w="657" w:type="dxa"/>
            <w:shd w:val="clear" w:color="000000" w:fill="FFFFFF"/>
            <w:noWrap/>
            <w:vAlign w:val="center"/>
            <w:hideMark/>
          </w:tcPr>
          <w:p w14:paraId="76D36A04"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21.2</w:t>
            </w:r>
          </w:p>
        </w:tc>
        <w:tc>
          <w:tcPr>
            <w:tcW w:w="656" w:type="dxa"/>
            <w:shd w:val="clear" w:color="000000" w:fill="FFFFFF"/>
            <w:noWrap/>
            <w:vAlign w:val="center"/>
            <w:hideMark/>
          </w:tcPr>
          <w:p w14:paraId="27971510"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24.3</w:t>
            </w:r>
          </w:p>
        </w:tc>
        <w:tc>
          <w:tcPr>
            <w:tcW w:w="657" w:type="dxa"/>
            <w:shd w:val="clear" w:color="000000" w:fill="FFFFFF"/>
            <w:noWrap/>
            <w:vAlign w:val="center"/>
            <w:hideMark/>
          </w:tcPr>
          <w:p w14:paraId="6A0FD928"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25.9</w:t>
            </w:r>
          </w:p>
        </w:tc>
        <w:tc>
          <w:tcPr>
            <w:tcW w:w="657" w:type="dxa"/>
            <w:shd w:val="clear" w:color="000000" w:fill="FFFFFF"/>
            <w:noWrap/>
            <w:vAlign w:val="center"/>
            <w:hideMark/>
          </w:tcPr>
          <w:p w14:paraId="7D0AC545"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213EDDEE"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6" w:type="dxa"/>
            <w:shd w:val="clear" w:color="000000" w:fill="FFFFFF"/>
            <w:noWrap/>
            <w:vAlign w:val="center"/>
            <w:hideMark/>
          </w:tcPr>
          <w:p w14:paraId="03D4C2AA"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143CA703"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75DFDADB"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27DBE950"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r>
      <w:tr w:rsidR="00334943" w:rsidRPr="00B06893" w14:paraId="63993A89" w14:textId="77777777" w:rsidTr="00334943">
        <w:trPr>
          <w:trHeight w:val="330"/>
        </w:trPr>
        <w:tc>
          <w:tcPr>
            <w:tcW w:w="1134" w:type="dxa"/>
            <w:shd w:val="clear" w:color="000000" w:fill="FFFFFF"/>
            <w:noWrap/>
            <w:vAlign w:val="center"/>
            <w:hideMark/>
          </w:tcPr>
          <w:p w14:paraId="1EC53452" w14:textId="0FD7C4F7" w:rsidR="00334943" w:rsidRPr="00B06893" w:rsidRDefault="00334943" w:rsidP="00501A02">
            <w:pPr>
              <w:keepNext/>
              <w:jc w:val="left"/>
              <w:rPr>
                <w:rFonts w:ascii="Arial Narrow" w:hAnsi="Arial Narrow"/>
                <w:snapToGrid w:val="0"/>
                <w:sz w:val="20"/>
                <w:szCs w:val="24"/>
              </w:rPr>
            </w:pPr>
            <w:r w:rsidRPr="00B06893">
              <w:rPr>
                <w:rFonts w:ascii="Arial Narrow" w:hAnsi="Arial Narrow"/>
                <w:snapToGrid w:val="0"/>
                <w:sz w:val="20"/>
                <w:szCs w:val="24"/>
              </w:rPr>
              <w:t>75</w:t>
            </w:r>
            <w:r>
              <w:rPr>
                <w:rFonts w:ascii="Arial Narrow" w:hAnsi="Arial Narrow"/>
                <w:snapToGrid w:val="0"/>
                <w:sz w:val="20"/>
                <w:szCs w:val="24"/>
              </w:rPr>
              <w:noBreakHyphen/>
            </w:r>
            <w:r w:rsidRPr="00B06893">
              <w:rPr>
                <w:rFonts w:ascii="Arial Narrow" w:hAnsi="Arial Narrow"/>
                <w:snapToGrid w:val="0"/>
                <w:sz w:val="20"/>
                <w:szCs w:val="24"/>
              </w:rPr>
              <w:t>100</w:t>
            </w:r>
          </w:p>
        </w:tc>
        <w:tc>
          <w:tcPr>
            <w:tcW w:w="657" w:type="dxa"/>
            <w:shd w:val="clear" w:color="000000" w:fill="FFFFFF"/>
          </w:tcPr>
          <w:p w14:paraId="6837619B" w14:textId="77777777" w:rsidR="00334943" w:rsidRPr="00B06893" w:rsidRDefault="00334943" w:rsidP="00501A02">
            <w:pPr>
              <w:keepNext/>
              <w:jc w:val="center"/>
              <w:rPr>
                <w:rFonts w:ascii="Arial Narrow" w:hAnsi="Arial Narrow"/>
                <w:snapToGrid w:val="0"/>
                <w:sz w:val="20"/>
                <w:szCs w:val="24"/>
              </w:rPr>
            </w:pPr>
          </w:p>
        </w:tc>
        <w:tc>
          <w:tcPr>
            <w:tcW w:w="657" w:type="dxa"/>
            <w:shd w:val="clear" w:color="000000" w:fill="FFFFFF"/>
            <w:noWrap/>
            <w:vAlign w:val="center"/>
            <w:hideMark/>
          </w:tcPr>
          <w:p w14:paraId="0E74E29E" w14:textId="3BA5F1BB"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w:t>
            </w:r>
          </w:p>
        </w:tc>
        <w:tc>
          <w:tcPr>
            <w:tcW w:w="658" w:type="dxa"/>
            <w:shd w:val="clear" w:color="000000" w:fill="FFFFFF"/>
            <w:noWrap/>
            <w:vAlign w:val="center"/>
            <w:hideMark/>
          </w:tcPr>
          <w:p w14:paraId="35267D0C"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8.8</w:t>
            </w:r>
          </w:p>
        </w:tc>
        <w:tc>
          <w:tcPr>
            <w:tcW w:w="657" w:type="dxa"/>
            <w:shd w:val="clear" w:color="000000" w:fill="FFFFFF"/>
            <w:noWrap/>
            <w:vAlign w:val="center"/>
            <w:hideMark/>
          </w:tcPr>
          <w:p w14:paraId="2098114C"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15.0</w:t>
            </w:r>
          </w:p>
        </w:tc>
        <w:tc>
          <w:tcPr>
            <w:tcW w:w="657" w:type="dxa"/>
            <w:shd w:val="clear" w:color="000000" w:fill="FFFFFF"/>
            <w:noWrap/>
            <w:vAlign w:val="center"/>
            <w:hideMark/>
          </w:tcPr>
          <w:p w14:paraId="04DC6595"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21.2</w:t>
            </w:r>
          </w:p>
        </w:tc>
        <w:tc>
          <w:tcPr>
            <w:tcW w:w="656" w:type="dxa"/>
            <w:shd w:val="clear" w:color="000000" w:fill="FFFFFF"/>
            <w:noWrap/>
            <w:vAlign w:val="center"/>
            <w:hideMark/>
          </w:tcPr>
          <w:p w14:paraId="1631B7DC"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24.3</w:t>
            </w:r>
          </w:p>
        </w:tc>
        <w:tc>
          <w:tcPr>
            <w:tcW w:w="657" w:type="dxa"/>
            <w:shd w:val="clear" w:color="000000" w:fill="FFFFFF"/>
            <w:noWrap/>
            <w:vAlign w:val="center"/>
            <w:hideMark/>
          </w:tcPr>
          <w:p w14:paraId="0C672547"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25.9</w:t>
            </w:r>
          </w:p>
        </w:tc>
        <w:tc>
          <w:tcPr>
            <w:tcW w:w="657" w:type="dxa"/>
            <w:shd w:val="clear" w:color="000000" w:fill="FFFFFF"/>
            <w:noWrap/>
            <w:vAlign w:val="center"/>
            <w:hideMark/>
          </w:tcPr>
          <w:p w14:paraId="6C0DCAAA"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6824CC99"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6" w:type="dxa"/>
            <w:shd w:val="clear" w:color="000000" w:fill="FFFFFF"/>
            <w:noWrap/>
            <w:vAlign w:val="center"/>
            <w:hideMark/>
          </w:tcPr>
          <w:p w14:paraId="66C9F8B3"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6D56D32D"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36F0519F"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c>
          <w:tcPr>
            <w:tcW w:w="657" w:type="dxa"/>
            <w:shd w:val="clear" w:color="000000" w:fill="FFFFFF"/>
            <w:noWrap/>
            <w:vAlign w:val="center"/>
            <w:hideMark/>
          </w:tcPr>
          <w:p w14:paraId="3C78065F"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27.1</w:t>
            </w:r>
          </w:p>
        </w:tc>
      </w:tr>
      <w:tr w:rsidR="00334943" w:rsidRPr="00B06893" w14:paraId="0773506F" w14:textId="77777777" w:rsidTr="00334943">
        <w:trPr>
          <w:trHeight w:val="330"/>
        </w:trPr>
        <w:tc>
          <w:tcPr>
            <w:tcW w:w="1134" w:type="dxa"/>
            <w:shd w:val="clear" w:color="000000" w:fill="FFFFFF"/>
            <w:noWrap/>
            <w:vAlign w:val="center"/>
            <w:hideMark/>
          </w:tcPr>
          <w:p w14:paraId="08677350" w14:textId="571A4E87" w:rsidR="00334943" w:rsidRPr="00B06893" w:rsidRDefault="00334943" w:rsidP="00501A02">
            <w:pPr>
              <w:keepNext/>
              <w:jc w:val="left"/>
              <w:rPr>
                <w:rFonts w:ascii="Arial Narrow" w:hAnsi="Arial Narrow"/>
                <w:snapToGrid w:val="0"/>
                <w:sz w:val="20"/>
                <w:szCs w:val="24"/>
              </w:rPr>
            </w:pPr>
            <w:r w:rsidRPr="00B06893">
              <w:rPr>
                <w:rFonts w:ascii="Arial Narrow" w:hAnsi="Arial Narrow"/>
                <w:snapToGrid w:val="0"/>
                <w:sz w:val="20"/>
                <w:szCs w:val="24"/>
              </w:rPr>
              <w:t>75</w:t>
            </w:r>
            <w:r>
              <w:rPr>
                <w:rFonts w:ascii="Arial Narrow" w:hAnsi="Arial Narrow"/>
                <w:snapToGrid w:val="0"/>
                <w:sz w:val="20"/>
                <w:szCs w:val="24"/>
              </w:rPr>
              <w:noBreakHyphen/>
            </w:r>
            <w:r w:rsidRPr="00B06893">
              <w:rPr>
                <w:rFonts w:ascii="Arial Narrow" w:hAnsi="Arial Narrow"/>
                <w:snapToGrid w:val="0"/>
                <w:sz w:val="20"/>
                <w:szCs w:val="24"/>
              </w:rPr>
              <w:t>100 2nd dose</w:t>
            </w:r>
          </w:p>
        </w:tc>
        <w:tc>
          <w:tcPr>
            <w:tcW w:w="657" w:type="dxa"/>
            <w:shd w:val="clear" w:color="000000" w:fill="FFFFFF"/>
          </w:tcPr>
          <w:p w14:paraId="327A6C71" w14:textId="77777777" w:rsidR="00334943" w:rsidRPr="00B06893" w:rsidRDefault="00334943" w:rsidP="00501A02">
            <w:pPr>
              <w:keepNext/>
              <w:jc w:val="center"/>
              <w:rPr>
                <w:rFonts w:ascii="Arial Narrow" w:hAnsi="Arial Narrow"/>
                <w:snapToGrid w:val="0"/>
                <w:sz w:val="20"/>
                <w:szCs w:val="24"/>
              </w:rPr>
            </w:pPr>
          </w:p>
        </w:tc>
        <w:tc>
          <w:tcPr>
            <w:tcW w:w="657" w:type="dxa"/>
            <w:shd w:val="clear" w:color="000000" w:fill="FFFFFF"/>
            <w:noWrap/>
            <w:vAlign w:val="center"/>
            <w:hideMark/>
          </w:tcPr>
          <w:p w14:paraId="03BF79DD" w14:textId="30045D42"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0.0</w:t>
            </w:r>
          </w:p>
        </w:tc>
        <w:tc>
          <w:tcPr>
            <w:tcW w:w="658" w:type="dxa"/>
            <w:shd w:val="clear" w:color="000000" w:fill="FFFFFF"/>
            <w:noWrap/>
            <w:vAlign w:val="center"/>
            <w:hideMark/>
          </w:tcPr>
          <w:p w14:paraId="63B2D6CB"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0.0</w:t>
            </w:r>
          </w:p>
        </w:tc>
        <w:tc>
          <w:tcPr>
            <w:tcW w:w="657" w:type="dxa"/>
            <w:shd w:val="clear" w:color="000000" w:fill="FFFFFF"/>
            <w:noWrap/>
            <w:vAlign w:val="center"/>
            <w:hideMark/>
          </w:tcPr>
          <w:p w14:paraId="5EE71CD6"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0.0</w:t>
            </w:r>
          </w:p>
        </w:tc>
        <w:tc>
          <w:tcPr>
            <w:tcW w:w="657" w:type="dxa"/>
            <w:shd w:val="clear" w:color="000000" w:fill="FFFFFF"/>
            <w:noWrap/>
            <w:vAlign w:val="center"/>
            <w:hideMark/>
          </w:tcPr>
          <w:p w14:paraId="634A1794"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0.0</w:t>
            </w:r>
          </w:p>
        </w:tc>
        <w:tc>
          <w:tcPr>
            <w:tcW w:w="656" w:type="dxa"/>
            <w:shd w:val="clear" w:color="000000" w:fill="FFFFFF"/>
            <w:noWrap/>
            <w:vAlign w:val="center"/>
            <w:hideMark/>
          </w:tcPr>
          <w:p w14:paraId="2C7780CD"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0.0</w:t>
            </w:r>
          </w:p>
        </w:tc>
        <w:tc>
          <w:tcPr>
            <w:tcW w:w="657" w:type="dxa"/>
            <w:shd w:val="clear" w:color="000000" w:fill="FFFFFF"/>
            <w:noWrap/>
            <w:vAlign w:val="center"/>
            <w:hideMark/>
          </w:tcPr>
          <w:p w14:paraId="7F9511DC"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0.0</w:t>
            </w:r>
          </w:p>
        </w:tc>
        <w:tc>
          <w:tcPr>
            <w:tcW w:w="657" w:type="dxa"/>
            <w:shd w:val="clear" w:color="000000" w:fill="FFFFFF"/>
            <w:noWrap/>
            <w:vAlign w:val="center"/>
            <w:hideMark/>
          </w:tcPr>
          <w:p w14:paraId="14DB1983"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1.3</w:t>
            </w:r>
          </w:p>
        </w:tc>
        <w:tc>
          <w:tcPr>
            <w:tcW w:w="657" w:type="dxa"/>
            <w:shd w:val="clear" w:color="000000" w:fill="FFFFFF"/>
            <w:noWrap/>
            <w:vAlign w:val="center"/>
            <w:hideMark/>
          </w:tcPr>
          <w:p w14:paraId="346E8258"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2.8</w:t>
            </w:r>
          </w:p>
        </w:tc>
        <w:tc>
          <w:tcPr>
            <w:tcW w:w="656" w:type="dxa"/>
            <w:shd w:val="clear" w:color="000000" w:fill="FFFFFF"/>
            <w:noWrap/>
            <w:vAlign w:val="center"/>
            <w:hideMark/>
          </w:tcPr>
          <w:p w14:paraId="0E8B35F3"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4.2</w:t>
            </w:r>
          </w:p>
        </w:tc>
        <w:tc>
          <w:tcPr>
            <w:tcW w:w="657" w:type="dxa"/>
            <w:shd w:val="clear" w:color="000000" w:fill="FFFFFF"/>
            <w:noWrap/>
            <w:vAlign w:val="center"/>
            <w:hideMark/>
          </w:tcPr>
          <w:p w14:paraId="0DA165CD"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6.5</w:t>
            </w:r>
          </w:p>
        </w:tc>
        <w:tc>
          <w:tcPr>
            <w:tcW w:w="657" w:type="dxa"/>
            <w:shd w:val="clear" w:color="000000" w:fill="FFFFFF"/>
            <w:noWrap/>
            <w:vAlign w:val="center"/>
            <w:hideMark/>
          </w:tcPr>
          <w:p w14:paraId="03CB17A2"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9.1</w:t>
            </w:r>
          </w:p>
        </w:tc>
        <w:tc>
          <w:tcPr>
            <w:tcW w:w="657" w:type="dxa"/>
            <w:shd w:val="clear" w:color="000000" w:fill="FFFFFF"/>
            <w:noWrap/>
            <w:vAlign w:val="center"/>
            <w:hideMark/>
          </w:tcPr>
          <w:p w14:paraId="21565122" w14:textId="77777777" w:rsidR="00334943" w:rsidRPr="00B06893" w:rsidRDefault="00334943" w:rsidP="00501A02">
            <w:pPr>
              <w:keepNext/>
              <w:jc w:val="center"/>
              <w:rPr>
                <w:rFonts w:ascii="Arial Narrow" w:hAnsi="Arial Narrow"/>
                <w:snapToGrid w:val="0"/>
                <w:sz w:val="20"/>
                <w:szCs w:val="24"/>
              </w:rPr>
            </w:pPr>
            <w:r w:rsidRPr="00B06893">
              <w:rPr>
                <w:rFonts w:ascii="Arial Narrow" w:hAnsi="Arial Narrow"/>
                <w:snapToGrid w:val="0"/>
                <w:sz w:val="20"/>
                <w:szCs w:val="24"/>
              </w:rPr>
              <w:t>11.7</w:t>
            </w:r>
          </w:p>
        </w:tc>
      </w:tr>
    </w:tbl>
    <w:p w14:paraId="6DE165F3" w14:textId="2330D50A" w:rsidR="009113A1" w:rsidRPr="00B06893" w:rsidRDefault="009113A1" w:rsidP="009113A1">
      <w:pPr>
        <w:keepNext/>
        <w:rPr>
          <w:rFonts w:ascii="Arial Narrow" w:hAnsi="Arial Narrow" w:cs="Arial"/>
          <w:sz w:val="18"/>
          <w:szCs w:val="24"/>
        </w:rPr>
      </w:pPr>
      <w:r w:rsidRPr="00B06893">
        <w:rPr>
          <w:rFonts w:ascii="Arial Narrow" w:hAnsi="Arial Narrow" w:cs="Arial"/>
          <w:sz w:val="18"/>
          <w:szCs w:val="24"/>
        </w:rPr>
        <w:t>Source: Table 3</w:t>
      </w:r>
      <w:r w:rsidR="00193971">
        <w:rPr>
          <w:rFonts w:ascii="Arial Narrow" w:hAnsi="Arial Narrow" w:cs="Arial"/>
          <w:sz w:val="18"/>
          <w:szCs w:val="24"/>
        </w:rPr>
        <w:noBreakHyphen/>
      </w:r>
      <w:r w:rsidRPr="00B06893">
        <w:rPr>
          <w:rFonts w:ascii="Arial Narrow" w:hAnsi="Arial Narrow" w:cs="Arial"/>
          <w:sz w:val="18"/>
          <w:szCs w:val="24"/>
        </w:rPr>
        <w:t>14, p128 and Table 3</w:t>
      </w:r>
      <w:r w:rsidR="00193971">
        <w:rPr>
          <w:rFonts w:ascii="Arial Narrow" w:hAnsi="Arial Narrow" w:cs="Arial"/>
          <w:sz w:val="18"/>
          <w:szCs w:val="24"/>
        </w:rPr>
        <w:noBreakHyphen/>
      </w:r>
      <w:r w:rsidRPr="00B06893">
        <w:rPr>
          <w:rFonts w:ascii="Arial Narrow" w:hAnsi="Arial Narrow" w:cs="Arial"/>
          <w:sz w:val="18"/>
          <w:szCs w:val="24"/>
        </w:rPr>
        <w:t>15, p129 of the submission.</w:t>
      </w:r>
    </w:p>
    <w:p w14:paraId="0D21E5A1" w14:textId="77777777" w:rsidR="009113A1" w:rsidRPr="00B06893" w:rsidRDefault="009113A1" w:rsidP="009113A1"/>
    <w:p w14:paraId="1B94EDDA" w14:textId="66668311" w:rsidR="0053257A" w:rsidRPr="00B06893" w:rsidRDefault="0053257A" w:rsidP="0053257A">
      <w:pPr>
        <w:pStyle w:val="3-BodyText"/>
      </w:pPr>
      <w:r w:rsidRPr="00B06893">
        <w:t xml:space="preserve">The overall modelling approach </w:t>
      </w:r>
      <w:r w:rsidR="00BB5E99" w:rsidRPr="00B06893">
        <w:t>was</w:t>
      </w:r>
      <w:r w:rsidRPr="00B06893">
        <w:t xml:space="preserve"> to create a counterfactual estimate of COVID</w:t>
      </w:r>
      <w:r w:rsidR="00193971">
        <w:noBreakHyphen/>
      </w:r>
      <w:r w:rsidRPr="00B06893">
        <w:t>19 infections, hospitalisations and consequences (such as ICU attendance, use of ventilation, COVID</w:t>
      </w:r>
      <w:r w:rsidR="00193971">
        <w:noBreakHyphen/>
      </w:r>
      <w:r w:rsidRPr="00B06893">
        <w:t>19 death and long</w:t>
      </w:r>
      <w:r w:rsidR="00193971">
        <w:noBreakHyphen/>
      </w:r>
      <w:r w:rsidRPr="00B06893">
        <w:t xml:space="preserve">COVID) that would have occurred in the absence of the availability of a vaccine. This approach </w:t>
      </w:r>
      <w:r w:rsidR="003979C1" w:rsidRPr="00B06893">
        <w:t xml:space="preserve">started </w:t>
      </w:r>
      <w:r w:rsidRPr="00B06893">
        <w:t>with hospitalisation rates based on AIHW FY 2023</w:t>
      </w:r>
      <w:r w:rsidR="00193971">
        <w:noBreakHyphen/>
      </w:r>
      <w:r w:rsidRPr="00B06893">
        <w:t>24 data, and back</w:t>
      </w:r>
      <w:r w:rsidR="00193971">
        <w:noBreakHyphen/>
      </w:r>
      <w:r w:rsidR="003979C1" w:rsidRPr="00B06893">
        <w:t xml:space="preserve">calculated </w:t>
      </w:r>
      <w:r w:rsidRPr="00B06893">
        <w:t xml:space="preserve">infections using published ratio of </w:t>
      </w:r>
      <w:r w:rsidRPr="00B06893">
        <w:lastRenderedPageBreak/>
        <w:t>infections to hospitalisations</w:t>
      </w:r>
      <w:r w:rsidRPr="00B06893">
        <w:rPr>
          <w:rStyle w:val="FootnoteReference"/>
        </w:rPr>
        <w:footnoteReference w:id="24"/>
      </w:r>
      <w:r w:rsidRPr="00B06893">
        <w:t xml:space="preserve">. Cases </w:t>
      </w:r>
      <w:r w:rsidR="003979C1" w:rsidRPr="00B06893">
        <w:t xml:space="preserve">were </w:t>
      </w:r>
      <w:r w:rsidRPr="00B06893">
        <w:t>separated into hospitalisations (and into non</w:t>
      </w:r>
      <w:r w:rsidR="00193971">
        <w:noBreakHyphen/>
      </w:r>
      <w:r w:rsidRPr="00B06893">
        <w:t xml:space="preserve">ICU, ICU and ventilation), outpatient attendances and no formal care, all stratified by the age brackets described above. </w:t>
      </w:r>
      <w:r w:rsidR="003979C1" w:rsidRPr="00B06893">
        <w:t>T</w:t>
      </w:r>
      <w:r w:rsidRPr="00B06893">
        <w:t xml:space="preserve">he model </w:t>
      </w:r>
      <w:r w:rsidR="003979C1" w:rsidRPr="00B06893">
        <w:t>was</w:t>
      </w:r>
      <w:r w:rsidRPr="00B06893">
        <w:t xml:space="preserve"> calibrated to AIHW hospitalisations</w:t>
      </w:r>
      <w:r w:rsidR="003979C1" w:rsidRPr="00B06893">
        <w:t xml:space="preserve"> at this point</w:t>
      </w:r>
      <w:r w:rsidRPr="00B06893">
        <w:t>.</w:t>
      </w:r>
    </w:p>
    <w:p w14:paraId="23790FE7" w14:textId="0D9C2037" w:rsidR="00D85592" w:rsidRPr="00B06893" w:rsidRDefault="0053257A" w:rsidP="0053257A">
      <w:pPr>
        <w:pStyle w:val="3-BodyText"/>
      </w:pPr>
      <w:r w:rsidRPr="00B06893">
        <w:t xml:space="preserve">The submission </w:t>
      </w:r>
      <w:r w:rsidR="003979C1" w:rsidRPr="00B06893">
        <w:t xml:space="preserve">used </w:t>
      </w:r>
      <w:r w:rsidRPr="00B06893">
        <w:t xml:space="preserve">estimated vaccine coverage and </w:t>
      </w:r>
      <w:r w:rsidR="000948F8" w:rsidRPr="00B06893">
        <w:t>VE</w:t>
      </w:r>
      <w:r w:rsidRPr="00B06893">
        <w:t xml:space="preserve"> (derived using Australian vaccination data, published estimates of </w:t>
      </w:r>
      <w:r w:rsidR="000948F8" w:rsidRPr="00B06893">
        <w:t>VE</w:t>
      </w:r>
      <w:r w:rsidRPr="00B06893">
        <w:t xml:space="preserve"> and an assumed market share between Spikevax and Comirnaty) to calculate the number of infections and hospitalisations that would have occurred in the absence of vaccinations in the community. This final step </w:t>
      </w:r>
      <w:r w:rsidR="002E2AA4" w:rsidRPr="00B06893">
        <w:t xml:space="preserve">was </w:t>
      </w:r>
      <w:r w:rsidRPr="00B06893">
        <w:t xml:space="preserve">not included in the model and </w:t>
      </w:r>
      <w:r w:rsidR="002E2AA4" w:rsidRPr="00B06893">
        <w:t xml:space="preserve">could not </w:t>
      </w:r>
      <w:r w:rsidRPr="00B06893">
        <w:t>be verified</w:t>
      </w:r>
      <w:r w:rsidR="002E2AA4" w:rsidRPr="00B06893">
        <w:t xml:space="preserve"> during the evaluation</w:t>
      </w:r>
      <w:r w:rsidRPr="00B06893">
        <w:t xml:space="preserve">. However, </w:t>
      </w:r>
      <w:r w:rsidR="003979C1" w:rsidRPr="00B06893">
        <w:t xml:space="preserve">the evaluation noted that </w:t>
      </w:r>
      <w:r w:rsidRPr="00B06893">
        <w:t xml:space="preserve">predictions from the counterfactual model (infections, hospitalisations and deaths) </w:t>
      </w:r>
      <w:r w:rsidR="003979C1" w:rsidRPr="00B06893">
        <w:t xml:space="preserve">could </w:t>
      </w:r>
      <w:r w:rsidRPr="00B06893">
        <w:t>be roughly compared with Australian estimates as a method of validation.</w:t>
      </w:r>
    </w:p>
    <w:p w14:paraId="7663E4C2" w14:textId="77777777" w:rsidR="00D85592" w:rsidRPr="00B06893" w:rsidRDefault="00D85592" w:rsidP="00D85592">
      <w:pPr>
        <w:spacing w:before="60" w:after="60"/>
        <w:rPr>
          <w:rFonts w:eastAsiaTheme="minorHAnsi" w:cstheme="minorBidi"/>
          <w:szCs w:val="22"/>
        </w:rPr>
      </w:pPr>
    </w:p>
    <w:p w14:paraId="714BF07E" w14:textId="2092974C" w:rsidR="00D85592" w:rsidRPr="00B06893" w:rsidRDefault="00D85592" w:rsidP="0049697B">
      <w:pPr>
        <w:keepNext/>
        <w:keepLines/>
        <w:rPr>
          <w:rFonts w:ascii="Arial Narrow" w:hAnsi="Arial Narrow" w:cs="Arial"/>
          <w:b/>
          <w:bCs/>
          <w:sz w:val="20"/>
          <w:szCs w:val="18"/>
        </w:rPr>
      </w:pPr>
      <w:r w:rsidRPr="00B06893">
        <w:rPr>
          <w:rFonts w:ascii="Arial Narrow" w:hAnsi="Arial Narrow" w:cs="Arial"/>
          <w:b/>
          <w:bCs/>
          <w:sz w:val="20"/>
          <w:szCs w:val="18"/>
        </w:rPr>
        <w:t xml:space="preserve">Table </w:t>
      </w:r>
      <w:r w:rsidR="00B531BD" w:rsidRPr="00B06893">
        <w:rPr>
          <w:rFonts w:ascii="Arial Narrow" w:hAnsi="Arial Narrow" w:cs="Arial"/>
          <w:b/>
          <w:bCs/>
          <w:sz w:val="20"/>
          <w:szCs w:val="18"/>
        </w:rPr>
        <w:fldChar w:fldCharType="begin"/>
      </w:r>
      <w:r w:rsidR="00B531BD" w:rsidRPr="00B06893">
        <w:rPr>
          <w:rFonts w:ascii="Arial Narrow" w:hAnsi="Arial Narrow" w:cs="Arial"/>
          <w:b/>
          <w:bCs/>
          <w:sz w:val="20"/>
          <w:szCs w:val="18"/>
        </w:rPr>
        <w:instrText xml:space="preserve"> SEQ Table \* ARABIC </w:instrText>
      </w:r>
      <w:r w:rsidR="00B531BD" w:rsidRPr="00B06893">
        <w:rPr>
          <w:rFonts w:ascii="Arial Narrow" w:hAnsi="Arial Narrow" w:cs="Arial"/>
          <w:b/>
          <w:bCs/>
          <w:sz w:val="20"/>
          <w:szCs w:val="18"/>
        </w:rPr>
        <w:fldChar w:fldCharType="separate"/>
      </w:r>
      <w:r w:rsidR="00810177" w:rsidRPr="00B06893">
        <w:rPr>
          <w:rFonts w:ascii="Arial Narrow" w:hAnsi="Arial Narrow" w:cs="Arial"/>
          <w:b/>
          <w:bCs/>
          <w:sz w:val="20"/>
          <w:szCs w:val="18"/>
        </w:rPr>
        <w:t>22</w:t>
      </w:r>
      <w:r w:rsidR="00B531BD" w:rsidRPr="00B06893">
        <w:rPr>
          <w:rFonts w:ascii="Arial Narrow" w:hAnsi="Arial Narrow" w:cs="Arial"/>
          <w:b/>
          <w:bCs/>
          <w:sz w:val="20"/>
          <w:szCs w:val="18"/>
        </w:rPr>
        <w:fldChar w:fldCharType="end"/>
      </w:r>
      <w:r w:rsidR="007F2D2C" w:rsidRPr="00B06893">
        <w:rPr>
          <w:rFonts w:ascii="Arial Narrow" w:hAnsi="Arial Narrow" w:cs="Arial"/>
          <w:b/>
          <w:bCs/>
          <w:sz w:val="20"/>
          <w:szCs w:val="18"/>
        </w:rPr>
        <w:t>:</w:t>
      </w:r>
      <w:r w:rsidRPr="00B06893">
        <w:rPr>
          <w:rFonts w:ascii="Arial Narrow" w:hAnsi="Arial Narrow" w:cs="Arial"/>
          <w:b/>
          <w:bCs/>
          <w:sz w:val="20"/>
          <w:szCs w:val="18"/>
        </w:rPr>
        <w:tab/>
        <w:t>Base case incidence of symptomatic infection in the no vaccine arm (no updated COVID</w:t>
      </w:r>
      <w:r w:rsidR="00193971">
        <w:rPr>
          <w:rFonts w:ascii="Arial Narrow" w:hAnsi="Arial Narrow" w:cs="Arial"/>
          <w:b/>
          <w:bCs/>
          <w:sz w:val="20"/>
          <w:szCs w:val="18"/>
        </w:rPr>
        <w:noBreakHyphen/>
      </w:r>
      <w:r w:rsidRPr="00B06893">
        <w:rPr>
          <w:rFonts w:ascii="Arial Narrow" w:hAnsi="Arial Narrow" w:cs="Arial"/>
          <w:b/>
          <w:bCs/>
          <w:sz w:val="20"/>
          <w:szCs w:val="18"/>
        </w:rPr>
        <w:t>19 formulation vaccine within the last 6</w:t>
      </w:r>
      <w:r w:rsidR="00193971">
        <w:rPr>
          <w:rFonts w:ascii="Arial Narrow" w:hAnsi="Arial Narrow" w:cs="Arial"/>
          <w:b/>
          <w:bCs/>
          <w:sz w:val="20"/>
          <w:szCs w:val="18"/>
        </w:rPr>
        <w:noBreakHyphen/>
      </w:r>
      <w:r w:rsidRPr="00B06893">
        <w:rPr>
          <w:rFonts w:ascii="Arial Narrow" w:hAnsi="Arial Narrow" w:cs="Arial"/>
          <w:b/>
          <w:bCs/>
          <w:sz w:val="20"/>
          <w:szCs w:val="18"/>
        </w:rPr>
        <w:t>12 months) in the model</w:t>
      </w:r>
    </w:p>
    <w:tbl>
      <w:tblPr>
        <w:tblStyle w:val="PlainTable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Table 22: Base case incidence of symptomatic infection in the no vaccine arm (no updated COVID 19 formulation vaccine within the last 6 12 months) in the model"/>
      </w:tblPr>
      <w:tblGrid>
        <w:gridCol w:w="762"/>
        <w:gridCol w:w="687"/>
        <w:gridCol w:w="687"/>
        <w:gridCol w:w="688"/>
        <w:gridCol w:w="688"/>
        <w:gridCol w:w="688"/>
        <w:gridCol w:w="688"/>
        <w:gridCol w:w="688"/>
        <w:gridCol w:w="688"/>
        <w:gridCol w:w="688"/>
        <w:gridCol w:w="688"/>
        <w:gridCol w:w="688"/>
        <w:gridCol w:w="689"/>
      </w:tblGrid>
      <w:tr w:rsidR="00D85592" w:rsidRPr="00B06893" w14:paraId="378218AD" w14:textId="77777777" w:rsidTr="00501A02">
        <w:trPr>
          <w:cnfStyle w:val="100000000000" w:firstRow="1" w:lastRow="0" w:firstColumn="0" w:lastColumn="0" w:oddVBand="0" w:evenVBand="0" w:oddHBand="0" w:evenHBand="0" w:firstRowFirstColumn="0" w:firstRowLastColumn="0" w:lastRowFirstColumn="0" w:lastRowLastColumn="0"/>
          <w:trHeight w:val="300"/>
        </w:trPr>
        <w:tc>
          <w:tcPr>
            <w:tcW w:w="1035" w:type="dxa"/>
            <w:shd w:val="clear" w:color="auto" w:fill="D9D9D9"/>
            <w:vAlign w:val="center"/>
          </w:tcPr>
          <w:p w14:paraId="09560218" w14:textId="77777777" w:rsidR="00D85592" w:rsidRPr="00B06893" w:rsidRDefault="00D85592" w:rsidP="0049697B">
            <w:pPr>
              <w:keepNext/>
              <w:keepLines/>
              <w:jc w:val="left"/>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Age Group</w:t>
            </w:r>
          </w:p>
        </w:tc>
        <w:tc>
          <w:tcPr>
            <w:tcW w:w="717" w:type="dxa"/>
            <w:shd w:val="clear" w:color="auto" w:fill="D9D9D9"/>
            <w:vAlign w:val="center"/>
          </w:tcPr>
          <w:p w14:paraId="439B10FC"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Mar</w:t>
            </w:r>
          </w:p>
        </w:tc>
        <w:tc>
          <w:tcPr>
            <w:tcW w:w="716" w:type="dxa"/>
            <w:shd w:val="clear" w:color="auto" w:fill="D9D9D9"/>
            <w:vAlign w:val="center"/>
          </w:tcPr>
          <w:p w14:paraId="2EE76B37"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Apr</w:t>
            </w:r>
          </w:p>
        </w:tc>
        <w:tc>
          <w:tcPr>
            <w:tcW w:w="716" w:type="dxa"/>
            <w:shd w:val="clear" w:color="auto" w:fill="D9D9D9"/>
            <w:vAlign w:val="center"/>
          </w:tcPr>
          <w:p w14:paraId="7F08E462"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May</w:t>
            </w:r>
          </w:p>
        </w:tc>
        <w:tc>
          <w:tcPr>
            <w:tcW w:w="716" w:type="dxa"/>
            <w:shd w:val="clear" w:color="auto" w:fill="D9D9D9"/>
            <w:vAlign w:val="center"/>
          </w:tcPr>
          <w:p w14:paraId="132E87C7"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Jun</w:t>
            </w:r>
          </w:p>
        </w:tc>
        <w:tc>
          <w:tcPr>
            <w:tcW w:w="716" w:type="dxa"/>
            <w:shd w:val="clear" w:color="auto" w:fill="D9D9D9"/>
            <w:vAlign w:val="center"/>
          </w:tcPr>
          <w:p w14:paraId="7B1BA0A6"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Jul</w:t>
            </w:r>
          </w:p>
        </w:tc>
        <w:tc>
          <w:tcPr>
            <w:tcW w:w="717" w:type="dxa"/>
            <w:shd w:val="clear" w:color="auto" w:fill="D9D9D9"/>
            <w:vAlign w:val="center"/>
          </w:tcPr>
          <w:p w14:paraId="6DEF0BD2"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Aug</w:t>
            </w:r>
          </w:p>
        </w:tc>
        <w:tc>
          <w:tcPr>
            <w:tcW w:w="716" w:type="dxa"/>
            <w:shd w:val="clear" w:color="auto" w:fill="D9D9D9"/>
            <w:vAlign w:val="center"/>
          </w:tcPr>
          <w:p w14:paraId="06A55986"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Sep</w:t>
            </w:r>
          </w:p>
        </w:tc>
        <w:tc>
          <w:tcPr>
            <w:tcW w:w="716" w:type="dxa"/>
            <w:shd w:val="clear" w:color="auto" w:fill="D9D9D9"/>
            <w:vAlign w:val="center"/>
          </w:tcPr>
          <w:p w14:paraId="10682241"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Oct</w:t>
            </w:r>
          </w:p>
        </w:tc>
        <w:tc>
          <w:tcPr>
            <w:tcW w:w="716" w:type="dxa"/>
            <w:shd w:val="clear" w:color="auto" w:fill="D9D9D9"/>
            <w:vAlign w:val="center"/>
          </w:tcPr>
          <w:p w14:paraId="05F6D06A"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Nov</w:t>
            </w:r>
          </w:p>
        </w:tc>
        <w:tc>
          <w:tcPr>
            <w:tcW w:w="716" w:type="dxa"/>
            <w:shd w:val="clear" w:color="auto" w:fill="D9D9D9"/>
            <w:vAlign w:val="center"/>
          </w:tcPr>
          <w:p w14:paraId="68A619D8"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Dec</w:t>
            </w:r>
          </w:p>
        </w:tc>
        <w:tc>
          <w:tcPr>
            <w:tcW w:w="720" w:type="dxa"/>
            <w:shd w:val="clear" w:color="auto" w:fill="D9D9D9"/>
            <w:vAlign w:val="center"/>
          </w:tcPr>
          <w:p w14:paraId="473A5B2B"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Jan</w:t>
            </w:r>
          </w:p>
        </w:tc>
        <w:tc>
          <w:tcPr>
            <w:tcW w:w="721" w:type="dxa"/>
            <w:shd w:val="clear" w:color="auto" w:fill="D9D9D9"/>
            <w:vAlign w:val="center"/>
          </w:tcPr>
          <w:p w14:paraId="24C86973"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Feb</w:t>
            </w:r>
          </w:p>
        </w:tc>
      </w:tr>
      <w:tr w:rsidR="00D85592" w:rsidRPr="00B06893" w14:paraId="717B8282" w14:textId="77777777" w:rsidTr="00501A02">
        <w:trPr>
          <w:trHeight w:val="283"/>
        </w:trPr>
        <w:tc>
          <w:tcPr>
            <w:tcW w:w="1035" w:type="dxa"/>
            <w:vAlign w:val="center"/>
          </w:tcPr>
          <w:p w14:paraId="14F96BA8" w14:textId="00B34F48" w:rsidR="00D85592" w:rsidRPr="00B06893" w:rsidRDefault="00D85592" w:rsidP="0049697B">
            <w:pPr>
              <w:keepNext/>
              <w:keepLines/>
              <w:jc w:val="left"/>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18</w:t>
            </w:r>
            <w:r w:rsidR="00193971">
              <w:rPr>
                <w:rFonts w:ascii="Arial Narrow" w:hAnsi="Arial Narrow" w:cs="Times New Roman"/>
                <w:snapToGrid w:val="0"/>
                <w:sz w:val="20"/>
                <w:szCs w:val="20"/>
                <w:lang w:val="en-AU"/>
              </w:rPr>
              <w:noBreakHyphen/>
            </w:r>
            <w:r w:rsidRPr="00B06893">
              <w:rPr>
                <w:rFonts w:ascii="Arial Narrow" w:hAnsi="Arial Narrow" w:cs="Times New Roman"/>
                <w:snapToGrid w:val="0"/>
                <w:sz w:val="20"/>
                <w:szCs w:val="20"/>
                <w:lang w:val="en-AU"/>
              </w:rPr>
              <w:t>64 years</w:t>
            </w:r>
          </w:p>
        </w:tc>
        <w:tc>
          <w:tcPr>
            <w:tcW w:w="717" w:type="dxa"/>
            <w:vAlign w:val="center"/>
          </w:tcPr>
          <w:p w14:paraId="3FA3D875"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2.89%</w:t>
            </w:r>
          </w:p>
        </w:tc>
        <w:tc>
          <w:tcPr>
            <w:tcW w:w="716" w:type="dxa"/>
            <w:vAlign w:val="center"/>
          </w:tcPr>
          <w:p w14:paraId="0BB3E4D6"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4.47%</w:t>
            </w:r>
          </w:p>
        </w:tc>
        <w:tc>
          <w:tcPr>
            <w:tcW w:w="716" w:type="dxa"/>
            <w:vAlign w:val="center"/>
          </w:tcPr>
          <w:p w14:paraId="0F5EA18A"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6.13%</w:t>
            </w:r>
          </w:p>
        </w:tc>
        <w:tc>
          <w:tcPr>
            <w:tcW w:w="716" w:type="dxa"/>
            <w:vAlign w:val="center"/>
          </w:tcPr>
          <w:p w14:paraId="3C67DCA9"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5.69%</w:t>
            </w:r>
          </w:p>
        </w:tc>
        <w:tc>
          <w:tcPr>
            <w:tcW w:w="716" w:type="dxa"/>
            <w:vAlign w:val="center"/>
          </w:tcPr>
          <w:p w14:paraId="77891BB4"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3.22%</w:t>
            </w:r>
          </w:p>
        </w:tc>
        <w:tc>
          <w:tcPr>
            <w:tcW w:w="717" w:type="dxa"/>
            <w:vAlign w:val="center"/>
          </w:tcPr>
          <w:p w14:paraId="61F8C033"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2.19%</w:t>
            </w:r>
          </w:p>
        </w:tc>
        <w:tc>
          <w:tcPr>
            <w:tcW w:w="716" w:type="dxa"/>
            <w:vAlign w:val="center"/>
          </w:tcPr>
          <w:p w14:paraId="1EF24F74"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2.13%</w:t>
            </w:r>
          </w:p>
        </w:tc>
        <w:tc>
          <w:tcPr>
            <w:tcW w:w="716" w:type="dxa"/>
            <w:vAlign w:val="center"/>
          </w:tcPr>
          <w:p w14:paraId="50DED055"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2.46%</w:t>
            </w:r>
          </w:p>
        </w:tc>
        <w:tc>
          <w:tcPr>
            <w:tcW w:w="716" w:type="dxa"/>
            <w:vAlign w:val="center"/>
          </w:tcPr>
          <w:p w14:paraId="0EEB39C1"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4.61%</w:t>
            </w:r>
          </w:p>
        </w:tc>
        <w:tc>
          <w:tcPr>
            <w:tcW w:w="716" w:type="dxa"/>
            <w:vAlign w:val="center"/>
          </w:tcPr>
          <w:p w14:paraId="711351AA"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4.68%</w:t>
            </w:r>
          </w:p>
        </w:tc>
        <w:tc>
          <w:tcPr>
            <w:tcW w:w="720" w:type="dxa"/>
            <w:vAlign w:val="center"/>
          </w:tcPr>
          <w:p w14:paraId="0D30DB93"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5.34%</w:t>
            </w:r>
          </w:p>
        </w:tc>
        <w:tc>
          <w:tcPr>
            <w:tcW w:w="721" w:type="dxa"/>
            <w:vAlign w:val="center"/>
          </w:tcPr>
          <w:p w14:paraId="266450C6"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3.21%</w:t>
            </w:r>
          </w:p>
        </w:tc>
      </w:tr>
      <w:tr w:rsidR="00D85592" w:rsidRPr="00B06893" w14:paraId="37A23876" w14:textId="77777777" w:rsidTr="00501A02">
        <w:trPr>
          <w:trHeight w:val="283"/>
        </w:trPr>
        <w:tc>
          <w:tcPr>
            <w:tcW w:w="1035" w:type="dxa"/>
            <w:vAlign w:val="center"/>
          </w:tcPr>
          <w:p w14:paraId="2A4AB97A" w14:textId="4F37BE70" w:rsidR="00D85592" w:rsidRPr="00B06893" w:rsidRDefault="00D85592" w:rsidP="0049697B">
            <w:pPr>
              <w:keepNext/>
              <w:keepLines/>
              <w:jc w:val="left"/>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65</w:t>
            </w:r>
            <w:r w:rsidR="00193971">
              <w:rPr>
                <w:rFonts w:ascii="Arial Narrow" w:hAnsi="Arial Narrow" w:cs="Times New Roman"/>
                <w:snapToGrid w:val="0"/>
                <w:sz w:val="20"/>
                <w:szCs w:val="20"/>
                <w:lang w:val="en-AU"/>
              </w:rPr>
              <w:noBreakHyphen/>
            </w:r>
            <w:r w:rsidRPr="00B06893">
              <w:rPr>
                <w:rFonts w:ascii="Arial Narrow" w:hAnsi="Arial Narrow" w:cs="Times New Roman"/>
                <w:snapToGrid w:val="0"/>
                <w:sz w:val="20"/>
                <w:szCs w:val="20"/>
                <w:lang w:val="en-AU"/>
              </w:rPr>
              <w:t>74 years</w:t>
            </w:r>
          </w:p>
        </w:tc>
        <w:tc>
          <w:tcPr>
            <w:tcW w:w="717" w:type="dxa"/>
            <w:vAlign w:val="center"/>
          </w:tcPr>
          <w:p w14:paraId="0FBA47BA"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1.92%</w:t>
            </w:r>
          </w:p>
        </w:tc>
        <w:tc>
          <w:tcPr>
            <w:tcW w:w="716" w:type="dxa"/>
            <w:vAlign w:val="center"/>
          </w:tcPr>
          <w:p w14:paraId="785E6C34"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2.92%</w:t>
            </w:r>
          </w:p>
        </w:tc>
        <w:tc>
          <w:tcPr>
            <w:tcW w:w="716" w:type="dxa"/>
            <w:vAlign w:val="center"/>
          </w:tcPr>
          <w:p w14:paraId="596A0B96"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3.89%</w:t>
            </w:r>
          </w:p>
        </w:tc>
        <w:tc>
          <w:tcPr>
            <w:tcW w:w="716" w:type="dxa"/>
            <w:vAlign w:val="center"/>
          </w:tcPr>
          <w:p w14:paraId="544B6DB4"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3.55%</w:t>
            </w:r>
          </w:p>
        </w:tc>
        <w:tc>
          <w:tcPr>
            <w:tcW w:w="716" w:type="dxa"/>
            <w:vAlign w:val="center"/>
          </w:tcPr>
          <w:p w14:paraId="6CBC8807"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2.00%</w:t>
            </w:r>
          </w:p>
        </w:tc>
        <w:tc>
          <w:tcPr>
            <w:tcW w:w="717" w:type="dxa"/>
            <w:vAlign w:val="center"/>
          </w:tcPr>
          <w:p w14:paraId="17BB5521"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1.36%</w:t>
            </w:r>
          </w:p>
        </w:tc>
        <w:tc>
          <w:tcPr>
            <w:tcW w:w="716" w:type="dxa"/>
            <w:vAlign w:val="center"/>
          </w:tcPr>
          <w:p w14:paraId="08BD8BB6"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1.32%</w:t>
            </w:r>
          </w:p>
        </w:tc>
        <w:tc>
          <w:tcPr>
            <w:tcW w:w="716" w:type="dxa"/>
            <w:vAlign w:val="center"/>
          </w:tcPr>
          <w:p w14:paraId="6AA58BD9"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1.53%</w:t>
            </w:r>
          </w:p>
        </w:tc>
        <w:tc>
          <w:tcPr>
            <w:tcW w:w="716" w:type="dxa"/>
            <w:vAlign w:val="center"/>
          </w:tcPr>
          <w:p w14:paraId="6BF2EFA7"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2.88%</w:t>
            </w:r>
          </w:p>
        </w:tc>
        <w:tc>
          <w:tcPr>
            <w:tcW w:w="716" w:type="dxa"/>
            <w:vAlign w:val="center"/>
          </w:tcPr>
          <w:p w14:paraId="61E0C21E"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2.92%</w:t>
            </w:r>
          </w:p>
        </w:tc>
        <w:tc>
          <w:tcPr>
            <w:tcW w:w="720" w:type="dxa"/>
            <w:vAlign w:val="center"/>
          </w:tcPr>
          <w:p w14:paraId="0683DAD5"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3.35%</w:t>
            </w:r>
          </w:p>
        </w:tc>
        <w:tc>
          <w:tcPr>
            <w:tcW w:w="721" w:type="dxa"/>
            <w:vAlign w:val="center"/>
          </w:tcPr>
          <w:p w14:paraId="0B6EE05E"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2.03%</w:t>
            </w:r>
          </w:p>
        </w:tc>
      </w:tr>
      <w:tr w:rsidR="00D85592" w:rsidRPr="00B06893" w14:paraId="29FB42F6" w14:textId="77777777" w:rsidTr="00501A02">
        <w:trPr>
          <w:trHeight w:val="283"/>
        </w:trPr>
        <w:tc>
          <w:tcPr>
            <w:tcW w:w="1035" w:type="dxa"/>
            <w:vAlign w:val="center"/>
          </w:tcPr>
          <w:p w14:paraId="655CD730" w14:textId="77777777" w:rsidR="00D85592" w:rsidRPr="00B06893" w:rsidRDefault="00D85592" w:rsidP="0049697B">
            <w:pPr>
              <w:keepNext/>
              <w:keepLines/>
              <w:jc w:val="left"/>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75+ years</w:t>
            </w:r>
          </w:p>
        </w:tc>
        <w:tc>
          <w:tcPr>
            <w:tcW w:w="717" w:type="dxa"/>
            <w:vAlign w:val="center"/>
          </w:tcPr>
          <w:p w14:paraId="35B841DA"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3.86%</w:t>
            </w:r>
          </w:p>
        </w:tc>
        <w:tc>
          <w:tcPr>
            <w:tcW w:w="716" w:type="dxa"/>
            <w:vAlign w:val="center"/>
          </w:tcPr>
          <w:p w14:paraId="78C313DF"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5.87%</w:t>
            </w:r>
          </w:p>
        </w:tc>
        <w:tc>
          <w:tcPr>
            <w:tcW w:w="716" w:type="dxa"/>
            <w:vAlign w:val="center"/>
          </w:tcPr>
          <w:p w14:paraId="6EDE3D62"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7.82%</w:t>
            </w:r>
          </w:p>
        </w:tc>
        <w:tc>
          <w:tcPr>
            <w:tcW w:w="716" w:type="dxa"/>
            <w:vAlign w:val="center"/>
          </w:tcPr>
          <w:p w14:paraId="5EE5BDAE"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7.13%</w:t>
            </w:r>
          </w:p>
        </w:tc>
        <w:tc>
          <w:tcPr>
            <w:tcW w:w="716" w:type="dxa"/>
            <w:vAlign w:val="center"/>
          </w:tcPr>
          <w:p w14:paraId="2EAA9766"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4.01%</w:t>
            </w:r>
          </w:p>
        </w:tc>
        <w:tc>
          <w:tcPr>
            <w:tcW w:w="717" w:type="dxa"/>
            <w:vAlign w:val="center"/>
          </w:tcPr>
          <w:p w14:paraId="617F0011"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2.73%</w:t>
            </w:r>
          </w:p>
        </w:tc>
        <w:tc>
          <w:tcPr>
            <w:tcW w:w="716" w:type="dxa"/>
            <w:vAlign w:val="center"/>
          </w:tcPr>
          <w:p w14:paraId="6032681C"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2.66%</w:t>
            </w:r>
          </w:p>
        </w:tc>
        <w:tc>
          <w:tcPr>
            <w:tcW w:w="716" w:type="dxa"/>
            <w:vAlign w:val="center"/>
          </w:tcPr>
          <w:p w14:paraId="08D0F582"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3.08%</w:t>
            </w:r>
          </w:p>
        </w:tc>
        <w:tc>
          <w:tcPr>
            <w:tcW w:w="716" w:type="dxa"/>
            <w:vAlign w:val="center"/>
          </w:tcPr>
          <w:p w14:paraId="53672EF4"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5.79%</w:t>
            </w:r>
          </w:p>
        </w:tc>
        <w:tc>
          <w:tcPr>
            <w:tcW w:w="716" w:type="dxa"/>
            <w:vAlign w:val="center"/>
          </w:tcPr>
          <w:p w14:paraId="38811F5B"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5.88%</w:t>
            </w:r>
          </w:p>
        </w:tc>
        <w:tc>
          <w:tcPr>
            <w:tcW w:w="720" w:type="dxa"/>
            <w:vAlign w:val="center"/>
          </w:tcPr>
          <w:p w14:paraId="4C9CC24B"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6.74%</w:t>
            </w:r>
          </w:p>
        </w:tc>
        <w:tc>
          <w:tcPr>
            <w:tcW w:w="721" w:type="dxa"/>
            <w:vAlign w:val="center"/>
          </w:tcPr>
          <w:p w14:paraId="34D6A817" w14:textId="77777777" w:rsidR="00D85592" w:rsidRPr="00B06893" w:rsidRDefault="00D85592" w:rsidP="0049697B">
            <w:pPr>
              <w:keepNext/>
              <w:keepLines/>
              <w:jc w:val="center"/>
              <w:rPr>
                <w:rFonts w:ascii="Arial Narrow" w:hAnsi="Arial Narrow" w:cs="Times New Roman"/>
                <w:snapToGrid w:val="0"/>
                <w:sz w:val="20"/>
                <w:szCs w:val="20"/>
                <w:lang w:val="en-AU"/>
              </w:rPr>
            </w:pPr>
            <w:r w:rsidRPr="00B06893">
              <w:rPr>
                <w:rFonts w:ascii="Arial Narrow" w:hAnsi="Arial Narrow" w:cs="Times New Roman"/>
                <w:snapToGrid w:val="0"/>
                <w:sz w:val="20"/>
                <w:szCs w:val="20"/>
                <w:lang w:val="en-AU"/>
              </w:rPr>
              <w:t>4.09%</w:t>
            </w:r>
          </w:p>
        </w:tc>
      </w:tr>
    </w:tbl>
    <w:p w14:paraId="2744B195" w14:textId="7676DAA9" w:rsidR="00D85592" w:rsidRPr="00B06893" w:rsidRDefault="00D85592" w:rsidP="0049697B">
      <w:pPr>
        <w:keepNext/>
        <w:keepLines/>
        <w:rPr>
          <w:rFonts w:ascii="Arial Narrow" w:eastAsia="Calibri" w:hAnsi="Arial Narrow" w:cs="Arial"/>
          <w:sz w:val="18"/>
          <w:szCs w:val="24"/>
          <w:lang w:eastAsia="en-US"/>
        </w:rPr>
      </w:pPr>
      <w:r w:rsidRPr="00B06893">
        <w:rPr>
          <w:rFonts w:ascii="Arial Narrow" w:eastAsia="Calibri" w:hAnsi="Arial Narrow" w:cs="Arial"/>
          <w:sz w:val="18"/>
          <w:szCs w:val="24"/>
          <w:lang w:eastAsia="en-US"/>
        </w:rPr>
        <w:t>Source: Table 3</w:t>
      </w:r>
      <w:r w:rsidR="00193971">
        <w:rPr>
          <w:rFonts w:ascii="Arial Narrow" w:eastAsia="Calibri" w:hAnsi="Arial Narrow" w:cs="Arial"/>
          <w:sz w:val="18"/>
          <w:szCs w:val="24"/>
          <w:lang w:eastAsia="en-US"/>
        </w:rPr>
        <w:noBreakHyphen/>
      </w:r>
      <w:r w:rsidRPr="00B06893">
        <w:rPr>
          <w:rFonts w:ascii="Arial Narrow" w:eastAsia="Calibri" w:hAnsi="Arial Narrow" w:cs="Arial"/>
          <w:sz w:val="18"/>
          <w:szCs w:val="24"/>
          <w:lang w:eastAsia="en-US"/>
        </w:rPr>
        <w:t>10, p126 of the submission.</w:t>
      </w:r>
    </w:p>
    <w:p w14:paraId="2F9C25D7" w14:textId="1BB90CD6" w:rsidR="0053257A" w:rsidRPr="00B06893" w:rsidRDefault="0053257A" w:rsidP="0049697B">
      <w:pPr>
        <w:keepNext/>
        <w:keepLines/>
        <w:spacing w:after="120"/>
        <w:contextualSpacing/>
        <w:jc w:val="left"/>
        <w:rPr>
          <w:rFonts w:ascii="Arial Narrow" w:eastAsia="Calibri" w:hAnsi="Arial Narrow" w:cs="Arial"/>
          <w:snapToGrid w:val="0"/>
          <w:sz w:val="18"/>
          <w:szCs w:val="22"/>
          <w:lang w:eastAsia="en-US"/>
        </w:rPr>
      </w:pPr>
      <w:r w:rsidRPr="00B06893">
        <w:rPr>
          <w:rFonts w:ascii="Arial Narrow" w:hAnsi="Arial Narrow" w:cs="Arial"/>
          <w:snapToGrid w:val="0"/>
          <w:sz w:val="18"/>
          <w:szCs w:val="22"/>
        </w:rPr>
        <w:t>COVID = Coronavirus disease of 2019.</w:t>
      </w:r>
    </w:p>
    <w:p w14:paraId="24C7179C" w14:textId="0C339F24" w:rsidR="0053257A" w:rsidRPr="00B06893" w:rsidRDefault="0053257A" w:rsidP="0053257A">
      <w:pPr>
        <w:pStyle w:val="3-BodyText"/>
      </w:pPr>
      <w:r w:rsidRPr="00B06893">
        <w:t xml:space="preserve">The </w:t>
      </w:r>
      <w:r w:rsidR="00F42D24" w:rsidRPr="00B06893">
        <w:rPr>
          <w:iCs/>
        </w:rPr>
        <w:t xml:space="preserve">ESC agreed with the evaluation that the </w:t>
      </w:r>
      <w:r w:rsidRPr="00B06893">
        <w:t>submission ha</w:t>
      </w:r>
      <w:r w:rsidR="00F42D24" w:rsidRPr="00B06893">
        <w:t>d</w:t>
      </w:r>
      <w:r w:rsidRPr="00B06893">
        <w:t xml:space="preserve"> used several estimates to inform the counterfactual model that </w:t>
      </w:r>
      <w:r w:rsidR="003979C1" w:rsidRPr="00B06893">
        <w:t xml:space="preserve">were </w:t>
      </w:r>
      <w:r w:rsidRPr="00B06893">
        <w:t>inappropriate or applied incorrectly in the model</w:t>
      </w:r>
      <w:r w:rsidR="003979C1" w:rsidRPr="00B06893">
        <w:t>, including</w:t>
      </w:r>
      <w:r w:rsidRPr="00B06893">
        <w:t>:</w:t>
      </w:r>
    </w:p>
    <w:p w14:paraId="04E1797E" w14:textId="0D346E64" w:rsidR="0053257A" w:rsidRPr="00B06893" w:rsidRDefault="0053257A" w:rsidP="00D80B33">
      <w:pPr>
        <w:numPr>
          <w:ilvl w:val="0"/>
          <w:numId w:val="24"/>
        </w:numPr>
        <w:spacing w:before="60" w:after="60"/>
        <w:rPr>
          <w:rFonts w:eastAsiaTheme="minorHAnsi" w:cstheme="minorBidi"/>
          <w:szCs w:val="22"/>
        </w:rPr>
      </w:pPr>
      <w:r w:rsidRPr="00B06893">
        <w:rPr>
          <w:rFonts w:eastAsiaTheme="minorHAnsi" w:cstheme="minorBidi"/>
          <w:szCs w:val="22"/>
        </w:rPr>
        <w:t xml:space="preserve">The submission </w:t>
      </w:r>
      <w:r w:rsidR="003979C1" w:rsidRPr="00B06893">
        <w:rPr>
          <w:rFonts w:eastAsiaTheme="minorHAnsi" w:cstheme="minorBidi"/>
          <w:szCs w:val="22"/>
        </w:rPr>
        <w:t xml:space="preserve">assumed </w:t>
      </w:r>
      <w:r w:rsidRPr="00B06893">
        <w:rPr>
          <w:rFonts w:eastAsiaTheme="minorHAnsi" w:cstheme="minorBidi"/>
          <w:szCs w:val="22"/>
        </w:rPr>
        <w:t xml:space="preserve">30% of </w:t>
      </w:r>
      <w:r w:rsidR="003979C1" w:rsidRPr="00B06893">
        <w:rPr>
          <w:rFonts w:eastAsiaTheme="minorHAnsi" w:cstheme="minorBidi"/>
          <w:szCs w:val="22"/>
        </w:rPr>
        <w:t>deaths will occur</w:t>
      </w:r>
      <w:r w:rsidRPr="00B06893">
        <w:rPr>
          <w:rFonts w:eastAsiaTheme="minorHAnsi" w:cstheme="minorBidi"/>
          <w:szCs w:val="22"/>
        </w:rPr>
        <w:t xml:space="preserve"> at home </w:t>
      </w:r>
      <w:r w:rsidR="003979C1" w:rsidRPr="00B06893">
        <w:rPr>
          <w:rFonts w:eastAsiaTheme="minorHAnsi" w:cstheme="minorBidi"/>
          <w:szCs w:val="22"/>
        </w:rPr>
        <w:t>(</w:t>
      </w:r>
      <w:r w:rsidRPr="00B06893">
        <w:rPr>
          <w:rFonts w:eastAsiaTheme="minorHAnsi" w:cstheme="minorBidi"/>
          <w:szCs w:val="22"/>
        </w:rPr>
        <w:t>70% in hospital</w:t>
      </w:r>
      <w:r w:rsidR="003979C1" w:rsidRPr="00B06893">
        <w:rPr>
          <w:rFonts w:eastAsiaTheme="minorHAnsi" w:cstheme="minorBidi"/>
          <w:szCs w:val="22"/>
        </w:rPr>
        <w:t>)</w:t>
      </w:r>
      <w:r w:rsidRPr="00B06893">
        <w:rPr>
          <w:rFonts w:eastAsiaTheme="minorHAnsi" w:cstheme="minorBidi"/>
          <w:szCs w:val="22"/>
        </w:rPr>
        <w:t xml:space="preserve">. This </w:t>
      </w:r>
      <w:r w:rsidR="003979C1" w:rsidRPr="00B06893">
        <w:rPr>
          <w:rFonts w:eastAsiaTheme="minorHAnsi" w:cstheme="minorBidi"/>
          <w:szCs w:val="22"/>
        </w:rPr>
        <w:t xml:space="preserve">was </w:t>
      </w:r>
      <w:r w:rsidRPr="00B06893">
        <w:rPr>
          <w:rFonts w:eastAsiaTheme="minorHAnsi" w:cstheme="minorBidi"/>
          <w:szCs w:val="22"/>
        </w:rPr>
        <w:t xml:space="preserve">based on a study of patients (primarily with cancer and chronic diseases) who </w:t>
      </w:r>
      <w:r w:rsidR="003979C1" w:rsidRPr="00B06893">
        <w:rPr>
          <w:rFonts w:eastAsiaTheme="minorHAnsi" w:cstheme="minorBidi"/>
          <w:szCs w:val="22"/>
        </w:rPr>
        <w:t xml:space="preserve">had </w:t>
      </w:r>
      <w:r w:rsidRPr="00B06893">
        <w:rPr>
          <w:rFonts w:eastAsiaTheme="minorHAnsi" w:cstheme="minorBidi"/>
          <w:szCs w:val="22"/>
        </w:rPr>
        <w:t>been in contact with palliative care who died during the early years of the COVID</w:t>
      </w:r>
      <w:r w:rsidR="00193971">
        <w:rPr>
          <w:rFonts w:eastAsiaTheme="minorHAnsi" w:cstheme="minorBidi"/>
          <w:szCs w:val="22"/>
        </w:rPr>
        <w:noBreakHyphen/>
      </w:r>
      <w:r w:rsidRPr="00B06893">
        <w:rPr>
          <w:rFonts w:eastAsiaTheme="minorHAnsi" w:cstheme="minorBidi"/>
          <w:szCs w:val="22"/>
        </w:rPr>
        <w:t>19 pandemic</w:t>
      </w:r>
      <w:r w:rsidRPr="00B06893">
        <w:rPr>
          <w:rFonts w:eastAsiaTheme="minorHAnsi" w:cstheme="minorBidi"/>
          <w:szCs w:val="22"/>
          <w:vertAlign w:val="superscript"/>
        </w:rPr>
        <w:footnoteReference w:id="25"/>
      </w:r>
      <w:r w:rsidRPr="00B06893">
        <w:rPr>
          <w:rFonts w:eastAsiaTheme="minorHAnsi" w:cstheme="minorBidi"/>
          <w:szCs w:val="22"/>
        </w:rPr>
        <w:t xml:space="preserve">. The study </w:t>
      </w:r>
      <w:r w:rsidR="003979C1" w:rsidRPr="00B06893">
        <w:rPr>
          <w:rFonts w:eastAsiaTheme="minorHAnsi" w:cstheme="minorBidi"/>
          <w:szCs w:val="22"/>
        </w:rPr>
        <w:t>was</w:t>
      </w:r>
      <w:r w:rsidRPr="00B06893">
        <w:rPr>
          <w:rFonts w:eastAsiaTheme="minorHAnsi" w:cstheme="minorBidi"/>
          <w:szCs w:val="22"/>
        </w:rPr>
        <w:t xml:space="preserve"> not applicable to the way it </w:t>
      </w:r>
      <w:r w:rsidR="003979C1" w:rsidRPr="00B06893">
        <w:rPr>
          <w:rFonts w:eastAsiaTheme="minorHAnsi" w:cstheme="minorBidi"/>
          <w:szCs w:val="22"/>
        </w:rPr>
        <w:t xml:space="preserve">was </w:t>
      </w:r>
      <w:r w:rsidRPr="00B06893">
        <w:rPr>
          <w:rFonts w:eastAsiaTheme="minorHAnsi" w:cstheme="minorBidi"/>
          <w:szCs w:val="22"/>
        </w:rPr>
        <w:t>used in the model. More importantly, the model removed 30% of patients from Australian estimates of COVID</w:t>
      </w:r>
      <w:r w:rsidR="00193971">
        <w:rPr>
          <w:rFonts w:eastAsiaTheme="minorHAnsi" w:cstheme="minorBidi"/>
          <w:szCs w:val="22"/>
        </w:rPr>
        <w:noBreakHyphen/>
      </w:r>
      <w:r w:rsidRPr="00B06893">
        <w:rPr>
          <w:rFonts w:eastAsiaTheme="minorHAnsi" w:cstheme="minorBidi"/>
          <w:szCs w:val="22"/>
        </w:rPr>
        <w:t>19 mortality (ABS) to estimate in</w:t>
      </w:r>
      <w:r w:rsidR="00193971">
        <w:rPr>
          <w:rFonts w:eastAsiaTheme="minorHAnsi" w:cstheme="minorBidi"/>
          <w:szCs w:val="22"/>
        </w:rPr>
        <w:noBreakHyphen/>
      </w:r>
      <w:r w:rsidRPr="00B06893">
        <w:rPr>
          <w:rFonts w:eastAsiaTheme="minorHAnsi" w:cstheme="minorBidi"/>
          <w:szCs w:val="22"/>
        </w:rPr>
        <w:t xml:space="preserve">hospital deaths, and they </w:t>
      </w:r>
      <w:r w:rsidR="003979C1" w:rsidRPr="00B06893">
        <w:rPr>
          <w:rFonts w:eastAsiaTheme="minorHAnsi" w:cstheme="minorBidi"/>
          <w:szCs w:val="22"/>
        </w:rPr>
        <w:t xml:space="preserve">were not </w:t>
      </w:r>
      <w:r w:rsidRPr="00B06893">
        <w:rPr>
          <w:rFonts w:eastAsiaTheme="minorHAnsi" w:cstheme="minorBidi"/>
          <w:szCs w:val="22"/>
        </w:rPr>
        <w:t xml:space="preserve">included in the model at all. </w:t>
      </w:r>
    </w:p>
    <w:p w14:paraId="58FE84A1" w14:textId="644E8C6F" w:rsidR="0053257A" w:rsidRPr="00B06893" w:rsidRDefault="0053257A" w:rsidP="00D80B33">
      <w:pPr>
        <w:numPr>
          <w:ilvl w:val="0"/>
          <w:numId w:val="24"/>
        </w:numPr>
        <w:spacing w:before="60" w:after="60"/>
        <w:rPr>
          <w:rFonts w:eastAsiaTheme="minorHAnsi" w:cstheme="minorBidi"/>
          <w:szCs w:val="22"/>
        </w:rPr>
      </w:pPr>
      <w:r w:rsidRPr="00B06893">
        <w:rPr>
          <w:rFonts w:eastAsiaTheme="minorHAnsi" w:cstheme="minorBidi"/>
          <w:szCs w:val="22"/>
        </w:rPr>
        <w:t xml:space="preserve">Mortality </w:t>
      </w:r>
      <w:r w:rsidR="003979C1" w:rsidRPr="00B06893">
        <w:rPr>
          <w:rFonts w:eastAsiaTheme="minorHAnsi" w:cstheme="minorBidi"/>
          <w:szCs w:val="22"/>
        </w:rPr>
        <w:t>wa</w:t>
      </w:r>
      <w:r w:rsidRPr="00B06893">
        <w:rPr>
          <w:rFonts w:eastAsiaTheme="minorHAnsi" w:cstheme="minorBidi"/>
          <w:szCs w:val="22"/>
        </w:rPr>
        <w:t>s estimated from an ABS report on deaths due to COVID</w:t>
      </w:r>
      <w:r w:rsidR="00193971">
        <w:rPr>
          <w:rFonts w:eastAsiaTheme="minorHAnsi" w:cstheme="minorBidi"/>
          <w:szCs w:val="22"/>
        </w:rPr>
        <w:noBreakHyphen/>
      </w:r>
      <w:r w:rsidRPr="00B06893">
        <w:rPr>
          <w:rFonts w:eastAsiaTheme="minorHAnsi" w:cstheme="minorBidi"/>
          <w:szCs w:val="22"/>
        </w:rPr>
        <w:t xml:space="preserve">19. Mortality was estimated from July 2021 to June 2022, and included 6,988 </w:t>
      </w:r>
      <w:r w:rsidRPr="00B06893">
        <w:rPr>
          <w:rFonts w:eastAsiaTheme="minorHAnsi" w:cstheme="minorBidi"/>
          <w:szCs w:val="22"/>
        </w:rPr>
        <w:lastRenderedPageBreak/>
        <w:t xml:space="preserve">deaths from COVID. </w:t>
      </w:r>
      <w:r w:rsidR="00BB18D0" w:rsidRPr="00B06893">
        <w:t xml:space="preserve">The evaluation considered it was </w:t>
      </w:r>
      <w:r w:rsidRPr="00B06893">
        <w:rPr>
          <w:rFonts w:eastAsiaTheme="minorHAnsi" w:cstheme="minorBidi"/>
          <w:szCs w:val="22"/>
        </w:rPr>
        <w:t>unclear why this period was used. Mortality from COVID</w:t>
      </w:r>
      <w:r w:rsidR="00193971">
        <w:rPr>
          <w:rFonts w:eastAsiaTheme="minorHAnsi" w:cstheme="minorBidi"/>
          <w:szCs w:val="22"/>
        </w:rPr>
        <w:noBreakHyphen/>
      </w:r>
      <w:r w:rsidRPr="00B06893">
        <w:rPr>
          <w:rFonts w:eastAsiaTheme="minorHAnsi" w:cstheme="minorBidi"/>
          <w:szCs w:val="22"/>
        </w:rPr>
        <w:t>19 has been falling over time. Estimated mortality was 6,190 in 2023, 5,103 in 2024 and 3,252 in the 24</w:t>
      </w:r>
      <w:r w:rsidR="00193971">
        <w:rPr>
          <w:rFonts w:eastAsiaTheme="minorHAnsi" w:cstheme="minorBidi"/>
          <w:szCs w:val="22"/>
        </w:rPr>
        <w:noBreakHyphen/>
      </w:r>
      <w:r w:rsidRPr="00B06893">
        <w:rPr>
          <w:rFonts w:eastAsiaTheme="minorHAnsi" w:cstheme="minorBidi"/>
          <w:szCs w:val="22"/>
        </w:rPr>
        <w:t>25 financial year.</w:t>
      </w:r>
    </w:p>
    <w:p w14:paraId="3732F49F" w14:textId="094FE864" w:rsidR="0053257A" w:rsidRPr="00B06893" w:rsidRDefault="0053257A" w:rsidP="00D80B33">
      <w:pPr>
        <w:numPr>
          <w:ilvl w:val="0"/>
          <w:numId w:val="24"/>
        </w:numPr>
        <w:spacing w:before="60" w:after="60"/>
        <w:rPr>
          <w:rFonts w:eastAsiaTheme="minorHAnsi" w:cstheme="minorBidi"/>
          <w:szCs w:val="22"/>
        </w:rPr>
      </w:pPr>
      <w:r w:rsidRPr="00B06893">
        <w:rPr>
          <w:rFonts w:eastAsiaTheme="minorHAnsi" w:cstheme="minorBidi"/>
          <w:szCs w:val="22"/>
        </w:rPr>
        <w:t xml:space="preserve">Deaths </w:t>
      </w:r>
      <w:r w:rsidR="003979C1" w:rsidRPr="00B06893">
        <w:rPr>
          <w:rFonts w:eastAsiaTheme="minorHAnsi" w:cstheme="minorBidi"/>
          <w:szCs w:val="22"/>
        </w:rPr>
        <w:t xml:space="preserve">were </w:t>
      </w:r>
      <w:r w:rsidRPr="00B06893">
        <w:rPr>
          <w:rFonts w:eastAsiaTheme="minorHAnsi" w:cstheme="minorBidi"/>
          <w:szCs w:val="22"/>
        </w:rPr>
        <w:t xml:space="preserve">distributed across age </w:t>
      </w:r>
      <w:r w:rsidR="00470090" w:rsidRPr="00B06893">
        <w:rPr>
          <w:rFonts w:eastAsiaTheme="minorHAnsi" w:cstheme="minorBidi"/>
          <w:szCs w:val="22"/>
        </w:rPr>
        <w:t>groups;</w:t>
      </w:r>
      <w:r w:rsidRPr="00B06893">
        <w:rPr>
          <w:rFonts w:eastAsiaTheme="minorHAnsi" w:cstheme="minorBidi"/>
          <w:szCs w:val="22"/>
        </w:rPr>
        <w:t xml:space="preserve"> </w:t>
      </w:r>
      <w:proofErr w:type="gramStart"/>
      <w:r w:rsidRPr="00B06893">
        <w:rPr>
          <w:rFonts w:eastAsiaTheme="minorHAnsi" w:cstheme="minorBidi"/>
          <w:szCs w:val="22"/>
        </w:rPr>
        <w:t>however</w:t>
      </w:r>
      <w:proofErr w:type="gramEnd"/>
      <w:r w:rsidRPr="00B06893">
        <w:rPr>
          <w:rFonts w:eastAsiaTheme="minorHAnsi" w:cstheme="minorBidi"/>
          <w:szCs w:val="22"/>
        </w:rPr>
        <w:t xml:space="preserve"> a</w:t>
      </w:r>
      <w:r w:rsidR="00BE1CA1" w:rsidRPr="00B06893">
        <w:rPr>
          <w:rFonts w:eastAsiaTheme="minorHAnsi" w:cstheme="minorBidi"/>
          <w:szCs w:val="22"/>
        </w:rPr>
        <w:t>n</w:t>
      </w:r>
      <w:r w:rsidRPr="00B06893">
        <w:rPr>
          <w:rFonts w:eastAsiaTheme="minorHAnsi" w:cstheme="minorBidi"/>
          <w:szCs w:val="22"/>
        </w:rPr>
        <w:t xml:space="preserve"> error </w:t>
      </w:r>
      <w:r w:rsidR="00BE1CA1" w:rsidRPr="00B06893">
        <w:rPr>
          <w:rFonts w:eastAsiaTheme="minorHAnsi" w:cstheme="minorBidi"/>
          <w:szCs w:val="22"/>
        </w:rPr>
        <w:t>wa</w:t>
      </w:r>
      <w:r w:rsidRPr="00B06893">
        <w:rPr>
          <w:rFonts w:eastAsiaTheme="minorHAnsi" w:cstheme="minorBidi"/>
          <w:szCs w:val="22"/>
        </w:rPr>
        <w:t>s made during this process resulting in too few deaths being attributed to the 65</w:t>
      </w:r>
      <w:r w:rsidR="00193971">
        <w:rPr>
          <w:rFonts w:eastAsiaTheme="minorHAnsi" w:cstheme="minorBidi"/>
          <w:szCs w:val="22"/>
        </w:rPr>
        <w:noBreakHyphen/>
      </w:r>
      <w:r w:rsidRPr="00B06893">
        <w:rPr>
          <w:rFonts w:eastAsiaTheme="minorHAnsi" w:cstheme="minorBidi"/>
          <w:szCs w:val="22"/>
        </w:rPr>
        <w:t xml:space="preserve">74 year age group. </w:t>
      </w:r>
    </w:p>
    <w:p w14:paraId="38DF5353" w14:textId="4B49D70C" w:rsidR="0053257A" w:rsidRPr="00B06893" w:rsidRDefault="0053257A" w:rsidP="00D80B33">
      <w:pPr>
        <w:numPr>
          <w:ilvl w:val="0"/>
          <w:numId w:val="24"/>
        </w:numPr>
        <w:spacing w:before="60" w:after="60"/>
        <w:rPr>
          <w:rFonts w:eastAsiaTheme="minorHAnsi" w:cstheme="minorBidi"/>
          <w:szCs w:val="22"/>
        </w:rPr>
      </w:pPr>
      <w:r w:rsidRPr="00B06893">
        <w:rPr>
          <w:rFonts w:eastAsiaTheme="minorHAnsi" w:cstheme="minorBidi"/>
          <w:szCs w:val="22"/>
        </w:rPr>
        <w:t>The submission applied a 7.78% post</w:t>
      </w:r>
      <w:r w:rsidR="00193971">
        <w:rPr>
          <w:rFonts w:eastAsiaTheme="minorHAnsi" w:cstheme="minorBidi"/>
          <w:szCs w:val="22"/>
        </w:rPr>
        <w:noBreakHyphen/>
      </w:r>
      <w:r w:rsidRPr="00B06893">
        <w:rPr>
          <w:rFonts w:eastAsiaTheme="minorHAnsi" w:cstheme="minorBidi"/>
          <w:szCs w:val="22"/>
        </w:rPr>
        <w:t>discharge mortality rate based on a meta</w:t>
      </w:r>
      <w:r w:rsidR="00193971">
        <w:rPr>
          <w:rFonts w:eastAsiaTheme="minorHAnsi" w:cstheme="minorBidi"/>
          <w:szCs w:val="22"/>
        </w:rPr>
        <w:noBreakHyphen/>
      </w:r>
      <w:r w:rsidRPr="00B06893">
        <w:rPr>
          <w:rFonts w:eastAsiaTheme="minorHAnsi" w:cstheme="minorBidi"/>
          <w:szCs w:val="22"/>
        </w:rPr>
        <w:t xml:space="preserve">analysis reporting </w:t>
      </w:r>
      <w:r w:rsidR="00DB3E3D" w:rsidRPr="00B06893">
        <w:rPr>
          <w:rFonts w:eastAsiaTheme="minorHAnsi" w:cstheme="minorBidi"/>
          <w:szCs w:val="22"/>
        </w:rPr>
        <w:t>all</w:t>
      </w:r>
      <w:r w:rsidR="00193971">
        <w:rPr>
          <w:rFonts w:eastAsiaTheme="minorHAnsi" w:cstheme="minorBidi"/>
          <w:szCs w:val="22"/>
        </w:rPr>
        <w:noBreakHyphen/>
      </w:r>
      <w:r w:rsidR="00DB3E3D" w:rsidRPr="00B06893">
        <w:rPr>
          <w:rFonts w:eastAsiaTheme="minorHAnsi" w:cstheme="minorBidi"/>
          <w:szCs w:val="22"/>
        </w:rPr>
        <w:t>cause</w:t>
      </w:r>
      <w:r w:rsidRPr="00B06893">
        <w:rPr>
          <w:rFonts w:eastAsiaTheme="minorHAnsi" w:cstheme="minorBidi"/>
          <w:szCs w:val="22"/>
        </w:rPr>
        <w:t xml:space="preserve"> mortality over 1 year in patients hospitalised with COVID</w:t>
      </w:r>
      <w:r w:rsidR="00193971">
        <w:rPr>
          <w:rFonts w:eastAsiaTheme="minorHAnsi" w:cstheme="minorBidi"/>
          <w:szCs w:val="22"/>
        </w:rPr>
        <w:noBreakHyphen/>
      </w:r>
      <w:r w:rsidRPr="00B06893">
        <w:rPr>
          <w:rFonts w:eastAsiaTheme="minorHAnsi" w:cstheme="minorBidi"/>
          <w:szCs w:val="22"/>
        </w:rPr>
        <w:t>19</w:t>
      </w:r>
      <w:r w:rsidRPr="00B06893">
        <w:rPr>
          <w:rFonts w:eastAsiaTheme="minorHAnsi" w:cstheme="minorBidi"/>
          <w:szCs w:val="22"/>
          <w:vertAlign w:val="superscript"/>
        </w:rPr>
        <w:footnoteReference w:id="26"/>
      </w:r>
      <w:r w:rsidRPr="00B06893">
        <w:rPr>
          <w:rFonts w:eastAsiaTheme="minorHAnsi" w:cstheme="minorBidi"/>
          <w:szCs w:val="22"/>
        </w:rPr>
        <w:t xml:space="preserve">. The submission </w:t>
      </w:r>
      <w:r w:rsidR="003979C1" w:rsidRPr="00B06893">
        <w:rPr>
          <w:rFonts w:eastAsiaTheme="minorHAnsi" w:cstheme="minorBidi"/>
          <w:szCs w:val="22"/>
        </w:rPr>
        <w:t xml:space="preserve">applied </w:t>
      </w:r>
      <w:r w:rsidRPr="00B06893">
        <w:rPr>
          <w:rFonts w:eastAsiaTheme="minorHAnsi" w:cstheme="minorBidi"/>
          <w:szCs w:val="22"/>
        </w:rPr>
        <w:t xml:space="preserve">this inconsistently in the model. Firstly, the model </w:t>
      </w:r>
      <w:r w:rsidR="003979C1" w:rsidRPr="00B06893">
        <w:rPr>
          <w:rFonts w:eastAsiaTheme="minorHAnsi" w:cstheme="minorBidi"/>
          <w:szCs w:val="22"/>
        </w:rPr>
        <w:t xml:space="preserve">applied </w:t>
      </w:r>
      <w:r w:rsidRPr="00B06893">
        <w:rPr>
          <w:rFonts w:eastAsiaTheme="minorHAnsi" w:cstheme="minorBidi"/>
          <w:szCs w:val="22"/>
        </w:rPr>
        <w:t>a post</w:t>
      </w:r>
      <w:r w:rsidR="00193971">
        <w:rPr>
          <w:rFonts w:eastAsiaTheme="minorHAnsi" w:cstheme="minorBidi"/>
          <w:szCs w:val="22"/>
        </w:rPr>
        <w:noBreakHyphen/>
      </w:r>
      <w:r w:rsidRPr="00B06893">
        <w:rPr>
          <w:rFonts w:eastAsiaTheme="minorHAnsi" w:cstheme="minorBidi"/>
          <w:szCs w:val="22"/>
        </w:rPr>
        <w:t xml:space="preserve">discharge rate of 6.59% rather than 7.78%. </w:t>
      </w:r>
      <w:r w:rsidR="003979C1" w:rsidRPr="00B06893">
        <w:rPr>
          <w:rFonts w:eastAsiaTheme="minorHAnsi" w:cstheme="minorBidi"/>
          <w:szCs w:val="22"/>
        </w:rPr>
        <w:t xml:space="preserve">The </w:t>
      </w:r>
      <w:r w:rsidRPr="00B06893">
        <w:rPr>
          <w:rFonts w:eastAsiaTheme="minorHAnsi" w:cstheme="minorBidi"/>
          <w:szCs w:val="22"/>
        </w:rPr>
        <w:t xml:space="preserve">discrepancy </w:t>
      </w:r>
      <w:r w:rsidR="003979C1" w:rsidRPr="00B06893">
        <w:rPr>
          <w:rFonts w:eastAsiaTheme="minorHAnsi" w:cstheme="minorBidi"/>
          <w:szCs w:val="22"/>
        </w:rPr>
        <w:t xml:space="preserve">was </w:t>
      </w:r>
      <w:r w:rsidRPr="00B06893">
        <w:rPr>
          <w:rFonts w:eastAsiaTheme="minorHAnsi" w:cstheme="minorBidi"/>
          <w:szCs w:val="22"/>
        </w:rPr>
        <w:t xml:space="preserve">not explained and </w:t>
      </w:r>
      <w:r w:rsidR="003979C1" w:rsidRPr="00B06893">
        <w:rPr>
          <w:rFonts w:eastAsiaTheme="minorHAnsi" w:cstheme="minorBidi"/>
          <w:szCs w:val="22"/>
        </w:rPr>
        <w:t xml:space="preserve">appeared </w:t>
      </w:r>
      <w:r w:rsidRPr="00B06893">
        <w:rPr>
          <w:rFonts w:eastAsiaTheme="minorHAnsi" w:cstheme="minorBidi"/>
          <w:szCs w:val="22"/>
        </w:rPr>
        <w:t>to be an error. Secondly, the in</w:t>
      </w:r>
      <w:r w:rsidR="00193971">
        <w:rPr>
          <w:rFonts w:eastAsiaTheme="minorHAnsi" w:cstheme="minorBidi"/>
          <w:szCs w:val="22"/>
        </w:rPr>
        <w:noBreakHyphen/>
      </w:r>
      <w:r w:rsidRPr="00B06893">
        <w:rPr>
          <w:rFonts w:eastAsiaTheme="minorHAnsi" w:cstheme="minorBidi"/>
          <w:szCs w:val="22"/>
        </w:rPr>
        <w:t xml:space="preserve">hospital mortality </w:t>
      </w:r>
      <w:r w:rsidR="003979C1" w:rsidRPr="00B06893">
        <w:rPr>
          <w:rFonts w:eastAsiaTheme="minorHAnsi" w:cstheme="minorBidi"/>
          <w:szCs w:val="22"/>
        </w:rPr>
        <w:t>was</w:t>
      </w:r>
      <w:r w:rsidRPr="00B06893">
        <w:rPr>
          <w:rFonts w:eastAsiaTheme="minorHAnsi" w:cstheme="minorBidi"/>
          <w:szCs w:val="22"/>
        </w:rPr>
        <w:t xml:space="preserve"> reduced by 7.78% (to 92.22% of mortality). However, the model then </w:t>
      </w:r>
      <w:r w:rsidR="003979C1" w:rsidRPr="00B06893">
        <w:rPr>
          <w:rFonts w:eastAsiaTheme="minorHAnsi" w:cstheme="minorBidi"/>
          <w:szCs w:val="22"/>
        </w:rPr>
        <w:t xml:space="preserve">applied </w:t>
      </w:r>
      <w:r w:rsidRPr="00B06893">
        <w:rPr>
          <w:rFonts w:eastAsiaTheme="minorHAnsi" w:cstheme="minorBidi"/>
          <w:szCs w:val="22"/>
        </w:rPr>
        <w:t xml:space="preserve">6.59% as a mortality rate to </w:t>
      </w:r>
      <w:r w:rsidRPr="00B06893">
        <w:rPr>
          <w:rFonts w:eastAsiaTheme="minorHAnsi" w:cstheme="minorBidi"/>
          <w:szCs w:val="22"/>
          <w:u w:val="single"/>
        </w:rPr>
        <w:t>all hospitalisations</w:t>
      </w:r>
      <w:r w:rsidRPr="00B06893">
        <w:rPr>
          <w:rFonts w:eastAsiaTheme="minorHAnsi" w:cstheme="minorBidi"/>
          <w:szCs w:val="22"/>
        </w:rPr>
        <w:t xml:space="preserve"> to estimate post</w:t>
      </w:r>
      <w:r w:rsidR="00193971">
        <w:rPr>
          <w:rFonts w:eastAsiaTheme="minorHAnsi" w:cstheme="minorBidi"/>
          <w:szCs w:val="22"/>
        </w:rPr>
        <w:noBreakHyphen/>
      </w:r>
      <w:r w:rsidRPr="00B06893">
        <w:rPr>
          <w:rFonts w:eastAsiaTheme="minorHAnsi" w:cstheme="minorBidi"/>
          <w:szCs w:val="22"/>
        </w:rPr>
        <w:t xml:space="preserve">discharge mortality. This </w:t>
      </w:r>
      <w:r w:rsidR="003979C1" w:rsidRPr="00B06893">
        <w:rPr>
          <w:rFonts w:eastAsiaTheme="minorHAnsi" w:cstheme="minorBidi"/>
          <w:szCs w:val="22"/>
        </w:rPr>
        <w:t xml:space="preserve">increased </w:t>
      </w:r>
      <w:r w:rsidRPr="00B06893">
        <w:rPr>
          <w:rFonts w:eastAsiaTheme="minorHAnsi" w:cstheme="minorBidi"/>
          <w:szCs w:val="22"/>
        </w:rPr>
        <w:t>the mortality rate in the model by approximately 16 fold, 7 fold and 60% in the 18</w:t>
      </w:r>
      <w:r w:rsidR="00193971">
        <w:rPr>
          <w:rFonts w:eastAsiaTheme="minorHAnsi" w:cstheme="minorBidi"/>
          <w:szCs w:val="22"/>
        </w:rPr>
        <w:noBreakHyphen/>
      </w:r>
      <w:r w:rsidRPr="00B06893">
        <w:rPr>
          <w:rFonts w:eastAsiaTheme="minorHAnsi" w:cstheme="minorBidi"/>
          <w:szCs w:val="22"/>
        </w:rPr>
        <w:t>64, 65</w:t>
      </w:r>
      <w:r w:rsidR="00193971">
        <w:rPr>
          <w:rFonts w:eastAsiaTheme="minorHAnsi" w:cstheme="minorBidi"/>
          <w:szCs w:val="22"/>
        </w:rPr>
        <w:noBreakHyphen/>
      </w:r>
      <w:r w:rsidRPr="00B06893">
        <w:rPr>
          <w:rFonts w:eastAsiaTheme="minorHAnsi" w:cstheme="minorBidi"/>
          <w:szCs w:val="22"/>
        </w:rPr>
        <w:t>74 and 75</w:t>
      </w:r>
      <w:r w:rsidR="00193971">
        <w:rPr>
          <w:rFonts w:eastAsiaTheme="minorHAnsi" w:cstheme="minorBidi"/>
          <w:szCs w:val="22"/>
        </w:rPr>
        <w:noBreakHyphen/>
      </w:r>
      <w:r w:rsidRPr="00B06893">
        <w:rPr>
          <w:rFonts w:eastAsiaTheme="minorHAnsi" w:cstheme="minorBidi"/>
          <w:szCs w:val="22"/>
        </w:rPr>
        <w:t>100 year age groups. Stated in another way, for every person that dies in hospital in the 18</w:t>
      </w:r>
      <w:r w:rsidR="00193971">
        <w:rPr>
          <w:rFonts w:eastAsiaTheme="minorHAnsi" w:cstheme="minorBidi"/>
          <w:szCs w:val="22"/>
        </w:rPr>
        <w:noBreakHyphen/>
      </w:r>
      <w:r w:rsidRPr="00B06893">
        <w:rPr>
          <w:rFonts w:eastAsiaTheme="minorHAnsi" w:cstheme="minorBidi"/>
          <w:szCs w:val="22"/>
        </w:rPr>
        <w:t>64 age group, 16 die after discharge. Th</w:t>
      </w:r>
      <w:r w:rsidR="003979C1" w:rsidRPr="00B06893">
        <w:rPr>
          <w:rFonts w:eastAsiaTheme="minorHAnsi" w:cstheme="minorBidi"/>
          <w:szCs w:val="22"/>
        </w:rPr>
        <w:t>e evaluation noted th</w:t>
      </w:r>
      <w:r w:rsidRPr="00B06893">
        <w:rPr>
          <w:rFonts w:eastAsiaTheme="minorHAnsi" w:cstheme="minorBidi"/>
          <w:szCs w:val="22"/>
        </w:rPr>
        <w:t>is is inappropriate.</w:t>
      </w:r>
    </w:p>
    <w:p w14:paraId="6A8C6FA4" w14:textId="5BB05325" w:rsidR="0053257A" w:rsidRPr="00B06893" w:rsidRDefault="0053257A" w:rsidP="00D80B33">
      <w:pPr>
        <w:numPr>
          <w:ilvl w:val="0"/>
          <w:numId w:val="24"/>
        </w:numPr>
        <w:spacing w:before="60" w:after="60"/>
        <w:rPr>
          <w:rFonts w:eastAsiaTheme="minorHAnsi" w:cstheme="minorBidi"/>
          <w:szCs w:val="22"/>
        </w:rPr>
      </w:pPr>
      <w:r w:rsidRPr="00B06893">
        <w:rPr>
          <w:rFonts w:eastAsiaTheme="minorHAnsi" w:cstheme="minorBidi"/>
          <w:szCs w:val="22"/>
        </w:rPr>
        <w:t>The model applies 17.86% readmissions based on an Australian study of hospital re</w:t>
      </w:r>
      <w:r w:rsidR="00193971">
        <w:rPr>
          <w:rFonts w:eastAsiaTheme="minorHAnsi" w:cstheme="minorBidi"/>
          <w:szCs w:val="22"/>
        </w:rPr>
        <w:noBreakHyphen/>
      </w:r>
      <w:r w:rsidRPr="00B06893">
        <w:rPr>
          <w:rFonts w:eastAsiaTheme="minorHAnsi" w:cstheme="minorBidi"/>
          <w:szCs w:val="22"/>
        </w:rPr>
        <w:t>presentations</w:t>
      </w:r>
      <w:r w:rsidRPr="00B06893">
        <w:rPr>
          <w:rFonts w:eastAsiaTheme="minorHAnsi" w:cstheme="minorBidi"/>
          <w:szCs w:val="22"/>
          <w:vertAlign w:val="superscript"/>
        </w:rPr>
        <w:footnoteReference w:id="27"/>
      </w:r>
      <w:r w:rsidRPr="00B06893">
        <w:rPr>
          <w:rFonts w:eastAsiaTheme="minorHAnsi" w:cstheme="minorBidi"/>
          <w:szCs w:val="22"/>
        </w:rPr>
        <w:t xml:space="preserve">. </w:t>
      </w:r>
      <w:r w:rsidR="003979C1" w:rsidRPr="00B06893">
        <w:rPr>
          <w:rFonts w:eastAsiaTheme="minorHAnsi" w:cstheme="minorBidi"/>
          <w:szCs w:val="22"/>
        </w:rPr>
        <w:t xml:space="preserve">This was inappropriate as the </w:t>
      </w:r>
      <w:r w:rsidRPr="00B06893">
        <w:rPr>
          <w:rFonts w:eastAsiaTheme="minorHAnsi" w:cstheme="minorBidi"/>
          <w:szCs w:val="22"/>
        </w:rPr>
        <w:t xml:space="preserve">AIHW hospitalisation data used to calibrate hospitalisations already </w:t>
      </w:r>
      <w:r w:rsidR="003979C1" w:rsidRPr="00B06893">
        <w:rPr>
          <w:rFonts w:eastAsiaTheme="minorHAnsi" w:cstheme="minorBidi"/>
          <w:szCs w:val="22"/>
        </w:rPr>
        <w:t xml:space="preserve">incorporated </w:t>
      </w:r>
      <w:r w:rsidRPr="00B06893">
        <w:rPr>
          <w:rFonts w:eastAsiaTheme="minorHAnsi" w:cstheme="minorBidi"/>
          <w:szCs w:val="22"/>
        </w:rPr>
        <w:t>re</w:t>
      </w:r>
      <w:r w:rsidR="00193971">
        <w:rPr>
          <w:rFonts w:eastAsiaTheme="minorHAnsi" w:cstheme="minorBidi"/>
          <w:szCs w:val="22"/>
        </w:rPr>
        <w:noBreakHyphen/>
      </w:r>
      <w:r w:rsidRPr="00B06893">
        <w:rPr>
          <w:rFonts w:eastAsiaTheme="minorHAnsi" w:cstheme="minorBidi"/>
          <w:szCs w:val="22"/>
        </w:rPr>
        <w:t>admissions. The approach taken in the model represents double counting.</w:t>
      </w:r>
    </w:p>
    <w:p w14:paraId="05BF25B8" w14:textId="337CDFE7" w:rsidR="00D85592" w:rsidRPr="00B06893" w:rsidRDefault="0053257A" w:rsidP="0053257A">
      <w:pPr>
        <w:pStyle w:val="3-BodyText"/>
      </w:pPr>
      <w:r w:rsidRPr="00B06893">
        <w:rPr>
          <w:rFonts w:ascii="Calibri" w:eastAsia="Times New Roman" w:hAnsi="Calibri" w:cs="Arial"/>
          <w:szCs w:val="24"/>
        </w:rPr>
        <w:t xml:space="preserve">The submission </w:t>
      </w:r>
      <w:r w:rsidR="003979C1" w:rsidRPr="00B06893">
        <w:rPr>
          <w:rFonts w:ascii="Calibri" w:eastAsia="Times New Roman" w:hAnsi="Calibri" w:cs="Arial"/>
          <w:szCs w:val="24"/>
        </w:rPr>
        <w:t xml:space="preserve">did </w:t>
      </w:r>
      <w:r w:rsidRPr="00B06893">
        <w:rPr>
          <w:rFonts w:ascii="Calibri" w:eastAsia="Times New Roman" w:hAnsi="Calibri" w:cs="Arial"/>
          <w:szCs w:val="24"/>
        </w:rPr>
        <w:t xml:space="preserve">not provide adequate discussion relating to the validity of the model. The model base case </w:t>
      </w:r>
      <w:r w:rsidR="003979C1" w:rsidRPr="00B06893">
        <w:rPr>
          <w:rFonts w:ascii="Calibri" w:eastAsia="Times New Roman" w:hAnsi="Calibri" w:cs="Arial"/>
          <w:szCs w:val="24"/>
        </w:rPr>
        <w:t xml:space="preserve">overestimated </w:t>
      </w:r>
      <w:r w:rsidRPr="00B06893">
        <w:rPr>
          <w:rFonts w:ascii="Calibri" w:eastAsia="Times New Roman" w:hAnsi="Calibri" w:cs="Arial"/>
          <w:szCs w:val="24"/>
        </w:rPr>
        <w:t>COVID</w:t>
      </w:r>
      <w:r w:rsidR="00193971">
        <w:rPr>
          <w:rFonts w:ascii="Calibri" w:eastAsia="Times New Roman" w:hAnsi="Calibri" w:cs="Arial"/>
          <w:szCs w:val="24"/>
        </w:rPr>
        <w:noBreakHyphen/>
      </w:r>
      <w:r w:rsidRPr="00B06893">
        <w:rPr>
          <w:rFonts w:ascii="Calibri" w:eastAsia="Times New Roman" w:hAnsi="Calibri" w:cs="Arial"/>
          <w:szCs w:val="24"/>
        </w:rPr>
        <w:t>19 infections and mortality from COVID</w:t>
      </w:r>
      <w:r w:rsidR="00193971">
        <w:rPr>
          <w:rFonts w:ascii="Calibri" w:eastAsia="Times New Roman" w:hAnsi="Calibri" w:cs="Arial"/>
          <w:szCs w:val="24"/>
        </w:rPr>
        <w:noBreakHyphen/>
      </w:r>
      <w:r w:rsidRPr="00B06893">
        <w:rPr>
          <w:rFonts w:ascii="Calibri" w:eastAsia="Times New Roman" w:hAnsi="Calibri" w:cs="Arial"/>
          <w:szCs w:val="24"/>
        </w:rPr>
        <w:t xml:space="preserve">19. </w:t>
      </w:r>
      <w:r w:rsidR="003979C1" w:rsidRPr="00B06893">
        <w:rPr>
          <w:rFonts w:ascii="Calibri" w:eastAsia="Times New Roman" w:hAnsi="Calibri" w:cs="Arial"/>
          <w:szCs w:val="24"/>
        </w:rPr>
        <w:t xml:space="preserve">The evaluation stated that excluding </w:t>
      </w:r>
      <w:r w:rsidRPr="00B06893">
        <w:rPr>
          <w:rFonts w:ascii="Calibri" w:eastAsia="Times New Roman" w:hAnsi="Calibri" w:cs="Arial"/>
          <w:szCs w:val="24"/>
        </w:rPr>
        <w:t xml:space="preserve">readmissions from the base case may result in a </w:t>
      </w:r>
      <w:r w:rsidR="00193303" w:rsidRPr="00B06893">
        <w:rPr>
          <w:rFonts w:ascii="Calibri" w:eastAsia="Times New Roman" w:hAnsi="Calibri" w:cs="Arial"/>
          <w:szCs w:val="24"/>
        </w:rPr>
        <w:t xml:space="preserve">more reasonable </w:t>
      </w:r>
      <w:r w:rsidRPr="00B06893">
        <w:rPr>
          <w:rFonts w:ascii="Calibri" w:eastAsia="Times New Roman" w:hAnsi="Calibri" w:cs="Arial"/>
          <w:szCs w:val="24"/>
        </w:rPr>
        <w:t>estimate of hospitalisations.</w:t>
      </w:r>
    </w:p>
    <w:p w14:paraId="2CEB9456" w14:textId="6621E744" w:rsidR="00D85592" w:rsidRPr="00B06893" w:rsidRDefault="00D85592" w:rsidP="00D85592">
      <w:pPr>
        <w:keepNext/>
        <w:keepLines/>
        <w:rPr>
          <w:rFonts w:ascii="Arial Narrow" w:hAnsi="Arial Narrow" w:cs="Arial"/>
          <w:b/>
          <w:bCs/>
          <w:sz w:val="20"/>
          <w:szCs w:val="18"/>
        </w:rPr>
      </w:pPr>
      <w:r w:rsidRPr="00B06893">
        <w:rPr>
          <w:rFonts w:ascii="Arial Narrow" w:hAnsi="Arial Narrow" w:cs="Arial"/>
          <w:b/>
          <w:bCs/>
          <w:sz w:val="20"/>
          <w:szCs w:val="18"/>
        </w:rPr>
        <w:lastRenderedPageBreak/>
        <w:t xml:space="preserve">Table </w:t>
      </w:r>
      <w:r w:rsidR="00B531BD" w:rsidRPr="00B06893">
        <w:rPr>
          <w:rFonts w:ascii="Arial Narrow" w:hAnsi="Arial Narrow" w:cs="Arial"/>
          <w:b/>
          <w:bCs/>
          <w:sz w:val="20"/>
          <w:szCs w:val="18"/>
        </w:rPr>
        <w:fldChar w:fldCharType="begin"/>
      </w:r>
      <w:r w:rsidR="00B531BD" w:rsidRPr="00B06893">
        <w:rPr>
          <w:rFonts w:ascii="Arial Narrow" w:hAnsi="Arial Narrow" w:cs="Arial"/>
          <w:b/>
          <w:bCs/>
          <w:sz w:val="20"/>
          <w:szCs w:val="18"/>
        </w:rPr>
        <w:instrText xml:space="preserve"> SEQ Table \* ARABIC </w:instrText>
      </w:r>
      <w:r w:rsidR="00B531BD" w:rsidRPr="00B06893">
        <w:rPr>
          <w:rFonts w:ascii="Arial Narrow" w:hAnsi="Arial Narrow" w:cs="Arial"/>
          <w:b/>
          <w:bCs/>
          <w:sz w:val="20"/>
          <w:szCs w:val="18"/>
        </w:rPr>
        <w:fldChar w:fldCharType="separate"/>
      </w:r>
      <w:r w:rsidR="00810177" w:rsidRPr="00B06893">
        <w:rPr>
          <w:rFonts w:ascii="Arial Narrow" w:hAnsi="Arial Narrow" w:cs="Arial"/>
          <w:b/>
          <w:bCs/>
          <w:sz w:val="20"/>
          <w:szCs w:val="18"/>
        </w:rPr>
        <w:t>23</w:t>
      </w:r>
      <w:r w:rsidR="00B531BD" w:rsidRPr="00B06893">
        <w:rPr>
          <w:rFonts w:ascii="Arial Narrow" w:hAnsi="Arial Narrow" w:cs="Arial"/>
          <w:b/>
          <w:bCs/>
          <w:sz w:val="20"/>
          <w:szCs w:val="18"/>
        </w:rPr>
        <w:fldChar w:fldCharType="end"/>
      </w:r>
      <w:r w:rsidR="007F2D2C" w:rsidRPr="00B06893">
        <w:rPr>
          <w:rFonts w:ascii="Arial Narrow" w:hAnsi="Arial Narrow" w:cs="Arial"/>
          <w:b/>
          <w:bCs/>
          <w:sz w:val="20"/>
          <w:szCs w:val="18"/>
        </w:rPr>
        <w:t xml:space="preserve">: </w:t>
      </w:r>
      <w:r w:rsidRPr="00B06893">
        <w:rPr>
          <w:rFonts w:ascii="Arial Narrow" w:hAnsi="Arial Narrow" w:cs="Arial"/>
          <w:b/>
          <w:bCs/>
          <w:sz w:val="20"/>
          <w:szCs w:val="18"/>
        </w:rPr>
        <w:t>Comparison of the model comparator arm and Australian estimates</w:t>
      </w:r>
    </w:p>
    <w:tbl>
      <w:tblPr>
        <w:tblStyle w:val="TableGrid"/>
        <w:tblW w:w="0" w:type="auto"/>
        <w:tblLook w:val="04A0" w:firstRow="1" w:lastRow="0" w:firstColumn="1" w:lastColumn="0" w:noHBand="0" w:noVBand="1"/>
        <w:tblCaption w:val="Table 23: Comparison of the model comparator arm and Australian estimates"/>
      </w:tblPr>
      <w:tblGrid>
        <w:gridCol w:w="2547"/>
        <w:gridCol w:w="1843"/>
        <w:gridCol w:w="1701"/>
        <w:gridCol w:w="2926"/>
      </w:tblGrid>
      <w:tr w:rsidR="00D85592" w:rsidRPr="00B06893" w14:paraId="51DE2BA6" w14:textId="77777777" w:rsidTr="00501A02">
        <w:tc>
          <w:tcPr>
            <w:tcW w:w="2547" w:type="dxa"/>
            <w:vAlign w:val="center"/>
          </w:tcPr>
          <w:p w14:paraId="64A67983" w14:textId="77777777" w:rsidR="00D85592" w:rsidRPr="00B06893" w:rsidRDefault="00D85592" w:rsidP="003E417D">
            <w:pPr>
              <w:pStyle w:val="Tabletext"/>
              <w:keepNext/>
              <w:rPr>
                <w:b/>
                <w:bCs/>
              </w:rPr>
            </w:pPr>
            <w:r w:rsidRPr="00B06893">
              <w:rPr>
                <w:b/>
                <w:bCs/>
              </w:rPr>
              <w:t>Outcome</w:t>
            </w:r>
          </w:p>
        </w:tc>
        <w:tc>
          <w:tcPr>
            <w:tcW w:w="1843" w:type="dxa"/>
            <w:vAlign w:val="center"/>
          </w:tcPr>
          <w:p w14:paraId="6190815C" w14:textId="77777777" w:rsidR="00D85592" w:rsidRPr="00B06893" w:rsidRDefault="00D85592" w:rsidP="003E417D">
            <w:pPr>
              <w:pStyle w:val="Tabletext"/>
              <w:keepNext/>
              <w:rPr>
                <w:b/>
                <w:bCs/>
              </w:rPr>
            </w:pPr>
            <w:r w:rsidRPr="00B06893">
              <w:rPr>
                <w:b/>
                <w:bCs/>
              </w:rPr>
              <w:t>Model base case (comparator arm)</w:t>
            </w:r>
          </w:p>
        </w:tc>
        <w:tc>
          <w:tcPr>
            <w:tcW w:w="1701" w:type="dxa"/>
            <w:vAlign w:val="center"/>
          </w:tcPr>
          <w:p w14:paraId="7FBFA067" w14:textId="77777777" w:rsidR="00D85592" w:rsidRPr="00B06893" w:rsidRDefault="00D85592" w:rsidP="003E417D">
            <w:pPr>
              <w:pStyle w:val="Tabletext"/>
              <w:keepNext/>
              <w:rPr>
                <w:b/>
                <w:bCs/>
              </w:rPr>
            </w:pPr>
            <w:r w:rsidRPr="00B06893">
              <w:rPr>
                <w:b/>
                <w:bCs/>
              </w:rPr>
              <w:t>Comparison estimate</w:t>
            </w:r>
          </w:p>
        </w:tc>
        <w:tc>
          <w:tcPr>
            <w:tcW w:w="2926" w:type="dxa"/>
            <w:vAlign w:val="center"/>
          </w:tcPr>
          <w:p w14:paraId="75798487" w14:textId="77777777" w:rsidR="00D85592" w:rsidRPr="00B06893" w:rsidRDefault="00D85592" w:rsidP="003E417D">
            <w:pPr>
              <w:pStyle w:val="Tabletext"/>
              <w:keepNext/>
              <w:rPr>
                <w:b/>
                <w:bCs/>
              </w:rPr>
            </w:pPr>
            <w:r w:rsidRPr="00B06893">
              <w:rPr>
                <w:b/>
                <w:bCs/>
              </w:rPr>
              <w:t>Source of comparison</w:t>
            </w:r>
          </w:p>
        </w:tc>
      </w:tr>
      <w:tr w:rsidR="00D85592" w:rsidRPr="00B06893" w14:paraId="6209220F" w14:textId="77777777" w:rsidTr="00501A02">
        <w:tc>
          <w:tcPr>
            <w:tcW w:w="2547" w:type="dxa"/>
            <w:vAlign w:val="center"/>
          </w:tcPr>
          <w:p w14:paraId="533D5BD7" w14:textId="77777777" w:rsidR="00D85592" w:rsidRPr="00B06893" w:rsidRDefault="00D85592" w:rsidP="003E417D">
            <w:pPr>
              <w:pStyle w:val="Tabletext"/>
              <w:keepNext/>
            </w:pPr>
            <w:r w:rsidRPr="00B06893">
              <w:t>Symptomatic infections</w:t>
            </w:r>
          </w:p>
        </w:tc>
        <w:tc>
          <w:tcPr>
            <w:tcW w:w="1843" w:type="dxa"/>
            <w:vAlign w:val="center"/>
          </w:tcPr>
          <w:p w14:paraId="73F92D74" w14:textId="77777777" w:rsidR="00D85592" w:rsidRPr="00B06893" w:rsidRDefault="00D85592" w:rsidP="003E417D">
            <w:pPr>
              <w:pStyle w:val="Tabletext"/>
              <w:keepNext/>
            </w:pPr>
            <w:r w:rsidRPr="00B06893">
              <w:t>2,430,722</w:t>
            </w:r>
          </w:p>
        </w:tc>
        <w:tc>
          <w:tcPr>
            <w:tcW w:w="1701" w:type="dxa"/>
            <w:vAlign w:val="center"/>
          </w:tcPr>
          <w:p w14:paraId="3951BFFD" w14:textId="77777777" w:rsidR="00D85592" w:rsidRPr="00B06893" w:rsidRDefault="00D85592" w:rsidP="003E417D">
            <w:pPr>
              <w:pStyle w:val="Tabletext"/>
              <w:keepNext/>
            </w:pPr>
            <w:r w:rsidRPr="00B06893">
              <w:t>1,371,448</w:t>
            </w:r>
            <w:r w:rsidRPr="00B06893">
              <w:rPr>
                <w:vertAlign w:val="superscript"/>
              </w:rPr>
              <w:t>b</w:t>
            </w:r>
          </w:p>
        </w:tc>
        <w:tc>
          <w:tcPr>
            <w:tcW w:w="2926" w:type="dxa"/>
            <w:vAlign w:val="center"/>
          </w:tcPr>
          <w:p w14:paraId="103F28B3" w14:textId="02F1967C" w:rsidR="00D85592" w:rsidRPr="00B06893" w:rsidRDefault="00D85592" w:rsidP="003E417D">
            <w:pPr>
              <w:pStyle w:val="Tabletext"/>
              <w:keepNext/>
            </w:pPr>
            <w:r w:rsidRPr="00B06893">
              <w:t>NNDSS dashboard reported COVID</w:t>
            </w:r>
            <w:r w:rsidR="00193971">
              <w:noBreakHyphen/>
            </w:r>
            <w:r w:rsidRPr="00B06893">
              <w:t>19 infections for 2022</w:t>
            </w:r>
          </w:p>
        </w:tc>
      </w:tr>
      <w:tr w:rsidR="00D85592" w:rsidRPr="00B06893" w14:paraId="6BAB2B27" w14:textId="77777777" w:rsidTr="00501A02">
        <w:tc>
          <w:tcPr>
            <w:tcW w:w="2547" w:type="dxa"/>
            <w:vAlign w:val="center"/>
          </w:tcPr>
          <w:p w14:paraId="136C7AC9" w14:textId="77777777" w:rsidR="00D85592" w:rsidRPr="00B06893" w:rsidRDefault="00D85592" w:rsidP="003E417D">
            <w:pPr>
              <w:pStyle w:val="Tabletext"/>
              <w:keepNext/>
            </w:pPr>
            <w:r w:rsidRPr="00B06893">
              <w:t>Hospitalisations (including readmissions)</w:t>
            </w:r>
          </w:p>
        </w:tc>
        <w:tc>
          <w:tcPr>
            <w:tcW w:w="1843" w:type="dxa"/>
            <w:vAlign w:val="center"/>
          </w:tcPr>
          <w:p w14:paraId="43AF229F" w14:textId="77777777" w:rsidR="00D85592" w:rsidRPr="00B06893" w:rsidRDefault="00D85592" w:rsidP="003E417D">
            <w:pPr>
              <w:pStyle w:val="Tabletext"/>
              <w:keepNext/>
            </w:pPr>
            <w:r w:rsidRPr="00B06893">
              <w:t>74,055</w:t>
            </w:r>
          </w:p>
          <w:p w14:paraId="30D0110B" w14:textId="77777777" w:rsidR="00D85592" w:rsidRPr="00B06893" w:rsidRDefault="00D85592" w:rsidP="003E417D">
            <w:pPr>
              <w:pStyle w:val="Tabletext"/>
              <w:keepNext/>
            </w:pPr>
            <w:r w:rsidRPr="00B06893">
              <w:t>(98,644)</w:t>
            </w:r>
          </w:p>
        </w:tc>
        <w:tc>
          <w:tcPr>
            <w:tcW w:w="1701" w:type="dxa"/>
            <w:vAlign w:val="center"/>
          </w:tcPr>
          <w:p w14:paraId="392AA053" w14:textId="77777777" w:rsidR="00D85592" w:rsidRPr="00B06893" w:rsidRDefault="00D85592" w:rsidP="003E417D">
            <w:pPr>
              <w:pStyle w:val="Tabletext"/>
              <w:keepNext/>
            </w:pPr>
            <w:r w:rsidRPr="00B06893">
              <w:t>74,711</w:t>
            </w:r>
            <w:r w:rsidRPr="00B06893">
              <w:rPr>
                <w:vertAlign w:val="superscript"/>
              </w:rPr>
              <w:t>a</w:t>
            </w:r>
          </w:p>
        </w:tc>
        <w:tc>
          <w:tcPr>
            <w:tcW w:w="2926" w:type="dxa"/>
            <w:vAlign w:val="center"/>
          </w:tcPr>
          <w:p w14:paraId="33555503" w14:textId="3312D852" w:rsidR="00D85592" w:rsidRPr="00B06893" w:rsidRDefault="00D85592" w:rsidP="003E417D">
            <w:pPr>
              <w:pStyle w:val="Tabletext"/>
              <w:keepNext/>
            </w:pPr>
            <w:r w:rsidRPr="00B06893">
              <w:t>AIHW COVID</w:t>
            </w:r>
            <w:r w:rsidR="00193971">
              <w:noBreakHyphen/>
            </w:r>
            <w:r w:rsidRPr="00B06893">
              <w:t>19 separations FY 2023</w:t>
            </w:r>
            <w:r w:rsidR="00193971">
              <w:noBreakHyphen/>
            </w:r>
            <w:r w:rsidRPr="00B06893">
              <w:t>24</w:t>
            </w:r>
          </w:p>
        </w:tc>
      </w:tr>
      <w:tr w:rsidR="00D85592" w:rsidRPr="00B06893" w14:paraId="72D8E701" w14:textId="77777777" w:rsidTr="00501A02">
        <w:tc>
          <w:tcPr>
            <w:tcW w:w="2547" w:type="dxa"/>
            <w:vAlign w:val="center"/>
          </w:tcPr>
          <w:p w14:paraId="20A379EC" w14:textId="57101FF0" w:rsidR="00D85592" w:rsidRPr="00B06893" w:rsidRDefault="00D85592" w:rsidP="003E417D">
            <w:pPr>
              <w:pStyle w:val="Tabletext"/>
              <w:keepNext/>
            </w:pPr>
            <w:r w:rsidRPr="00B06893">
              <w:t>COVID</w:t>
            </w:r>
            <w:r w:rsidR="00193971">
              <w:noBreakHyphen/>
            </w:r>
            <w:r w:rsidRPr="00B06893">
              <w:t>19 deaths</w:t>
            </w:r>
          </w:p>
        </w:tc>
        <w:tc>
          <w:tcPr>
            <w:tcW w:w="1843" w:type="dxa"/>
            <w:vAlign w:val="center"/>
          </w:tcPr>
          <w:p w14:paraId="3A8904DD" w14:textId="77777777" w:rsidR="00D85592" w:rsidRPr="00B06893" w:rsidRDefault="00D85592" w:rsidP="003E417D">
            <w:pPr>
              <w:pStyle w:val="Tabletext"/>
              <w:keepNext/>
            </w:pPr>
            <w:r w:rsidRPr="00B06893">
              <w:t>11,205</w:t>
            </w:r>
          </w:p>
        </w:tc>
        <w:tc>
          <w:tcPr>
            <w:tcW w:w="1701" w:type="dxa"/>
            <w:vAlign w:val="center"/>
          </w:tcPr>
          <w:p w14:paraId="358C599E" w14:textId="77777777" w:rsidR="00D85592" w:rsidRPr="00B06893" w:rsidRDefault="00D85592" w:rsidP="003E417D">
            <w:pPr>
              <w:pStyle w:val="Tabletext"/>
              <w:keepNext/>
            </w:pPr>
            <w:r w:rsidRPr="00B06893">
              <w:t>6,988</w:t>
            </w:r>
          </w:p>
        </w:tc>
        <w:tc>
          <w:tcPr>
            <w:tcW w:w="2926" w:type="dxa"/>
            <w:vAlign w:val="center"/>
          </w:tcPr>
          <w:p w14:paraId="6456D93D" w14:textId="377F1153" w:rsidR="00D85592" w:rsidRPr="00B06893" w:rsidRDefault="00D85592" w:rsidP="003E417D">
            <w:pPr>
              <w:pStyle w:val="Tabletext"/>
              <w:keepNext/>
            </w:pPr>
            <w:r w:rsidRPr="00B06893">
              <w:t>ABS COVID</w:t>
            </w:r>
            <w:r w:rsidR="00193971">
              <w:noBreakHyphen/>
            </w:r>
            <w:r w:rsidRPr="00B06893">
              <w:t>19 deaths for FY2021</w:t>
            </w:r>
            <w:r w:rsidR="00193971">
              <w:noBreakHyphen/>
            </w:r>
            <w:r w:rsidRPr="00B06893">
              <w:t>22</w:t>
            </w:r>
          </w:p>
        </w:tc>
      </w:tr>
    </w:tbl>
    <w:p w14:paraId="0622F625" w14:textId="77777777" w:rsidR="00D85592" w:rsidRPr="00B06893" w:rsidRDefault="00D85592" w:rsidP="003E417D">
      <w:pPr>
        <w:keepNext/>
        <w:rPr>
          <w:rFonts w:ascii="Arial Narrow" w:hAnsi="Arial Narrow" w:cs="Arial"/>
          <w:sz w:val="18"/>
          <w:szCs w:val="24"/>
        </w:rPr>
      </w:pPr>
      <w:r w:rsidRPr="00B06893">
        <w:rPr>
          <w:rFonts w:ascii="Arial Narrow" w:hAnsi="Arial Narrow" w:cs="Arial"/>
          <w:sz w:val="18"/>
          <w:szCs w:val="24"/>
        </w:rPr>
        <w:t>Source: generated during the evaluation from the Spikevax economic model</w:t>
      </w:r>
    </w:p>
    <w:p w14:paraId="4D672297" w14:textId="61FCB733" w:rsidR="00FA2EDB" w:rsidRPr="00B06893" w:rsidRDefault="00FA2EDB" w:rsidP="003E417D">
      <w:pPr>
        <w:keepNext/>
        <w:keepLines/>
        <w:spacing w:after="120"/>
        <w:contextualSpacing/>
        <w:jc w:val="left"/>
        <w:rPr>
          <w:rFonts w:ascii="Arial Narrow" w:hAnsi="Arial Narrow" w:cs="Arial"/>
          <w:snapToGrid w:val="0"/>
          <w:sz w:val="18"/>
          <w:szCs w:val="22"/>
        </w:rPr>
      </w:pPr>
      <w:r w:rsidRPr="00B06893">
        <w:rPr>
          <w:rFonts w:ascii="Arial Narrow" w:hAnsi="Arial Narrow" w:cs="Arial"/>
          <w:snapToGrid w:val="0"/>
          <w:sz w:val="18"/>
          <w:szCs w:val="22"/>
        </w:rPr>
        <w:t xml:space="preserve">ABS = Australian Bureau of Statistics; AIHW = Australian Institute of Health and Welfare; COVID = Coronavirus disease of 2019; FY = Financial Year; NNDSS = National Notifiable Diseases </w:t>
      </w:r>
      <w:r w:rsidR="00CD7B3C" w:rsidRPr="00B06893">
        <w:rPr>
          <w:rFonts w:ascii="Arial Narrow" w:hAnsi="Arial Narrow" w:cs="Arial"/>
          <w:snapToGrid w:val="0"/>
          <w:sz w:val="18"/>
          <w:szCs w:val="22"/>
        </w:rPr>
        <w:t>Surveillance</w:t>
      </w:r>
      <w:r w:rsidRPr="00B06893">
        <w:rPr>
          <w:rFonts w:ascii="Arial Narrow" w:hAnsi="Arial Narrow" w:cs="Arial"/>
          <w:snapToGrid w:val="0"/>
          <w:sz w:val="18"/>
          <w:szCs w:val="22"/>
        </w:rPr>
        <w:t xml:space="preserve"> System.</w:t>
      </w:r>
    </w:p>
    <w:p w14:paraId="0649A8C2" w14:textId="4305DCEA" w:rsidR="00D85592" w:rsidRPr="00B06893" w:rsidRDefault="00D85592" w:rsidP="003E417D">
      <w:pPr>
        <w:keepNext/>
        <w:rPr>
          <w:rFonts w:ascii="Arial Narrow" w:hAnsi="Arial Narrow" w:cs="Arial"/>
          <w:sz w:val="18"/>
          <w:szCs w:val="24"/>
        </w:rPr>
      </w:pPr>
      <w:r w:rsidRPr="00B06893">
        <w:rPr>
          <w:rFonts w:ascii="Arial Narrow" w:hAnsi="Arial Narrow" w:cs="Arial"/>
          <w:sz w:val="18"/>
          <w:szCs w:val="24"/>
          <w:vertAlign w:val="superscript"/>
        </w:rPr>
        <w:t>a</w:t>
      </w:r>
      <w:r w:rsidRPr="00B06893">
        <w:rPr>
          <w:rFonts w:ascii="Arial Narrow" w:hAnsi="Arial Narrow" w:cs="Arial"/>
          <w:sz w:val="18"/>
          <w:szCs w:val="24"/>
        </w:rPr>
        <w:t>Estimated by multiplying hospitalisations in the 18</w:t>
      </w:r>
      <w:r w:rsidR="00193971">
        <w:rPr>
          <w:rFonts w:ascii="Arial Narrow" w:hAnsi="Arial Narrow" w:cs="Arial"/>
          <w:sz w:val="18"/>
          <w:szCs w:val="24"/>
        </w:rPr>
        <w:noBreakHyphen/>
      </w:r>
      <w:r w:rsidRPr="00B06893">
        <w:rPr>
          <w:rFonts w:ascii="Arial Narrow" w:hAnsi="Arial Narrow" w:cs="Arial"/>
          <w:sz w:val="18"/>
          <w:szCs w:val="24"/>
        </w:rPr>
        <w:t>64 age group by 3.76%.</w:t>
      </w:r>
    </w:p>
    <w:p w14:paraId="52DBE09C" w14:textId="2FA1D125" w:rsidR="00D85592" w:rsidRPr="00B06893" w:rsidRDefault="00D85592" w:rsidP="003E417D">
      <w:pPr>
        <w:keepNext/>
        <w:rPr>
          <w:rFonts w:ascii="Arial Narrow" w:hAnsi="Arial Narrow" w:cs="Arial"/>
          <w:sz w:val="18"/>
          <w:szCs w:val="24"/>
        </w:rPr>
      </w:pPr>
      <w:r w:rsidRPr="00B06893">
        <w:rPr>
          <w:rFonts w:ascii="Arial Narrow" w:hAnsi="Arial Narrow" w:cs="Arial"/>
          <w:sz w:val="18"/>
          <w:szCs w:val="24"/>
          <w:vertAlign w:val="superscript"/>
        </w:rPr>
        <w:t>b</w:t>
      </w:r>
      <w:r w:rsidRPr="00B06893">
        <w:rPr>
          <w:rFonts w:ascii="Arial Narrow" w:hAnsi="Arial Narrow" w:cs="Arial"/>
          <w:sz w:val="18"/>
          <w:szCs w:val="24"/>
        </w:rPr>
        <w:t>Estimated by multiplying cases in the 18</w:t>
      </w:r>
      <w:r w:rsidR="00193971">
        <w:rPr>
          <w:rFonts w:ascii="Arial Narrow" w:hAnsi="Arial Narrow" w:cs="Arial"/>
          <w:sz w:val="18"/>
          <w:szCs w:val="24"/>
        </w:rPr>
        <w:noBreakHyphen/>
      </w:r>
      <w:r w:rsidRPr="00B06893">
        <w:rPr>
          <w:rFonts w:ascii="Arial Narrow" w:hAnsi="Arial Narrow" w:cs="Arial"/>
          <w:sz w:val="18"/>
          <w:szCs w:val="24"/>
        </w:rPr>
        <w:t>64 age group by 3.76%.</w:t>
      </w:r>
    </w:p>
    <w:p w14:paraId="4A3300E3" w14:textId="136EC0DD" w:rsidR="00670C06" w:rsidRPr="00B06893" w:rsidRDefault="00670C06" w:rsidP="00501A02">
      <w:pPr>
        <w:pStyle w:val="3-BodyText"/>
      </w:pPr>
      <w:r w:rsidRPr="00B06893">
        <w:t xml:space="preserve">Overall, the submission base case contains </w:t>
      </w:r>
      <w:proofErr w:type="gramStart"/>
      <w:r w:rsidRPr="00B06893">
        <w:t>a number of</w:t>
      </w:r>
      <w:proofErr w:type="gramEnd"/>
      <w:r w:rsidRPr="00B06893">
        <w:t xml:space="preserve"> errors or poorly justified parameters that overestimate symptomatic infections and mortality. The evaluation considered that the submission base case </w:t>
      </w:r>
      <w:r w:rsidR="003F0656" w:rsidRPr="00B06893">
        <w:t>wa</w:t>
      </w:r>
      <w:r w:rsidRPr="00B06893">
        <w:t>s reasonably well calibrated to hospitalisations (</w:t>
      </w:r>
      <w:r w:rsidR="003F0656" w:rsidRPr="00B06893">
        <w:t xml:space="preserve">after removal of </w:t>
      </w:r>
      <w:r w:rsidRPr="00B06893">
        <w:t xml:space="preserve">readmissions) but </w:t>
      </w:r>
      <w:r w:rsidR="003F0656" w:rsidRPr="00B06893">
        <w:t xml:space="preserve">was </w:t>
      </w:r>
      <w:r w:rsidRPr="00B06893">
        <w:t>not calibrated to plausible estimates of either symptomatic infections or mortality.</w:t>
      </w:r>
    </w:p>
    <w:p w14:paraId="59A3C251" w14:textId="6E106455" w:rsidR="006F296B" w:rsidRPr="00B06893" w:rsidRDefault="006F296B" w:rsidP="00501A02">
      <w:pPr>
        <w:pStyle w:val="3-BodyText"/>
      </w:pPr>
      <w:r w:rsidRPr="00B06893">
        <w:t xml:space="preserve">The </w:t>
      </w:r>
      <w:r w:rsidR="00F42D24" w:rsidRPr="00B06893">
        <w:rPr>
          <w:iCs/>
        </w:rPr>
        <w:t xml:space="preserve">ESC agreed with the evaluation that the </w:t>
      </w:r>
      <w:r w:rsidRPr="00B06893">
        <w:t xml:space="preserve">model considerably </w:t>
      </w:r>
      <w:r w:rsidR="003F0656" w:rsidRPr="00B06893">
        <w:t xml:space="preserve">overestimated </w:t>
      </w:r>
      <w:r w:rsidRPr="00B06893">
        <w:t>symptomatic infections</w:t>
      </w:r>
      <w:r w:rsidR="00F42D24" w:rsidRPr="00B06893">
        <w:t>, hospitalisations and COVID</w:t>
      </w:r>
      <w:r w:rsidR="00193971">
        <w:noBreakHyphen/>
      </w:r>
      <w:r w:rsidR="00F42D24" w:rsidRPr="00B06893">
        <w:t>19 deaths</w:t>
      </w:r>
      <w:r w:rsidRPr="00B06893">
        <w:t>. Reported COVID</w:t>
      </w:r>
      <w:r w:rsidR="00193971">
        <w:noBreakHyphen/>
      </w:r>
      <w:r w:rsidRPr="00B06893">
        <w:t xml:space="preserve">19 infections were highest in Australia in 2022. There was mandatory reporting during this </w:t>
      </w:r>
      <w:proofErr w:type="gramStart"/>
      <w:r w:rsidRPr="00B06893">
        <w:t>period</w:t>
      </w:r>
      <w:proofErr w:type="gramEnd"/>
      <w:r w:rsidRPr="00B06893">
        <w:t xml:space="preserve"> and it </w:t>
      </w:r>
      <w:r w:rsidR="00184327" w:rsidRPr="00B06893">
        <w:t xml:space="preserve">was </w:t>
      </w:r>
      <w:r w:rsidRPr="00B06893">
        <w:t xml:space="preserve">likely that a substantial proportion of infections that were captured were mild or asymptomatic. It </w:t>
      </w:r>
      <w:r w:rsidR="00184327" w:rsidRPr="00B06893">
        <w:t>was</w:t>
      </w:r>
      <w:r w:rsidRPr="00B06893">
        <w:t xml:space="preserve"> also likely that circulating virus variants were more likely to result in symptomatic disease in 2022, as hospitalisations appear to have reduced over time. </w:t>
      </w:r>
      <w:r w:rsidR="00184327" w:rsidRPr="00B06893">
        <w:t>The evaluation discussed that o</w:t>
      </w:r>
      <w:r w:rsidRPr="00B06893">
        <w:t xml:space="preserve">nce reported 2022 estimates </w:t>
      </w:r>
      <w:r w:rsidR="00184327" w:rsidRPr="00B06893">
        <w:t xml:space="preserve">were </w:t>
      </w:r>
      <w:r w:rsidRPr="00B06893">
        <w:t xml:space="preserve">adjusted to reflect the model population, it </w:t>
      </w:r>
      <w:r w:rsidR="00184327" w:rsidRPr="00B06893">
        <w:t xml:space="preserve">was </w:t>
      </w:r>
      <w:r w:rsidRPr="00B06893">
        <w:t xml:space="preserve">clear that the model </w:t>
      </w:r>
      <w:r w:rsidR="00184327" w:rsidRPr="00B06893">
        <w:t xml:space="preserve">overestimated </w:t>
      </w:r>
      <w:r w:rsidRPr="00B06893">
        <w:t>infections</w:t>
      </w:r>
      <w:r w:rsidR="00F42D24" w:rsidRPr="00B06893">
        <w:t xml:space="preserve"> </w:t>
      </w:r>
      <w:r w:rsidR="00184327" w:rsidRPr="00B06893">
        <w:t xml:space="preserve">because </w:t>
      </w:r>
      <w:r w:rsidR="00F42D24" w:rsidRPr="00B06893">
        <w:rPr>
          <w:iCs/>
        </w:rPr>
        <w:t>the model estimate</w:t>
      </w:r>
      <w:r w:rsidR="00184327" w:rsidRPr="00B06893">
        <w:rPr>
          <w:iCs/>
        </w:rPr>
        <w:t>d</w:t>
      </w:r>
      <w:r w:rsidR="00F42D24" w:rsidRPr="00B06893">
        <w:rPr>
          <w:iCs/>
        </w:rPr>
        <w:t xml:space="preserve"> symptomatic infections much higher than indicated by Australian data for 2022</w:t>
      </w:r>
      <w:r w:rsidRPr="00B06893">
        <w:t xml:space="preserve">. The </w:t>
      </w:r>
      <w:r w:rsidR="00184327" w:rsidRPr="00B06893">
        <w:t xml:space="preserve">evaluation considered that the </w:t>
      </w:r>
      <w:r w:rsidRPr="00B06893">
        <w:t xml:space="preserve">model’s estimate of hospitalisation </w:t>
      </w:r>
      <w:r w:rsidR="00184327" w:rsidRPr="00B06893">
        <w:t xml:space="preserve">was </w:t>
      </w:r>
      <w:r w:rsidR="00F42D24" w:rsidRPr="00B06893">
        <w:t>an overestimate due to double</w:t>
      </w:r>
      <w:r w:rsidR="00193971">
        <w:noBreakHyphen/>
      </w:r>
      <w:r w:rsidR="00F42D24" w:rsidRPr="00B06893">
        <w:t xml:space="preserve">counting of readmissions, </w:t>
      </w:r>
      <w:r w:rsidR="00184327" w:rsidRPr="00B06893">
        <w:t xml:space="preserve">but </w:t>
      </w:r>
      <w:r w:rsidRPr="00B06893">
        <w:t xml:space="preserve">appears reasonable </w:t>
      </w:r>
      <w:r w:rsidR="005D5FEC" w:rsidRPr="00B06893">
        <w:t xml:space="preserve">if readmissions </w:t>
      </w:r>
      <w:r w:rsidR="00184327" w:rsidRPr="00B06893">
        <w:t>were</w:t>
      </w:r>
      <w:r w:rsidR="005D5FEC" w:rsidRPr="00B06893">
        <w:t xml:space="preserve"> excluded</w:t>
      </w:r>
      <w:r w:rsidRPr="00B06893">
        <w:t xml:space="preserve">. The model considerably </w:t>
      </w:r>
      <w:r w:rsidR="00184327" w:rsidRPr="00B06893">
        <w:t xml:space="preserve">overestimated </w:t>
      </w:r>
      <w:r w:rsidRPr="00B06893">
        <w:t>mortality from COVID</w:t>
      </w:r>
      <w:r w:rsidR="00193971">
        <w:noBreakHyphen/>
      </w:r>
      <w:r w:rsidRPr="00B06893">
        <w:t>19</w:t>
      </w:r>
      <w:r w:rsidR="00F42D24" w:rsidRPr="00B06893">
        <w:t xml:space="preserve"> </w:t>
      </w:r>
      <w:r w:rsidR="00F42D24" w:rsidRPr="00B06893">
        <w:rPr>
          <w:iCs/>
        </w:rPr>
        <w:t xml:space="preserve">(the model </w:t>
      </w:r>
      <w:r w:rsidR="00184327" w:rsidRPr="00B06893">
        <w:rPr>
          <w:iCs/>
        </w:rPr>
        <w:t xml:space="preserve">estimated </w:t>
      </w:r>
      <w:r w:rsidR="00F42D24" w:rsidRPr="00B06893">
        <w:rPr>
          <w:iCs/>
        </w:rPr>
        <w:t>COVID</w:t>
      </w:r>
      <w:r w:rsidR="00193971">
        <w:rPr>
          <w:iCs/>
        </w:rPr>
        <w:noBreakHyphen/>
      </w:r>
      <w:r w:rsidR="00F42D24" w:rsidRPr="00B06893">
        <w:rPr>
          <w:iCs/>
        </w:rPr>
        <w:t>19 deaths much higher than indicated by Australian data for FY2021</w:t>
      </w:r>
      <w:r w:rsidR="00193971">
        <w:rPr>
          <w:iCs/>
        </w:rPr>
        <w:noBreakHyphen/>
      </w:r>
      <w:r w:rsidR="00F42D24" w:rsidRPr="00B06893">
        <w:rPr>
          <w:iCs/>
        </w:rPr>
        <w:t>22)</w:t>
      </w:r>
      <w:r w:rsidRPr="00B06893">
        <w:t xml:space="preserve">. This </w:t>
      </w:r>
      <w:r w:rsidR="00184327" w:rsidRPr="00B06893">
        <w:t xml:space="preserve">was </w:t>
      </w:r>
      <w:r w:rsidRPr="00B06893">
        <w:t>partly due to the error associated with post</w:t>
      </w:r>
      <w:r w:rsidR="00193971">
        <w:noBreakHyphen/>
      </w:r>
      <w:r w:rsidRPr="00B06893">
        <w:t xml:space="preserve">discharge mortality. </w:t>
      </w:r>
      <w:proofErr w:type="gramStart"/>
      <w:r w:rsidRPr="00B06893">
        <w:t>However</w:t>
      </w:r>
      <w:proofErr w:type="gramEnd"/>
      <w:r w:rsidR="00184327" w:rsidRPr="00B06893">
        <w:t xml:space="preserve"> in addition</w:t>
      </w:r>
      <w:r w:rsidRPr="00B06893">
        <w:t>, ABS estimates of COVID</w:t>
      </w:r>
      <w:r w:rsidR="00193971">
        <w:noBreakHyphen/>
      </w:r>
      <w:r w:rsidRPr="00B06893">
        <w:t>19 mortality have fallen since FY2021</w:t>
      </w:r>
      <w:r w:rsidR="00193971">
        <w:noBreakHyphen/>
      </w:r>
      <w:r w:rsidRPr="00B06893">
        <w:t xml:space="preserve">22. </w:t>
      </w:r>
    </w:p>
    <w:p w14:paraId="085D1A88" w14:textId="27DF71EA" w:rsidR="006232D8" w:rsidRPr="00B06893" w:rsidRDefault="006232D8" w:rsidP="00501A02">
      <w:pPr>
        <w:pStyle w:val="3-BodyText"/>
      </w:pPr>
      <w:bookmarkStart w:id="71" w:name="_Ref221806731"/>
      <w:r w:rsidRPr="00B06893">
        <w:t xml:space="preserve">The </w:t>
      </w:r>
      <w:r w:rsidR="00184327" w:rsidRPr="00B06893">
        <w:t xml:space="preserve">evaluation considered that the </w:t>
      </w:r>
      <w:r w:rsidRPr="00B06893">
        <w:t xml:space="preserve">hospitalisation rates for the populations aged ≥65 years </w:t>
      </w:r>
      <w:r w:rsidR="00184327" w:rsidRPr="00B06893">
        <w:t xml:space="preserve">were </w:t>
      </w:r>
      <w:r w:rsidRPr="00B06893">
        <w:t>appropriately derived. However, the hospitalisation rates for the 18</w:t>
      </w:r>
      <w:r w:rsidR="00193971">
        <w:noBreakHyphen/>
      </w:r>
      <w:r w:rsidRPr="00B06893">
        <w:t xml:space="preserve">64 year age group </w:t>
      </w:r>
      <w:r w:rsidR="00184327" w:rsidRPr="00B06893">
        <w:t xml:space="preserve">reflected </w:t>
      </w:r>
      <w:r w:rsidRPr="00B06893">
        <w:t>hospitalisations for the whole Australian population (aged 18</w:t>
      </w:r>
      <w:r w:rsidR="00193971">
        <w:noBreakHyphen/>
      </w:r>
      <w:r w:rsidRPr="00B06893">
        <w:t xml:space="preserve">64 years) rather than just </w:t>
      </w:r>
      <w:r w:rsidR="00184327" w:rsidRPr="00B06893">
        <w:t xml:space="preserve">the </w:t>
      </w:r>
      <w:r w:rsidRPr="00B06893">
        <w:t xml:space="preserve">immunocompromised population. </w:t>
      </w:r>
      <w:r w:rsidR="00184327" w:rsidRPr="00B06893">
        <w:t>The evaluation noted that i</w:t>
      </w:r>
      <w:r w:rsidRPr="00B06893">
        <w:t>f individuals with immunocompromise are more likely to be hospitalised with COVID</w:t>
      </w:r>
      <w:r w:rsidR="00193971">
        <w:noBreakHyphen/>
      </w:r>
      <w:r w:rsidRPr="00B06893">
        <w:t>19, the model may underestimate hospitalisations for this population.</w:t>
      </w:r>
      <w:bookmarkEnd w:id="71"/>
    </w:p>
    <w:p w14:paraId="43C3AA0D" w14:textId="69042CCA" w:rsidR="00314D87" w:rsidRPr="00556933" w:rsidRDefault="006F296B" w:rsidP="00501A02">
      <w:pPr>
        <w:pStyle w:val="ListParagraph"/>
        <w:numPr>
          <w:ilvl w:val="0"/>
          <w:numId w:val="29"/>
        </w:numPr>
        <w:spacing w:after="0"/>
        <w:jc w:val="both"/>
      </w:pPr>
      <w:r w:rsidRPr="00B06893">
        <w:lastRenderedPageBreak/>
        <w:t xml:space="preserve">The submission </w:t>
      </w:r>
      <w:r w:rsidR="00184327" w:rsidRPr="00B06893">
        <w:t xml:space="preserve">applied </w:t>
      </w:r>
      <w:r w:rsidRPr="00B06893">
        <w:t xml:space="preserve">an estimate of </w:t>
      </w:r>
      <w:r w:rsidR="000948F8" w:rsidRPr="00B06893">
        <w:t>VE</w:t>
      </w:r>
      <w:r w:rsidRPr="00B06893">
        <w:t xml:space="preserve"> for infections and for hospitalisations in the model. </w:t>
      </w:r>
      <w:r w:rsidR="000948F8" w:rsidRPr="00B06893">
        <w:t>VE</w:t>
      </w:r>
      <w:r w:rsidRPr="00B06893">
        <w:t xml:space="preserve"> </w:t>
      </w:r>
      <w:r w:rsidR="00184327" w:rsidRPr="00B06893">
        <w:t>was</w:t>
      </w:r>
      <w:r w:rsidRPr="00B06893">
        <w:t xml:space="preserve"> sourced from an observational study (Wilson et al 2025</w:t>
      </w:r>
      <w:r w:rsidRPr="00B06893">
        <w:rPr>
          <w:rStyle w:val="FootnoteReference"/>
        </w:rPr>
        <w:footnoteReference w:id="28"/>
      </w:r>
      <w:r w:rsidRPr="00B06893">
        <w:t xml:space="preserve">) which </w:t>
      </w:r>
      <w:r w:rsidR="00184327" w:rsidRPr="00B06893">
        <w:t xml:space="preserve">used </w:t>
      </w:r>
      <w:r w:rsidRPr="00B06893">
        <w:t xml:space="preserve">a matched cohort approach to estimate </w:t>
      </w:r>
      <w:r w:rsidR="000948F8" w:rsidRPr="00B06893">
        <w:t>VE</w:t>
      </w:r>
      <w:r w:rsidRPr="00B06893">
        <w:t xml:space="preserve"> of the KP.2 vaccine administered in August</w:t>
      </w:r>
      <w:r w:rsidR="00193971">
        <w:noBreakHyphen/>
      </w:r>
      <w:r w:rsidRPr="00B06893">
        <w:t>December 2024 against COVID</w:t>
      </w:r>
      <w:r w:rsidR="00193971">
        <w:noBreakHyphen/>
      </w:r>
      <w:r w:rsidRPr="00B06893">
        <w:t xml:space="preserve">19. </w:t>
      </w:r>
      <w:r w:rsidR="000948F8" w:rsidRPr="00B06893">
        <w:t>VE</w:t>
      </w:r>
      <w:r w:rsidRPr="00B06893">
        <w:t xml:space="preserve"> </w:t>
      </w:r>
      <w:r w:rsidR="00184327" w:rsidRPr="00B06893">
        <w:t xml:space="preserve">was </w:t>
      </w:r>
      <w:r w:rsidRPr="00B06893">
        <w:t>estimated at 64 days post</w:t>
      </w:r>
      <w:r w:rsidR="00193971">
        <w:noBreakHyphen/>
      </w:r>
      <w:r w:rsidRPr="00B06893">
        <w:t>vaccination and was 52.8% (95% CI 34.8%, 65.8%) against COVID</w:t>
      </w:r>
      <w:r w:rsidR="00193971">
        <w:noBreakHyphen/>
      </w:r>
      <w:r w:rsidRPr="00B06893">
        <w:t>19 related hospitalisations and 39.4% (95% CI 35.0%, 43.5%) against medically attended COVID</w:t>
      </w:r>
      <w:r w:rsidR="00193971">
        <w:noBreakHyphen/>
      </w:r>
      <w:r w:rsidRPr="00B06893">
        <w:t xml:space="preserve">19. Estimates of VE were slightly higher for older age groups, and age specific estimates were used in the model. </w:t>
      </w:r>
      <w:r w:rsidR="00A633D9" w:rsidRPr="00B06893">
        <w:t>The estimates of VE for hospitalisations and for infections were sourced from a single study</w:t>
      </w:r>
      <w:r w:rsidR="00B64F54" w:rsidRPr="00B06893">
        <w:t xml:space="preserve">. </w:t>
      </w:r>
      <w:r w:rsidR="00184327" w:rsidRPr="00B06893">
        <w:t>The evaluation noted that e</w:t>
      </w:r>
      <w:r w:rsidR="00B64F54" w:rsidRPr="00B06893">
        <w:t xml:space="preserve">stimates of VE vary across studies for different vaccine strains and different circulating variants. </w:t>
      </w:r>
      <w:r w:rsidR="000730AE" w:rsidRPr="00B06893">
        <w:t xml:space="preserve">Model estimates </w:t>
      </w:r>
      <w:proofErr w:type="gramStart"/>
      <w:r w:rsidR="00184327" w:rsidRPr="00B06893">
        <w:t>were</w:t>
      </w:r>
      <w:proofErr w:type="gramEnd"/>
      <w:r w:rsidR="00184327" w:rsidRPr="00B06893">
        <w:t xml:space="preserve"> </w:t>
      </w:r>
      <w:r w:rsidR="000730AE" w:rsidRPr="00B06893">
        <w:t xml:space="preserve">therefore uncertain as future </w:t>
      </w:r>
      <w:r w:rsidR="000948F8" w:rsidRPr="00B06893">
        <w:t>VE</w:t>
      </w:r>
      <w:r w:rsidR="000730AE" w:rsidRPr="00B06893">
        <w:t xml:space="preserve"> is likely to vary.</w:t>
      </w:r>
      <w:r w:rsidR="00314D87" w:rsidRPr="00B06893">
        <w:t xml:space="preserve"> Estimates of </w:t>
      </w:r>
      <w:r w:rsidR="000948F8" w:rsidRPr="00B06893">
        <w:t>VE</w:t>
      </w:r>
      <w:r w:rsidR="00314D87" w:rsidRPr="00B06893">
        <w:t xml:space="preserve"> applied in the model are presented in </w:t>
      </w:r>
      <w:r w:rsidR="00E52829" w:rsidRPr="00B06893">
        <w:fldChar w:fldCharType="begin"/>
      </w:r>
      <w:r w:rsidR="00E52829" w:rsidRPr="00B06893">
        <w:instrText xml:space="preserve"> REF _Ref219377007 \h  \* MERGEFORMAT </w:instrText>
      </w:r>
      <w:r w:rsidR="00E52829" w:rsidRPr="00B06893">
        <w:fldChar w:fldCharType="separate"/>
      </w:r>
      <w:r w:rsidR="00810177" w:rsidRPr="00B06893">
        <w:t>Table 24</w:t>
      </w:r>
      <w:r w:rsidR="00E52829" w:rsidRPr="00B06893">
        <w:fldChar w:fldCharType="end"/>
      </w:r>
      <w:r w:rsidR="00E52829" w:rsidRPr="00B06893">
        <w:t>.</w:t>
      </w:r>
      <w:r w:rsidR="00580BAD">
        <w:t xml:space="preserve"> </w:t>
      </w:r>
      <w:r w:rsidR="00B44D6A" w:rsidRPr="00B06893">
        <w:t>T</w:t>
      </w:r>
      <w:r w:rsidR="00B44D6A" w:rsidRPr="00B06893">
        <w:rPr>
          <w:iCs/>
        </w:rPr>
        <w:t xml:space="preserve">he ESC recalled that the Comirnaty submission had estimated </w:t>
      </w:r>
      <w:r w:rsidR="000948F8" w:rsidRPr="00B06893">
        <w:rPr>
          <w:iCs/>
        </w:rPr>
        <w:t>VE</w:t>
      </w:r>
      <w:r w:rsidR="00B44D6A" w:rsidRPr="00B06893">
        <w:rPr>
          <w:iCs/>
        </w:rPr>
        <w:t xml:space="preserve"> from a broader evidence base (</w:t>
      </w:r>
      <w:proofErr w:type="spellStart"/>
      <w:r w:rsidR="00B44D6A" w:rsidRPr="00B06893">
        <w:rPr>
          <w:iCs/>
        </w:rPr>
        <w:t>Raxtozinameran</w:t>
      </w:r>
      <w:proofErr w:type="spellEnd"/>
      <w:r w:rsidR="00B44D6A" w:rsidRPr="00B06893">
        <w:rPr>
          <w:iCs/>
        </w:rPr>
        <w:t xml:space="preserve"> May 2025 PSD, Table 10).</w:t>
      </w:r>
      <w:r w:rsidR="00580BAD">
        <w:rPr>
          <w:iCs/>
        </w:rPr>
        <w:t xml:space="preserve"> </w:t>
      </w:r>
      <w:r w:rsidR="00E34290" w:rsidRPr="00B06893">
        <w:rPr>
          <w:iCs/>
        </w:rPr>
        <w:t xml:space="preserve">The ESC advised that despite differences in model design, there was no rationale for the modelled benefits estimated in the Spikevax model to exceed the estimates accepted by the PBAC for the Comirnaty model in December 2025 for the matching populations, given there was no evidence to support a difference in clinical effectiveness between the vaccines. </w:t>
      </w:r>
    </w:p>
    <w:p w14:paraId="3752BB1B" w14:textId="77777777" w:rsidR="00556933" w:rsidRPr="00B06893" w:rsidRDefault="00556933" w:rsidP="00556933">
      <w:pPr>
        <w:pStyle w:val="ListParagraph"/>
        <w:numPr>
          <w:ilvl w:val="0"/>
          <w:numId w:val="0"/>
        </w:numPr>
        <w:spacing w:after="0"/>
        <w:ind w:left="720"/>
        <w:jc w:val="both"/>
      </w:pPr>
    </w:p>
    <w:p w14:paraId="21C16238" w14:textId="3BD4D698" w:rsidR="00314D87" w:rsidRPr="00B06893" w:rsidRDefault="00314D87" w:rsidP="00314D87">
      <w:pPr>
        <w:pStyle w:val="Caption"/>
      </w:pPr>
      <w:bookmarkStart w:id="72" w:name="_Ref219377007"/>
      <w:r w:rsidRPr="00B06893">
        <w:t xml:space="preserve">Table </w:t>
      </w:r>
      <w:fldSimple w:instr=" SEQ Table \* ARABIC ">
        <w:r w:rsidR="00810177" w:rsidRPr="00B06893">
          <w:t>24</w:t>
        </w:r>
      </w:fldSimple>
      <w:bookmarkEnd w:id="72"/>
      <w:r w:rsidR="007F2D2C" w:rsidRPr="00B06893">
        <w:t xml:space="preserve">: </w:t>
      </w:r>
      <w:r w:rsidRPr="00B06893">
        <w:t>Vaccine effectiveness included in the model</w:t>
      </w:r>
    </w:p>
    <w:tbl>
      <w:tblPr>
        <w:tblStyle w:val="TableGrid"/>
        <w:tblW w:w="0" w:type="auto"/>
        <w:tblLook w:val="04A0" w:firstRow="1" w:lastRow="0" w:firstColumn="1" w:lastColumn="0" w:noHBand="0" w:noVBand="1"/>
        <w:tblCaption w:val="Table 24: Vaccine effectiveness included in the model"/>
      </w:tblPr>
      <w:tblGrid>
        <w:gridCol w:w="2548"/>
        <w:gridCol w:w="2369"/>
        <w:gridCol w:w="2050"/>
        <w:gridCol w:w="2050"/>
      </w:tblGrid>
      <w:tr w:rsidR="00F86EB8" w:rsidRPr="00B06893" w14:paraId="4865711E" w14:textId="77777777" w:rsidTr="00501A02">
        <w:tc>
          <w:tcPr>
            <w:tcW w:w="2548" w:type="dxa"/>
            <w:shd w:val="clear" w:color="auto" w:fill="D9D9D9" w:themeFill="background1" w:themeFillShade="D9"/>
            <w:vAlign w:val="center"/>
          </w:tcPr>
          <w:p w14:paraId="61A52B3D" w14:textId="77777777" w:rsidR="00314D87" w:rsidRPr="00B06893" w:rsidRDefault="00314D87" w:rsidP="00501A02">
            <w:pPr>
              <w:keepNext/>
              <w:jc w:val="left"/>
              <w:rPr>
                <w:rFonts w:ascii="Arial Narrow" w:hAnsi="Arial Narrow"/>
                <w:snapToGrid w:val="0"/>
                <w:sz w:val="20"/>
                <w:szCs w:val="24"/>
              </w:rPr>
            </w:pPr>
            <w:r w:rsidRPr="00B06893">
              <w:rPr>
                <w:rFonts w:ascii="Arial Narrow" w:hAnsi="Arial Narrow"/>
                <w:snapToGrid w:val="0"/>
                <w:sz w:val="20"/>
                <w:szCs w:val="24"/>
              </w:rPr>
              <w:t>Vaccine effectiveness outcome</w:t>
            </w:r>
          </w:p>
        </w:tc>
        <w:tc>
          <w:tcPr>
            <w:tcW w:w="2369" w:type="dxa"/>
            <w:shd w:val="clear" w:color="auto" w:fill="D9D9D9" w:themeFill="background1" w:themeFillShade="D9"/>
            <w:vAlign w:val="center"/>
          </w:tcPr>
          <w:p w14:paraId="1878B069"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Published estimate (median day 57+7 days)</w:t>
            </w:r>
          </w:p>
        </w:tc>
        <w:tc>
          <w:tcPr>
            <w:tcW w:w="2050" w:type="dxa"/>
            <w:shd w:val="clear" w:color="auto" w:fill="D9D9D9" w:themeFill="background1" w:themeFillShade="D9"/>
            <w:vAlign w:val="center"/>
          </w:tcPr>
          <w:p w14:paraId="6914592D"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Waning rate per month</w:t>
            </w:r>
          </w:p>
        </w:tc>
        <w:tc>
          <w:tcPr>
            <w:tcW w:w="2050" w:type="dxa"/>
            <w:shd w:val="clear" w:color="auto" w:fill="D9D9D9" w:themeFill="background1" w:themeFillShade="D9"/>
            <w:vAlign w:val="center"/>
          </w:tcPr>
          <w:p w14:paraId="4CADF38E"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Estimated VE at 14 days post vaccination</w:t>
            </w:r>
          </w:p>
        </w:tc>
      </w:tr>
      <w:tr w:rsidR="00F86EB8" w:rsidRPr="00B06893" w14:paraId="3FA068F4" w14:textId="77777777" w:rsidTr="00501A02">
        <w:tc>
          <w:tcPr>
            <w:tcW w:w="2548" w:type="dxa"/>
            <w:shd w:val="clear" w:color="auto" w:fill="D9D9D9" w:themeFill="background1" w:themeFillShade="D9"/>
            <w:vAlign w:val="center"/>
          </w:tcPr>
          <w:p w14:paraId="76B16044" w14:textId="77777777" w:rsidR="00314D87" w:rsidRPr="00B06893" w:rsidRDefault="00314D87" w:rsidP="00501A02">
            <w:pPr>
              <w:keepNext/>
              <w:jc w:val="left"/>
              <w:rPr>
                <w:rFonts w:ascii="Arial Narrow" w:hAnsi="Arial Narrow"/>
                <w:snapToGrid w:val="0"/>
                <w:sz w:val="20"/>
                <w:szCs w:val="24"/>
              </w:rPr>
            </w:pPr>
            <w:r w:rsidRPr="00B06893">
              <w:rPr>
                <w:rFonts w:ascii="Arial Narrow" w:hAnsi="Arial Narrow"/>
                <w:snapToGrid w:val="0"/>
                <w:sz w:val="20"/>
                <w:szCs w:val="24"/>
              </w:rPr>
              <w:t>Infections</w:t>
            </w:r>
          </w:p>
        </w:tc>
        <w:tc>
          <w:tcPr>
            <w:tcW w:w="2369" w:type="dxa"/>
            <w:shd w:val="clear" w:color="auto" w:fill="D9D9D9" w:themeFill="background1" w:themeFillShade="D9"/>
            <w:vAlign w:val="center"/>
          </w:tcPr>
          <w:p w14:paraId="0DC6FEC7" w14:textId="77777777" w:rsidR="00314D87" w:rsidRPr="00B06893" w:rsidRDefault="00314D87" w:rsidP="00501A02">
            <w:pPr>
              <w:keepNext/>
              <w:jc w:val="center"/>
              <w:rPr>
                <w:rFonts w:ascii="Arial Narrow" w:hAnsi="Arial Narrow"/>
                <w:snapToGrid w:val="0"/>
                <w:sz w:val="20"/>
                <w:szCs w:val="24"/>
              </w:rPr>
            </w:pPr>
          </w:p>
        </w:tc>
        <w:tc>
          <w:tcPr>
            <w:tcW w:w="2050" w:type="dxa"/>
            <w:shd w:val="clear" w:color="auto" w:fill="D9D9D9" w:themeFill="background1" w:themeFillShade="D9"/>
            <w:vAlign w:val="center"/>
          </w:tcPr>
          <w:p w14:paraId="2628C554" w14:textId="77777777" w:rsidR="00314D87" w:rsidRPr="00B06893" w:rsidRDefault="00314D87" w:rsidP="00501A02">
            <w:pPr>
              <w:keepNext/>
              <w:jc w:val="center"/>
              <w:rPr>
                <w:rFonts w:ascii="Arial Narrow" w:hAnsi="Arial Narrow"/>
                <w:snapToGrid w:val="0"/>
                <w:sz w:val="20"/>
                <w:szCs w:val="24"/>
              </w:rPr>
            </w:pPr>
          </w:p>
        </w:tc>
        <w:tc>
          <w:tcPr>
            <w:tcW w:w="2050" w:type="dxa"/>
            <w:shd w:val="clear" w:color="auto" w:fill="D9D9D9" w:themeFill="background1" w:themeFillShade="D9"/>
            <w:vAlign w:val="center"/>
          </w:tcPr>
          <w:p w14:paraId="0526E15D" w14:textId="77777777" w:rsidR="00314D87" w:rsidRPr="00B06893" w:rsidRDefault="00314D87" w:rsidP="00501A02">
            <w:pPr>
              <w:keepNext/>
              <w:jc w:val="center"/>
              <w:rPr>
                <w:rFonts w:ascii="Arial Narrow" w:hAnsi="Arial Narrow"/>
                <w:snapToGrid w:val="0"/>
                <w:sz w:val="20"/>
                <w:szCs w:val="24"/>
              </w:rPr>
            </w:pPr>
          </w:p>
        </w:tc>
      </w:tr>
      <w:tr w:rsidR="00F86EB8" w:rsidRPr="00B06893" w14:paraId="4A66982E" w14:textId="77777777" w:rsidTr="00501A02">
        <w:tc>
          <w:tcPr>
            <w:tcW w:w="2548" w:type="dxa"/>
            <w:vAlign w:val="center"/>
          </w:tcPr>
          <w:p w14:paraId="07E72D03" w14:textId="77777777" w:rsidR="00314D87" w:rsidRPr="00B06893" w:rsidRDefault="00314D87" w:rsidP="00501A02">
            <w:pPr>
              <w:keepNext/>
              <w:jc w:val="left"/>
              <w:rPr>
                <w:rFonts w:ascii="Arial Narrow" w:hAnsi="Arial Narrow"/>
                <w:snapToGrid w:val="0"/>
                <w:sz w:val="20"/>
                <w:szCs w:val="24"/>
              </w:rPr>
            </w:pPr>
            <w:r w:rsidRPr="00B06893">
              <w:rPr>
                <w:rFonts w:ascii="Arial Narrow" w:hAnsi="Arial Narrow"/>
                <w:snapToGrid w:val="0"/>
                <w:sz w:val="20"/>
                <w:szCs w:val="24"/>
              </w:rPr>
              <w:t>18+ years, high risk</w:t>
            </w:r>
          </w:p>
        </w:tc>
        <w:tc>
          <w:tcPr>
            <w:tcW w:w="2369" w:type="dxa"/>
            <w:vAlign w:val="center"/>
          </w:tcPr>
          <w:p w14:paraId="4AB693CC"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40.4%</w:t>
            </w:r>
          </w:p>
        </w:tc>
        <w:tc>
          <w:tcPr>
            <w:tcW w:w="2050" w:type="dxa"/>
            <w:vAlign w:val="center"/>
          </w:tcPr>
          <w:p w14:paraId="5950CC6E"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4.75%</w:t>
            </w:r>
          </w:p>
        </w:tc>
        <w:tc>
          <w:tcPr>
            <w:tcW w:w="2050" w:type="dxa"/>
            <w:vAlign w:val="center"/>
          </w:tcPr>
          <w:p w14:paraId="0BBF7134"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48.2%</w:t>
            </w:r>
          </w:p>
        </w:tc>
      </w:tr>
      <w:tr w:rsidR="00F86EB8" w:rsidRPr="00B06893" w14:paraId="00D993E8" w14:textId="77777777" w:rsidTr="00501A02">
        <w:tc>
          <w:tcPr>
            <w:tcW w:w="2548" w:type="dxa"/>
            <w:vAlign w:val="center"/>
          </w:tcPr>
          <w:p w14:paraId="5CE8F0B4" w14:textId="77777777" w:rsidR="00314D87" w:rsidRPr="00B06893" w:rsidRDefault="00314D87" w:rsidP="00501A02">
            <w:pPr>
              <w:keepNext/>
              <w:jc w:val="left"/>
              <w:rPr>
                <w:rFonts w:ascii="Arial Narrow" w:hAnsi="Arial Narrow"/>
                <w:snapToGrid w:val="0"/>
                <w:sz w:val="20"/>
                <w:szCs w:val="24"/>
              </w:rPr>
            </w:pPr>
            <w:r w:rsidRPr="00B06893">
              <w:rPr>
                <w:rFonts w:ascii="Arial Narrow" w:hAnsi="Arial Narrow"/>
                <w:snapToGrid w:val="0"/>
                <w:sz w:val="20"/>
                <w:szCs w:val="24"/>
              </w:rPr>
              <w:t>65+ years</w:t>
            </w:r>
          </w:p>
        </w:tc>
        <w:tc>
          <w:tcPr>
            <w:tcW w:w="2369" w:type="dxa"/>
            <w:vAlign w:val="center"/>
          </w:tcPr>
          <w:p w14:paraId="6F671AFB"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46.7%%</w:t>
            </w:r>
          </w:p>
        </w:tc>
        <w:tc>
          <w:tcPr>
            <w:tcW w:w="2050" w:type="dxa"/>
            <w:vAlign w:val="center"/>
          </w:tcPr>
          <w:p w14:paraId="6182F71B" w14:textId="77777777" w:rsidR="00314D87" w:rsidRPr="00B06893" w:rsidRDefault="00314D87" w:rsidP="00501A02">
            <w:pPr>
              <w:keepNext/>
              <w:jc w:val="center"/>
              <w:rPr>
                <w:rFonts w:ascii="Arial Narrow" w:hAnsi="Arial Narrow"/>
                <w:snapToGrid w:val="0"/>
                <w:sz w:val="20"/>
                <w:szCs w:val="24"/>
              </w:rPr>
            </w:pPr>
          </w:p>
        </w:tc>
        <w:tc>
          <w:tcPr>
            <w:tcW w:w="2050" w:type="dxa"/>
            <w:vAlign w:val="center"/>
          </w:tcPr>
          <w:p w14:paraId="784EC49C"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54.5%</w:t>
            </w:r>
          </w:p>
        </w:tc>
      </w:tr>
      <w:tr w:rsidR="00F86EB8" w:rsidRPr="00B06893" w14:paraId="488A9A59" w14:textId="77777777" w:rsidTr="00501A02">
        <w:tc>
          <w:tcPr>
            <w:tcW w:w="2548" w:type="dxa"/>
            <w:shd w:val="clear" w:color="auto" w:fill="D9D9D9" w:themeFill="background1" w:themeFillShade="D9"/>
            <w:vAlign w:val="center"/>
          </w:tcPr>
          <w:p w14:paraId="360BC8E1" w14:textId="77777777" w:rsidR="00314D87" w:rsidRPr="00B06893" w:rsidRDefault="00314D87" w:rsidP="00501A02">
            <w:pPr>
              <w:keepNext/>
              <w:jc w:val="left"/>
              <w:rPr>
                <w:rFonts w:ascii="Arial Narrow" w:hAnsi="Arial Narrow"/>
                <w:snapToGrid w:val="0"/>
                <w:sz w:val="20"/>
                <w:szCs w:val="24"/>
              </w:rPr>
            </w:pPr>
            <w:r w:rsidRPr="00B06893">
              <w:rPr>
                <w:rFonts w:ascii="Arial Narrow" w:hAnsi="Arial Narrow"/>
                <w:snapToGrid w:val="0"/>
                <w:sz w:val="20"/>
                <w:szCs w:val="24"/>
              </w:rPr>
              <w:t>Hospitalisation</w:t>
            </w:r>
          </w:p>
        </w:tc>
        <w:tc>
          <w:tcPr>
            <w:tcW w:w="2369" w:type="dxa"/>
            <w:shd w:val="clear" w:color="auto" w:fill="D9D9D9" w:themeFill="background1" w:themeFillShade="D9"/>
            <w:vAlign w:val="center"/>
          </w:tcPr>
          <w:p w14:paraId="7D262FE9" w14:textId="77777777" w:rsidR="00314D87" w:rsidRPr="00B06893" w:rsidRDefault="00314D87" w:rsidP="00501A02">
            <w:pPr>
              <w:keepNext/>
              <w:jc w:val="center"/>
              <w:rPr>
                <w:rFonts w:ascii="Arial Narrow" w:hAnsi="Arial Narrow"/>
                <w:snapToGrid w:val="0"/>
                <w:sz w:val="20"/>
                <w:szCs w:val="24"/>
              </w:rPr>
            </w:pPr>
          </w:p>
        </w:tc>
        <w:tc>
          <w:tcPr>
            <w:tcW w:w="2050" w:type="dxa"/>
            <w:shd w:val="clear" w:color="auto" w:fill="D9D9D9" w:themeFill="background1" w:themeFillShade="D9"/>
            <w:vAlign w:val="center"/>
          </w:tcPr>
          <w:p w14:paraId="3D08F096" w14:textId="77777777" w:rsidR="00314D87" w:rsidRPr="00B06893" w:rsidRDefault="00314D87" w:rsidP="00501A02">
            <w:pPr>
              <w:keepNext/>
              <w:jc w:val="center"/>
              <w:rPr>
                <w:rFonts w:ascii="Arial Narrow" w:hAnsi="Arial Narrow"/>
                <w:snapToGrid w:val="0"/>
                <w:sz w:val="20"/>
                <w:szCs w:val="24"/>
              </w:rPr>
            </w:pPr>
          </w:p>
        </w:tc>
        <w:tc>
          <w:tcPr>
            <w:tcW w:w="2050" w:type="dxa"/>
            <w:shd w:val="clear" w:color="auto" w:fill="D9D9D9" w:themeFill="background1" w:themeFillShade="D9"/>
            <w:vAlign w:val="center"/>
          </w:tcPr>
          <w:p w14:paraId="1B02768C" w14:textId="77777777" w:rsidR="00314D87" w:rsidRPr="00B06893" w:rsidRDefault="00314D87" w:rsidP="00501A02">
            <w:pPr>
              <w:keepNext/>
              <w:jc w:val="center"/>
              <w:rPr>
                <w:rFonts w:ascii="Arial Narrow" w:hAnsi="Arial Narrow"/>
                <w:snapToGrid w:val="0"/>
                <w:sz w:val="20"/>
                <w:szCs w:val="24"/>
              </w:rPr>
            </w:pPr>
          </w:p>
        </w:tc>
      </w:tr>
      <w:tr w:rsidR="00F86EB8" w:rsidRPr="00B06893" w14:paraId="5FD5E820" w14:textId="77777777" w:rsidTr="00501A02">
        <w:tc>
          <w:tcPr>
            <w:tcW w:w="2548" w:type="dxa"/>
            <w:vAlign w:val="center"/>
          </w:tcPr>
          <w:p w14:paraId="085018BC" w14:textId="77777777" w:rsidR="00314D87" w:rsidRPr="00B06893" w:rsidRDefault="00314D87" w:rsidP="00501A02">
            <w:pPr>
              <w:keepNext/>
              <w:jc w:val="left"/>
              <w:rPr>
                <w:rFonts w:ascii="Arial Narrow" w:hAnsi="Arial Narrow"/>
                <w:snapToGrid w:val="0"/>
                <w:sz w:val="20"/>
                <w:szCs w:val="24"/>
              </w:rPr>
            </w:pPr>
            <w:r w:rsidRPr="00B06893">
              <w:rPr>
                <w:rFonts w:ascii="Arial Narrow" w:hAnsi="Arial Narrow"/>
                <w:snapToGrid w:val="0"/>
                <w:sz w:val="20"/>
                <w:szCs w:val="24"/>
              </w:rPr>
              <w:t>18+ years, high risk</w:t>
            </w:r>
          </w:p>
        </w:tc>
        <w:tc>
          <w:tcPr>
            <w:tcW w:w="2369" w:type="dxa"/>
            <w:vAlign w:val="center"/>
          </w:tcPr>
          <w:p w14:paraId="03D193F5"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46.5%</w:t>
            </w:r>
          </w:p>
        </w:tc>
        <w:tc>
          <w:tcPr>
            <w:tcW w:w="2050" w:type="dxa"/>
            <w:vAlign w:val="center"/>
          </w:tcPr>
          <w:p w14:paraId="1A25BF33"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2.46%</w:t>
            </w:r>
          </w:p>
        </w:tc>
        <w:tc>
          <w:tcPr>
            <w:tcW w:w="2050" w:type="dxa"/>
            <w:vAlign w:val="center"/>
          </w:tcPr>
          <w:p w14:paraId="3524CCE9"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50.54%</w:t>
            </w:r>
          </w:p>
        </w:tc>
      </w:tr>
      <w:tr w:rsidR="00F86EB8" w:rsidRPr="00B06893" w14:paraId="103E8056" w14:textId="77777777" w:rsidTr="00501A02">
        <w:tc>
          <w:tcPr>
            <w:tcW w:w="2548" w:type="dxa"/>
            <w:vAlign w:val="center"/>
          </w:tcPr>
          <w:p w14:paraId="2C36F987" w14:textId="77777777" w:rsidR="00314D87" w:rsidRPr="00B06893" w:rsidRDefault="00314D87" w:rsidP="00501A02">
            <w:pPr>
              <w:keepNext/>
              <w:jc w:val="left"/>
              <w:rPr>
                <w:rFonts w:ascii="Arial Narrow" w:hAnsi="Arial Narrow"/>
                <w:snapToGrid w:val="0"/>
                <w:sz w:val="20"/>
                <w:szCs w:val="24"/>
              </w:rPr>
            </w:pPr>
            <w:r w:rsidRPr="00B06893">
              <w:rPr>
                <w:rFonts w:ascii="Arial Narrow" w:hAnsi="Arial Narrow"/>
                <w:snapToGrid w:val="0"/>
                <w:sz w:val="20"/>
                <w:szCs w:val="24"/>
              </w:rPr>
              <w:t>65+ years</w:t>
            </w:r>
          </w:p>
        </w:tc>
        <w:tc>
          <w:tcPr>
            <w:tcW w:w="2369" w:type="dxa"/>
            <w:vAlign w:val="center"/>
          </w:tcPr>
          <w:p w14:paraId="540F8B14"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53.2%</w:t>
            </w:r>
          </w:p>
        </w:tc>
        <w:tc>
          <w:tcPr>
            <w:tcW w:w="2050" w:type="dxa"/>
            <w:vAlign w:val="center"/>
          </w:tcPr>
          <w:p w14:paraId="735772B4" w14:textId="77777777" w:rsidR="00314D87" w:rsidRPr="00B06893" w:rsidRDefault="00314D87" w:rsidP="00501A02">
            <w:pPr>
              <w:keepNext/>
              <w:jc w:val="center"/>
              <w:rPr>
                <w:rFonts w:ascii="Arial Narrow" w:hAnsi="Arial Narrow"/>
                <w:snapToGrid w:val="0"/>
                <w:sz w:val="20"/>
                <w:szCs w:val="24"/>
              </w:rPr>
            </w:pPr>
          </w:p>
        </w:tc>
        <w:tc>
          <w:tcPr>
            <w:tcW w:w="2050" w:type="dxa"/>
            <w:vAlign w:val="center"/>
          </w:tcPr>
          <w:p w14:paraId="7CD84791" w14:textId="77777777" w:rsidR="00314D87" w:rsidRPr="00B06893" w:rsidRDefault="00314D87" w:rsidP="00501A02">
            <w:pPr>
              <w:keepNext/>
              <w:jc w:val="center"/>
              <w:rPr>
                <w:rFonts w:ascii="Arial Narrow" w:hAnsi="Arial Narrow"/>
                <w:snapToGrid w:val="0"/>
                <w:sz w:val="20"/>
                <w:szCs w:val="24"/>
              </w:rPr>
            </w:pPr>
            <w:r w:rsidRPr="00B06893">
              <w:rPr>
                <w:rFonts w:ascii="Arial Narrow" w:hAnsi="Arial Narrow"/>
                <w:snapToGrid w:val="0"/>
                <w:sz w:val="20"/>
                <w:szCs w:val="24"/>
              </w:rPr>
              <w:t>57.24%</w:t>
            </w:r>
          </w:p>
        </w:tc>
      </w:tr>
    </w:tbl>
    <w:p w14:paraId="087F66FC" w14:textId="549C21EA" w:rsidR="00314D87" w:rsidRPr="00B06893" w:rsidRDefault="00314D87" w:rsidP="00314D87">
      <w:pPr>
        <w:pStyle w:val="FooterTableFigure"/>
      </w:pPr>
      <w:r w:rsidRPr="00B06893">
        <w:t>Source: generated from “VE.Interventions.COVID” tab of the Spikevax economic model.</w:t>
      </w:r>
      <w:r w:rsidR="008676F5" w:rsidRPr="00B06893">
        <w:t xml:space="preserve"> VE derived from Wilson et al 2025</w:t>
      </w:r>
      <w:r w:rsidR="008676F5" w:rsidRPr="00B06893">
        <w:rPr>
          <w:rStyle w:val="FootnoteReference"/>
        </w:rPr>
        <w:footnoteReference w:id="29"/>
      </w:r>
      <w:r w:rsidR="008676F5" w:rsidRPr="00B06893">
        <w:t xml:space="preserve">. Waning derived from </w:t>
      </w:r>
      <w:r w:rsidR="007052A8" w:rsidRPr="00B06893">
        <w:t>Andersson et al 2024</w:t>
      </w:r>
      <w:r w:rsidR="007052A8" w:rsidRPr="00B06893">
        <w:rPr>
          <w:rStyle w:val="FootnoteReference"/>
        </w:rPr>
        <w:footnoteReference w:id="30"/>
      </w:r>
      <w:r w:rsidR="007052A8" w:rsidRPr="00B06893">
        <w:t xml:space="preserve"> and </w:t>
      </w:r>
      <w:r w:rsidR="00E52829" w:rsidRPr="00B06893">
        <w:t>Higdon et al 2022</w:t>
      </w:r>
      <w:r w:rsidR="00E52829" w:rsidRPr="00B06893">
        <w:rPr>
          <w:rStyle w:val="FootnoteReference"/>
        </w:rPr>
        <w:footnoteReference w:id="31"/>
      </w:r>
      <w:r w:rsidR="00E52829" w:rsidRPr="00B06893">
        <w:t>.</w:t>
      </w:r>
    </w:p>
    <w:p w14:paraId="7A6288CB" w14:textId="42B7AEDB" w:rsidR="006F296B" w:rsidRPr="00B06893" w:rsidRDefault="00314D87" w:rsidP="002B2B7E">
      <w:pPr>
        <w:pStyle w:val="FooterTableFigure"/>
      </w:pPr>
      <w:r w:rsidRPr="00B06893">
        <w:t>VE = Vaccine effectiveness.</w:t>
      </w:r>
    </w:p>
    <w:p w14:paraId="3126DF1D" w14:textId="3F2473F9" w:rsidR="006F296B" w:rsidRPr="00B06893" w:rsidRDefault="006F296B" w:rsidP="00501A02">
      <w:pPr>
        <w:pStyle w:val="3-BodyText"/>
      </w:pPr>
      <w:r w:rsidRPr="00B06893">
        <w:lastRenderedPageBreak/>
        <w:t xml:space="preserve">The submission translated the estimate of </w:t>
      </w:r>
      <w:r w:rsidR="000948F8" w:rsidRPr="00B06893">
        <w:t>VE</w:t>
      </w:r>
      <w:r w:rsidRPr="00B06893">
        <w:t xml:space="preserve"> from Wilson et al 2025 to reflect what </w:t>
      </w:r>
      <w:r w:rsidR="000948F8" w:rsidRPr="00B06893">
        <w:t>VE</w:t>
      </w:r>
      <w:r w:rsidRPr="00B06893">
        <w:t xml:space="preserve"> would have been at 14 days post vaccination. This </w:t>
      </w:r>
      <w:r w:rsidR="00184327" w:rsidRPr="00B06893">
        <w:t xml:space="preserve">was </w:t>
      </w:r>
      <w:r w:rsidRPr="00B06893">
        <w:t>done by applying an estimate of waning for VE for hospitalisations (2.46% per month) and for VE for infections (4.75% per month) from two separate studies</w:t>
      </w:r>
      <w:r w:rsidR="00F14876" w:rsidRPr="00B06893">
        <w:t xml:space="preserve"> (Andersson et al 2024</w:t>
      </w:r>
      <w:r w:rsidR="00F14876" w:rsidRPr="00B06893">
        <w:rPr>
          <w:snapToGrid w:val="0"/>
          <w:vertAlign w:val="superscript"/>
        </w:rPr>
        <w:footnoteReference w:id="32"/>
      </w:r>
      <w:r w:rsidR="00F14876" w:rsidRPr="00B06893">
        <w:t xml:space="preserve"> and Higdon et al 2022</w:t>
      </w:r>
      <w:r w:rsidR="00F14876" w:rsidRPr="00B06893">
        <w:rPr>
          <w:snapToGrid w:val="0"/>
          <w:vertAlign w:val="superscript"/>
        </w:rPr>
        <w:footnoteReference w:id="33"/>
      </w:r>
      <w:r w:rsidR="00F14876" w:rsidRPr="00B06893">
        <w:t xml:space="preserve">). </w:t>
      </w:r>
      <w:r w:rsidRPr="00B06893">
        <w:t xml:space="preserve">This approach </w:t>
      </w:r>
      <w:r w:rsidR="00F14876" w:rsidRPr="00B06893">
        <w:t xml:space="preserve">assumed </w:t>
      </w:r>
      <w:r w:rsidRPr="00B06893">
        <w:t>that VE wanes linearly from a peak at 14 days post</w:t>
      </w:r>
      <w:r w:rsidR="00193971">
        <w:noBreakHyphen/>
      </w:r>
      <w:r w:rsidRPr="00B06893">
        <w:t xml:space="preserve">vaccination. This </w:t>
      </w:r>
      <w:r w:rsidR="00184327" w:rsidRPr="00B06893">
        <w:t xml:space="preserve">was </w:t>
      </w:r>
      <w:r w:rsidRPr="00B06893">
        <w:t xml:space="preserve">not justified in the submission. </w:t>
      </w:r>
      <w:r w:rsidR="00CF17D7" w:rsidRPr="00B06893">
        <w:t xml:space="preserve">Estimates of </w:t>
      </w:r>
      <w:r w:rsidR="000948F8" w:rsidRPr="00B06893">
        <w:t>VE</w:t>
      </w:r>
      <w:r w:rsidR="00CF17D7" w:rsidRPr="00B06893">
        <w:t xml:space="preserve"> over time in the model are presented in </w:t>
      </w:r>
      <w:r w:rsidR="00CF17D7" w:rsidRPr="00B06893">
        <w:fldChar w:fldCharType="begin"/>
      </w:r>
      <w:r w:rsidR="00CF17D7" w:rsidRPr="00B06893">
        <w:instrText xml:space="preserve"> REF _Ref219378042 \h  \* MERGEFORMAT </w:instrText>
      </w:r>
      <w:r w:rsidR="00CF17D7" w:rsidRPr="00B06893">
        <w:fldChar w:fldCharType="separate"/>
      </w:r>
      <w:r w:rsidR="00810177" w:rsidRPr="00B06893">
        <w:t>Figure 5</w:t>
      </w:r>
      <w:r w:rsidR="00CF17D7" w:rsidRPr="00B06893">
        <w:fldChar w:fldCharType="end"/>
      </w:r>
      <w:r w:rsidR="00CF17D7" w:rsidRPr="00B06893">
        <w:t xml:space="preserve"> and </w:t>
      </w:r>
      <w:r w:rsidR="00CF17D7" w:rsidRPr="00B06893">
        <w:fldChar w:fldCharType="begin"/>
      </w:r>
      <w:r w:rsidR="00CF17D7" w:rsidRPr="00B06893">
        <w:instrText xml:space="preserve"> REF _Ref219378044 \h  \* MERGEFORMAT </w:instrText>
      </w:r>
      <w:r w:rsidR="00CF17D7" w:rsidRPr="00B06893">
        <w:fldChar w:fldCharType="separate"/>
      </w:r>
      <w:r w:rsidR="00810177" w:rsidRPr="00B06893">
        <w:t>Figure 6</w:t>
      </w:r>
      <w:r w:rsidR="00CF17D7" w:rsidRPr="00B06893">
        <w:fldChar w:fldCharType="end"/>
      </w:r>
      <w:r w:rsidR="00CF17D7" w:rsidRPr="00B06893">
        <w:t>.</w:t>
      </w:r>
    </w:p>
    <w:p w14:paraId="0496CD9C" w14:textId="12BD935F" w:rsidR="00E91308" w:rsidRPr="00B06893" w:rsidRDefault="00E91308" w:rsidP="00501A02">
      <w:pPr>
        <w:pStyle w:val="3-BodyText"/>
        <w:rPr>
          <w:iCs/>
        </w:rPr>
      </w:pPr>
      <w:r w:rsidRPr="00B06893">
        <w:t xml:space="preserve">Estimates of waning </w:t>
      </w:r>
      <w:r w:rsidR="00AF062A" w:rsidRPr="00B06893">
        <w:t>were</w:t>
      </w:r>
      <w:r w:rsidRPr="00B06893">
        <w:t xml:space="preserve"> sourced from studies separate to the study used for estimating </w:t>
      </w:r>
      <w:r w:rsidR="000948F8" w:rsidRPr="00B06893">
        <w:t>VE</w:t>
      </w:r>
      <w:r w:rsidR="00F14876" w:rsidRPr="00B06893">
        <w:t xml:space="preserve"> (Wilson et al 2025)</w:t>
      </w:r>
      <w:r w:rsidRPr="00B06893">
        <w:t xml:space="preserve">. Applying the estimates of waning to the initial model VE results in minimal </w:t>
      </w:r>
      <w:r w:rsidR="000948F8" w:rsidRPr="00B06893">
        <w:t>VE</w:t>
      </w:r>
      <w:r w:rsidRPr="00B06893">
        <w:t xml:space="preserve"> against infections remaining at 12 months, but </w:t>
      </w:r>
      <w:r w:rsidR="001C62E4" w:rsidRPr="00B06893">
        <w:t xml:space="preserve">considerable </w:t>
      </w:r>
      <w:r w:rsidR="000948F8" w:rsidRPr="00B06893">
        <w:t>VE</w:t>
      </w:r>
      <w:r w:rsidR="001C62E4" w:rsidRPr="00B06893">
        <w:t xml:space="preserve"> against hospitalisations remaining at 12 months. </w:t>
      </w:r>
      <w:r w:rsidR="008A10FE" w:rsidRPr="00B06893">
        <w:t>Median follow up in Wilson et al 2025 was 57 days (</w:t>
      </w:r>
      <w:r w:rsidR="00FE67CE" w:rsidRPr="00B06893">
        <w:t xml:space="preserve">follow up was estimated from 7 days post vaccination). Waning against </w:t>
      </w:r>
      <w:r w:rsidR="00920F03" w:rsidRPr="00B06893">
        <w:t xml:space="preserve">hospitalisations was derived from a target trial emulation based on registry data and </w:t>
      </w:r>
      <w:r w:rsidR="00E64C12" w:rsidRPr="00B06893">
        <w:t>reported estimates out to 24 weeks</w:t>
      </w:r>
      <w:r w:rsidR="00F33048" w:rsidRPr="00B06893">
        <w:t xml:space="preserve"> from vaccination with a monovalent XBB.1.5 containing COVID</w:t>
      </w:r>
      <w:r w:rsidR="00193971">
        <w:noBreakHyphen/>
      </w:r>
      <w:r w:rsidR="00F33048" w:rsidRPr="00B06893">
        <w:t xml:space="preserve">19 mRNA vaccine not limited to </w:t>
      </w:r>
      <w:r w:rsidR="00A93CFE" w:rsidRPr="00B06893">
        <w:t>Spikevax</w:t>
      </w:r>
      <w:r w:rsidR="00C74E80" w:rsidRPr="00B06893">
        <w:t xml:space="preserve"> (Andersson et al 2024)</w:t>
      </w:r>
      <w:r w:rsidR="00E64C12" w:rsidRPr="00B06893">
        <w:t>. Waning against infections was derived from a systematic review and meta</w:t>
      </w:r>
      <w:r w:rsidR="00193971">
        <w:noBreakHyphen/>
      </w:r>
      <w:r w:rsidR="00E64C12" w:rsidRPr="00B06893">
        <w:t xml:space="preserve">analysis that reported estimates </w:t>
      </w:r>
      <w:r w:rsidR="00C63719" w:rsidRPr="00B06893">
        <w:t>out to 6 months</w:t>
      </w:r>
      <w:r w:rsidR="00C74E80" w:rsidRPr="00B06893">
        <w:t xml:space="preserve"> and was not limited to </w:t>
      </w:r>
      <w:r w:rsidR="00A93CFE" w:rsidRPr="00B06893">
        <w:t>Spikevax</w:t>
      </w:r>
      <w:r w:rsidR="00C74E80" w:rsidRPr="00B06893">
        <w:t xml:space="preserve"> (Higdon et al 2022)</w:t>
      </w:r>
      <w:r w:rsidR="00C63719" w:rsidRPr="00B06893">
        <w:t xml:space="preserve">. The </w:t>
      </w:r>
      <w:r w:rsidR="00AF062A" w:rsidRPr="00B06893">
        <w:t xml:space="preserve">evaluation considered that the model’s </w:t>
      </w:r>
      <w:r w:rsidR="00C63719" w:rsidRPr="00B06893">
        <w:t>estimate</w:t>
      </w:r>
      <w:r w:rsidR="00AF062A" w:rsidRPr="00B06893">
        <w:t>s</w:t>
      </w:r>
      <w:r w:rsidR="00C63719" w:rsidRPr="00B06893">
        <w:t xml:space="preserve"> of </w:t>
      </w:r>
      <w:r w:rsidR="00CF17D7" w:rsidRPr="00B06893">
        <w:t>longer</w:t>
      </w:r>
      <w:r w:rsidR="00193971">
        <w:noBreakHyphen/>
      </w:r>
      <w:r w:rsidR="00CF17D7" w:rsidRPr="00B06893">
        <w:t>term</w:t>
      </w:r>
      <w:r w:rsidR="00145654" w:rsidRPr="00B06893">
        <w:t xml:space="preserve"> </w:t>
      </w:r>
      <w:r w:rsidR="000948F8" w:rsidRPr="00B06893">
        <w:t>VE</w:t>
      </w:r>
      <w:r w:rsidR="00145654" w:rsidRPr="00B06893">
        <w:t xml:space="preserve"> </w:t>
      </w:r>
      <w:r w:rsidR="00F33048" w:rsidRPr="00B06893">
        <w:t xml:space="preserve">for Spikevax </w:t>
      </w:r>
      <w:r w:rsidR="00AF062A" w:rsidRPr="00B06893">
        <w:t xml:space="preserve">were </w:t>
      </w:r>
      <w:r w:rsidR="00145654" w:rsidRPr="00B06893">
        <w:t>highly uncertain.</w:t>
      </w:r>
      <w:r w:rsidR="00580BAD">
        <w:t xml:space="preserve"> </w:t>
      </w:r>
      <w:r w:rsidR="00AF062A" w:rsidRPr="00B06893">
        <w:rPr>
          <w:iCs/>
        </w:rPr>
        <w:t xml:space="preserve">The ESC considered that the model’s estimates were implausible, noting that </w:t>
      </w:r>
      <w:r w:rsidR="00AF062A" w:rsidRPr="00B06893">
        <w:rPr>
          <w:iCs/>
        </w:rPr>
        <w:fldChar w:fldCharType="begin"/>
      </w:r>
      <w:r w:rsidR="00AF062A" w:rsidRPr="00B06893">
        <w:rPr>
          <w:iCs/>
        </w:rPr>
        <w:instrText xml:space="preserve"> REF _Ref219378044 \h  \* MERGEFORMAT </w:instrText>
      </w:r>
      <w:r w:rsidR="00AF062A" w:rsidRPr="00B06893">
        <w:rPr>
          <w:iCs/>
        </w:rPr>
      </w:r>
      <w:r w:rsidR="00AF062A" w:rsidRPr="00B06893">
        <w:rPr>
          <w:iCs/>
        </w:rPr>
        <w:fldChar w:fldCharType="separate"/>
      </w:r>
      <w:r w:rsidR="00810177" w:rsidRPr="00B06893">
        <w:rPr>
          <w:iCs/>
        </w:rPr>
        <w:t>Figure 6</w:t>
      </w:r>
      <w:r w:rsidR="00AF062A" w:rsidRPr="00B06893">
        <w:rPr>
          <w:iCs/>
        </w:rPr>
        <w:fldChar w:fldCharType="end"/>
      </w:r>
      <w:r w:rsidR="00AF062A" w:rsidRPr="00B06893">
        <w:rPr>
          <w:iCs/>
        </w:rPr>
        <w:t xml:space="preserve"> indicated ongoing VE against hospitalisations at 12 months which was not supported by clinical evidence.</w:t>
      </w:r>
    </w:p>
    <w:p w14:paraId="6BE8EFF6" w14:textId="77777777" w:rsidR="001C62E4" w:rsidRPr="00B06893" w:rsidRDefault="001C62E4" w:rsidP="001C62E4">
      <w:pPr>
        <w:pStyle w:val="3-BodyText"/>
        <w:numPr>
          <w:ilvl w:val="0"/>
          <w:numId w:val="0"/>
        </w:numPr>
      </w:pPr>
    </w:p>
    <w:p w14:paraId="02EB8112" w14:textId="4B314C77" w:rsidR="001C62E4" w:rsidRPr="00B06893" w:rsidRDefault="001C62E4" w:rsidP="001C62E4">
      <w:pPr>
        <w:pStyle w:val="Caption"/>
      </w:pPr>
      <w:bookmarkStart w:id="73" w:name="_Ref219378042"/>
      <w:r w:rsidRPr="00B06893">
        <w:lastRenderedPageBreak/>
        <w:t xml:space="preserve">Figure </w:t>
      </w:r>
      <w:fldSimple w:instr=" SEQ Figure \* ARABIC ">
        <w:r w:rsidR="00810177" w:rsidRPr="00B06893">
          <w:t>5</w:t>
        </w:r>
      </w:fldSimple>
      <w:bookmarkEnd w:id="73"/>
      <w:r w:rsidR="00DD518D" w:rsidRPr="00B06893">
        <w:t xml:space="preserve">: </w:t>
      </w:r>
      <w:r w:rsidRPr="00B06893">
        <w:t>Vaccine effectiveness against infections, assuming maximum vaccine effectiveness at 14 days post</w:t>
      </w:r>
      <w:r w:rsidR="00193971">
        <w:noBreakHyphen/>
      </w:r>
      <w:r w:rsidRPr="00B06893">
        <w:t>vaccination</w:t>
      </w:r>
    </w:p>
    <w:p w14:paraId="4DC0F93A" w14:textId="77777777" w:rsidR="001C62E4" w:rsidRPr="00B06893" w:rsidRDefault="001C62E4" w:rsidP="001C62E4">
      <w:pPr>
        <w:pStyle w:val="3-BodyText"/>
        <w:keepNext/>
        <w:numPr>
          <w:ilvl w:val="0"/>
          <w:numId w:val="0"/>
        </w:numPr>
      </w:pPr>
      <w:r w:rsidRPr="00B06893">
        <w:rPr>
          <w:noProof/>
        </w:rPr>
        <w:drawing>
          <wp:inline distT="0" distB="0" distL="0" distR="0" wp14:anchorId="1476E98D" wp14:editId="7655C613">
            <wp:extent cx="6013450" cy="2161240"/>
            <wp:effectExtent l="0" t="0" r="0" b="0"/>
            <wp:docPr id="1212985366" name="Picture 1" descr="Figure 5: Vaccine effectiveness against infections, assuming maximum vaccine effectiveness at 14 days post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85366" name="Picture 1" descr="Figure 5: Vaccine effectiveness against infections, assuming maximum vaccine effectiveness at 14 days post vaccin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637" cy="2167417"/>
                    </a:xfrm>
                    <a:prstGeom prst="rect">
                      <a:avLst/>
                    </a:prstGeom>
                    <a:noFill/>
                  </pic:spPr>
                </pic:pic>
              </a:graphicData>
            </a:graphic>
          </wp:inline>
        </w:drawing>
      </w:r>
    </w:p>
    <w:p w14:paraId="50456E31" w14:textId="241CD8F1" w:rsidR="001C62E4" w:rsidRPr="00B06893" w:rsidRDefault="001C62E4" w:rsidP="00C10A12">
      <w:pPr>
        <w:pStyle w:val="TableFigureFooter"/>
      </w:pPr>
      <w:r w:rsidRPr="00B06893">
        <w:t xml:space="preserve">Source: </w:t>
      </w:r>
      <w:r w:rsidR="00BA0DB7" w:rsidRPr="00B06893">
        <w:t>Derived from table 3</w:t>
      </w:r>
      <w:r w:rsidR="00193971">
        <w:noBreakHyphen/>
      </w:r>
      <w:r w:rsidR="00BA0DB7" w:rsidRPr="00B06893">
        <w:t>16, p129 of the submission.</w:t>
      </w:r>
    </w:p>
    <w:p w14:paraId="4AE1E8A2" w14:textId="640CFC90" w:rsidR="00BA0DB7" w:rsidRPr="00B06893" w:rsidRDefault="00BA0DB7" w:rsidP="00C10A12">
      <w:pPr>
        <w:pStyle w:val="TableFigureFooter"/>
      </w:pPr>
      <w:r w:rsidRPr="00B06893">
        <w:t>Data points represent the VE measured in Wilson et al 2025 (the source of the VE) and represents Day 64. Vaccine effectiveness is linearly extrapolated backwards to day 14.</w:t>
      </w:r>
    </w:p>
    <w:p w14:paraId="77D6FC85" w14:textId="77777777" w:rsidR="00C10A12" w:rsidRPr="00B06893" w:rsidRDefault="00C10A12" w:rsidP="001C62E4">
      <w:pPr>
        <w:pStyle w:val="3-BodyText"/>
        <w:numPr>
          <w:ilvl w:val="0"/>
          <w:numId w:val="0"/>
        </w:numPr>
      </w:pPr>
    </w:p>
    <w:p w14:paraId="5E115488" w14:textId="092120E4" w:rsidR="00C10A12" w:rsidRPr="00B06893" w:rsidRDefault="00C10A12" w:rsidP="00C10A12">
      <w:pPr>
        <w:pStyle w:val="Caption"/>
      </w:pPr>
      <w:bookmarkStart w:id="74" w:name="_Ref219378044"/>
      <w:r w:rsidRPr="00B06893">
        <w:t xml:space="preserve">Figure </w:t>
      </w:r>
      <w:fldSimple w:instr=" SEQ Figure \* ARABIC ">
        <w:r w:rsidR="00810177" w:rsidRPr="00B06893">
          <w:t>6</w:t>
        </w:r>
      </w:fldSimple>
      <w:bookmarkEnd w:id="74"/>
      <w:r w:rsidR="00DD518D" w:rsidRPr="00B06893">
        <w:t xml:space="preserve">: </w:t>
      </w:r>
      <w:r w:rsidRPr="00B06893">
        <w:t>Vaccine effectiveness against hospitalisations, assuming maximum vaccine effectiveness at 14 days post</w:t>
      </w:r>
      <w:r w:rsidR="00193971">
        <w:noBreakHyphen/>
      </w:r>
      <w:r w:rsidRPr="00B06893">
        <w:t>vaccination</w:t>
      </w:r>
    </w:p>
    <w:p w14:paraId="6BC251CA" w14:textId="48833E9F" w:rsidR="00C10A12" w:rsidRPr="00B06893" w:rsidRDefault="00C10A12" w:rsidP="001C62E4">
      <w:pPr>
        <w:pStyle w:val="3-BodyText"/>
        <w:numPr>
          <w:ilvl w:val="0"/>
          <w:numId w:val="0"/>
        </w:numPr>
      </w:pPr>
      <w:r w:rsidRPr="00B06893">
        <w:rPr>
          <w:noProof/>
        </w:rPr>
        <w:drawing>
          <wp:inline distT="0" distB="0" distL="0" distR="0" wp14:anchorId="6D31DB0F" wp14:editId="1ACE837D">
            <wp:extent cx="6146800" cy="2209166"/>
            <wp:effectExtent l="0" t="0" r="0" b="0"/>
            <wp:docPr id="612577745" name="Picture 2" descr="Figure 6: Vaccine effectiveness against hospitalisations, assuming maximum vaccine effectiveness at 14 days post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77745" name="Picture 2" descr="Figure 6: Vaccine effectiveness against hospitalisations, assuming maximum vaccine effectiveness at 14 days post vaccin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827" cy="2213848"/>
                    </a:xfrm>
                    <a:prstGeom prst="rect">
                      <a:avLst/>
                    </a:prstGeom>
                    <a:noFill/>
                  </pic:spPr>
                </pic:pic>
              </a:graphicData>
            </a:graphic>
          </wp:inline>
        </w:drawing>
      </w:r>
    </w:p>
    <w:p w14:paraId="6DC9AE96" w14:textId="7005DB61" w:rsidR="00C10A12" w:rsidRPr="00B06893" w:rsidRDefault="00C10A12" w:rsidP="00C10A12">
      <w:pPr>
        <w:pStyle w:val="TableFigureFooter"/>
      </w:pPr>
      <w:r w:rsidRPr="00B06893">
        <w:t>Source: Derived from table 3</w:t>
      </w:r>
      <w:r w:rsidR="00193971">
        <w:noBreakHyphen/>
      </w:r>
      <w:r w:rsidRPr="00B06893">
        <w:t>16, p129 of the submission.</w:t>
      </w:r>
    </w:p>
    <w:p w14:paraId="6D3B9FC2" w14:textId="77777777" w:rsidR="00C10A12" w:rsidRPr="00B06893" w:rsidRDefault="00C10A12" w:rsidP="00C10A12">
      <w:pPr>
        <w:pStyle w:val="TableFigureFooter"/>
      </w:pPr>
      <w:r w:rsidRPr="00B06893">
        <w:t>Data points represent the VE measured in Wilson et al 2025 (the source of the VE) and represents Day 64. Vaccine effectiveness is linearly extrapolated backwards to day 14.</w:t>
      </w:r>
    </w:p>
    <w:p w14:paraId="15C263C2" w14:textId="77777777" w:rsidR="00C10A12" w:rsidRPr="00B06893" w:rsidRDefault="00C10A12" w:rsidP="001C62E4">
      <w:pPr>
        <w:pStyle w:val="3-BodyText"/>
        <w:numPr>
          <w:ilvl w:val="0"/>
          <w:numId w:val="0"/>
        </w:numPr>
      </w:pPr>
    </w:p>
    <w:p w14:paraId="3B4A2FAE" w14:textId="6E396BB5" w:rsidR="006F296B" w:rsidRPr="00B06893" w:rsidRDefault="00F33048" w:rsidP="006F296B">
      <w:pPr>
        <w:pStyle w:val="3-BodyText"/>
      </w:pPr>
      <w:r w:rsidRPr="00B06893">
        <w:t xml:space="preserve">The evaluation noted that </w:t>
      </w:r>
      <w:r w:rsidR="000948F8" w:rsidRPr="00B06893">
        <w:t>VE</w:t>
      </w:r>
      <w:r w:rsidR="006F296B" w:rsidRPr="00B06893">
        <w:t xml:space="preserve"> estimates (and waning estimates), </w:t>
      </w:r>
      <w:r w:rsidRPr="00B06893">
        <w:t xml:space="preserve">impacted </w:t>
      </w:r>
      <w:r w:rsidR="006F296B" w:rsidRPr="00B06893">
        <w:t xml:space="preserve">the number of avoided infections and avoided hospitalisations. Costs and QALY decrements </w:t>
      </w:r>
      <w:r w:rsidRPr="00B06893">
        <w:t xml:space="preserve">were </w:t>
      </w:r>
      <w:r w:rsidR="006F296B" w:rsidRPr="00B06893">
        <w:t xml:space="preserve">applied to infections, hospitalisations and consequences of infections and hospitalisations and </w:t>
      </w:r>
      <w:r w:rsidRPr="00B06893">
        <w:t xml:space="preserve">were </w:t>
      </w:r>
      <w:r w:rsidR="006F296B" w:rsidRPr="00B06893">
        <w:t xml:space="preserve">therefore directly proportional to the </w:t>
      </w:r>
      <w:r w:rsidR="000948F8" w:rsidRPr="00B06893">
        <w:t>VE</w:t>
      </w:r>
      <w:r w:rsidR="006F296B" w:rsidRPr="00B06893">
        <w:t xml:space="preserve"> applied in the model. </w:t>
      </w:r>
    </w:p>
    <w:p w14:paraId="2813FF61" w14:textId="066DC898" w:rsidR="006F296B" w:rsidRPr="00B06893" w:rsidRDefault="006F296B" w:rsidP="006F296B">
      <w:pPr>
        <w:pStyle w:val="3-BodyText"/>
      </w:pPr>
      <w:r w:rsidRPr="00B06893">
        <w:t xml:space="preserve">The submission </w:t>
      </w:r>
      <w:r w:rsidR="00F33048" w:rsidRPr="00B06893">
        <w:t xml:space="preserve">applied </w:t>
      </w:r>
      <w:r w:rsidRPr="00B06893">
        <w:t>QALY decrements for infections, hospitalisations, admission to ICU, requirement for ventilation, COVID</w:t>
      </w:r>
      <w:r w:rsidR="00193971">
        <w:noBreakHyphen/>
      </w:r>
      <w:r w:rsidRPr="00B06893">
        <w:t>19 related myocarditis, vaccine adverse events, death due to COVID</w:t>
      </w:r>
      <w:r w:rsidR="00193971">
        <w:noBreakHyphen/>
      </w:r>
      <w:r w:rsidRPr="00B06893">
        <w:t>19, and post</w:t>
      </w:r>
      <w:r w:rsidR="00193971">
        <w:noBreakHyphen/>
      </w:r>
      <w:r w:rsidRPr="00B06893">
        <w:t xml:space="preserve">acute infection. The model results </w:t>
      </w:r>
      <w:r w:rsidR="00F33048" w:rsidRPr="00B06893">
        <w:t xml:space="preserve">were </w:t>
      </w:r>
      <w:r w:rsidRPr="00B06893">
        <w:lastRenderedPageBreak/>
        <w:t>highly sensitive to QALY decrements applied due to early COVID</w:t>
      </w:r>
      <w:r w:rsidR="00193971">
        <w:noBreakHyphen/>
      </w:r>
      <w:r w:rsidRPr="00B06893">
        <w:t>19 death, and QALY decrements applied to all infections and hospitalisations following acute COVID</w:t>
      </w:r>
      <w:r w:rsidR="00193971">
        <w:noBreakHyphen/>
      </w:r>
      <w:r w:rsidRPr="00B06893">
        <w:t xml:space="preserve">19. The </w:t>
      </w:r>
      <w:r w:rsidR="00F33048" w:rsidRPr="00B06893">
        <w:t xml:space="preserve">evaluation reported that the </w:t>
      </w:r>
      <w:r w:rsidRPr="00B06893">
        <w:t xml:space="preserve">magnitude of the QALY decrements applied in </w:t>
      </w:r>
      <w:proofErr w:type="gramStart"/>
      <w:r w:rsidRPr="00B06893">
        <w:t>both of these</w:t>
      </w:r>
      <w:proofErr w:type="gramEnd"/>
      <w:r w:rsidRPr="00B06893">
        <w:t xml:space="preserve"> cases </w:t>
      </w:r>
      <w:r w:rsidR="00F33048" w:rsidRPr="00B06893">
        <w:t xml:space="preserve">was </w:t>
      </w:r>
      <w:r w:rsidRPr="00B06893">
        <w:t>inappropriate.</w:t>
      </w:r>
    </w:p>
    <w:p w14:paraId="01934B8A" w14:textId="29FA4BB0" w:rsidR="00D85592" w:rsidRPr="00B06893" w:rsidRDefault="006F296B" w:rsidP="006F296B">
      <w:pPr>
        <w:pStyle w:val="3-BodyText"/>
      </w:pPr>
      <w:bookmarkStart w:id="75" w:name="_Ref221887957"/>
      <w:r w:rsidRPr="00B06893">
        <w:t>The model estimated QALY decrements for COVID</w:t>
      </w:r>
      <w:r w:rsidR="00193971">
        <w:noBreakHyphen/>
      </w:r>
      <w:r w:rsidRPr="00B06893">
        <w:t xml:space="preserve">19 </w:t>
      </w:r>
      <w:r w:rsidR="00F33048" w:rsidRPr="00B06893">
        <w:t xml:space="preserve">deaths </w:t>
      </w:r>
      <w:r w:rsidRPr="00B06893">
        <w:t>based on age</w:t>
      </w:r>
      <w:r w:rsidR="00193971">
        <w:noBreakHyphen/>
      </w:r>
      <w:r w:rsidRPr="00B06893">
        <w:t>specific Australian population life</w:t>
      </w:r>
      <w:r w:rsidR="00193971">
        <w:noBreakHyphen/>
      </w:r>
      <w:r w:rsidRPr="00B06893">
        <w:t>expectancy and age</w:t>
      </w:r>
      <w:r w:rsidR="00193971">
        <w:noBreakHyphen/>
      </w:r>
      <w:r w:rsidRPr="00B06893">
        <w:t>specific population norms for utility values</w:t>
      </w:r>
      <w:r w:rsidR="00F25164" w:rsidRPr="00B06893">
        <w:t xml:space="preserve"> </w:t>
      </w:r>
      <w:r w:rsidR="00F25164" w:rsidRPr="00B06893">
        <w:rPr>
          <w:iCs/>
        </w:rPr>
        <w:t>(not adjusted for underlying health status)</w:t>
      </w:r>
      <w:r w:rsidRPr="00B06893">
        <w:rPr>
          <w:iCs/>
        </w:rPr>
        <w:t>.</w:t>
      </w:r>
      <w:r w:rsidRPr="00B06893">
        <w:t xml:space="preserve"> However, </w:t>
      </w:r>
      <w:r w:rsidR="00F33048" w:rsidRPr="00B06893">
        <w:t xml:space="preserve">the evaluation noted that </w:t>
      </w:r>
      <w:r w:rsidRPr="00B06893">
        <w:t>patients who die from COVID</w:t>
      </w:r>
      <w:r w:rsidR="00193971">
        <w:noBreakHyphen/>
      </w:r>
      <w:r w:rsidRPr="00B06893">
        <w:t>19 commonly have underlying health conditions. Wouterse et al 2025</w:t>
      </w:r>
      <w:r w:rsidRPr="00B06893">
        <w:rPr>
          <w:rStyle w:val="FootnoteReference"/>
        </w:rPr>
        <w:footnoteReference w:id="34"/>
      </w:r>
      <w:r w:rsidRPr="00B06893">
        <w:t xml:space="preserve"> estimated that life years lost and QALYs lost following a COVID</w:t>
      </w:r>
      <w:r w:rsidR="00193971">
        <w:noBreakHyphen/>
      </w:r>
      <w:r w:rsidRPr="00B06893">
        <w:t xml:space="preserve">19 death were approximately 37% lower and 47% lower when adjusting for underlying health conditions compared with population average estimates. </w:t>
      </w:r>
      <w:r w:rsidR="00F31A7C" w:rsidRPr="00B06893">
        <w:rPr>
          <w:iCs/>
        </w:rPr>
        <w:t>The PSCR disagreed with the use of Wouterse et al 2022 to adjust LYs and QALYs lost</w:t>
      </w:r>
      <w:r w:rsidR="009C1C4D" w:rsidRPr="00B06893">
        <w:rPr>
          <w:iCs/>
        </w:rPr>
        <w:t>, suggesting the results were not applicable to the proposed NIP populations</w:t>
      </w:r>
      <w:r w:rsidR="00F31A7C" w:rsidRPr="00B06893">
        <w:rPr>
          <w:iCs/>
        </w:rPr>
        <w:t xml:space="preserve">. </w:t>
      </w:r>
      <w:r w:rsidR="00F25164" w:rsidRPr="00B06893">
        <w:rPr>
          <w:iCs/>
        </w:rPr>
        <w:t xml:space="preserve">The ESC </w:t>
      </w:r>
      <w:r w:rsidR="00F31A7C" w:rsidRPr="00B06893">
        <w:rPr>
          <w:iCs/>
        </w:rPr>
        <w:t>considered</w:t>
      </w:r>
      <w:r w:rsidR="00F25164" w:rsidRPr="00B06893">
        <w:rPr>
          <w:iCs/>
        </w:rPr>
        <w:t xml:space="preserve"> that Wouterse et al 2022 could be used to approximate QALYs lost as proposed by the evaluation (</w:t>
      </w:r>
      <w:r w:rsidR="00F25164" w:rsidRPr="00B06893">
        <w:rPr>
          <w:iCs/>
        </w:rPr>
        <w:fldChar w:fldCharType="begin"/>
      </w:r>
      <w:r w:rsidR="00F25164" w:rsidRPr="00B06893">
        <w:rPr>
          <w:iCs/>
        </w:rPr>
        <w:instrText xml:space="preserve"> REF _Ref221737696 \h  \* MERGEFORMAT </w:instrText>
      </w:r>
      <w:r w:rsidR="00F25164" w:rsidRPr="00B06893">
        <w:rPr>
          <w:iCs/>
        </w:rPr>
      </w:r>
      <w:r w:rsidR="00F25164" w:rsidRPr="00B06893">
        <w:rPr>
          <w:iCs/>
        </w:rPr>
        <w:fldChar w:fldCharType="separate"/>
      </w:r>
      <w:r w:rsidR="00810177" w:rsidRPr="00B06893">
        <w:rPr>
          <w:iCs/>
        </w:rPr>
        <w:t>Table 25</w:t>
      </w:r>
      <w:r w:rsidR="00F25164" w:rsidRPr="00B06893">
        <w:rPr>
          <w:iCs/>
        </w:rPr>
        <w:fldChar w:fldCharType="end"/>
      </w:r>
      <w:r w:rsidR="00F25164" w:rsidRPr="00B06893">
        <w:rPr>
          <w:iCs/>
        </w:rPr>
        <w:t>), although noted this would not be a precise estimate.</w:t>
      </w:r>
      <w:r w:rsidR="00F4243A" w:rsidRPr="00B06893">
        <w:rPr>
          <w:iCs/>
        </w:rPr>
        <w:t xml:space="preserve"> </w:t>
      </w:r>
      <w:bookmarkEnd w:id="75"/>
    </w:p>
    <w:p w14:paraId="0AC59047" w14:textId="77777777" w:rsidR="00D85592" w:rsidRPr="00B06893" w:rsidRDefault="00D85592" w:rsidP="00D85592">
      <w:pPr>
        <w:spacing w:before="60" w:after="60"/>
        <w:rPr>
          <w:rFonts w:eastAsiaTheme="minorHAnsi" w:cstheme="minorBidi"/>
          <w:szCs w:val="22"/>
        </w:rPr>
      </w:pPr>
    </w:p>
    <w:p w14:paraId="583CAE89" w14:textId="59B00254" w:rsidR="00D85592" w:rsidRPr="00B06893" w:rsidRDefault="00D85592" w:rsidP="00D85592">
      <w:pPr>
        <w:keepNext/>
        <w:keepLines/>
        <w:rPr>
          <w:rFonts w:ascii="Arial Narrow" w:hAnsi="Arial Narrow" w:cs="Arial"/>
          <w:b/>
          <w:bCs/>
          <w:sz w:val="20"/>
          <w:szCs w:val="18"/>
        </w:rPr>
      </w:pPr>
      <w:bookmarkStart w:id="76" w:name="_Ref221737696"/>
      <w:bookmarkStart w:id="77" w:name="_Hlk221738480"/>
      <w:r w:rsidRPr="00B06893">
        <w:rPr>
          <w:rFonts w:ascii="Arial Narrow" w:hAnsi="Arial Narrow" w:cs="Arial"/>
          <w:b/>
          <w:bCs/>
          <w:sz w:val="20"/>
          <w:szCs w:val="18"/>
        </w:rPr>
        <w:t xml:space="preserve">Table </w:t>
      </w:r>
      <w:r w:rsidR="00B531BD" w:rsidRPr="00B06893">
        <w:rPr>
          <w:rFonts w:ascii="Arial Narrow" w:hAnsi="Arial Narrow" w:cs="Arial"/>
          <w:b/>
          <w:bCs/>
          <w:sz w:val="20"/>
          <w:szCs w:val="18"/>
        </w:rPr>
        <w:fldChar w:fldCharType="begin"/>
      </w:r>
      <w:r w:rsidR="00B531BD" w:rsidRPr="00B06893">
        <w:rPr>
          <w:rFonts w:ascii="Arial Narrow" w:hAnsi="Arial Narrow" w:cs="Arial"/>
          <w:b/>
          <w:bCs/>
          <w:sz w:val="20"/>
          <w:szCs w:val="18"/>
        </w:rPr>
        <w:instrText xml:space="preserve"> SEQ Table \* ARABIC </w:instrText>
      </w:r>
      <w:r w:rsidR="00B531BD" w:rsidRPr="00B06893">
        <w:rPr>
          <w:rFonts w:ascii="Arial Narrow" w:hAnsi="Arial Narrow" w:cs="Arial"/>
          <w:b/>
          <w:bCs/>
          <w:sz w:val="20"/>
          <w:szCs w:val="18"/>
        </w:rPr>
        <w:fldChar w:fldCharType="separate"/>
      </w:r>
      <w:r w:rsidR="00810177" w:rsidRPr="00B06893">
        <w:rPr>
          <w:rFonts w:ascii="Arial Narrow" w:hAnsi="Arial Narrow" w:cs="Arial"/>
          <w:b/>
          <w:bCs/>
          <w:sz w:val="20"/>
          <w:szCs w:val="18"/>
        </w:rPr>
        <w:t>25</w:t>
      </w:r>
      <w:r w:rsidR="00B531BD" w:rsidRPr="00B06893">
        <w:rPr>
          <w:rFonts w:ascii="Arial Narrow" w:hAnsi="Arial Narrow" w:cs="Arial"/>
          <w:b/>
          <w:bCs/>
          <w:sz w:val="20"/>
          <w:szCs w:val="18"/>
        </w:rPr>
        <w:fldChar w:fldCharType="end"/>
      </w:r>
      <w:bookmarkEnd w:id="76"/>
      <w:r w:rsidR="007F2D2C" w:rsidRPr="00B06893">
        <w:rPr>
          <w:rFonts w:ascii="Arial Narrow" w:hAnsi="Arial Narrow" w:cs="Arial"/>
          <w:b/>
          <w:bCs/>
          <w:sz w:val="20"/>
          <w:szCs w:val="18"/>
        </w:rPr>
        <w:t xml:space="preserve">: </w:t>
      </w:r>
      <w:bookmarkEnd w:id="77"/>
      <w:r w:rsidRPr="00B06893">
        <w:rPr>
          <w:rFonts w:ascii="Arial Narrow" w:hAnsi="Arial Narrow" w:cs="Arial"/>
          <w:b/>
          <w:bCs/>
          <w:sz w:val="20"/>
          <w:szCs w:val="18"/>
        </w:rPr>
        <w:t>Adjusting lost LYs and QALYs in the Spikevax economic model to account for underlying health status</w:t>
      </w:r>
    </w:p>
    <w:tbl>
      <w:tblPr>
        <w:tblStyle w:val="TableGrid"/>
        <w:tblW w:w="5000" w:type="pct"/>
        <w:tblLook w:val="04A0" w:firstRow="1" w:lastRow="0" w:firstColumn="1" w:lastColumn="0" w:noHBand="0" w:noVBand="1"/>
        <w:tblCaption w:val="Table 25: Adjusting lost LYs and QALYs in the Spikevax economic model to account for underlying health status"/>
      </w:tblPr>
      <w:tblGrid>
        <w:gridCol w:w="1677"/>
        <w:gridCol w:w="1679"/>
        <w:gridCol w:w="1887"/>
        <w:gridCol w:w="1887"/>
        <w:gridCol w:w="1887"/>
      </w:tblGrid>
      <w:tr w:rsidR="00D85592" w:rsidRPr="00B06893" w14:paraId="03FEC6CB" w14:textId="77777777" w:rsidTr="00501A02">
        <w:tc>
          <w:tcPr>
            <w:tcW w:w="1677" w:type="dxa"/>
          </w:tcPr>
          <w:p w14:paraId="2B00B2B2"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Age group</w:t>
            </w:r>
          </w:p>
        </w:tc>
        <w:tc>
          <w:tcPr>
            <w:tcW w:w="1679" w:type="dxa"/>
            <w:vAlign w:val="bottom"/>
          </w:tcPr>
          <w:p w14:paraId="54D42EA1" w14:textId="56ECB816" w:rsidR="00D85592" w:rsidRPr="00B06893" w:rsidRDefault="00D85592" w:rsidP="00F0452A">
            <w:pPr>
              <w:keepNext/>
              <w:jc w:val="left"/>
              <w:rPr>
                <w:rFonts w:ascii="Arial Narrow" w:hAnsi="Arial Narrow"/>
                <w:i/>
                <w:iCs/>
                <w:snapToGrid w:val="0"/>
                <w:sz w:val="20"/>
                <w:szCs w:val="24"/>
              </w:rPr>
            </w:pPr>
            <w:r w:rsidRPr="00B06893">
              <w:rPr>
                <w:rFonts w:ascii="Arial Narrow" w:hAnsi="Arial Narrow"/>
                <w:snapToGrid w:val="0"/>
                <w:sz w:val="20"/>
                <w:szCs w:val="24"/>
              </w:rPr>
              <w:t>Life</w:t>
            </w:r>
            <w:r w:rsidR="00193971">
              <w:rPr>
                <w:rFonts w:ascii="Arial Narrow" w:hAnsi="Arial Narrow"/>
                <w:snapToGrid w:val="0"/>
                <w:sz w:val="20"/>
                <w:szCs w:val="24"/>
              </w:rPr>
              <w:noBreakHyphen/>
            </w:r>
            <w:r w:rsidRPr="00B06893">
              <w:rPr>
                <w:rFonts w:ascii="Arial Narrow" w:hAnsi="Arial Narrow"/>
                <w:snapToGrid w:val="0"/>
                <w:sz w:val="20"/>
                <w:szCs w:val="24"/>
              </w:rPr>
              <w:t>years (LYs) Lost</w:t>
            </w:r>
          </w:p>
        </w:tc>
        <w:tc>
          <w:tcPr>
            <w:tcW w:w="1887" w:type="dxa"/>
          </w:tcPr>
          <w:p w14:paraId="6B0DB9C4"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Adjusted for underlying health status</w:t>
            </w:r>
            <w:r w:rsidRPr="00B06893">
              <w:rPr>
                <w:rFonts w:ascii="Arial Narrow" w:hAnsi="Arial Narrow"/>
                <w:snapToGrid w:val="0"/>
                <w:sz w:val="20"/>
                <w:szCs w:val="24"/>
                <w:vertAlign w:val="superscript"/>
              </w:rPr>
              <w:t>a</w:t>
            </w:r>
          </w:p>
        </w:tc>
        <w:tc>
          <w:tcPr>
            <w:tcW w:w="1887" w:type="dxa"/>
            <w:vAlign w:val="bottom"/>
          </w:tcPr>
          <w:p w14:paraId="089C87E5" w14:textId="31E62DD9"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Quality</w:t>
            </w:r>
            <w:r w:rsidR="00193971">
              <w:rPr>
                <w:rFonts w:ascii="Arial Narrow" w:hAnsi="Arial Narrow"/>
                <w:snapToGrid w:val="0"/>
                <w:sz w:val="20"/>
                <w:szCs w:val="24"/>
              </w:rPr>
              <w:noBreakHyphen/>
            </w:r>
            <w:r w:rsidRPr="00B06893">
              <w:rPr>
                <w:rFonts w:ascii="Arial Narrow" w:hAnsi="Arial Narrow"/>
                <w:snapToGrid w:val="0"/>
                <w:sz w:val="20"/>
                <w:szCs w:val="24"/>
              </w:rPr>
              <w:t>adjusted life</w:t>
            </w:r>
            <w:r w:rsidR="00193971">
              <w:rPr>
                <w:rFonts w:ascii="Arial Narrow" w:hAnsi="Arial Narrow"/>
                <w:snapToGrid w:val="0"/>
                <w:sz w:val="20"/>
                <w:szCs w:val="24"/>
              </w:rPr>
              <w:noBreakHyphen/>
            </w:r>
            <w:r w:rsidRPr="00B06893">
              <w:rPr>
                <w:rFonts w:ascii="Arial Narrow" w:hAnsi="Arial Narrow"/>
                <w:snapToGrid w:val="0"/>
                <w:sz w:val="20"/>
                <w:szCs w:val="24"/>
              </w:rPr>
              <w:t>years (QALYs) Lost</w:t>
            </w:r>
          </w:p>
        </w:tc>
        <w:tc>
          <w:tcPr>
            <w:tcW w:w="1887" w:type="dxa"/>
          </w:tcPr>
          <w:p w14:paraId="7816210C"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Adjusted for underlying health status</w:t>
            </w:r>
            <w:r w:rsidRPr="00B06893">
              <w:rPr>
                <w:rFonts w:ascii="Arial Narrow" w:hAnsi="Arial Narrow"/>
                <w:snapToGrid w:val="0"/>
                <w:sz w:val="20"/>
                <w:szCs w:val="24"/>
                <w:vertAlign w:val="superscript"/>
              </w:rPr>
              <w:t>b</w:t>
            </w:r>
          </w:p>
        </w:tc>
      </w:tr>
      <w:tr w:rsidR="00D85592" w:rsidRPr="00B06893" w14:paraId="5216777B" w14:textId="77777777" w:rsidTr="00501A02">
        <w:tc>
          <w:tcPr>
            <w:tcW w:w="1677" w:type="dxa"/>
            <w:vAlign w:val="bottom"/>
          </w:tcPr>
          <w:p w14:paraId="601D0FEB" w14:textId="67068D77" w:rsidR="00D85592" w:rsidRPr="00B06893" w:rsidRDefault="00D85592" w:rsidP="00F0452A">
            <w:pPr>
              <w:keepNext/>
              <w:jc w:val="left"/>
              <w:rPr>
                <w:rFonts w:ascii="Arial Narrow" w:hAnsi="Arial Narrow"/>
                <w:i/>
                <w:iCs/>
                <w:snapToGrid w:val="0"/>
                <w:sz w:val="20"/>
                <w:szCs w:val="24"/>
              </w:rPr>
            </w:pPr>
            <w:r w:rsidRPr="00B06893">
              <w:rPr>
                <w:rFonts w:ascii="Arial Narrow" w:hAnsi="Arial Narrow"/>
                <w:snapToGrid w:val="0"/>
                <w:sz w:val="20"/>
                <w:szCs w:val="24"/>
              </w:rPr>
              <w:t>18</w:t>
            </w:r>
            <w:r w:rsidR="00193971">
              <w:rPr>
                <w:rFonts w:ascii="Arial Narrow" w:hAnsi="Arial Narrow"/>
                <w:snapToGrid w:val="0"/>
                <w:sz w:val="20"/>
                <w:szCs w:val="24"/>
              </w:rPr>
              <w:noBreakHyphen/>
            </w:r>
            <w:r w:rsidRPr="00B06893">
              <w:rPr>
                <w:rFonts w:ascii="Arial Narrow" w:hAnsi="Arial Narrow"/>
                <w:snapToGrid w:val="0"/>
                <w:sz w:val="20"/>
                <w:szCs w:val="24"/>
              </w:rPr>
              <w:t>64 years</w:t>
            </w:r>
          </w:p>
        </w:tc>
        <w:tc>
          <w:tcPr>
            <w:tcW w:w="1679" w:type="dxa"/>
            <w:vAlign w:val="bottom"/>
          </w:tcPr>
          <w:p w14:paraId="55F890B9" w14:textId="77777777" w:rsidR="00D85592" w:rsidRPr="00B06893" w:rsidRDefault="00D85592" w:rsidP="00F0452A">
            <w:pPr>
              <w:keepNext/>
              <w:jc w:val="left"/>
              <w:rPr>
                <w:rFonts w:ascii="Arial Narrow" w:hAnsi="Arial Narrow"/>
                <w:i/>
                <w:iCs/>
                <w:snapToGrid w:val="0"/>
                <w:sz w:val="20"/>
                <w:szCs w:val="24"/>
              </w:rPr>
            </w:pPr>
            <w:r w:rsidRPr="00B06893">
              <w:rPr>
                <w:rFonts w:ascii="Arial Narrow" w:hAnsi="Arial Narrow"/>
                <w:snapToGrid w:val="0"/>
                <w:sz w:val="20"/>
                <w:szCs w:val="24"/>
              </w:rPr>
              <w:t>17.50</w:t>
            </w:r>
          </w:p>
        </w:tc>
        <w:tc>
          <w:tcPr>
            <w:tcW w:w="1887" w:type="dxa"/>
            <w:vAlign w:val="bottom"/>
          </w:tcPr>
          <w:p w14:paraId="3BD4E7B1"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11.08</w:t>
            </w:r>
          </w:p>
        </w:tc>
        <w:tc>
          <w:tcPr>
            <w:tcW w:w="1887" w:type="dxa"/>
            <w:vAlign w:val="bottom"/>
          </w:tcPr>
          <w:p w14:paraId="71C94D03"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14.98</w:t>
            </w:r>
          </w:p>
        </w:tc>
        <w:tc>
          <w:tcPr>
            <w:tcW w:w="1887" w:type="dxa"/>
            <w:vAlign w:val="bottom"/>
          </w:tcPr>
          <w:p w14:paraId="529C5284"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7.91</w:t>
            </w:r>
          </w:p>
        </w:tc>
      </w:tr>
      <w:tr w:rsidR="00D85592" w:rsidRPr="00B06893" w14:paraId="2CB4972B" w14:textId="77777777" w:rsidTr="00501A02">
        <w:tc>
          <w:tcPr>
            <w:tcW w:w="1677" w:type="dxa"/>
            <w:vAlign w:val="bottom"/>
          </w:tcPr>
          <w:p w14:paraId="42F2883E" w14:textId="71EDFAE1" w:rsidR="00D85592" w:rsidRPr="00B06893" w:rsidRDefault="00D85592" w:rsidP="00F0452A">
            <w:pPr>
              <w:keepNext/>
              <w:jc w:val="left"/>
              <w:rPr>
                <w:rFonts w:ascii="Arial Narrow" w:hAnsi="Arial Narrow"/>
                <w:i/>
                <w:iCs/>
                <w:snapToGrid w:val="0"/>
                <w:sz w:val="20"/>
                <w:szCs w:val="24"/>
              </w:rPr>
            </w:pPr>
            <w:r w:rsidRPr="00B06893">
              <w:rPr>
                <w:rFonts w:ascii="Arial Narrow" w:hAnsi="Arial Narrow"/>
                <w:snapToGrid w:val="0"/>
                <w:sz w:val="20"/>
                <w:szCs w:val="24"/>
              </w:rPr>
              <w:t>65</w:t>
            </w:r>
            <w:r w:rsidR="00193971">
              <w:rPr>
                <w:rFonts w:ascii="Arial Narrow" w:hAnsi="Arial Narrow"/>
                <w:snapToGrid w:val="0"/>
                <w:sz w:val="20"/>
                <w:szCs w:val="24"/>
              </w:rPr>
              <w:noBreakHyphen/>
            </w:r>
            <w:r w:rsidRPr="00B06893">
              <w:rPr>
                <w:rFonts w:ascii="Arial Narrow" w:hAnsi="Arial Narrow"/>
                <w:snapToGrid w:val="0"/>
                <w:sz w:val="20"/>
                <w:szCs w:val="24"/>
              </w:rPr>
              <w:t>74 years</w:t>
            </w:r>
          </w:p>
        </w:tc>
        <w:tc>
          <w:tcPr>
            <w:tcW w:w="1679" w:type="dxa"/>
            <w:vAlign w:val="bottom"/>
          </w:tcPr>
          <w:p w14:paraId="6D619534" w14:textId="77777777" w:rsidR="00D85592" w:rsidRPr="00B06893" w:rsidRDefault="00D85592" w:rsidP="00F0452A">
            <w:pPr>
              <w:keepNext/>
              <w:jc w:val="left"/>
              <w:rPr>
                <w:rFonts w:ascii="Arial Narrow" w:hAnsi="Arial Narrow"/>
                <w:i/>
                <w:iCs/>
                <w:snapToGrid w:val="0"/>
                <w:sz w:val="20"/>
                <w:szCs w:val="24"/>
              </w:rPr>
            </w:pPr>
            <w:r w:rsidRPr="00B06893">
              <w:rPr>
                <w:rFonts w:ascii="Arial Narrow" w:hAnsi="Arial Narrow"/>
                <w:snapToGrid w:val="0"/>
                <w:sz w:val="20"/>
                <w:szCs w:val="24"/>
              </w:rPr>
              <w:t>11.59</w:t>
            </w:r>
          </w:p>
        </w:tc>
        <w:tc>
          <w:tcPr>
            <w:tcW w:w="1887" w:type="dxa"/>
            <w:vAlign w:val="bottom"/>
          </w:tcPr>
          <w:p w14:paraId="53A5CE32"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7.34</w:t>
            </w:r>
          </w:p>
        </w:tc>
        <w:tc>
          <w:tcPr>
            <w:tcW w:w="1887" w:type="dxa"/>
            <w:vAlign w:val="bottom"/>
          </w:tcPr>
          <w:p w14:paraId="1AE439FF"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10.06</w:t>
            </w:r>
          </w:p>
        </w:tc>
        <w:tc>
          <w:tcPr>
            <w:tcW w:w="1887" w:type="dxa"/>
            <w:vAlign w:val="bottom"/>
          </w:tcPr>
          <w:p w14:paraId="40919958"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5.31</w:t>
            </w:r>
          </w:p>
        </w:tc>
      </w:tr>
      <w:tr w:rsidR="00D85592" w:rsidRPr="00B06893" w14:paraId="35C52AB5" w14:textId="77777777" w:rsidTr="00501A02">
        <w:tc>
          <w:tcPr>
            <w:tcW w:w="1677" w:type="dxa"/>
            <w:vAlign w:val="bottom"/>
          </w:tcPr>
          <w:p w14:paraId="27180A10" w14:textId="1368DABD" w:rsidR="00D85592" w:rsidRPr="00B06893" w:rsidRDefault="00D85592" w:rsidP="00F0452A">
            <w:pPr>
              <w:keepNext/>
              <w:jc w:val="left"/>
              <w:rPr>
                <w:rFonts w:ascii="Arial Narrow" w:hAnsi="Arial Narrow"/>
                <w:i/>
                <w:iCs/>
                <w:snapToGrid w:val="0"/>
                <w:sz w:val="20"/>
                <w:szCs w:val="24"/>
              </w:rPr>
            </w:pPr>
            <w:r w:rsidRPr="00B06893">
              <w:rPr>
                <w:rFonts w:ascii="Arial Narrow" w:hAnsi="Arial Narrow"/>
                <w:snapToGrid w:val="0"/>
                <w:sz w:val="20"/>
                <w:szCs w:val="24"/>
              </w:rPr>
              <w:t>75</w:t>
            </w:r>
            <w:r w:rsidR="00193971">
              <w:rPr>
                <w:rFonts w:ascii="Arial Narrow" w:hAnsi="Arial Narrow"/>
                <w:snapToGrid w:val="0"/>
                <w:sz w:val="20"/>
                <w:szCs w:val="24"/>
              </w:rPr>
              <w:noBreakHyphen/>
            </w:r>
            <w:r w:rsidRPr="00B06893">
              <w:rPr>
                <w:rFonts w:ascii="Arial Narrow" w:hAnsi="Arial Narrow"/>
                <w:snapToGrid w:val="0"/>
                <w:sz w:val="20"/>
                <w:szCs w:val="24"/>
              </w:rPr>
              <w:t>100 years</w:t>
            </w:r>
          </w:p>
        </w:tc>
        <w:tc>
          <w:tcPr>
            <w:tcW w:w="1679" w:type="dxa"/>
            <w:vAlign w:val="bottom"/>
          </w:tcPr>
          <w:p w14:paraId="6046DF8D" w14:textId="77777777" w:rsidR="00D85592" w:rsidRPr="00B06893" w:rsidRDefault="00D85592" w:rsidP="00F0452A">
            <w:pPr>
              <w:keepNext/>
              <w:jc w:val="left"/>
              <w:rPr>
                <w:rFonts w:ascii="Arial Narrow" w:hAnsi="Arial Narrow"/>
                <w:i/>
                <w:iCs/>
                <w:snapToGrid w:val="0"/>
                <w:sz w:val="20"/>
                <w:szCs w:val="24"/>
              </w:rPr>
            </w:pPr>
            <w:r w:rsidRPr="00B06893">
              <w:rPr>
                <w:rFonts w:ascii="Arial Narrow" w:hAnsi="Arial Narrow"/>
                <w:snapToGrid w:val="0"/>
                <w:sz w:val="20"/>
                <w:szCs w:val="24"/>
              </w:rPr>
              <w:t>5.30</w:t>
            </w:r>
          </w:p>
        </w:tc>
        <w:tc>
          <w:tcPr>
            <w:tcW w:w="1887" w:type="dxa"/>
            <w:vAlign w:val="bottom"/>
          </w:tcPr>
          <w:p w14:paraId="19FB18F7"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3.35</w:t>
            </w:r>
          </w:p>
        </w:tc>
        <w:tc>
          <w:tcPr>
            <w:tcW w:w="1887" w:type="dxa"/>
            <w:vAlign w:val="bottom"/>
          </w:tcPr>
          <w:p w14:paraId="50F96F0E"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4.55</w:t>
            </w:r>
          </w:p>
        </w:tc>
        <w:tc>
          <w:tcPr>
            <w:tcW w:w="1887" w:type="dxa"/>
            <w:vAlign w:val="bottom"/>
          </w:tcPr>
          <w:p w14:paraId="0C265630" w14:textId="77777777" w:rsidR="00D85592" w:rsidRPr="00B06893" w:rsidRDefault="00D85592" w:rsidP="00F0452A">
            <w:pPr>
              <w:keepNext/>
              <w:jc w:val="left"/>
              <w:rPr>
                <w:rFonts w:ascii="Arial Narrow" w:hAnsi="Arial Narrow"/>
                <w:snapToGrid w:val="0"/>
                <w:sz w:val="20"/>
                <w:szCs w:val="24"/>
              </w:rPr>
            </w:pPr>
            <w:r w:rsidRPr="00B06893">
              <w:rPr>
                <w:rFonts w:ascii="Arial Narrow" w:hAnsi="Arial Narrow"/>
                <w:snapToGrid w:val="0"/>
                <w:sz w:val="20"/>
                <w:szCs w:val="24"/>
              </w:rPr>
              <w:t>2.40</w:t>
            </w:r>
          </w:p>
        </w:tc>
      </w:tr>
    </w:tbl>
    <w:p w14:paraId="68042F3A" w14:textId="31C5D2DE" w:rsidR="00D85592" w:rsidRPr="00B06893" w:rsidRDefault="00D85592" w:rsidP="00F0452A">
      <w:pPr>
        <w:keepNext/>
        <w:rPr>
          <w:rFonts w:ascii="Arial Narrow" w:hAnsi="Arial Narrow" w:cs="Arial"/>
          <w:sz w:val="18"/>
          <w:szCs w:val="24"/>
        </w:rPr>
      </w:pPr>
      <w:r w:rsidRPr="00B06893">
        <w:rPr>
          <w:rFonts w:ascii="Arial Narrow" w:hAnsi="Arial Narrow" w:cs="Arial"/>
          <w:sz w:val="18"/>
          <w:szCs w:val="24"/>
        </w:rPr>
        <w:t>Source: generated from Wouterse et al 2022 and “QALYs” tab of the Spikevax economic model.</w:t>
      </w:r>
    </w:p>
    <w:p w14:paraId="2A4B80FA" w14:textId="757994FA" w:rsidR="006F296B" w:rsidRPr="00B06893" w:rsidRDefault="006F296B" w:rsidP="00F0452A">
      <w:pPr>
        <w:keepNext/>
        <w:rPr>
          <w:rFonts w:ascii="Arial Narrow" w:hAnsi="Arial Narrow" w:cs="Arial"/>
          <w:sz w:val="18"/>
          <w:szCs w:val="24"/>
        </w:rPr>
      </w:pPr>
      <w:r w:rsidRPr="00B06893">
        <w:rPr>
          <w:rFonts w:ascii="Arial Narrow" w:hAnsi="Arial Narrow" w:cs="Arial"/>
          <w:sz w:val="18"/>
          <w:szCs w:val="24"/>
        </w:rPr>
        <w:t>LY = life</w:t>
      </w:r>
      <w:r w:rsidR="00193971">
        <w:rPr>
          <w:rFonts w:ascii="Arial Narrow" w:hAnsi="Arial Narrow" w:cs="Arial"/>
          <w:sz w:val="18"/>
          <w:szCs w:val="24"/>
        </w:rPr>
        <w:noBreakHyphen/>
      </w:r>
      <w:r w:rsidRPr="00B06893">
        <w:rPr>
          <w:rFonts w:ascii="Arial Narrow" w:hAnsi="Arial Narrow" w:cs="Arial"/>
          <w:sz w:val="18"/>
          <w:szCs w:val="24"/>
        </w:rPr>
        <w:t>years; QALY = quality</w:t>
      </w:r>
      <w:r w:rsidR="00193971">
        <w:rPr>
          <w:rFonts w:ascii="Arial Narrow" w:hAnsi="Arial Narrow" w:cs="Arial"/>
          <w:sz w:val="18"/>
          <w:szCs w:val="24"/>
        </w:rPr>
        <w:noBreakHyphen/>
      </w:r>
      <w:r w:rsidRPr="00B06893">
        <w:rPr>
          <w:rFonts w:ascii="Arial Narrow" w:hAnsi="Arial Narrow" w:cs="Arial"/>
          <w:sz w:val="18"/>
          <w:szCs w:val="24"/>
        </w:rPr>
        <w:t>adjusted life</w:t>
      </w:r>
      <w:r w:rsidR="00193971">
        <w:rPr>
          <w:rFonts w:ascii="Arial Narrow" w:hAnsi="Arial Narrow" w:cs="Arial"/>
          <w:sz w:val="18"/>
          <w:szCs w:val="24"/>
        </w:rPr>
        <w:noBreakHyphen/>
      </w:r>
      <w:r w:rsidRPr="00B06893">
        <w:rPr>
          <w:rFonts w:ascii="Arial Narrow" w:hAnsi="Arial Narrow" w:cs="Arial"/>
          <w:sz w:val="18"/>
          <w:szCs w:val="24"/>
        </w:rPr>
        <w:t>years</w:t>
      </w:r>
    </w:p>
    <w:p w14:paraId="0394BD3C" w14:textId="0E81A49E" w:rsidR="00D85592" w:rsidRPr="00B06893" w:rsidRDefault="00D85592" w:rsidP="00F0452A">
      <w:pPr>
        <w:keepNext/>
        <w:rPr>
          <w:rFonts w:ascii="Arial Narrow" w:hAnsi="Arial Narrow" w:cs="Arial"/>
          <w:sz w:val="18"/>
          <w:szCs w:val="24"/>
        </w:rPr>
      </w:pPr>
      <w:r w:rsidRPr="00B06893">
        <w:rPr>
          <w:rFonts w:ascii="Arial Narrow" w:hAnsi="Arial Narrow" w:cs="Arial"/>
          <w:sz w:val="18"/>
          <w:szCs w:val="24"/>
          <w:vertAlign w:val="superscript"/>
        </w:rPr>
        <w:t>a</w:t>
      </w:r>
      <w:r w:rsidRPr="00B06893">
        <w:rPr>
          <w:rFonts w:ascii="Arial Narrow" w:hAnsi="Arial Narrow" w:cs="Arial"/>
          <w:sz w:val="18"/>
          <w:szCs w:val="24"/>
        </w:rPr>
        <w:t>Wouterse et al 2022 reported life years lost for men and women based on average life</w:t>
      </w:r>
      <w:r w:rsidR="00193971">
        <w:rPr>
          <w:rFonts w:ascii="Arial Narrow" w:hAnsi="Arial Narrow" w:cs="Arial"/>
          <w:sz w:val="18"/>
          <w:szCs w:val="24"/>
        </w:rPr>
        <w:noBreakHyphen/>
      </w:r>
      <w:r w:rsidRPr="00B06893">
        <w:rPr>
          <w:rFonts w:ascii="Arial Narrow" w:hAnsi="Arial Narrow" w:cs="Arial"/>
          <w:sz w:val="18"/>
          <w:szCs w:val="24"/>
        </w:rPr>
        <w:t>expectancy, and recalculated life years lost after adjusting for underlying health status. Adjusted life</w:t>
      </w:r>
      <w:r w:rsidR="00193971">
        <w:rPr>
          <w:rFonts w:ascii="Arial Narrow" w:hAnsi="Arial Narrow" w:cs="Arial"/>
          <w:sz w:val="18"/>
          <w:szCs w:val="24"/>
        </w:rPr>
        <w:noBreakHyphen/>
      </w:r>
      <w:r w:rsidRPr="00B06893">
        <w:rPr>
          <w:rFonts w:ascii="Arial Narrow" w:hAnsi="Arial Narrow" w:cs="Arial"/>
          <w:sz w:val="18"/>
          <w:szCs w:val="24"/>
        </w:rPr>
        <w:t>years losses were 63% of what was calculated using average life</w:t>
      </w:r>
      <w:r w:rsidR="00193971">
        <w:rPr>
          <w:rFonts w:ascii="Arial Narrow" w:hAnsi="Arial Narrow" w:cs="Arial"/>
          <w:sz w:val="18"/>
          <w:szCs w:val="24"/>
        </w:rPr>
        <w:noBreakHyphen/>
      </w:r>
      <w:r w:rsidRPr="00B06893">
        <w:rPr>
          <w:rFonts w:ascii="Arial Narrow" w:hAnsi="Arial Narrow" w:cs="Arial"/>
          <w:sz w:val="18"/>
          <w:szCs w:val="24"/>
        </w:rPr>
        <w:t>expectancy.</w:t>
      </w:r>
    </w:p>
    <w:p w14:paraId="7C2C4F41" w14:textId="20F92397" w:rsidR="00D85592" w:rsidRPr="00B06893" w:rsidRDefault="00D85592" w:rsidP="00F0452A">
      <w:pPr>
        <w:keepNext/>
        <w:rPr>
          <w:rFonts w:ascii="Arial Narrow" w:hAnsi="Arial Narrow" w:cs="Arial"/>
          <w:sz w:val="18"/>
          <w:szCs w:val="24"/>
        </w:rPr>
      </w:pPr>
      <w:r w:rsidRPr="00B06893">
        <w:rPr>
          <w:rFonts w:ascii="Arial Narrow" w:hAnsi="Arial Narrow" w:cs="Arial"/>
          <w:sz w:val="18"/>
          <w:szCs w:val="24"/>
          <w:vertAlign w:val="superscript"/>
        </w:rPr>
        <w:t>b</w:t>
      </w:r>
      <w:r w:rsidRPr="00B06893">
        <w:rPr>
          <w:rFonts w:ascii="Arial Narrow" w:hAnsi="Arial Narrow" w:cs="Arial"/>
          <w:sz w:val="18"/>
          <w:szCs w:val="24"/>
        </w:rPr>
        <w:t>Wouterse et al 2022 reported quality adjusted life years lost for men and women based on average life</w:t>
      </w:r>
      <w:r w:rsidR="00193971">
        <w:rPr>
          <w:rFonts w:ascii="Arial Narrow" w:hAnsi="Arial Narrow" w:cs="Arial"/>
          <w:sz w:val="18"/>
          <w:szCs w:val="24"/>
        </w:rPr>
        <w:noBreakHyphen/>
      </w:r>
      <w:r w:rsidRPr="00B06893">
        <w:rPr>
          <w:rFonts w:ascii="Arial Narrow" w:hAnsi="Arial Narrow" w:cs="Arial"/>
          <w:sz w:val="18"/>
          <w:szCs w:val="24"/>
        </w:rPr>
        <w:t>expectancy and average age specific utility values. Adjusted QALY losses were 53% of what was calculated using average life</w:t>
      </w:r>
      <w:r w:rsidR="00193971">
        <w:rPr>
          <w:rFonts w:ascii="Arial Narrow" w:hAnsi="Arial Narrow" w:cs="Arial"/>
          <w:sz w:val="18"/>
          <w:szCs w:val="24"/>
        </w:rPr>
        <w:noBreakHyphen/>
      </w:r>
      <w:r w:rsidRPr="00B06893">
        <w:rPr>
          <w:rFonts w:ascii="Arial Narrow" w:hAnsi="Arial Narrow" w:cs="Arial"/>
          <w:sz w:val="18"/>
          <w:szCs w:val="24"/>
        </w:rPr>
        <w:t>expectancy and average age specific utility values.</w:t>
      </w:r>
    </w:p>
    <w:p w14:paraId="1F8D581A" w14:textId="53FC2F40" w:rsidR="00E34290" w:rsidRPr="00B06893" w:rsidRDefault="006F296B" w:rsidP="00501A02">
      <w:pPr>
        <w:pStyle w:val="3-BodyText"/>
      </w:pPr>
      <w:r w:rsidRPr="00B06893">
        <w:t>The model applied a QALY decrement to every patient with either an infection or hospitalisation to reflect a loss of quality of life following the acute phase of COVID</w:t>
      </w:r>
      <w:r w:rsidR="00193971">
        <w:noBreakHyphen/>
      </w:r>
      <w:r w:rsidRPr="00B06893">
        <w:t>19. The QALY decrement applied to patients experiencing a COVID</w:t>
      </w:r>
      <w:r w:rsidR="00193971">
        <w:noBreakHyphen/>
      </w:r>
      <w:r w:rsidRPr="00B06893">
        <w:t>19 infection was derived from a study that followed nonhospitalised patients for 6 months up to December 2020</w:t>
      </w:r>
      <w:r w:rsidRPr="00B06893">
        <w:rPr>
          <w:rStyle w:val="FootnoteReference"/>
        </w:rPr>
        <w:footnoteReference w:id="35"/>
      </w:r>
      <w:r w:rsidRPr="00B06893">
        <w:t>. The QALY decrement applied to patients experiencing a COVID</w:t>
      </w:r>
      <w:r w:rsidR="00193971">
        <w:noBreakHyphen/>
      </w:r>
      <w:r w:rsidRPr="00B06893">
        <w:t xml:space="preserve">19 hospitalisation was derived from a study that followed patients hospitalised between </w:t>
      </w:r>
      <w:r w:rsidRPr="00B06893">
        <w:lastRenderedPageBreak/>
        <w:t>March 2020 and April 2021 for up to a year</w:t>
      </w:r>
      <w:r w:rsidRPr="00B06893">
        <w:rPr>
          <w:rStyle w:val="FootnoteReference"/>
        </w:rPr>
        <w:footnoteReference w:id="36"/>
      </w:r>
      <w:r w:rsidRPr="00B06893">
        <w:t xml:space="preserve">. </w:t>
      </w:r>
      <w:r w:rsidR="00F33048" w:rsidRPr="00B06893">
        <w:t>The evaluation considered that e</w:t>
      </w:r>
      <w:r w:rsidRPr="00B06893">
        <w:t xml:space="preserve">stimates from these studies </w:t>
      </w:r>
      <w:r w:rsidR="00F33048" w:rsidRPr="00B06893">
        <w:t xml:space="preserve">were </w:t>
      </w:r>
      <w:r w:rsidRPr="00B06893">
        <w:t xml:space="preserve">prone to bias. Participants were identified following infection and asked to recall their health status prior to infection. Not all patients were followed up in the study, and </w:t>
      </w:r>
      <w:r w:rsidR="00F33048" w:rsidRPr="00B06893">
        <w:t xml:space="preserve">the </w:t>
      </w:r>
      <w:r w:rsidRPr="00B06893">
        <w:t>authors acknowledge</w:t>
      </w:r>
      <w:r w:rsidR="00F33048" w:rsidRPr="00B06893">
        <w:t>d</w:t>
      </w:r>
      <w:r w:rsidRPr="00B06893">
        <w:t xml:space="preserve"> that those patients that continued to have symptoms may have been more likely to have answered the follow up questionnaire. Furthermore, the circulating virus during the period of </w:t>
      </w:r>
      <w:r w:rsidR="00F33048" w:rsidRPr="00B06893">
        <w:t xml:space="preserve">the </w:t>
      </w:r>
      <w:r w:rsidRPr="00B06893">
        <w:t xml:space="preserve">study </w:t>
      </w:r>
      <w:r w:rsidR="00797161" w:rsidRPr="00B06893">
        <w:t xml:space="preserve">was </w:t>
      </w:r>
      <w:r w:rsidRPr="00B06893">
        <w:t>likely to have been more severe (did not include omicron) and treatments for COVID</w:t>
      </w:r>
      <w:r w:rsidR="00193971">
        <w:noBreakHyphen/>
      </w:r>
      <w:r w:rsidRPr="00B06893">
        <w:t>19 were less available. Post</w:t>
      </w:r>
      <w:r w:rsidR="00193971">
        <w:noBreakHyphen/>
      </w:r>
      <w:r w:rsidRPr="00B06893">
        <w:t>acute QALY decrements account for about 40% of the model incremental QALYs.</w:t>
      </w:r>
      <w:r w:rsidR="009C0957" w:rsidRPr="00B06893">
        <w:t xml:space="preserve"> </w:t>
      </w:r>
      <w:r w:rsidR="00E34290" w:rsidRPr="00B06893">
        <w:t>The ESC has previously noted that it is reasonable to exclude the impact of vaccination on long</w:t>
      </w:r>
      <w:r w:rsidR="00193971">
        <w:noBreakHyphen/>
      </w:r>
      <w:r w:rsidR="00E34290" w:rsidRPr="00B06893">
        <w:t xml:space="preserve">COVID (Table 14, </w:t>
      </w:r>
      <w:proofErr w:type="spellStart"/>
      <w:r w:rsidR="00E34290" w:rsidRPr="00B06893">
        <w:t>raxtozinameran</w:t>
      </w:r>
      <w:proofErr w:type="spellEnd"/>
      <w:r w:rsidR="00E34290" w:rsidRPr="00B06893">
        <w:t xml:space="preserve">, PSD, May 2025 PBAC Meeting). </w:t>
      </w:r>
      <w:r w:rsidR="00DB4491" w:rsidRPr="00B06893">
        <w:rPr>
          <w:snapToGrid w:val="0"/>
        </w:rPr>
        <w:t xml:space="preserve">The ESC noted that the Spikevax model included long COVID impacts over the year </w:t>
      </w:r>
      <w:proofErr w:type="gramStart"/>
      <w:r w:rsidR="00DB4491" w:rsidRPr="00B06893">
        <w:rPr>
          <w:snapToGrid w:val="0"/>
        </w:rPr>
        <w:t>subsequent to</w:t>
      </w:r>
      <w:proofErr w:type="gramEnd"/>
      <w:r w:rsidR="00DB4491" w:rsidRPr="00B06893">
        <w:rPr>
          <w:snapToGrid w:val="0"/>
        </w:rPr>
        <w:t xml:space="preserve"> an infection and considered that the estimate was not reliable.</w:t>
      </w:r>
      <w:r w:rsidR="00580BAD">
        <w:rPr>
          <w:snapToGrid w:val="0"/>
        </w:rPr>
        <w:t xml:space="preserve"> </w:t>
      </w:r>
      <w:r w:rsidR="00E34290" w:rsidRPr="00B06893">
        <w:t>The ESC considered this should be removed as per the evaluator’s respecified base case given the limited data to estimate the impact.</w:t>
      </w:r>
    </w:p>
    <w:p w14:paraId="6DADC777" w14:textId="3E0B1ABE" w:rsidR="006F296B" w:rsidRPr="00B06893" w:rsidRDefault="009C0957" w:rsidP="00501A02">
      <w:pPr>
        <w:pStyle w:val="3-BodyText"/>
      </w:pPr>
      <w:r w:rsidRPr="00B06893">
        <w:rPr>
          <w:iCs/>
        </w:rPr>
        <w:t>The ESC noted that following the acute loss of quality of life due to symptomatic infection or hospitalisation, the submission applied an additional QALY decrement to all patients based on EQ</w:t>
      </w:r>
      <w:r w:rsidR="00193971">
        <w:rPr>
          <w:iCs/>
        </w:rPr>
        <w:noBreakHyphen/>
      </w:r>
      <w:r w:rsidRPr="00B06893">
        <w:rPr>
          <w:iCs/>
        </w:rPr>
        <w:t xml:space="preserve">5D estimates over 6 months or 12 months following infection or hospitalisation. The evaluation noted these estimates </w:t>
      </w:r>
      <w:r w:rsidR="00D23F29" w:rsidRPr="00B06893">
        <w:rPr>
          <w:iCs/>
        </w:rPr>
        <w:t xml:space="preserve">were </w:t>
      </w:r>
      <w:r w:rsidRPr="00B06893">
        <w:rPr>
          <w:iCs/>
        </w:rPr>
        <w:t xml:space="preserve">prone to bias, and likely </w:t>
      </w:r>
      <w:r w:rsidR="00FE25C1" w:rsidRPr="00B06893">
        <w:rPr>
          <w:iCs/>
        </w:rPr>
        <w:t xml:space="preserve">not </w:t>
      </w:r>
      <w:r w:rsidRPr="00B06893">
        <w:rPr>
          <w:iCs/>
        </w:rPr>
        <w:t>applicable to the present day</w:t>
      </w:r>
      <w:r w:rsidRPr="00B06893">
        <w:t xml:space="preserve">. </w:t>
      </w:r>
      <w:r w:rsidRPr="00B06893">
        <w:rPr>
          <w:iCs/>
        </w:rPr>
        <w:t>The ESC considered the estimates were unreliable due to low completion rate, and significant recall bias, and noted that the ICER was sensitive to the assumed effect.</w:t>
      </w:r>
      <w:r w:rsidR="00580BAD">
        <w:rPr>
          <w:iCs/>
        </w:rPr>
        <w:t xml:space="preserve"> </w:t>
      </w:r>
      <w:r w:rsidR="00E4466A" w:rsidRPr="00B06893">
        <w:rPr>
          <w:iCs/>
        </w:rPr>
        <w:t>Accordingly, the ESC advised that the QALY decrements for post</w:t>
      </w:r>
      <w:r w:rsidR="00193971">
        <w:rPr>
          <w:iCs/>
        </w:rPr>
        <w:noBreakHyphen/>
      </w:r>
      <w:r w:rsidR="00E4466A" w:rsidRPr="00B06893">
        <w:rPr>
          <w:iCs/>
        </w:rPr>
        <w:t xml:space="preserve">infection cases should be removed from the </w:t>
      </w:r>
      <w:r w:rsidR="00BC2DD0" w:rsidRPr="00B06893">
        <w:rPr>
          <w:iCs/>
        </w:rPr>
        <w:t xml:space="preserve">model </w:t>
      </w:r>
      <w:r w:rsidR="000E768E" w:rsidRPr="00B06893">
        <w:rPr>
          <w:iCs/>
        </w:rPr>
        <w:t>base case</w:t>
      </w:r>
      <w:r w:rsidR="00E4466A" w:rsidRPr="00B06893">
        <w:rPr>
          <w:iCs/>
        </w:rPr>
        <w:t>.</w:t>
      </w:r>
      <w:r w:rsidR="00580BAD">
        <w:rPr>
          <w:iCs/>
        </w:rPr>
        <w:t xml:space="preserve"> </w:t>
      </w:r>
      <w:r w:rsidR="00E4466A" w:rsidRPr="00B06893">
        <w:rPr>
          <w:iCs/>
        </w:rPr>
        <w:t>The ESC considered that higher quality data would be needed to support inclusion in the economic model, and noted this was unlikely to be available.</w:t>
      </w:r>
    </w:p>
    <w:p w14:paraId="6590C9A5" w14:textId="77777777" w:rsidR="009C0957" w:rsidRPr="00B06893" w:rsidRDefault="009C0957" w:rsidP="009C0957">
      <w:pPr>
        <w:pStyle w:val="3-BodyText"/>
        <w:numPr>
          <w:ilvl w:val="0"/>
          <w:numId w:val="0"/>
        </w:numPr>
        <w:ind w:left="720"/>
      </w:pPr>
    </w:p>
    <w:p w14:paraId="67FF4612" w14:textId="5A51AEF0" w:rsidR="009C0957" w:rsidRPr="00B06893" w:rsidRDefault="009C0957" w:rsidP="009C0957">
      <w:pPr>
        <w:pStyle w:val="Caption"/>
      </w:pPr>
      <w:r w:rsidRPr="00B06893">
        <w:t xml:space="preserve">Table </w:t>
      </w:r>
      <w:fldSimple w:instr=" SEQ Table \* ARABIC ">
        <w:r w:rsidR="00810177" w:rsidRPr="00B06893">
          <w:t>26</w:t>
        </w:r>
      </w:fldSimple>
      <w:r w:rsidRPr="00B06893">
        <w:t>: QALY decrements associated with post</w:t>
      </w:r>
      <w:r w:rsidR="00193971">
        <w:noBreakHyphen/>
      </w:r>
      <w:r w:rsidRPr="00B06893">
        <w:t>COVID</w:t>
      </w:r>
      <w:r w:rsidR="00193971">
        <w:noBreakHyphen/>
      </w:r>
      <w:r w:rsidRPr="00B06893">
        <w:t>19 infection applied in the model</w:t>
      </w:r>
    </w:p>
    <w:tbl>
      <w:tblPr>
        <w:tblStyle w:val="PlainTable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6: QALY decrements associated with post COVID 19 infection applied in the model"/>
      </w:tblPr>
      <w:tblGrid>
        <w:gridCol w:w="2829"/>
        <w:gridCol w:w="2269"/>
        <w:gridCol w:w="3919"/>
      </w:tblGrid>
      <w:tr w:rsidR="009C0957" w:rsidRPr="00B06893" w14:paraId="56F1CA5F" w14:textId="77777777" w:rsidTr="00501A0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69" w:type="pct"/>
            <w:shd w:val="clear" w:color="auto" w:fill="D9D9D9"/>
            <w:noWrap/>
            <w:vAlign w:val="center"/>
          </w:tcPr>
          <w:p w14:paraId="47300744" w14:textId="77777777" w:rsidR="009C0957" w:rsidRPr="00B06893" w:rsidRDefault="009C0957" w:rsidP="00501A02">
            <w:pPr>
              <w:jc w:val="left"/>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Model parameter</w:t>
            </w:r>
          </w:p>
        </w:tc>
        <w:tc>
          <w:tcPr>
            <w:tcW w:w="1258" w:type="pct"/>
            <w:shd w:val="clear" w:color="auto" w:fill="D9D9D9"/>
            <w:noWrap/>
            <w:vAlign w:val="center"/>
          </w:tcPr>
          <w:p w14:paraId="189396AB" w14:textId="77777777" w:rsidR="009C0957" w:rsidRPr="00B06893" w:rsidRDefault="009C0957" w:rsidP="00501A0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QALY decrement</w:t>
            </w:r>
          </w:p>
        </w:tc>
        <w:tc>
          <w:tcPr>
            <w:tcW w:w="2173" w:type="pct"/>
            <w:shd w:val="clear" w:color="auto" w:fill="D9D9D9"/>
            <w:noWrap/>
            <w:vAlign w:val="center"/>
          </w:tcPr>
          <w:p w14:paraId="7107E53A" w14:textId="77777777" w:rsidR="009C0957" w:rsidRPr="00B06893" w:rsidRDefault="009C0957" w:rsidP="00501A0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Source</w:t>
            </w:r>
          </w:p>
        </w:tc>
      </w:tr>
      <w:tr w:rsidR="009C0957" w:rsidRPr="00B06893" w14:paraId="272BD537" w14:textId="77777777" w:rsidTr="00501A02">
        <w:trPr>
          <w:trHeight w:val="67"/>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14ED725C" w14:textId="77777777" w:rsidR="009C0957" w:rsidRPr="00B06893" w:rsidRDefault="009C0957" w:rsidP="00501A02">
            <w:pPr>
              <w:jc w:val="left"/>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COVID infection, not hospitalised</w:t>
            </w:r>
          </w:p>
        </w:tc>
        <w:tc>
          <w:tcPr>
            <w:tcW w:w="1258" w:type="pct"/>
            <w:noWrap/>
            <w:vAlign w:val="center"/>
          </w:tcPr>
          <w:p w14:paraId="7448F0B6" w14:textId="77777777" w:rsidR="009C0957" w:rsidRPr="00B06893" w:rsidRDefault="009C0957" w:rsidP="00501A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0.028</w:t>
            </w:r>
          </w:p>
        </w:tc>
        <w:tc>
          <w:tcPr>
            <w:tcW w:w="2173" w:type="pct"/>
            <w:noWrap/>
            <w:vAlign w:val="center"/>
          </w:tcPr>
          <w:p w14:paraId="2D476649" w14:textId="5B96EDCD" w:rsidR="009C0957" w:rsidRPr="00B06893" w:rsidRDefault="009C0957" w:rsidP="00501A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Sandmann et al 2022</w:t>
            </w:r>
          </w:p>
        </w:tc>
      </w:tr>
      <w:tr w:rsidR="009C0957" w:rsidRPr="00B06893" w14:paraId="0249A050" w14:textId="77777777" w:rsidTr="00501A02">
        <w:trPr>
          <w:trHeight w:val="56"/>
        </w:trPr>
        <w:tc>
          <w:tcPr>
            <w:cnfStyle w:val="001000000000" w:firstRow="0" w:lastRow="0" w:firstColumn="1" w:lastColumn="0" w:oddVBand="0" w:evenVBand="0" w:oddHBand="0" w:evenHBand="0" w:firstRowFirstColumn="0" w:firstRowLastColumn="0" w:lastRowFirstColumn="0" w:lastRowLastColumn="0"/>
            <w:tcW w:w="1569" w:type="pct"/>
            <w:noWrap/>
            <w:vAlign w:val="center"/>
          </w:tcPr>
          <w:p w14:paraId="579F5886" w14:textId="77777777" w:rsidR="009C0957" w:rsidRPr="00B06893" w:rsidRDefault="009C0957" w:rsidP="00501A02">
            <w:pPr>
              <w:jc w:val="left"/>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COVID hospitalisation.</w:t>
            </w:r>
          </w:p>
        </w:tc>
        <w:tc>
          <w:tcPr>
            <w:tcW w:w="1258" w:type="pct"/>
            <w:noWrap/>
            <w:vAlign w:val="center"/>
          </w:tcPr>
          <w:p w14:paraId="1713F9B4" w14:textId="77777777" w:rsidR="009C0957" w:rsidRPr="00B06893" w:rsidRDefault="009C0957" w:rsidP="00501A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0.122</w:t>
            </w:r>
          </w:p>
        </w:tc>
        <w:tc>
          <w:tcPr>
            <w:tcW w:w="2173" w:type="pct"/>
            <w:noWrap/>
            <w:vAlign w:val="center"/>
          </w:tcPr>
          <w:p w14:paraId="745F2CE1" w14:textId="29C02397" w:rsidR="009C0957" w:rsidRPr="00B06893" w:rsidRDefault="009C0957" w:rsidP="00501A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napToGrid w:val="0"/>
                <w:sz w:val="20"/>
                <w:szCs w:val="24"/>
                <w:lang w:val="en-AU"/>
              </w:rPr>
            </w:pPr>
            <w:r w:rsidRPr="00B06893">
              <w:rPr>
                <w:rFonts w:ascii="Arial Narrow" w:hAnsi="Arial Narrow" w:cs="Times New Roman"/>
                <w:snapToGrid w:val="0"/>
                <w:sz w:val="20"/>
                <w:szCs w:val="24"/>
                <w:lang w:val="en-AU"/>
              </w:rPr>
              <w:t>Evans et al 2022</w:t>
            </w:r>
          </w:p>
        </w:tc>
      </w:tr>
    </w:tbl>
    <w:p w14:paraId="5D97D82E" w14:textId="4752C797" w:rsidR="009C0957" w:rsidRPr="00B06893" w:rsidRDefault="009C0957" w:rsidP="009C0957">
      <w:pPr>
        <w:keepLines/>
        <w:spacing w:after="120"/>
        <w:contextualSpacing/>
        <w:jc w:val="left"/>
        <w:rPr>
          <w:rFonts w:ascii="Arial Narrow" w:hAnsi="Arial Narrow" w:cs="Arial"/>
          <w:snapToGrid w:val="0"/>
          <w:sz w:val="18"/>
          <w:szCs w:val="22"/>
        </w:rPr>
      </w:pPr>
      <w:r w:rsidRPr="00B06893">
        <w:rPr>
          <w:rFonts w:ascii="Arial Narrow" w:hAnsi="Arial Narrow" w:cs="Arial"/>
          <w:snapToGrid w:val="0"/>
          <w:sz w:val="18"/>
          <w:szCs w:val="22"/>
        </w:rPr>
        <w:t>Source: Table 3</w:t>
      </w:r>
      <w:r w:rsidR="00193971">
        <w:rPr>
          <w:rFonts w:ascii="Arial Narrow" w:hAnsi="Arial Narrow" w:cs="Arial"/>
          <w:snapToGrid w:val="0"/>
          <w:sz w:val="18"/>
          <w:szCs w:val="22"/>
        </w:rPr>
        <w:noBreakHyphen/>
      </w:r>
      <w:r w:rsidRPr="00B06893">
        <w:rPr>
          <w:rFonts w:ascii="Arial Narrow" w:hAnsi="Arial Narrow" w:cs="Arial"/>
          <w:snapToGrid w:val="0"/>
          <w:sz w:val="18"/>
          <w:szCs w:val="22"/>
        </w:rPr>
        <w:t>21, p131 of the submission.</w:t>
      </w:r>
    </w:p>
    <w:p w14:paraId="254D429E" w14:textId="51664B75" w:rsidR="009C0957" w:rsidRPr="00B06893" w:rsidRDefault="009C0957" w:rsidP="009C0957">
      <w:pPr>
        <w:keepLines/>
        <w:spacing w:after="120"/>
        <w:contextualSpacing/>
        <w:jc w:val="left"/>
        <w:rPr>
          <w:rFonts w:ascii="Arial Narrow" w:eastAsia="Calibri" w:hAnsi="Arial Narrow" w:cs="Arial"/>
          <w:snapToGrid w:val="0"/>
          <w:sz w:val="18"/>
          <w:szCs w:val="22"/>
          <w:lang w:eastAsia="en-US"/>
        </w:rPr>
      </w:pPr>
      <w:r w:rsidRPr="00B06893">
        <w:rPr>
          <w:rFonts w:ascii="Arial Narrow" w:hAnsi="Arial Narrow" w:cs="Arial"/>
          <w:snapToGrid w:val="0"/>
          <w:sz w:val="18"/>
          <w:szCs w:val="22"/>
        </w:rPr>
        <w:t>COVID = Coronavirus disease of 2019; QALY = Quality</w:t>
      </w:r>
      <w:r w:rsidR="00193971">
        <w:rPr>
          <w:rFonts w:ascii="Arial Narrow" w:hAnsi="Arial Narrow" w:cs="Arial"/>
          <w:snapToGrid w:val="0"/>
          <w:sz w:val="18"/>
          <w:szCs w:val="22"/>
        </w:rPr>
        <w:noBreakHyphen/>
      </w:r>
      <w:r w:rsidRPr="00B06893">
        <w:rPr>
          <w:rFonts w:ascii="Arial Narrow" w:hAnsi="Arial Narrow" w:cs="Arial"/>
          <w:snapToGrid w:val="0"/>
          <w:sz w:val="18"/>
          <w:szCs w:val="22"/>
        </w:rPr>
        <w:t>Adjusted Life Year.</w:t>
      </w:r>
    </w:p>
    <w:p w14:paraId="4513EC56" w14:textId="77777777" w:rsidR="009C0957" w:rsidRPr="00B06893" w:rsidRDefault="009C0957" w:rsidP="009C0957">
      <w:pPr>
        <w:pStyle w:val="3-BodyText"/>
        <w:numPr>
          <w:ilvl w:val="0"/>
          <w:numId w:val="0"/>
        </w:numPr>
        <w:ind w:left="720"/>
      </w:pPr>
    </w:p>
    <w:p w14:paraId="3ECA1199" w14:textId="3A0C89FD" w:rsidR="006F296B" w:rsidRPr="00B06893" w:rsidRDefault="006F296B" w:rsidP="006F296B">
      <w:pPr>
        <w:pStyle w:val="3-BodyText"/>
      </w:pPr>
      <w:r w:rsidRPr="00B06893">
        <w:t>The submission included costs associated with vaccination procurement, vaccination administration, adverse events, infection related myocarditis, outpatient care (including emergency department visits), in</w:t>
      </w:r>
      <w:r w:rsidR="00193971">
        <w:noBreakHyphen/>
      </w:r>
      <w:r w:rsidRPr="00B06893">
        <w:t xml:space="preserve">patient care, and ongoing care associated </w:t>
      </w:r>
      <w:r w:rsidRPr="00B06893">
        <w:lastRenderedPageBreak/>
        <w:t>with long</w:t>
      </w:r>
      <w:r w:rsidR="00193971">
        <w:noBreakHyphen/>
      </w:r>
      <w:r w:rsidRPr="00B06893">
        <w:t xml:space="preserve">COVID. </w:t>
      </w:r>
      <w:r w:rsidR="0062618D" w:rsidRPr="00B06893">
        <w:t>The decision to include infection related myocarditis was not well justified, however this was not a driver of the model results.</w:t>
      </w:r>
    </w:p>
    <w:p w14:paraId="0E2D071E" w14:textId="0F8396B4" w:rsidR="00DE5F6D" w:rsidRPr="00B06893" w:rsidRDefault="00D23F29" w:rsidP="00501A02">
      <w:pPr>
        <w:pStyle w:val="3-BodyText"/>
      </w:pPr>
      <w:r w:rsidRPr="00B06893">
        <w:t>The evaluation considered that a</w:t>
      </w:r>
      <w:r w:rsidR="006F296B" w:rsidRPr="00B06893">
        <w:t xml:space="preserve">s the submission included only Grade 3 adverse events, the average cost per Grade 3 adverse event of $14.87 appears to be low. </w:t>
      </w:r>
      <w:r w:rsidR="006735CA" w:rsidRPr="00B06893">
        <w:t>Grade 3 events are “Severe” adverse events that typically prevent daily activity and require medical intervention based on the standard toxicity grading scale used for vaccine trials (Chu 2021</w:t>
      </w:r>
      <w:r w:rsidR="006735CA" w:rsidRPr="00B06893">
        <w:rPr>
          <w:rStyle w:val="FootnoteReference"/>
        </w:rPr>
        <w:footnoteReference w:id="37"/>
      </w:r>
      <w:r w:rsidR="006735CA" w:rsidRPr="00B06893">
        <w:t>).</w:t>
      </w:r>
      <w:r w:rsidR="00580BAD">
        <w:t xml:space="preserve"> </w:t>
      </w:r>
      <w:r w:rsidR="00703B25" w:rsidRPr="00B06893">
        <w:t>The evaluation respecified base case assumed that a Grade 3 event requires at least one GP visit, costed at MBS item 23</w:t>
      </w:r>
      <w:r w:rsidR="00703B25" w:rsidRPr="00B06893">
        <w:rPr>
          <w:iCs/>
        </w:rPr>
        <w:t>.</w:t>
      </w:r>
      <w:r w:rsidR="00580BAD">
        <w:rPr>
          <w:iCs/>
        </w:rPr>
        <w:t xml:space="preserve"> </w:t>
      </w:r>
      <w:r w:rsidR="00703B25" w:rsidRPr="00B06893">
        <w:rPr>
          <w:iCs/>
        </w:rPr>
        <w:t>The PSCR did not accept this change</w:t>
      </w:r>
      <w:r w:rsidR="00A15D0C" w:rsidRPr="00B06893">
        <w:rPr>
          <w:iCs/>
        </w:rPr>
        <w:t>, arguing that the evaluation had overestimated the proportion of individuals that would visit a GP.</w:t>
      </w:r>
      <w:r w:rsidR="00580BAD">
        <w:rPr>
          <w:iCs/>
        </w:rPr>
        <w:t xml:space="preserve"> </w:t>
      </w:r>
      <w:r w:rsidR="00A15D0C" w:rsidRPr="00B06893">
        <w:rPr>
          <w:iCs/>
        </w:rPr>
        <w:t>The PSCR argued that according to the AusVax Safety database, less than 1% of vaccinated individuals reported visiting a GP after receiving a COVID</w:t>
      </w:r>
      <w:r w:rsidR="00193971">
        <w:rPr>
          <w:iCs/>
        </w:rPr>
        <w:noBreakHyphen/>
      </w:r>
      <w:r w:rsidR="00A15D0C" w:rsidRPr="00B06893">
        <w:rPr>
          <w:iCs/>
        </w:rPr>
        <w:t>19 vaccine</w:t>
      </w:r>
      <w:r w:rsidR="006C53FC" w:rsidRPr="00B06893">
        <w:rPr>
          <w:iCs/>
        </w:rPr>
        <w:t>.</w:t>
      </w:r>
      <w:r w:rsidR="00580BAD">
        <w:rPr>
          <w:iCs/>
        </w:rPr>
        <w:t xml:space="preserve"> </w:t>
      </w:r>
      <w:r w:rsidR="006C53FC" w:rsidRPr="00B06893">
        <w:rPr>
          <w:iCs/>
        </w:rPr>
        <w:t xml:space="preserve">However, the ESC noted that the cited AusVax safety report refers to 0.9% of all vaccinated individuals reporting a visit to GP or emergency department, which does not reflect the rate for individuals who experienced Grade 3 </w:t>
      </w:r>
      <w:r w:rsidR="006735CA" w:rsidRPr="00B06893">
        <w:rPr>
          <w:iCs/>
        </w:rPr>
        <w:t xml:space="preserve">(Severe) </w:t>
      </w:r>
      <w:r w:rsidR="006C53FC" w:rsidRPr="00B06893">
        <w:rPr>
          <w:iCs/>
        </w:rPr>
        <w:t>adverse events</w:t>
      </w:r>
      <w:r w:rsidR="006C53FC" w:rsidRPr="00B06893">
        <w:rPr>
          <w:rStyle w:val="FootnoteReference"/>
          <w:iCs/>
        </w:rPr>
        <w:footnoteReference w:id="38"/>
      </w:r>
      <w:r w:rsidR="006C53FC" w:rsidRPr="00B06893">
        <w:rPr>
          <w:iCs/>
        </w:rPr>
        <w:t>.</w:t>
      </w:r>
      <w:bookmarkStart w:id="78" w:name="_Ref221884333"/>
    </w:p>
    <w:p w14:paraId="5714C5E3" w14:textId="6C514CE9" w:rsidR="00E24E3B" w:rsidRPr="00B06893" w:rsidRDefault="003219C9" w:rsidP="00501A02">
      <w:pPr>
        <w:pStyle w:val="3-BodyText"/>
      </w:pPr>
      <w:r w:rsidRPr="00B06893">
        <w:t xml:space="preserve">The evaluation suggested that </w:t>
      </w:r>
      <w:r w:rsidR="006F296B" w:rsidRPr="00B06893">
        <w:t xml:space="preserve">the submission </w:t>
      </w:r>
      <w:r w:rsidRPr="00B06893">
        <w:t xml:space="preserve">had </w:t>
      </w:r>
      <w:r w:rsidR="006F296B" w:rsidRPr="00B06893">
        <w:t>underestimated the cost of hospitalisations in the model. Hospitalisations were derived using 2025</w:t>
      </w:r>
      <w:r w:rsidR="00193971">
        <w:noBreakHyphen/>
      </w:r>
      <w:r w:rsidR="006F296B" w:rsidRPr="00B06893">
        <w:t>26 NEP price weights for nominated AR</w:t>
      </w:r>
      <w:r w:rsidR="00193971">
        <w:noBreakHyphen/>
      </w:r>
      <w:r w:rsidR="006F296B" w:rsidRPr="00B06893">
        <w:t>DRGs (E62A and E62B for hospitalisations, E40A, E40B, E41A and E41B for ICU and ventilation). However, COVID</w:t>
      </w:r>
      <w:r w:rsidR="00193971">
        <w:noBreakHyphen/>
      </w:r>
      <w:r w:rsidR="006F296B" w:rsidRPr="00B06893">
        <w:t xml:space="preserve">19 hospitalisations </w:t>
      </w:r>
      <w:r w:rsidR="00D23F29" w:rsidRPr="00B06893">
        <w:t>may</w:t>
      </w:r>
      <w:r w:rsidR="006F296B" w:rsidRPr="00B06893">
        <w:t xml:space="preserve"> have a longer average length of stay compared with that of the AR</w:t>
      </w:r>
      <w:r w:rsidR="00193971">
        <w:noBreakHyphen/>
      </w:r>
      <w:r w:rsidR="006F296B" w:rsidRPr="00B06893">
        <w:t>DRGs used to estimate hospitalisation costs. AIHW reported an average length of stay for all COVID separations of 12 days, 31 days for separations involving ventilation and 24 days for separations involving ICU</w:t>
      </w:r>
      <w:r w:rsidRPr="00B06893">
        <w:t xml:space="preserve"> 2023–24</w:t>
      </w:r>
      <w:r w:rsidR="006F296B" w:rsidRPr="00B06893">
        <w:rPr>
          <w:rStyle w:val="FootnoteReference"/>
        </w:rPr>
        <w:footnoteReference w:id="39"/>
      </w:r>
      <w:r w:rsidR="006F296B" w:rsidRPr="00B06893">
        <w:t>. However, AR</w:t>
      </w:r>
      <w:r w:rsidR="00193971">
        <w:noBreakHyphen/>
      </w:r>
      <w:r w:rsidR="006F296B" w:rsidRPr="00B06893">
        <w:t xml:space="preserve">DRGs used to determine the cost of COVID hospitalisations, ICU and ventilations have average lengths of stay ranging from 3 days to 12 days. In several cases, the AIHW estimated length of stay </w:t>
      </w:r>
      <w:r w:rsidR="00D23F29" w:rsidRPr="00B06893">
        <w:t xml:space="preserve">exceeded </w:t>
      </w:r>
      <w:r w:rsidR="006F296B" w:rsidRPr="00B06893">
        <w:t>the inlier bounds for ALOS for the nominated AR</w:t>
      </w:r>
      <w:r w:rsidR="00193971">
        <w:noBreakHyphen/>
      </w:r>
      <w:r w:rsidR="006F296B" w:rsidRPr="00B06893">
        <w:t xml:space="preserve">DRGs. </w:t>
      </w:r>
      <w:r w:rsidR="00D23F29" w:rsidRPr="00B06893">
        <w:t>The evaluation found that i</w:t>
      </w:r>
      <w:r w:rsidR="006F296B" w:rsidRPr="00B06893">
        <w:t xml:space="preserve">ncreasing hospitalisation costs to reflect longer average hospital stays </w:t>
      </w:r>
      <w:r w:rsidR="00D23F29" w:rsidRPr="00B06893">
        <w:t xml:space="preserve">had </w:t>
      </w:r>
      <w:r w:rsidR="006F296B" w:rsidRPr="00B06893">
        <w:t>a moderate impact on the model.</w:t>
      </w:r>
      <w:r w:rsidR="00580BAD">
        <w:t xml:space="preserve"> </w:t>
      </w:r>
      <w:r w:rsidR="00E24E3B" w:rsidRPr="00B06893">
        <w:rPr>
          <w:iCs/>
        </w:rPr>
        <w:t xml:space="preserve">However, </w:t>
      </w:r>
      <w:r w:rsidR="00DC25C0" w:rsidRPr="00B06893">
        <w:rPr>
          <w:iCs/>
        </w:rPr>
        <w:t>the ESC noted that the PBAC had previously considered costs of COVID</w:t>
      </w:r>
      <w:r w:rsidR="00193971">
        <w:rPr>
          <w:iCs/>
        </w:rPr>
        <w:noBreakHyphen/>
      </w:r>
      <w:r w:rsidR="00DC25C0" w:rsidRPr="00B06893">
        <w:rPr>
          <w:iCs/>
        </w:rPr>
        <w:t>19 hospitalisation when considering the cost</w:t>
      </w:r>
      <w:r w:rsidR="00193971">
        <w:rPr>
          <w:iCs/>
        </w:rPr>
        <w:noBreakHyphen/>
      </w:r>
      <w:r w:rsidR="00DC25C0" w:rsidRPr="00B06893">
        <w:rPr>
          <w:iCs/>
        </w:rPr>
        <w:t>effectiveness evaluation for Comirnaty in May 2025 and December 2025.</w:t>
      </w:r>
      <w:r w:rsidR="00580BAD">
        <w:rPr>
          <w:iCs/>
        </w:rPr>
        <w:t xml:space="preserve"> </w:t>
      </w:r>
      <w:r w:rsidR="00DC25C0" w:rsidRPr="00B06893">
        <w:rPr>
          <w:iCs/>
        </w:rPr>
        <w:t>The ESC advised that the Spikevax model should use consistent values, since the PBAC had given recent advice on these specific inputs.</w:t>
      </w:r>
      <w:r w:rsidR="00580BAD">
        <w:rPr>
          <w:iCs/>
        </w:rPr>
        <w:t xml:space="preserve"> </w:t>
      </w:r>
      <w:r w:rsidR="00DC25C0" w:rsidRPr="00B06893">
        <w:rPr>
          <w:iCs/>
        </w:rPr>
        <w:t>T</w:t>
      </w:r>
      <w:r w:rsidR="00E24E3B" w:rsidRPr="00B06893">
        <w:rPr>
          <w:iCs/>
        </w:rPr>
        <w:t xml:space="preserve">he ESC noted that median length of stay for separations with </w:t>
      </w:r>
      <w:r w:rsidR="00E24E3B" w:rsidRPr="00B06893">
        <w:rPr>
          <w:iCs/>
        </w:rPr>
        <w:lastRenderedPageBreak/>
        <w:t>a COVID</w:t>
      </w:r>
      <w:r w:rsidR="00193971">
        <w:rPr>
          <w:iCs/>
        </w:rPr>
        <w:noBreakHyphen/>
      </w:r>
      <w:r w:rsidR="00E24E3B" w:rsidRPr="00B06893">
        <w:rPr>
          <w:iCs/>
        </w:rPr>
        <w:t>19 diagnosis in 2023–24 was 4 days</w:t>
      </w:r>
      <w:r w:rsidR="00E24E3B" w:rsidRPr="00B06893">
        <w:rPr>
          <w:rStyle w:val="FootnoteReference"/>
          <w:iCs/>
        </w:rPr>
        <w:footnoteReference w:id="40"/>
      </w:r>
      <w:r w:rsidR="00E24E3B" w:rsidRPr="00B06893">
        <w:rPr>
          <w:iCs/>
        </w:rPr>
        <w:t xml:space="preserve">, and </w:t>
      </w:r>
      <w:r w:rsidR="00EF1225" w:rsidRPr="00B06893">
        <w:rPr>
          <w:iCs/>
        </w:rPr>
        <w:t xml:space="preserve">considered </w:t>
      </w:r>
      <w:r w:rsidR="00E24E3B" w:rsidRPr="00B06893">
        <w:rPr>
          <w:iCs/>
        </w:rPr>
        <w:t>the AR</w:t>
      </w:r>
      <w:r w:rsidR="00193971">
        <w:rPr>
          <w:iCs/>
        </w:rPr>
        <w:noBreakHyphen/>
      </w:r>
      <w:r w:rsidR="00E24E3B" w:rsidRPr="00B06893">
        <w:rPr>
          <w:iCs/>
        </w:rPr>
        <w:t xml:space="preserve">DRGs </w:t>
      </w:r>
      <w:r w:rsidR="00EF1225" w:rsidRPr="00B06893">
        <w:rPr>
          <w:iCs/>
        </w:rPr>
        <w:t xml:space="preserve">costs applied </w:t>
      </w:r>
      <w:r w:rsidR="00E24E3B" w:rsidRPr="00B06893">
        <w:rPr>
          <w:iCs/>
        </w:rPr>
        <w:t>by the submission w</w:t>
      </w:r>
      <w:r w:rsidR="00EF1225" w:rsidRPr="00B06893">
        <w:rPr>
          <w:iCs/>
        </w:rPr>
        <w:t>ere</w:t>
      </w:r>
      <w:r w:rsidR="00E24E3B" w:rsidRPr="00B06893">
        <w:rPr>
          <w:iCs/>
        </w:rPr>
        <w:t xml:space="preserve"> reasonable</w:t>
      </w:r>
      <w:r w:rsidR="00EF1225" w:rsidRPr="00B06893">
        <w:rPr>
          <w:iCs/>
        </w:rPr>
        <w:t xml:space="preserve"> and were consistent with the </w:t>
      </w:r>
      <w:r w:rsidR="00DC25C0" w:rsidRPr="00B06893">
        <w:rPr>
          <w:iCs/>
        </w:rPr>
        <w:t xml:space="preserve">costs </w:t>
      </w:r>
      <w:r w:rsidR="00EF1225" w:rsidRPr="00B06893">
        <w:rPr>
          <w:iCs/>
        </w:rPr>
        <w:t>previously accepted for COVID</w:t>
      </w:r>
      <w:r w:rsidR="00193971">
        <w:rPr>
          <w:iCs/>
        </w:rPr>
        <w:noBreakHyphen/>
      </w:r>
      <w:r w:rsidR="00EF1225" w:rsidRPr="00B06893">
        <w:rPr>
          <w:iCs/>
        </w:rPr>
        <w:t>19 hospitalisations (</w:t>
      </w:r>
      <w:proofErr w:type="spellStart"/>
      <w:r w:rsidR="00DC25C0" w:rsidRPr="00B06893">
        <w:rPr>
          <w:iCs/>
        </w:rPr>
        <w:t>Raxtozinameran</w:t>
      </w:r>
      <w:proofErr w:type="spellEnd"/>
      <w:r w:rsidR="00DC25C0" w:rsidRPr="00B06893">
        <w:rPr>
          <w:iCs/>
        </w:rPr>
        <w:t xml:space="preserve"> May 2025 PSD, Table 10).</w:t>
      </w:r>
      <w:bookmarkEnd w:id="78"/>
    </w:p>
    <w:p w14:paraId="4A33F783" w14:textId="2178F182" w:rsidR="006F296B" w:rsidRPr="00B06893" w:rsidRDefault="009040B5" w:rsidP="006F296B">
      <w:pPr>
        <w:pStyle w:val="3-BodyText"/>
      </w:pPr>
      <w:r w:rsidRPr="00B06893">
        <w:t xml:space="preserve">The evaluation noted there were </w:t>
      </w:r>
      <w:proofErr w:type="gramStart"/>
      <w:r w:rsidR="006F296B" w:rsidRPr="00B06893">
        <w:t>a number of</w:t>
      </w:r>
      <w:proofErr w:type="gramEnd"/>
      <w:r w:rsidR="006F296B" w:rsidRPr="00B06893">
        <w:t xml:space="preserve"> key drivers in the model. </w:t>
      </w:r>
      <w:r w:rsidRPr="00B06893">
        <w:t xml:space="preserve">It noted that </w:t>
      </w:r>
      <w:r w:rsidR="006F296B" w:rsidRPr="00B06893">
        <w:t xml:space="preserve">the estimates of </w:t>
      </w:r>
      <w:r w:rsidR="000948F8" w:rsidRPr="00B06893">
        <w:t>VE</w:t>
      </w:r>
      <w:r w:rsidR="006F296B" w:rsidRPr="00B06893">
        <w:t xml:space="preserve"> for infections and hospitalisations (estimated for the KP.2 variant of Spikevax) </w:t>
      </w:r>
      <w:r w:rsidRPr="00B06893">
        <w:t xml:space="preserve">were </w:t>
      </w:r>
      <w:r w:rsidR="006F296B" w:rsidRPr="00B06893">
        <w:t xml:space="preserve">key drivers, and </w:t>
      </w:r>
      <w:r w:rsidRPr="00B06893">
        <w:t xml:space="preserve">had </w:t>
      </w:r>
      <w:r w:rsidR="006F296B" w:rsidRPr="00B06893">
        <w:t>been derived from an observational study.</w:t>
      </w:r>
      <w:r w:rsidR="00357183" w:rsidRPr="00B06893">
        <w:t xml:space="preserve"> </w:t>
      </w:r>
      <w:r w:rsidRPr="00B06893">
        <w:t xml:space="preserve">and </w:t>
      </w:r>
      <w:r w:rsidR="00357183" w:rsidRPr="00B06893">
        <w:t xml:space="preserve">the duration of </w:t>
      </w:r>
      <w:r w:rsidR="000948F8" w:rsidRPr="00B06893">
        <w:t>VE</w:t>
      </w:r>
      <w:r w:rsidR="00357183" w:rsidRPr="00B06893">
        <w:t xml:space="preserve"> applied in the model </w:t>
      </w:r>
      <w:r w:rsidR="00A62B0A" w:rsidRPr="00B06893">
        <w:t xml:space="preserve">(a product of estimates of waning effectiveness) </w:t>
      </w:r>
      <w:r w:rsidRPr="00B06893">
        <w:t xml:space="preserve">was </w:t>
      </w:r>
      <w:r w:rsidR="00A62B0A" w:rsidRPr="00B06893">
        <w:t>uncertain and may not be reasonable.</w:t>
      </w:r>
      <w:r w:rsidR="006F296B" w:rsidRPr="00B06893">
        <w:t xml:space="preserve"> </w:t>
      </w:r>
    </w:p>
    <w:p w14:paraId="47738694" w14:textId="011E976E" w:rsidR="00D85592" w:rsidRPr="00B06893" w:rsidRDefault="006F296B" w:rsidP="00501A02">
      <w:pPr>
        <w:pStyle w:val="3-BodyText"/>
      </w:pPr>
      <w:r w:rsidRPr="00B06893">
        <w:t xml:space="preserve">Many </w:t>
      </w:r>
      <w:r w:rsidR="009040B5" w:rsidRPr="00B06893">
        <w:t>issues</w:t>
      </w:r>
      <w:r w:rsidRPr="00B06893">
        <w:t xml:space="preserve"> included in the table below are not uncertain, but represent errors in the model, inappropriate use of data, or use of less applicable data when more recent data </w:t>
      </w:r>
      <w:r w:rsidR="009040B5" w:rsidRPr="00B06893">
        <w:t xml:space="preserve">were </w:t>
      </w:r>
      <w:r w:rsidRPr="00B06893">
        <w:t xml:space="preserve">available. These issues </w:t>
      </w:r>
      <w:r w:rsidR="009040B5" w:rsidRPr="00B06893">
        <w:t>were</w:t>
      </w:r>
      <w:r w:rsidRPr="00B06893">
        <w:t xml:space="preserve"> addressed in an evaluation re</w:t>
      </w:r>
      <w:r w:rsidR="00193971">
        <w:noBreakHyphen/>
      </w:r>
      <w:r w:rsidRPr="00B06893">
        <w:t>specified base case.</w:t>
      </w:r>
    </w:p>
    <w:p w14:paraId="35FEC8B6" w14:textId="0DCFB522" w:rsidR="00D85592" w:rsidRPr="00B06893" w:rsidRDefault="00D85592" w:rsidP="007C4BF7">
      <w:pPr>
        <w:keepNext/>
        <w:keepLines/>
        <w:rPr>
          <w:rFonts w:ascii="Arial Narrow" w:hAnsi="Arial Narrow" w:cs="Arial"/>
          <w:b/>
          <w:bCs/>
          <w:sz w:val="20"/>
        </w:rPr>
      </w:pPr>
      <w:r w:rsidRPr="00B06893">
        <w:rPr>
          <w:rFonts w:ascii="Arial Narrow" w:hAnsi="Arial Narrow" w:cs="Arial"/>
          <w:b/>
          <w:bCs/>
          <w:sz w:val="20"/>
          <w:szCs w:val="18"/>
        </w:rPr>
        <w:t xml:space="preserve">Table </w:t>
      </w:r>
      <w:r w:rsidR="00B531BD" w:rsidRPr="00B06893">
        <w:rPr>
          <w:rFonts w:ascii="Arial Narrow" w:hAnsi="Arial Narrow" w:cs="Arial"/>
          <w:b/>
          <w:bCs/>
          <w:sz w:val="20"/>
          <w:szCs w:val="18"/>
        </w:rPr>
        <w:fldChar w:fldCharType="begin"/>
      </w:r>
      <w:r w:rsidR="00B531BD" w:rsidRPr="00B06893">
        <w:rPr>
          <w:rFonts w:ascii="Arial Narrow" w:hAnsi="Arial Narrow" w:cs="Arial"/>
          <w:b/>
          <w:bCs/>
          <w:sz w:val="20"/>
          <w:szCs w:val="18"/>
        </w:rPr>
        <w:instrText xml:space="preserve"> SEQ Table \* ARABIC </w:instrText>
      </w:r>
      <w:r w:rsidR="00B531BD" w:rsidRPr="00B06893">
        <w:rPr>
          <w:rFonts w:ascii="Arial Narrow" w:hAnsi="Arial Narrow" w:cs="Arial"/>
          <w:b/>
          <w:bCs/>
          <w:sz w:val="20"/>
          <w:szCs w:val="18"/>
        </w:rPr>
        <w:fldChar w:fldCharType="separate"/>
      </w:r>
      <w:r w:rsidR="00810177" w:rsidRPr="00B06893">
        <w:rPr>
          <w:rFonts w:ascii="Arial Narrow" w:hAnsi="Arial Narrow" w:cs="Arial"/>
          <w:b/>
          <w:bCs/>
          <w:sz w:val="20"/>
          <w:szCs w:val="18"/>
        </w:rPr>
        <w:t>27</w:t>
      </w:r>
      <w:r w:rsidR="00B531BD" w:rsidRPr="00B06893">
        <w:rPr>
          <w:rFonts w:ascii="Arial Narrow" w:hAnsi="Arial Narrow" w:cs="Arial"/>
          <w:b/>
          <w:bCs/>
          <w:sz w:val="20"/>
          <w:szCs w:val="18"/>
        </w:rPr>
        <w:fldChar w:fldCharType="end"/>
      </w:r>
      <w:r w:rsidRPr="00B06893">
        <w:rPr>
          <w:rFonts w:ascii="Arial Narrow" w:hAnsi="Arial Narrow" w:cs="Arial"/>
          <w:b/>
          <w:bCs/>
          <w:sz w:val="20"/>
          <w:szCs w:val="18"/>
        </w:rPr>
        <w:t>:</w:t>
      </w:r>
      <w:r w:rsidRPr="00B06893">
        <w:rPr>
          <w:rFonts w:ascii="Arial Narrow" w:hAnsi="Arial Narrow" w:cs="Arial"/>
          <w:b/>
          <w:bCs/>
          <w:sz w:val="20"/>
        </w:rPr>
        <w:t xml:space="preserve"> </w:t>
      </w:r>
      <w:r w:rsidR="00A90D22" w:rsidRPr="00B06893">
        <w:rPr>
          <w:rFonts w:ascii="Arial Narrow" w:hAnsi="Arial Narrow" w:cs="Arial"/>
          <w:b/>
          <w:bCs/>
          <w:sz w:val="20"/>
        </w:rPr>
        <w:t xml:space="preserve">Issues noted by the </w:t>
      </w:r>
      <w:r w:rsidR="00E46D85" w:rsidRPr="00B06893">
        <w:rPr>
          <w:rFonts w:ascii="Arial Narrow" w:hAnsi="Arial Narrow" w:cs="Arial"/>
          <w:b/>
          <w:bCs/>
          <w:sz w:val="20"/>
        </w:rPr>
        <w:t xml:space="preserve">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7: Issues noted by the evaluation "/>
      </w:tblPr>
      <w:tblGrid>
        <w:gridCol w:w="1129"/>
        <w:gridCol w:w="4820"/>
        <w:gridCol w:w="3068"/>
      </w:tblGrid>
      <w:tr w:rsidR="007C4BF7" w:rsidRPr="00B06893" w14:paraId="5B040D39" w14:textId="77777777" w:rsidTr="00F0452A">
        <w:trPr>
          <w:cantSplit/>
          <w:tblHeader/>
        </w:trPr>
        <w:tc>
          <w:tcPr>
            <w:tcW w:w="626" w:type="pct"/>
            <w:vAlign w:val="center"/>
          </w:tcPr>
          <w:p w14:paraId="53F1FE87" w14:textId="77777777" w:rsidR="007C4BF7" w:rsidRPr="00B06893" w:rsidRDefault="007C4BF7" w:rsidP="00F0452A">
            <w:pPr>
              <w:keepLines/>
              <w:jc w:val="center"/>
              <w:rPr>
                <w:rFonts w:ascii="Arial Narrow" w:eastAsiaTheme="majorEastAsia" w:hAnsi="Arial Narrow"/>
                <w:b/>
                <w:sz w:val="20"/>
              </w:rPr>
            </w:pPr>
            <w:r w:rsidRPr="00B06893">
              <w:rPr>
                <w:rFonts w:ascii="Arial Narrow" w:eastAsiaTheme="majorEastAsia" w:hAnsi="Arial Narrow"/>
                <w:b/>
                <w:sz w:val="20"/>
              </w:rPr>
              <w:t>Description</w:t>
            </w:r>
          </w:p>
        </w:tc>
        <w:tc>
          <w:tcPr>
            <w:tcW w:w="2673" w:type="pct"/>
            <w:vAlign w:val="center"/>
          </w:tcPr>
          <w:p w14:paraId="05BE5916" w14:textId="77777777" w:rsidR="007C4BF7" w:rsidRPr="00B06893" w:rsidRDefault="007C4BF7" w:rsidP="00F0452A">
            <w:pPr>
              <w:keepLines/>
              <w:jc w:val="center"/>
              <w:rPr>
                <w:rFonts w:ascii="Arial Narrow" w:eastAsiaTheme="majorEastAsia" w:hAnsi="Arial Narrow"/>
                <w:b/>
                <w:sz w:val="20"/>
              </w:rPr>
            </w:pPr>
            <w:r w:rsidRPr="00B06893">
              <w:rPr>
                <w:rFonts w:ascii="Arial Narrow" w:eastAsiaTheme="majorEastAsia" w:hAnsi="Arial Narrow"/>
                <w:b/>
                <w:sz w:val="20"/>
              </w:rPr>
              <w:t>Method/Value</w:t>
            </w:r>
          </w:p>
        </w:tc>
        <w:tc>
          <w:tcPr>
            <w:tcW w:w="1701" w:type="pct"/>
            <w:vAlign w:val="center"/>
          </w:tcPr>
          <w:p w14:paraId="726C64E0" w14:textId="77777777" w:rsidR="007C4BF7" w:rsidRPr="00B06893" w:rsidRDefault="007C4BF7" w:rsidP="00F0452A">
            <w:pPr>
              <w:keepLines/>
              <w:jc w:val="center"/>
              <w:rPr>
                <w:rFonts w:ascii="Arial Narrow" w:eastAsiaTheme="majorEastAsia" w:hAnsi="Arial Narrow"/>
                <w:b/>
                <w:sz w:val="20"/>
              </w:rPr>
            </w:pPr>
            <w:r w:rsidRPr="00B06893">
              <w:rPr>
                <w:rFonts w:ascii="Arial Narrow" w:eastAsiaTheme="majorEastAsia" w:hAnsi="Arial Narrow"/>
                <w:b/>
                <w:sz w:val="20"/>
              </w:rPr>
              <w:t>Impact</w:t>
            </w:r>
          </w:p>
          <w:p w14:paraId="4366D4F1" w14:textId="22D7D0B1" w:rsidR="007C4BF7" w:rsidRPr="00B06893" w:rsidRDefault="007C4BF7" w:rsidP="00F0452A">
            <w:pPr>
              <w:keepLines/>
              <w:jc w:val="center"/>
              <w:rPr>
                <w:rFonts w:ascii="Arial Narrow" w:eastAsiaTheme="majorEastAsia" w:hAnsi="Arial Narrow"/>
                <w:b/>
                <w:sz w:val="20"/>
              </w:rPr>
            </w:pPr>
            <w:r w:rsidRPr="00B06893">
              <w:rPr>
                <w:rFonts w:ascii="Arial Narrow" w:eastAsiaTheme="majorEastAsia" w:hAnsi="Arial Narrow"/>
                <w:b/>
                <w:sz w:val="20"/>
              </w:rPr>
              <w:t>Base case: $</w:t>
            </w:r>
            <w:r w:rsidR="00FF3F29" w:rsidRPr="00FF3F29">
              <w:rPr>
                <w:rFonts w:ascii="Arial Narrow" w:eastAsiaTheme="majorEastAsia" w:hAnsi="Arial Narrow"/>
                <w:b/>
                <w:sz w:val="2"/>
                <w:highlight w:val="black"/>
              </w:rPr>
              <w:t>redacted content</w:t>
            </w:r>
            <w:r w:rsidR="00E11858">
              <w:rPr>
                <w:rFonts w:ascii="Arial Narrow" w:eastAsiaTheme="majorEastAsia" w:hAnsi="Arial Narrow"/>
                <w:b/>
                <w:sz w:val="20"/>
                <w:vertAlign w:val="superscript"/>
              </w:rPr>
              <w:t>1</w:t>
            </w:r>
            <w:r w:rsidRPr="00B06893">
              <w:rPr>
                <w:rFonts w:ascii="Arial Narrow" w:eastAsiaTheme="majorEastAsia" w:hAnsi="Arial Narrow"/>
                <w:b/>
                <w:sz w:val="20"/>
              </w:rPr>
              <w:t>/QALY gained</w:t>
            </w:r>
          </w:p>
        </w:tc>
      </w:tr>
      <w:tr w:rsidR="007C4BF7" w:rsidRPr="00B06893" w14:paraId="1DB35451" w14:textId="77777777" w:rsidTr="00F0452A">
        <w:trPr>
          <w:cantSplit/>
        </w:trPr>
        <w:tc>
          <w:tcPr>
            <w:tcW w:w="626" w:type="pct"/>
            <w:vAlign w:val="center"/>
          </w:tcPr>
          <w:p w14:paraId="457C1E38" w14:textId="77777777"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Readmissions</w:t>
            </w:r>
          </w:p>
        </w:tc>
        <w:tc>
          <w:tcPr>
            <w:tcW w:w="2673" w:type="pct"/>
            <w:vAlign w:val="center"/>
          </w:tcPr>
          <w:p w14:paraId="45A0345E" w14:textId="688D63BB"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submission includes 17.86% of all hospitalisations resulting in readmissions. Readmissions in the model only add costs and do not affect mortality or QALYs. The hospitalisation rate in the model is calibrated to AIHW hospitalisation data. The inclusion of 17.86% readmissions represents double</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counting. </w:t>
            </w:r>
          </w:p>
        </w:tc>
        <w:tc>
          <w:tcPr>
            <w:tcW w:w="1701" w:type="pct"/>
            <w:vAlign w:val="center"/>
          </w:tcPr>
          <w:p w14:paraId="2E05D4D0" w14:textId="2DD986D3" w:rsidR="007C4BF7" w:rsidRPr="00B06893" w:rsidRDefault="007C4BF7" w:rsidP="00F0452A">
            <w:pPr>
              <w:keepLines/>
              <w:jc w:val="left"/>
              <w:rPr>
                <w:rFonts w:ascii="Arial Narrow" w:eastAsiaTheme="majorEastAsia" w:hAnsi="Arial Narrow" w:cstheme="majorBidi"/>
                <w:b/>
                <w:sz w:val="20"/>
              </w:rPr>
            </w:pPr>
            <w:r w:rsidRPr="00B06893">
              <w:rPr>
                <w:rFonts w:ascii="Arial Narrow" w:eastAsiaTheme="majorEastAsia" w:hAnsi="Arial Narrow" w:cstheme="majorBidi"/>
                <w:bCs/>
                <w:sz w:val="20"/>
              </w:rPr>
              <w:t xml:space="preserve">Moderate, favours Spikevax. Removing readmissions from the base case increases the ICER by </w:t>
            </w:r>
            <w:r w:rsidR="00FF3F29" w:rsidRPr="00FF3F29">
              <w:rPr>
                <w:rFonts w:ascii="Arial Narrow" w:eastAsiaTheme="majorEastAsia" w:hAnsi="Arial Narrow" w:cstheme="majorBidi"/>
                <w:bCs/>
                <w:sz w:val="2"/>
                <w:highlight w:val="black"/>
              </w:rPr>
              <w:t>redacted content</w:t>
            </w:r>
            <w:r w:rsidRPr="00B06893">
              <w:rPr>
                <w:rFonts w:ascii="Arial Narrow" w:eastAsiaTheme="majorEastAsia" w:hAnsi="Arial Narrow" w:cstheme="majorBidi"/>
                <w:bCs/>
                <w:sz w:val="20"/>
              </w:rPr>
              <w:t>%. This parameter is more influential after errors are corrected in the model.</w:t>
            </w:r>
          </w:p>
          <w:p w14:paraId="30C20129" w14:textId="77777777"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
                <w:sz w:val="20"/>
              </w:rPr>
              <w:t>Inappropriate use of data.</w:t>
            </w:r>
          </w:p>
        </w:tc>
      </w:tr>
      <w:tr w:rsidR="007C4BF7" w:rsidRPr="00B06893" w14:paraId="2A021251" w14:textId="77777777" w:rsidTr="00F0452A">
        <w:trPr>
          <w:cantSplit/>
        </w:trPr>
        <w:tc>
          <w:tcPr>
            <w:tcW w:w="626" w:type="pct"/>
            <w:vAlign w:val="center"/>
          </w:tcPr>
          <w:p w14:paraId="03B679C7" w14:textId="3410C94F" w:rsidR="007C4BF7" w:rsidRPr="00B06893" w:rsidRDefault="000948F8"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VE</w:t>
            </w:r>
          </w:p>
        </w:tc>
        <w:tc>
          <w:tcPr>
            <w:tcW w:w="2673" w:type="pct"/>
            <w:vAlign w:val="center"/>
          </w:tcPr>
          <w:p w14:paraId="0A6A6C50" w14:textId="625DDB34"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 xml:space="preserve">The submission estimates </w:t>
            </w:r>
            <w:r w:rsidR="000948F8" w:rsidRPr="00B06893">
              <w:rPr>
                <w:rFonts w:ascii="Arial Narrow" w:eastAsiaTheme="majorEastAsia" w:hAnsi="Arial Narrow" w:cstheme="majorBidi"/>
                <w:bCs/>
                <w:sz w:val="20"/>
              </w:rPr>
              <w:t>VE</w:t>
            </w:r>
            <w:r w:rsidRPr="00B06893">
              <w:rPr>
                <w:rFonts w:ascii="Arial Narrow" w:eastAsiaTheme="majorEastAsia" w:hAnsi="Arial Narrow" w:cstheme="majorBidi"/>
                <w:bCs/>
                <w:sz w:val="20"/>
              </w:rPr>
              <w:t xml:space="preserve"> at 7 days 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vaccination based on an assumed linear rate of waning. If initial waning is slower or non</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linear, the initial VE may not be as high. </w:t>
            </w:r>
          </w:p>
        </w:tc>
        <w:tc>
          <w:tcPr>
            <w:tcW w:w="1701" w:type="pct"/>
            <w:vAlign w:val="center"/>
          </w:tcPr>
          <w:p w14:paraId="2FC9E233" w14:textId="23AD5A05"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 xml:space="preserve">Moderate, favours Spikevax. </w:t>
            </w:r>
            <w:proofErr w:type="gramStart"/>
            <w:r w:rsidRPr="00B06893">
              <w:rPr>
                <w:rFonts w:ascii="Arial Narrow" w:eastAsiaTheme="majorEastAsia" w:hAnsi="Arial Narrow" w:cstheme="majorBidi"/>
                <w:bCs/>
                <w:sz w:val="20"/>
              </w:rPr>
              <w:t>Assuming that</w:t>
            </w:r>
            <w:proofErr w:type="gramEnd"/>
            <w:r w:rsidRPr="00B06893">
              <w:rPr>
                <w:rFonts w:ascii="Arial Narrow" w:eastAsiaTheme="majorEastAsia" w:hAnsi="Arial Narrow" w:cstheme="majorBidi"/>
                <w:bCs/>
                <w:sz w:val="20"/>
              </w:rPr>
              <w:t xml:space="preserve"> the published estimate of VE (average follow up of 64 days) is correct for the first 2 months of the model results in a </w:t>
            </w:r>
            <w:r w:rsidR="00FF3F29" w:rsidRPr="00FF3F29">
              <w:rPr>
                <w:rFonts w:ascii="Arial Narrow" w:eastAsiaTheme="majorEastAsia" w:hAnsi="Arial Narrow" w:cstheme="majorBidi"/>
                <w:bCs/>
                <w:sz w:val="2"/>
                <w:highlight w:val="black"/>
              </w:rPr>
              <w:t>redacted content</w:t>
            </w:r>
            <w:r w:rsidRPr="00B06893">
              <w:rPr>
                <w:rFonts w:ascii="Arial Narrow" w:eastAsiaTheme="majorEastAsia" w:hAnsi="Arial Narrow" w:cstheme="majorBidi"/>
                <w:bCs/>
                <w:sz w:val="20"/>
              </w:rPr>
              <w:t xml:space="preserve">% increase in the ICER. </w:t>
            </w:r>
          </w:p>
          <w:p w14:paraId="6EF78DA6" w14:textId="77777777" w:rsidR="007C4BF7" w:rsidRPr="00B06893" w:rsidRDefault="007C4BF7" w:rsidP="00F0452A">
            <w:pPr>
              <w:keepLines/>
              <w:jc w:val="left"/>
              <w:rPr>
                <w:rFonts w:ascii="Arial Narrow" w:eastAsiaTheme="majorEastAsia" w:hAnsi="Arial Narrow" w:cstheme="majorBidi"/>
                <w:b/>
                <w:sz w:val="20"/>
              </w:rPr>
            </w:pPr>
            <w:r w:rsidRPr="00B06893">
              <w:rPr>
                <w:rFonts w:ascii="Arial Narrow" w:eastAsiaTheme="majorEastAsia" w:hAnsi="Arial Narrow" w:cstheme="majorBidi"/>
                <w:b/>
                <w:sz w:val="20"/>
              </w:rPr>
              <w:t>Uncertain.</w:t>
            </w:r>
          </w:p>
        </w:tc>
      </w:tr>
      <w:tr w:rsidR="007C4BF7" w:rsidRPr="00B06893" w14:paraId="04ACCAB6" w14:textId="77777777" w:rsidTr="00F0452A">
        <w:trPr>
          <w:cantSplit/>
        </w:trPr>
        <w:tc>
          <w:tcPr>
            <w:tcW w:w="626" w:type="pct"/>
            <w:vAlign w:val="center"/>
          </w:tcPr>
          <w:p w14:paraId="2C856E64" w14:textId="77777777"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Overall mortality</w:t>
            </w:r>
          </w:p>
        </w:tc>
        <w:tc>
          <w:tcPr>
            <w:tcW w:w="2673" w:type="pct"/>
            <w:vAlign w:val="center"/>
          </w:tcPr>
          <w:p w14:paraId="15E8B850" w14:textId="38AFF94E"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submission base case has used ABS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mortality estimates from FY2021</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22, which reported 6,988 deaths. More recent estimates indicate a reduction in mortality from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The FY2024</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25 ABS data reported 3,252 deaths from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w:t>
            </w:r>
          </w:p>
        </w:tc>
        <w:tc>
          <w:tcPr>
            <w:tcW w:w="1701" w:type="pct"/>
            <w:vAlign w:val="center"/>
          </w:tcPr>
          <w:p w14:paraId="1BF3A191" w14:textId="14E4E58A"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 xml:space="preserve">High, favours Spikevax. Using more recent estimates of mortality to derive mortality rates results in an increase in the ICER of approximately </w:t>
            </w:r>
            <w:r w:rsidR="00FF3F29" w:rsidRPr="00FF3F29">
              <w:rPr>
                <w:rFonts w:ascii="Arial Narrow" w:eastAsiaTheme="majorEastAsia" w:hAnsi="Arial Narrow" w:cstheme="majorBidi"/>
                <w:bCs/>
                <w:sz w:val="2"/>
                <w:highlight w:val="black"/>
              </w:rPr>
              <w:t xml:space="preserve">redacted </w:t>
            </w:r>
            <w:proofErr w:type="spellStart"/>
            <w:r w:rsidR="00FF3F29" w:rsidRPr="00FF3F29">
              <w:rPr>
                <w:rFonts w:ascii="Arial Narrow" w:eastAsiaTheme="majorEastAsia" w:hAnsi="Arial Narrow" w:cstheme="majorBidi"/>
                <w:bCs/>
                <w:sz w:val="2"/>
                <w:highlight w:val="black"/>
              </w:rPr>
              <w:t>content</w:t>
            </w:r>
            <w:r w:rsidRPr="00B06893">
              <w:rPr>
                <w:rFonts w:ascii="Arial Narrow" w:eastAsiaTheme="majorEastAsia" w:hAnsi="Arial Narrow" w:cstheme="majorBidi"/>
                <w:bCs/>
                <w:sz w:val="20"/>
              </w:rPr>
              <w:t>%</w:t>
            </w:r>
            <w:r w:rsidRPr="00B06893">
              <w:rPr>
                <w:rFonts w:ascii="Arial Narrow" w:eastAsiaTheme="majorEastAsia" w:hAnsi="Arial Narrow" w:cstheme="majorBidi"/>
                <w:bCs/>
                <w:sz w:val="20"/>
                <w:vertAlign w:val="superscript"/>
              </w:rPr>
              <w:t>a</w:t>
            </w:r>
            <w:proofErr w:type="spellEnd"/>
            <w:r w:rsidRPr="00B06893">
              <w:rPr>
                <w:rFonts w:ascii="Arial Narrow" w:eastAsiaTheme="majorEastAsia" w:hAnsi="Arial Narrow" w:cstheme="majorBidi"/>
                <w:bCs/>
                <w:sz w:val="20"/>
              </w:rPr>
              <w:t>.</w:t>
            </w:r>
          </w:p>
          <w:p w14:paraId="6C89FC9B" w14:textId="77777777" w:rsidR="007C4BF7" w:rsidRPr="00B06893" w:rsidRDefault="007C4BF7" w:rsidP="00F0452A">
            <w:pPr>
              <w:keepLines/>
              <w:jc w:val="left"/>
              <w:rPr>
                <w:rFonts w:ascii="Arial Narrow" w:eastAsiaTheme="majorEastAsia" w:hAnsi="Arial Narrow" w:cstheme="majorBidi"/>
                <w:b/>
                <w:sz w:val="20"/>
              </w:rPr>
            </w:pPr>
            <w:r w:rsidRPr="00B06893">
              <w:rPr>
                <w:rFonts w:ascii="Arial Narrow" w:eastAsiaTheme="majorEastAsia" w:hAnsi="Arial Narrow" w:cstheme="majorBidi"/>
                <w:b/>
                <w:sz w:val="20"/>
              </w:rPr>
              <w:t>Use of older data when newer estimates are available.</w:t>
            </w:r>
          </w:p>
        </w:tc>
      </w:tr>
      <w:tr w:rsidR="007C4BF7" w:rsidRPr="00B06893" w14:paraId="7CAE3E31" w14:textId="77777777" w:rsidTr="00F0452A">
        <w:trPr>
          <w:cantSplit/>
        </w:trPr>
        <w:tc>
          <w:tcPr>
            <w:tcW w:w="626" w:type="pct"/>
            <w:vAlign w:val="center"/>
          </w:tcPr>
          <w:p w14:paraId="73E95A17" w14:textId="48CFF1AB"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discharge mortality</w:t>
            </w:r>
          </w:p>
        </w:tc>
        <w:tc>
          <w:tcPr>
            <w:tcW w:w="2673" w:type="pct"/>
            <w:vAlign w:val="center"/>
          </w:tcPr>
          <w:p w14:paraId="5A322A7A" w14:textId="7A1E6095"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submission has assumed that 6.59% of all patients hospitalised, regardless of age group, will die following discharge</w:t>
            </w:r>
            <w:r w:rsidRPr="00B06893">
              <w:rPr>
                <w:rFonts w:ascii="Arial Narrow" w:eastAsiaTheme="majorEastAsia" w:hAnsi="Arial Narrow" w:cstheme="majorBidi"/>
                <w:bCs/>
                <w:sz w:val="20"/>
                <w:vertAlign w:val="superscript"/>
              </w:rPr>
              <w:t>b</w:t>
            </w:r>
            <w:r w:rsidRPr="00B06893">
              <w:rPr>
                <w:rFonts w:ascii="Arial Narrow" w:eastAsiaTheme="majorEastAsia" w:hAnsi="Arial Narrow" w:cstheme="majorBidi"/>
                <w:bCs/>
                <w:sz w:val="20"/>
              </w:rPr>
              <w:t>. This estimate is based on 1 year all</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cause mortality reported in a meta</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analysis. The model has already been calibrated to Australian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deaths. Although the model ‘accounts’ for a 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discharge percentage in the in</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hospital deaths, it does so inappropriately.</w:t>
            </w:r>
          </w:p>
        </w:tc>
        <w:tc>
          <w:tcPr>
            <w:tcW w:w="1701" w:type="pct"/>
            <w:vAlign w:val="center"/>
          </w:tcPr>
          <w:p w14:paraId="5194698E" w14:textId="2AE0776E"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High, favours Spikevax. Removing 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discharge mortality from the base case increases the ICER by </w:t>
            </w:r>
            <w:r w:rsidR="00FF3F29" w:rsidRPr="00FF3F29">
              <w:rPr>
                <w:rFonts w:ascii="Arial Narrow" w:eastAsiaTheme="majorEastAsia" w:hAnsi="Arial Narrow" w:cstheme="majorBidi"/>
                <w:bCs/>
                <w:sz w:val="2"/>
                <w:highlight w:val="black"/>
              </w:rPr>
              <w:t xml:space="preserve">redacted </w:t>
            </w:r>
            <w:proofErr w:type="spellStart"/>
            <w:r w:rsidR="00FF3F29" w:rsidRPr="00FF3F29">
              <w:rPr>
                <w:rFonts w:ascii="Arial Narrow" w:eastAsiaTheme="majorEastAsia" w:hAnsi="Arial Narrow" w:cstheme="majorBidi"/>
                <w:bCs/>
                <w:sz w:val="2"/>
                <w:highlight w:val="black"/>
              </w:rPr>
              <w:t>content</w:t>
            </w:r>
            <w:r w:rsidRPr="00B06893">
              <w:rPr>
                <w:rFonts w:ascii="Arial Narrow" w:eastAsiaTheme="majorEastAsia" w:hAnsi="Arial Narrow" w:cstheme="majorBidi"/>
                <w:bCs/>
                <w:sz w:val="20"/>
              </w:rPr>
              <w:t>%</w:t>
            </w:r>
            <w:r w:rsidRPr="00B06893">
              <w:rPr>
                <w:rFonts w:ascii="Arial Narrow" w:eastAsiaTheme="majorEastAsia" w:hAnsi="Arial Narrow" w:cstheme="majorBidi"/>
                <w:bCs/>
                <w:sz w:val="20"/>
                <w:vertAlign w:val="superscript"/>
              </w:rPr>
              <w:t>c</w:t>
            </w:r>
            <w:proofErr w:type="spellEnd"/>
            <w:r w:rsidRPr="00B06893">
              <w:rPr>
                <w:rFonts w:ascii="Arial Narrow" w:eastAsiaTheme="majorEastAsia" w:hAnsi="Arial Narrow" w:cstheme="majorBidi"/>
                <w:bCs/>
                <w:sz w:val="20"/>
              </w:rPr>
              <w:t>.</w:t>
            </w:r>
          </w:p>
          <w:p w14:paraId="45A24141" w14:textId="77777777" w:rsidR="007C4BF7" w:rsidRPr="00B06893" w:rsidRDefault="007C4BF7" w:rsidP="00F0452A">
            <w:pPr>
              <w:keepLines/>
              <w:jc w:val="left"/>
              <w:rPr>
                <w:rFonts w:ascii="Arial Narrow" w:eastAsiaTheme="majorEastAsia" w:hAnsi="Arial Narrow" w:cstheme="majorBidi"/>
                <w:b/>
                <w:sz w:val="20"/>
              </w:rPr>
            </w:pPr>
            <w:r w:rsidRPr="00B06893">
              <w:rPr>
                <w:rFonts w:ascii="Arial Narrow" w:eastAsiaTheme="majorEastAsia" w:hAnsi="Arial Narrow" w:cstheme="majorBidi"/>
                <w:b/>
                <w:sz w:val="20"/>
              </w:rPr>
              <w:t>Inappropriate use of data / error.</w:t>
            </w:r>
          </w:p>
        </w:tc>
      </w:tr>
      <w:tr w:rsidR="007C4BF7" w:rsidRPr="00B06893" w14:paraId="17EDAE3C" w14:textId="77777777" w:rsidTr="00F0452A">
        <w:trPr>
          <w:cantSplit/>
        </w:trPr>
        <w:tc>
          <w:tcPr>
            <w:tcW w:w="626" w:type="pct"/>
            <w:vAlign w:val="center"/>
          </w:tcPr>
          <w:p w14:paraId="4394C700" w14:textId="5E21DC4F"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lastRenderedPageBreak/>
              <w:t>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death LYs and QALYs</w:t>
            </w:r>
          </w:p>
        </w:tc>
        <w:tc>
          <w:tcPr>
            <w:tcW w:w="2673" w:type="pct"/>
            <w:vAlign w:val="center"/>
          </w:tcPr>
          <w:p w14:paraId="3DA325BD" w14:textId="53B63778"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submission assumes that death from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incurs a loss of life years and QALYs based on average life expectancy and average age</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specific utilities. Patients who die of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19 tend to have underlying health conditions. Adjusting for this results in a smaller loss of LYs and QALYs.</w:t>
            </w:r>
          </w:p>
        </w:tc>
        <w:tc>
          <w:tcPr>
            <w:tcW w:w="1701" w:type="pct"/>
            <w:vAlign w:val="center"/>
          </w:tcPr>
          <w:p w14:paraId="36EB9C3A" w14:textId="79FFE059"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High, favours Spikevax. Adjusting for the health status of patients who die from COVID</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19 increases the ICER by </w:t>
            </w:r>
            <w:r w:rsidR="00FF3F29" w:rsidRPr="00FF3F29">
              <w:rPr>
                <w:rFonts w:ascii="Arial Narrow" w:eastAsiaTheme="majorEastAsia" w:hAnsi="Arial Narrow" w:cstheme="majorBidi"/>
                <w:bCs/>
                <w:sz w:val="2"/>
                <w:highlight w:val="black"/>
              </w:rPr>
              <w:t>redacted content</w:t>
            </w:r>
            <w:r w:rsidRPr="00B06893">
              <w:rPr>
                <w:rFonts w:ascii="Arial Narrow" w:eastAsiaTheme="majorEastAsia" w:hAnsi="Arial Narrow" w:cstheme="majorBidi"/>
                <w:bCs/>
                <w:sz w:val="20"/>
              </w:rPr>
              <w:t>%</w:t>
            </w:r>
          </w:p>
          <w:p w14:paraId="07D52B60" w14:textId="77777777" w:rsidR="007C4BF7" w:rsidRPr="00B06893" w:rsidRDefault="007C4BF7" w:rsidP="00F0452A">
            <w:pPr>
              <w:keepLines/>
              <w:jc w:val="left"/>
              <w:rPr>
                <w:rFonts w:ascii="Arial Narrow" w:eastAsiaTheme="majorEastAsia" w:hAnsi="Arial Narrow" w:cstheme="majorBidi"/>
                <w:b/>
                <w:sz w:val="20"/>
              </w:rPr>
            </w:pPr>
            <w:r w:rsidRPr="00B06893">
              <w:rPr>
                <w:rFonts w:ascii="Arial Narrow" w:eastAsiaTheme="majorEastAsia" w:hAnsi="Arial Narrow" w:cstheme="majorBidi"/>
                <w:b/>
                <w:sz w:val="20"/>
              </w:rPr>
              <w:t>Incomplete data.</w:t>
            </w:r>
          </w:p>
        </w:tc>
      </w:tr>
      <w:tr w:rsidR="007C4BF7" w:rsidRPr="00B06893" w14:paraId="54D41D36" w14:textId="77777777" w:rsidTr="00F0452A">
        <w:trPr>
          <w:cantSplit/>
        </w:trPr>
        <w:tc>
          <w:tcPr>
            <w:tcW w:w="626" w:type="pct"/>
            <w:vAlign w:val="center"/>
          </w:tcPr>
          <w:p w14:paraId="1441FBA8" w14:textId="4D74EFF6"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COVID QALY decrements</w:t>
            </w:r>
          </w:p>
        </w:tc>
        <w:tc>
          <w:tcPr>
            <w:tcW w:w="2673" w:type="pct"/>
            <w:vAlign w:val="center"/>
          </w:tcPr>
          <w:p w14:paraId="426016ED" w14:textId="553771EA" w:rsidR="007C4BF7" w:rsidRPr="00B06893" w:rsidRDefault="007C4BF7" w:rsidP="00F0452A">
            <w:pPr>
              <w:keepLines/>
              <w:jc w:val="left"/>
              <w:rPr>
                <w:rFonts w:ascii="Arial Narrow" w:eastAsiaTheme="majorEastAsia" w:hAnsi="Arial Narrow" w:cstheme="majorBidi"/>
                <w:bCs/>
                <w:sz w:val="20"/>
              </w:rPr>
            </w:pPr>
            <w:bookmarkStart w:id="79" w:name="_Hlk221738120"/>
            <w:r w:rsidRPr="00B06893">
              <w:rPr>
                <w:rFonts w:ascii="Arial Narrow" w:eastAsiaTheme="majorEastAsia" w:hAnsi="Arial Narrow" w:cstheme="majorBidi"/>
                <w:bCs/>
                <w:sz w:val="20"/>
              </w:rPr>
              <w:t>Following the acute loss of quality of life due to symptomatic infection or hospitalisation, the submission has applied an additional QALY decrement to all patients based on EQ</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5D estimates over 6 months or 12 months following infection or hospitalisation. These estimates are prone to bias, and not likely applicable to the present day. </w:t>
            </w:r>
            <w:bookmarkEnd w:id="79"/>
          </w:p>
        </w:tc>
        <w:tc>
          <w:tcPr>
            <w:tcW w:w="1701" w:type="pct"/>
            <w:vAlign w:val="center"/>
          </w:tcPr>
          <w:p w14:paraId="7B5C5318" w14:textId="2F923C55"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High, favours Spikevax. Removing 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 xml:space="preserve">COVID QALY decrements from the model increases the ICER by </w:t>
            </w:r>
            <w:r w:rsidR="00FF3F29" w:rsidRPr="00FF3F29">
              <w:rPr>
                <w:rFonts w:ascii="Arial Narrow" w:eastAsiaTheme="majorEastAsia" w:hAnsi="Arial Narrow" w:cstheme="majorBidi"/>
                <w:bCs/>
                <w:sz w:val="2"/>
                <w:highlight w:val="black"/>
              </w:rPr>
              <w:t>redacted content</w:t>
            </w:r>
            <w:r w:rsidRPr="00B06893">
              <w:rPr>
                <w:rFonts w:ascii="Arial Narrow" w:eastAsiaTheme="majorEastAsia" w:hAnsi="Arial Narrow" w:cstheme="majorBidi"/>
                <w:bCs/>
                <w:sz w:val="20"/>
              </w:rPr>
              <w:t>%.</w:t>
            </w:r>
          </w:p>
          <w:p w14:paraId="1FECA71F" w14:textId="77777777" w:rsidR="007C4BF7" w:rsidRPr="00B06893" w:rsidRDefault="007C4BF7" w:rsidP="00F0452A">
            <w:pPr>
              <w:keepLines/>
              <w:jc w:val="left"/>
              <w:rPr>
                <w:rFonts w:ascii="Arial Narrow" w:eastAsiaTheme="majorEastAsia" w:hAnsi="Arial Narrow" w:cstheme="majorBidi"/>
                <w:b/>
                <w:sz w:val="20"/>
              </w:rPr>
            </w:pPr>
            <w:r w:rsidRPr="00B06893">
              <w:rPr>
                <w:rFonts w:ascii="Arial Narrow" w:eastAsiaTheme="majorEastAsia" w:hAnsi="Arial Narrow" w:cstheme="majorBidi"/>
                <w:b/>
                <w:sz w:val="20"/>
              </w:rPr>
              <w:t>Highly uncertain.</w:t>
            </w:r>
          </w:p>
        </w:tc>
      </w:tr>
      <w:tr w:rsidR="007C4BF7" w:rsidRPr="00B06893" w14:paraId="47A9133E" w14:textId="77777777" w:rsidTr="00F0452A">
        <w:trPr>
          <w:cantSplit/>
        </w:trPr>
        <w:tc>
          <w:tcPr>
            <w:tcW w:w="626" w:type="pct"/>
            <w:vAlign w:val="center"/>
          </w:tcPr>
          <w:p w14:paraId="68718F5C" w14:textId="1D0E1524"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Out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of</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hospital mortality</w:t>
            </w:r>
          </w:p>
        </w:tc>
        <w:tc>
          <w:tcPr>
            <w:tcW w:w="2673" w:type="pct"/>
            <w:vAlign w:val="center"/>
          </w:tcPr>
          <w:p w14:paraId="6795A817" w14:textId="4D84D92F"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The model has derived mortality rates from ABS data. During the derivation, 70% of mortality was assumed to occur in hospital (or post</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discharge) and 30% was assumed to occur at home. There is no evidence that the 30% removed from the in</w:t>
            </w:r>
            <w:r w:rsidR="00193971">
              <w:rPr>
                <w:rFonts w:ascii="Arial Narrow" w:eastAsiaTheme="majorEastAsia" w:hAnsi="Arial Narrow" w:cstheme="majorBidi"/>
                <w:bCs/>
                <w:sz w:val="20"/>
              </w:rPr>
              <w:noBreakHyphen/>
            </w:r>
            <w:r w:rsidRPr="00B06893">
              <w:rPr>
                <w:rFonts w:ascii="Arial Narrow" w:eastAsiaTheme="majorEastAsia" w:hAnsi="Arial Narrow" w:cstheme="majorBidi"/>
                <w:bCs/>
                <w:sz w:val="20"/>
              </w:rPr>
              <w:t>hospital mortality rate has been included in the model. This is likely an error.</w:t>
            </w:r>
          </w:p>
        </w:tc>
        <w:tc>
          <w:tcPr>
            <w:tcW w:w="1701" w:type="pct"/>
            <w:vAlign w:val="center"/>
          </w:tcPr>
          <w:p w14:paraId="735E7B3B" w14:textId="5461D82D" w:rsidR="007C4BF7" w:rsidRPr="00B06893" w:rsidRDefault="007C4BF7" w:rsidP="00F0452A">
            <w:pPr>
              <w:keepLines/>
              <w:jc w:val="left"/>
              <w:rPr>
                <w:rFonts w:ascii="Arial Narrow" w:eastAsiaTheme="majorEastAsia" w:hAnsi="Arial Narrow" w:cstheme="majorBidi"/>
                <w:bCs/>
                <w:sz w:val="20"/>
              </w:rPr>
            </w:pPr>
            <w:r w:rsidRPr="00B06893">
              <w:rPr>
                <w:rFonts w:ascii="Arial Narrow" w:eastAsiaTheme="majorEastAsia" w:hAnsi="Arial Narrow" w:cstheme="majorBidi"/>
                <w:bCs/>
                <w:sz w:val="20"/>
              </w:rPr>
              <w:t xml:space="preserve">High, disfavours Spikevax. Adding the 30% mortality back into the estimates of mortality in the model reduces the ICER by </w:t>
            </w:r>
            <w:r w:rsidR="00FF3F29" w:rsidRPr="00FF3F29">
              <w:rPr>
                <w:rFonts w:ascii="Arial Narrow" w:eastAsiaTheme="majorEastAsia" w:hAnsi="Arial Narrow" w:cstheme="majorBidi"/>
                <w:bCs/>
                <w:sz w:val="2"/>
                <w:highlight w:val="black"/>
              </w:rPr>
              <w:t xml:space="preserve">redacted </w:t>
            </w:r>
            <w:proofErr w:type="spellStart"/>
            <w:r w:rsidR="00FF3F29" w:rsidRPr="00FF3F29">
              <w:rPr>
                <w:rFonts w:ascii="Arial Narrow" w:eastAsiaTheme="majorEastAsia" w:hAnsi="Arial Narrow" w:cstheme="majorBidi"/>
                <w:bCs/>
                <w:sz w:val="2"/>
                <w:highlight w:val="black"/>
              </w:rPr>
              <w:t>content</w:t>
            </w:r>
            <w:r w:rsidRPr="00B06893">
              <w:rPr>
                <w:rFonts w:ascii="Arial Narrow" w:eastAsiaTheme="majorEastAsia" w:hAnsi="Arial Narrow" w:cstheme="majorBidi"/>
                <w:bCs/>
                <w:sz w:val="20"/>
              </w:rPr>
              <w:t>%</w:t>
            </w:r>
            <w:r w:rsidRPr="00B06893">
              <w:rPr>
                <w:rFonts w:ascii="Arial Narrow" w:eastAsiaTheme="majorEastAsia" w:hAnsi="Arial Narrow" w:cstheme="majorBidi"/>
                <w:bCs/>
                <w:sz w:val="20"/>
                <w:vertAlign w:val="superscript"/>
              </w:rPr>
              <w:t>d</w:t>
            </w:r>
            <w:proofErr w:type="spellEnd"/>
            <w:r w:rsidRPr="00B06893">
              <w:rPr>
                <w:rFonts w:ascii="Arial Narrow" w:eastAsiaTheme="majorEastAsia" w:hAnsi="Arial Narrow" w:cstheme="majorBidi"/>
                <w:bCs/>
                <w:sz w:val="20"/>
              </w:rPr>
              <w:t>.</w:t>
            </w:r>
          </w:p>
          <w:p w14:paraId="0AAA7076" w14:textId="77777777" w:rsidR="007C4BF7" w:rsidRPr="00B06893" w:rsidRDefault="007C4BF7" w:rsidP="00F0452A">
            <w:pPr>
              <w:keepLines/>
              <w:jc w:val="left"/>
              <w:rPr>
                <w:rFonts w:ascii="Arial Narrow" w:eastAsiaTheme="majorEastAsia" w:hAnsi="Arial Narrow" w:cstheme="majorBidi"/>
                <w:b/>
                <w:sz w:val="20"/>
              </w:rPr>
            </w:pPr>
            <w:r w:rsidRPr="00B06893">
              <w:rPr>
                <w:rFonts w:ascii="Arial Narrow" w:eastAsiaTheme="majorEastAsia" w:hAnsi="Arial Narrow" w:cstheme="majorBidi"/>
                <w:b/>
                <w:sz w:val="20"/>
              </w:rPr>
              <w:t>Error.</w:t>
            </w:r>
          </w:p>
        </w:tc>
      </w:tr>
    </w:tbl>
    <w:p w14:paraId="06F2F7B9" w14:textId="77777777" w:rsidR="00D85592" w:rsidRPr="00B06893" w:rsidRDefault="00D85592" w:rsidP="007C4BF7">
      <w:pPr>
        <w:keepNext/>
        <w:spacing w:after="120"/>
        <w:contextualSpacing/>
        <w:rPr>
          <w:rFonts w:ascii="Arial Narrow" w:hAnsi="Arial Narrow" w:cs="Arial"/>
          <w:snapToGrid w:val="0"/>
          <w:sz w:val="18"/>
          <w:szCs w:val="22"/>
        </w:rPr>
      </w:pPr>
      <w:r w:rsidRPr="00B06893">
        <w:rPr>
          <w:rFonts w:ascii="Arial Narrow" w:hAnsi="Arial Narrow" w:cs="Arial"/>
          <w:snapToGrid w:val="0"/>
          <w:sz w:val="18"/>
          <w:szCs w:val="22"/>
        </w:rPr>
        <w:t>Source: constructed during the evaluation.</w:t>
      </w:r>
    </w:p>
    <w:p w14:paraId="4778AC53" w14:textId="3017B200" w:rsidR="007C4BF7" w:rsidRPr="00B06893" w:rsidRDefault="007C4BF7" w:rsidP="007C4BF7">
      <w:pPr>
        <w:keepNext/>
        <w:keepLines/>
        <w:spacing w:after="120"/>
        <w:contextualSpacing/>
        <w:jc w:val="left"/>
        <w:rPr>
          <w:rFonts w:ascii="Arial Narrow" w:hAnsi="Arial Narrow" w:cs="Arial"/>
          <w:snapToGrid w:val="0"/>
          <w:sz w:val="18"/>
          <w:szCs w:val="22"/>
        </w:rPr>
      </w:pPr>
      <w:r w:rsidRPr="00B06893">
        <w:rPr>
          <w:rFonts w:ascii="Arial Narrow" w:hAnsi="Arial Narrow" w:cs="Arial"/>
          <w:snapToGrid w:val="0"/>
          <w:sz w:val="18"/>
          <w:szCs w:val="22"/>
        </w:rPr>
        <w:t>ABS = Australian Bureau of Statistics; AIHW = Australian Institute of Health and Welfare; AR = Adverse reaction; COVID = Coronavirus disease of 2019; ICER = Incremental cost</w:t>
      </w:r>
      <w:r w:rsidR="00193971">
        <w:rPr>
          <w:rFonts w:ascii="Arial Narrow" w:hAnsi="Arial Narrow" w:cs="Arial"/>
          <w:snapToGrid w:val="0"/>
          <w:sz w:val="18"/>
          <w:szCs w:val="22"/>
        </w:rPr>
        <w:noBreakHyphen/>
      </w:r>
      <w:r w:rsidRPr="00B06893">
        <w:rPr>
          <w:rFonts w:ascii="Arial Narrow" w:hAnsi="Arial Narrow" w:cs="Arial"/>
          <w:snapToGrid w:val="0"/>
          <w:sz w:val="18"/>
          <w:szCs w:val="22"/>
        </w:rPr>
        <w:t>effectiveness ratio; ICU = Intensive Care Unit; QALY = Quality</w:t>
      </w:r>
      <w:r w:rsidR="00193971">
        <w:rPr>
          <w:rFonts w:ascii="Arial Narrow" w:hAnsi="Arial Narrow" w:cs="Arial"/>
          <w:snapToGrid w:val="0"/>
          <w:sz w:val="18"/>
          <w:szCs w:val="22"/>
        </w:rPr>
        <w:noBreakHyphen/>
      </w:r>
      <w:r w:rsidRPr="00B06893">
        <w:rPr>
          <w:rFonts w:ascii="Arial Narrow" w:hAnsi="Arial Narrow" w:cs="Arial"/>
          <w:snapToGrid w:val="0"/>
          <w:sz w:val="18"/>
          <w:szCs w:val="22"/>
        </w:rPr>
        <w:t>Adjusted Life Year; VE = Vaccine effectiveness.</w:t>
      </w:r>
    </w:p>
    <w:p w14:paraId="32163B51" w14:textId="65B0E52C" w:rsidR="00D85592" w:rsidRPr="00B06893" w:rsidRDefault="00D85592" w:rsidP="007C4BF7">
      <w:pPr>
        <w:keepNext/>
        <w:spacing w:after="120"/>
        <w:contextualSpacing/>
        <w:rPr>
          <w:rFonts w:ascii="Arial Narrow" w:hAnsi="Arial Narrow" w:cs="Arial"/>
          <w:snapToGrid w:val="0"/>
          <w:sz w:val="18"/>
          <w:szCs w:val="22"/>
        </w:rPr>
      </w:pPr>
      <w:r w:rsidRPr="00B06893">
        <w:rPr>
          <w:rFonts w:ascii="Arial Narrow" w:hAnsi="Arial Narrow" w:cs="Arial"/>
          <w:snapToGrid w:val="0"/>
          <w:sz w:val="18"/>
          <w:szCs w:val="22"/>
        </w:rPr>
        <w:t>aThis analysis includes a minor correction of an error in which deaths were incorrectly allocated to the wrong age bracket when estimating rates. The correction moves more deaths onto the 65</w:t>
      </w:r>
      <w:r w:rsidR="00193971">
        <w:rPr>
          <w:rFonts w:ascii="Arial Narrow" w:hAnsi="Arial Narrow" w:cs="Arial"/>
          <w:snapToGrid w:val="0"/>
          <w:sz w:val="18"/>
          <w:szCs w:val="22"/>
        </w:rPr>
        <w:noBreakHyphen/>
      </w:r>
      <w:r w:rsidRPr="00B06893">
        <w:rPr>
          <w:rFonts w:ascii="Arial Narrow" w:hAnsi="Arial Narrow" w:cs="Arial"/>
          <w:snapToGrid w:val="0"/>
          <w:sz w:val="18"/>
          <w:szCs w:val="22"/>
        </w:rPr>
        <w:t>74 age group from the 75+ age group, and the correction of this error alone would decrease the ICER.</w:t>
      </w:r>
    </w:p>
    <w:p w14:paraId="19EE545E" w14:textId="77777777" w:rsidR="00D85592" w:rsidRPr="00B06893" w:rsidRDefault="00D85592" w:rsidP="007C4BF7">
      <w:pPr>
        <w:keepNext/>
        <w:spacing w:after="120"/>
        <w:contextualSpacing/>
        <w:rPr>
          <w:rFonts w:ascii="Arial Narrow" w:hAnsi="Arial Narrow" w:cs="Arial"/>
          <w:snapToGrid w:val="0"/>
          <w:sz w:val="18"/>
          <w:szCs w:val="22"/>
        </w:rPr>
      </w:pPr>
      <w:r w:rsidRPr="00B06893">
        <w:rPr>
          <w:rFonts w:ascii="Arial Narrow" w:hAnsi="Arial Narrow" w:cs="Arial"/>
          <w:snapToGrid w:val="0"/>
          <w:sz w:val="18"/>
          <w:szCs w:val="22"/>
        </w:rPr>
        <w:t>bThe model input sheet derives 7.78%, however 6.59% is applied in the model. This is likely an error.</w:t>
      </w:r>
    </w:p>
    <w:p w14:paraId="672747A1" w14:textId="0AB95FA9" w:rsidR="00D85592" w:rsidRPr="00B06893" w:rsidRDefault="00D85592" w:rsidP="007C4BF7">
      <w:pPr>
        <w:keepNext/>
        <w:spacing w:after="120"/>
        <w:contextualSpacing/>
        <w:rPr>
          <w:rFonts w:ascii="Arial Narrow" w:hAnsi="Arial Narrow" w:cs="Arial"/>
          <w:snapToGrid w:val="0"/>
          <w:sz w:val="18"/>
          <w:szCs w:val="22"/>
        </w:rPr>
      </w:pPr>
      <w:r w:rsidRPr="00B06893">
        <w:rPr>
          <w:rFonts w:ascii="Arial Narrow" w:hAnsi="Arial Narrow" w:cs="Arial"/>
          <w:snapToGrid w:val="0"/>
          <w:sz w:val="18"/>
          <w:szCs w:val="22"/>
        </w:rPr>
        <w:t>cThis analysis also corrects the mortality rates derived for in</w:t>
      </w:r>
      <w:r w:rsidR="00193971">
        <w:rPr>
          <w:rFonts w:ascii="Arial Narrow" w:hAnsi="Arial Narrow" w:cs="Arial"/>
          <w:snapToGrid w:val="0"/>
          <w:sz w:val="18"/>
          <w:szCs w:val="22"/>
        </w:rPr>
        <w:noBreakHyphen/>
      </w:r>
      <w:r w:rsidRPr="00B06893">
        <w:rPr>
          <w:rFonts w:ascii="Arial Narrow" w:hAnsi="Arial Narrow" w:cs="Arial"/>
          <w:snapToGrid w:val="0"/>
          <w:sz w:val="18"/>
          <w:szCs w:val="22"/>
        </w:rPr>
        <w:t>hospital deaths so that 100% of deaths are now in</w:t>
      </w:r>
      <w:r w:rsidR="00193971">
        <w:rPr>
          <w:rFonts w:ascii="Arial Narrow" w:hAnsi="Arial Narrow" w:cs="Arial"/>
          <w:snapToGrid w:val="0"/>
          <w:sz w:val="18"/>
          <w:szCs w:val="22"/>
        </w:rPr>
        <w:noBreakHyphen/>
      </w:r>
      <w:r w:rsidRPr="00B06893">
        <w:rPr>
          <w:rFonts w:ascii="Arial Narrow" w:hAnsi="Arial Narrow" w:cs="Arial"/>
          <w:snapToGrid w:val="0"/>
          <w:sz w:val="18"/>
          <w:szCs w:val="22"/>
        </w:rPr>
        <w:t>hospital (rather than 92.22%, as applied in the base case). The post</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discharge mortality rate is applied in the base case such that it is not 7.78% (or 6.59%) of all mortality, but 7.78% of all hospitalisations. </w:t>
      </w:r>
    </w:p>
    <w:p w14:paraId="68F3CF24" w14:textId="45B6347E" w:rsidR="00D85592" w:rsidRDefault="00D85592" w:rsidP="007C4BF7">
      <w:pPr>
        <w:keepNext/>
        <w:spacing w:after="120"/>
        <w:contextualSpacing/>
        <w:rPr>
          <w:rFonts w:ascii="Arial Narrow" w:hAnsi="Arial Narrow" w:cs="Arial"/>
          <w:snapToGrid w:val="0"/>
          <w:sz w:val="18"/>
          <w:szCs w:val="22"/>
        </w:rPr>
      </w:pPr>
      <w:r w:rsidRPr="00B06893">
        <w:rPr>
          <w:rFonts w:ascii="Arial Narrow" w:hAnsi="Arial Narrow" w:cs="Arial"/>
          <w:snapToGrid w:val="0"/>
          <w:sz w:val="18"/>
          <w:szCs w:val="22"/>
        </w:rPr>
        <w:t>dThis omission has a greater impact on the model after the post</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discharge mortality error has been corrected. </w:t>
      </w:r>
    </w:p>
    <w:p w14:paraId="0EAB83A7" w14:textId="77777777" w:rsidR="00BB147C" w:rsidRPr="00BB147C" w:rsidRDefault="00BB147C" w:rsidP="00BB147C">
      <w:pPr>
        <w:keepNext/>
        <w:spacing w:after="120"/>
        <w:contextualSpacing/>
        <w:rPr>
          <w:rFonts w:ascii="Arial Narrow" w:hAnsi="Arial Narrow" w:cs="Arial"/>
          <w:i/>
          <w:iCs/>
          <w:snapToGrid w:val="0"/>
          <w:sz w:val="18"/>
          <w:szCs w:val="22"/>
        </w:rPr>
      </w:pPr>
      <w:r w:rsidRPr="00BB147C">
        <w:rPr>
          <w:rFonts w:ascii="Arial Narrow" w:hAnsi="Arial Narrow" w:cs="Arial"/>
          <w:i/>
          <w:iCs/>
          <w:snapToGrid w:val="0"/>
          <w:sz w:val="18"/>
          <w:szCs w:val="22"/>
        </w:rPr>
        <w:t xml:space="preserve">The redacted values correspond to the following ranges: </w:t>
      </w:r>
    </w:p>
    <w:p w14:paraId="20DF771B" w14:textId="5C5FA354" w:rsidR="00BB147C" w:rsidRPr="00BB147C" w:rsidRDefault="00BB147C" w:rsidP="00BB147C">
      <w:pPr>
        <w:keepNext/>
        <w:spacing w:after="120"/>
        <w:contextualSpacing/>
        <w:rPr>
          <w:rFonts w:ascii="Arial Narrow" w:hAnsi="Arial Narrow" w:cs="Arial"/>
          <w:i/>
          <w:iCs/>
          <w:snapToGrid w:val="0"/>
          <w:sz w:val="18"/>
          <w:szCs w:val="22"/>
        </w:rPr>
      </w:pPr>
      <w:r w:rsidRPr="008D09D8">
        <w:rPr>
          <w:rFonts w:ascii="Arial Narrow" w:hAnsi="Arial Narrow" w:cs="Arial"/>
          <w:i/>
          <w:iCs/>
          <w:snapToGrid w:val="0"/>
          <w:sz w:val="18"/>
          <w:szCs w:val="22"/>
          <w:vertAlign w:val="superscript"/>
        </w:rPr>
        <w:t>1</w:t>
      </w:r>
      <w:r w:rsidRPr="00BB147C">
        <w:rPr>
          <w:rFonts w:ascii="Arial Narrow" w:hAnsi="Arial Narrow" w:cs="Arial"/>
          <w:i/>
          <w:iCs/>
          <w:snapToGrid w:val="0"/>
          <w:sz w:val="18"/>
          <w:szCs w:val="22"/>
        </w:rPr>
        <w:t xml:space="preserve"> </w:t>
      </w:r>
      <w:r w:rsidR="00E11858" w:rsidRPr="00E11858">
        <w:rPr>
          <w:rFonts w:ascii="Arial Narrow" w:hAnsi="Arial Narrow" w:cs="Arial"/>
          <w:i/>
          <w:iCs/>
          <w:snapToGrid w:val="0"/>
          <w:sz w:val="18"/>
          <w:szCs w:val="22"/>
        </w:rPr>
        <w:t>$25,000 to &lt; $35,000</w:t>
      </w:r>
    </w:p>
    <w:p w14:paraId="6C5E883E" w14:textId="77777777" w:rsidR="00D85592" w:rsidRPr="00B06893" w:rsidRDefault="00D85592" w:rsidP="00D85592">
      <w:pPr>
        <w:spacing w:before="60" w:after="60"/>
        <w:rPr>
          <w:rFonts w:eastAsiaTheme="minorHAnsi" w:cstheme="minorBidi"/>
          <w:szCs w:val="22"/>
        </w:rPr>
      </w:pPr>
    </w:p>
    <w:p w14:paraId="6C65EE18" w14:textId="589B559D" w:rsidR="00134287" w:rsidRPr="00B06893" w:rsidRDefault="00134287" w:rsidP="00134287">
      <w:pPr>
        <w:pStyle w:val="3-BodyText"/>
      </w:pPr>
      <w:r w:rsidRPr="00B06893">
        <w:t>The submission base case resulted in an incremental cost effectiveness ratio of $</w:t>
      </w:r>
      <w:r w:rsidR="00B13D0D" w:rsidRPr="00B13D0D">
        <w:t>25,000 to &lt; $35,000</w:t>
      </w:r>
      <w:r w:rsidR="00B13D0D">
        <w:t xml:space="preserve"> </w:t>
      </w:r>
      <w:r w:rsidRPr="00B06893">
        <w:t>per additional QALY (or per fewer QALYs lost due to COVID</w:t>
      </w:r>
      <w:r w:rsidR="00193971">
        <w:noBreakHyphen/>
      </w:r>
      <w:r w:rsidRPr="00B06893">
        <w:t>19). The submission did not present a stepped analysis. Disaggregated outcomes and costs are presented below.</w:t>
      </w:r>
      <w:r w:rsidR="00580BAD">
        <w:t xml:space="preserve"> </w:t>
      </w:r>
      <w:r w:rsidR="00CD6442" w:rsidRPr="00B06893">
        <w:rPr>
          <w:iCs/>
        </w:rPr>
        <w:t>The ESC considered that the</w:t>
      </w:r>
      <w:r w:rsidR="00C555E0" w:rsidRPr="00B06893">
        <w:rPr>
          <w:iCs/>
        </w:rPr>
        <w:t xml:space="preserve"> submission’s</w:t>
      </w:r>
      <w:r w:rsidR="00CD6442" w:rsidRPr="00B06893">
        <w:rPr>
          <w:iCs/>
        </w:rPr>
        <w:t xml:space="preserve"> base case was not reliable for decision making.</w:t>
      </w:r>
    </w:p>
    <w:p w14:paraId="1962C0CE" w14:textId="77777777" w:rsidR="00D85592" w:rsidRPr="00B06893" w:rsidRDefault="00D85592" w:rsidP="00D85592">
      <w:pPr>
        <w:spacing w:before="60" w:after="60"/>
        <w:rPr>
          <w:rFonts w:eastAsiaTheme="minorHAnsi" w:cstheme="minorBidi"/>
          <w:szCs w:val="22"/>
        </w:rPr>
      </w:pPr>
    </w:p>
    <w:p w14:paraId="7C8B699D" w14:textId="7F311804" w:rsidR="00D85592" w:rsidRPr="00B06893" w:rsidRDefault="00D85592" w:rsidP="00D85592">
      <w:pPr>
        <w:keepNext/>
        <w:keepLines/>
        <w:rPr>
          <w:rFonts w:ascii="Arial Narrow" w:hAnsi="Arial Narrow" w:cs="Arial"/>
          <w:b/>
          <w:bCs/>
          <w:sz w:val="20"/>
          <w:szCs w:val="18"/>
        </w:rPr>
      </w:pPr>
      <w:r w:rsidRPr="00B06893">
        <w:rPr>
          <w:rFonts w:ascii="Arial Narrow" w:hAnsi="Arial Narrow" w:cs="Arial"/>
          <w:b/>
          <w:bCs/>
          <w:sz w:val="20"/>
          <w:szCs w:val="18"/>
        </w:rPr>
        <w:lastRenderedPageBreak/>
        <w:t xml:space="preserve">Table </w:t>
      </w:r>
      <w:r w:rsidR="00B531BD" w:rsidRPr="00B06893">
        <w:rPr>
          <w:rFonts w:ascii="Arial Narrow" w:hAnsi="Arial Narrow" w:cs="Arial"/>
          <w:b/>
          <w:bCs/>
          <w:sz w:val="20"/>
          <w:szCs w:val="18"/>
        </w:rPr>
        <w:fldChar w:fldCharType="begin"/>
      </w:r>
      <w:r w:rsidR="00B531BD" w:rsidRPr="00B06893">
        <w:rPr>
          <w:rFonts w:ascii="Arial Narrow" w:hAnsi="Arial Narrow" w:cs="Arial"/>
          <w:b/>
          <w:bCs/>
          <w:sz w:val="20"/>
          <w:szCs w:val="18"/>
        </w:rPr>
        <w:instrText xml:space="preserve"> SEQ Table \* ARABIC </w:instrText>
      </w:r>
      <w:r w:rsidR="00B531BD" w:rsidRPr="00B06893">
        <w:rPr>
          <w:rFonts w:ascii="Arial Narrow" w:hAnsi="Arial Narrow" w:cs="Arial"/>
          <w:b/>
          <w:bCs/>
          <w:sz w:val="20"/>
          <w:szCs w:val="18"/>
        </w:rPr>
        <w:fldChar w:fldCharType="separate"/>
      </w:r>
      <w:r w:rsidR="00810177" w:rsidRPr="00B06893">
        <w:rPr>
          <w:rFonts w:ascii="Arial Narrow" w:hAnsi="Arial Narrow" w:cs="Arial"/>
          <w:b/>
          <w:bCs/>
          <w:sz w:val="20"/>
          <w:szCs w:val="18"/>
        </w:rPr>
        <w:t>28</w:t>
      </w:r>
      <w:r w:rsidR="00B531BD" w:rsidRPr="00B06893">
        <w:rPr>
          <w:rFonts w:ascii="Arial Narrow" w:hAnsi="Arial Narrow" w:cs="Arial"/>
          <w:b/>
          <w:bCs/>
          <w:sz w:val="20"/>
          <w:szCs w:val="18"/>
        </w:rPr>
        <w:fldChar w:fldCharType="end"/>
      </w:r>
      <w:r w:rsidRPr="00B06893">
        <w:rPr>
          <w:rFonts w:ascii="Arial Narrow" w:hAnsi="Arial Narrow" w:cs="Arial"/>
          <w:b/>
          <w:bCs/>
          <w:sz w:val="20"/>
          <w:szCs w:val="18"/>
        </w:rPr>
        <w:t>: Clinical outcomes, disaggregated outcomes and disaggregated costs from the submission base case comparing Spikevax with no vaccin</w:t>
      </w:r>
      <w:r w:rsidR="009A2891" w:rsidRPr="00B06893">
        <w:rPr>
          <w:rFonts w:ascii="Arial Narrow" w:hAnsi="Arial Narrow" w:cs="Arial"/>
          <w:b/>
          <w:bCs/>
          <w:sz w:val="20"/>
          <w:szCs w:val="18"/>
        </w:rPr>
        <w:t>ation</w:t>
      </w:r>
    </w:p>
    <w:tbl>
      <w:tblPr>
        <w:tblStyle w:val="PlainTable2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20" w:firstRow="1" w:lastRow="0" w:firstColumn="0" w:lastColumn="0" w:noHBand="0" w:noVBand="1"/>
        <w:tblCaption w:val="Table 28: Clinical outcomes, disaggregated outcomes and disaggregated costs from the submission base case comparing Spikevax with no vaccination"/>
      </w:tblPr>
      <w:tblGrid>
        <w:gridCol w:w="4107"/>
        <w:gridCol w:w="1637"/>
        <w:gridCol w:w="1623"/>
        <w:gridCol w:w="1650"/>
      </w:tblGrid>
      <w:tr w:rsidR="00134287" w:rsidRPr="00B06893" w14:paraId="2958A51A" w14:textId="77777777" w:rsidTr="00501A02">
        <w:trPr>
          <w:cnfStyle w:val="100000000000" w:firstRow="1" w:lastRow="0" w:firstColumn="0" w:lastColumn="0" w:oddVBand="0" w:evenVBand="0" w:oddHBand="0" w:evenHBand="0" w:firstRowFirstColumn="0" w:firstRowLastColumn="0" w:lastRowFirstColumn="0" w:lastRowLastColumn="0"/>
          <w:trHeight w:val="47"/>
        </w:trPr>
        <w:tc>
          <w:tcPr>
            <w:tcW w:w="2277" w:type="pct"/>
            <w:shd w:val="clear" w:color="auto" w:fill="D9D9D9"/>
            <w:noWrap/>
            <w:vAlign w:val="center"/>
            <w:hideMark/>
          </w:tcPr>
          <w:p w14:paraId="63C15F29"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Outcome</w:t>
            </w:r>
          </w:p>
        </w:tc>
        <w:tc>
          <w:tcPr>
            <w:tcW w:w="908" w:type="pct"/>
            <w:shd w:val="clear" w:color="auto" w:fill="D9D9D9"/>
            <w:noWrap/>
            <w:vAlign w:val="center"/>
            <w:hideMark/>
          </w:tcPr>
          <w:p w14:paraId="0C6C87F5" w14:textId="143CC4A8"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No recent COVID</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19 vaccine</w:t>
            </w:r>
          </w:p>
        </w:tc>
        <w:tc>
          <w:tcPr>
            <w:tcW w:w="899" w:type="pct"/>
            <w:shd w:val="clear" w:color="auto" w:fill="D9D9D9"/>
            <w:noWrap/>
            <w:vAlign w:val="center"/>
            <w:hideMark/>
          </w:tcPr>
          <w:p w14:paraId="3AA8703C"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Spikevax</w:t>
            </w:r>
          </w:p>
        </w:tc>
        <w:tc>
          <w:tcPr>
            <w:tcW w:w="915" w:type="pct"/>
            <w:shd w:val="clear" w:color="auto" w:fill="D9D9D9"/>
            <w:noWrap/>
            <w:vAlign w:val="center"/>
            <w:hideMark/>
          </w:tcPr>
          <w:p w14:paraId="6AE68A68"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Difference</w:t>
            </w:r>
          </w:p>
        </w:tc>
      </w:tr>
      <w:tr w:rsidR="00134287" w:rsidRPr="00B06893" w14:paraId="16DD341F" w14:textId="77777777" w:rsidTr="00501A02">
        <w:trPr>
          <w:trHeight w:val="270"/>
        </w:trPr>
        <w:tc>
          <w:tcPr>
            <w:tcW w:w="2277" w:type="pct"/>
            <w:noWrap/>
            <w:vAlign w:val="center"/>
            <w:hideMark/>
          </w:tcPr>
          <w:p w14:paraId="48C2B0E2"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Number Vaccinated</w:t>
            </w:r>
          </w:p>
        </w:tc>
        <w:tc>
          <w:tcPr>
            <w:tcW w:w="908" w:type="pct"/>
            <w:noWrap/>
            <w:vAlign w:val="center"/>
          </w:tcPr>
          <w:p w14:paraId="7008B127"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0</w:t>
            </w:r>
          </w:p>
        </w:tc>
        <w:tc>
          <w:tcPr>
            <w:tcW w:w="899" w:type="pct"/>
            <w:noWrap/>
            <w:vAlign w:val="center"/>
          </w:tcPr>
          <w:p w14:paraId="18812A51"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1,888,455</w:t>
            </w:r>
          </w:p>
        </w:tc>
        <w:tc>
          <w:tcPr>
            <w:tcW w:w="915" w:type="pct"/>
            <w:noWrap/>
            <w:vAlign w:val="center"/>
          </w:tcPr>
          <w:p w14:paraId="2E4136B9"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1,888,455</w:t>
            </w:r>
          </w:p>
        </w:tc>
      </w:tr>
      <w:tr w:rsidR="00134287" w:rsidRPr="00B06893" w14:paraId="72AFE446" w14:textId="77777777" w:rsidTr="00501A02">
        <w:trPr>
          <w:trHeight w:val="270"/>
        </w:trPr>
        <w:tc>
          <w:tcPr>
            <w:tcW w:w="2277" w:type="pct"/>
            <w:noWrap/>
            <w:vAlign w:val="center"/>
          </w:tcPr>
          <w:p w14:paraId="3F2545BB"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Number of Vaccine Doses Administered</w:t>
            </w:r>
          </w:p>
        </w:tc>
        <w:tc>
          <w:tcPr>
            <w:tcW w:w="908" w:type="pct"/>
            <w:noWrap/>
            <w:vAlign w:val="center"/>
          </w:tcPr>
          <w:p w14:paraId="13F0E0D1"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0</w:t>
            </w:r>
          </w:p>
        </w:tc>
        <w:tc>
          <w:tcPr>
            <w:tcW w:w="899" w:type="pct"/>
            <w:noWrap/>
            <w:vAlign w:val="center"/>
          </w:tcPr>
          <w:p w14:paraId="1AED6927"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1,888,455</w:t>
            </w:r>
          </w:p>
        </w:tc>
        <w:tc>
          <w:tcPr>
            <w:tcW w:w="915" w:type="pct"/>
            <w:noWrap/>
            <w:vAlign w:val="center"/>
          </w:tcPr>
          <w:p w14:paraId="20E7ABA0"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1,888,455</w:t>
            </w:r>
          </w:p>
        </w:tc>
      </w:tr>
      <w:tr w:rsidR="00134287" w:rsidRPr="00B06893" w14:paraId="33E26E28" w14:textId="77777777" w:rsidTr="00501A02">
        <w:trPr>
          <w:trHeight w:val="270"/>
        </w:trPr>
        <w:tc>
          <w:tcPr>
            <w:tcW w:w="2277" w:type="pct"/>
            <w:shd w:val="clear" w:color="auto" w:fill="D9D9D9" w:themeFill="background1" w:themeFillShade="D9"/>
            <w:noWrap/>
            <w:vAlign w:val="center"/>
          </w:tcPr>
          <w:p w14:paraId="60D558C0"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Clinical outcomes</w:t>
            </w:r>
          </w:p>
        </w:tc>
        <w:tc>
          <w:tcPr>
            <w:tcW w:w="908" w:type="pct"/>
            <w:shd w:val="clear" w:color="auto" w:fill="D9D9D9" w:themeFill="background1" w:themeFillShade="D9"/>
            <w:noWrap/>
            <w:vAlign w:val="center"/>
          </w:tcPr>
          <w:p w14:paraId="73BA9962" w14:textId="77777777" w:rsidR="00134287" w:rsidRPr="00B06893" w:rsidRDefault="00134287" w:rsidP="00134287">
            <w:pPr>
              <w:keepNext/>
              <w:jc w:val="left"/>
              <w:rPr>
                <w:rFonts w:ascii="Arial Narrow" w:hAnsi="Arial Narrow"/>
                <w:snapToGrid w:val="0"/>
                <w:sz w:val="20"/>
                <w:szCs w:val="24"/>
                <w:lang w:val="en-AU"/>
              </w:rPr>
            </w:pPr>
          </w:p>
        </w:tc>
        <w:tc>
          <w:tcPr>
            <w:tcW w:w="899" w:type="pct"/>
            <w:shd w:val="clear" w:color="auto" w:fill="D9D9D9" w:themeFill="background1" w:themeFillShade="D9"/>
            <w:noWrap/>
            <w:vAlign w:val="center"/>
          </w:tcPr>
          <w:p w14:paraId="589B4A6C" w14:textId="77777777" w:rsidR="00134287" w:rsidRPr="00B06893" w:rsidRDefault="00134287" w:rsidP="00134287">
            <w:pPr>
              <w:keepNext/>
              <w:jc w:val="left"/>
              <w:rPr>
                <w:rFonts w:ascii="Arial Narrow" w:hAnsi="Arial Narrow"/>
                <w:snapToGrid w:val="0"/>
                <w:sz w:val="20"/>
                <w:szCs w:val="24"/>
                <w:lang w:val="en-AU"/>
              </w:rPr>
            </w:pPr>
          </w:p>
        </w:tc>
        <w:tc>
          <w:tcPr>
            <w:tcW w:w="915" w:type="pct"/>
            <w:shd w:val="clear" w:color="auto" w:fill="D9D9D9" w:themeFill="background1" w:themeFillShade="D9"/>
            <w:noWrap/>
            <w:vAlign w:val="center"/>
          </w:tcPr>
          <w:p w14:paraId="5882FAF5" w14:textId="77777777" w:rsidR="00134287" w:rsidRPr="00B06893" w:rsidRDefault="00134287" w:rsidP="00134287">
            <w:pPr>
              <w:keepNext/>
              <w:jc w:val="left"/>
              <w:rPr>
                <w:rFonts w:ascii="Arial Narrow" w:hAnsi="Arial Narrow"/>
                <w:snapToGrid w:val="0"/>
                <w:sz w:val="20"/>
                <w:szCs w:val="24"/>
                <w:lang w:val="en-AU"/>
              </w:rPr>
            </w:pPr>
          </w:p>
        </w:tc>
      </w:tr>
      <w:tr w:rsidR="00134287" w:rsidRPr="00B06893" w14:paraId="61A98DD8" w14:textId="77777777" w:rsidTr="00501A02">
        <w:trPr>
          <w:trHeight w:val="270"/>
        </w:trPr>
        <w:tc>
          <w:tcPr>
            <w:tcW w:w="2277" w:type="pct"/>
            <w:noWrap/>
            <w:vAlign w:val="center"/>
          </w:tcPr>
          <w:p w14:paraId="10A8D69E"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Symptomatic Infections</w:t>
            </w:r>
          </w:p>
        </w:tc>
        <w:tc>
          <w:tcPr>
            <w:tcW w:w="908" w:type="pct"/>
            <w:noWrap/>
            <w:vAlign w:val="center"/>
          </w:tcPr>
          <w:p w14:paraId="383E15F5"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2,430,722</w:t>
            </w:r>
          </w:p>
        </w:tc>
        <w:tc>
          <w:tcPr>
            <w:tcW w:w="899" w:type="pct"/>
            <w:noWrap/>
            <w:vAlign w:val="center"/>
          </w:tcPr>
          <w:p w14:paraId="40DD3870"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2,236,711</w:t>
            </w:r>
          </w:p>
        </w:tc>
        <w:tc>
          <w:tcPr>
            <w:tcW w:w="915" w:type="pct"/>
            <w:noWrap/>
            <w:vAlign w:val="center"/>
          </w:tcPr>
          <w:p w14:paraId="01CAF1C4" w14:textId="1341D444"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194,011</w:t>
            </w:r>
          </w:p>
        </w:tc>
      </w:tr>
      <w:tr w:rsidR="00134287" w:rsidRPr="00B06893" w14:paraId="345E8B9C" w14:textId="77777777" w:rsidTr="00501A02">
        <w:trPr>
          <w:trHeight w:val="270"/>
        </w:trPr>
        <w:tc>
          <w:tcPr>
            <w:tcW w:w="2277" w:type="pct"/>
            <w:noWrap/>
            <w:vAlign w:val="center"/>
            <w:hideMark/>
          </w:tcPr>
          <w:p w14:paraId="40B386AA"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Hospitalisations</w:t>
            </w:r>
          </w:p>
        </w:tc>
        <w:tc>
          <w:tcPr>
            <w:tcW w:w="908" w:type="pct"/>
            <w:noWrap/>
            <w:vAlign w:val="center"/>
          </w:tcPr>
          <w:p w14:paraId="42420784"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83,698</w:t>
            </w:r>
          </w:p>
        </w:tc>
        <w:tc>
          <w:tcPr>
            <w:tcW w:w="899" w:type="pct"/>
            <w:noWrap/>
            <w:vAlign w:val="center"/>
          </w:tcPr>
          <w:p w14:paraId="7A273209"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75,122</w:t>
            </w:r>
          </w:p>
        </w:tc>
        <w:tc>
          <w:tcPr>
            <w:tcW w:w="915" w:type="pct"/>
            <w:noWrap/>
            <w:vAlign w:val="center"/>
          </w:tcPr>
          <w:p w14:paraId="4CB7705D" w14:textId="3B2E0CDE"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8,576</w:t>
            </w:r>
          </w:p>
        </w:tc>
      </w:tr>
      <w:tr w:rsidR="00134287" w:rsidRPr="00B06893" w14:paraId="64C2C7AD" w14:textId="77777777" w:rsidTr="00501A02">
        <w:trPr>
          <w:trHeight w:val="270"/>
        </w:trPr>
        <w:tc>
          <w:tcPr>
            <w:tcW w:w="2277" w:type="pct"/>
            <w:noWrap/>
            <w:vAlign w:val="center"/>
          </w:tcPr>
          <w:p w14:paraId="2A1EA1C3"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Readmissions</w:t>
            </w:r>
          </w:p>
        </w:tc>
        <w:tc>
          <w:tcPr>
            <w:tcW w:w="908" w:type="pct"/>
            <w:noWrap/>
            <w:vAlign w:val="center"/>
          </w:tcPr>
          <w:p w14:paraId="74307141"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14,941</w:t>
            </w:r>
          </w:p>
        </w:tc>
        <w:tc>
          <w:tcPr>
            <w:tcW w:w="899" w:type="pct"/>
            <w:noWrap/>
            <w:vAlign w:val="center"/>
          </w:tcPr>
          <w:p w14:paraId="0175CC65"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13,410</w:t>
            </w:r>
          </w:p>
        </w:tc>
        <w:tc>
          <w:tcPr>
            <w:tcW w:w="915" w:type="pct"/>
            <w:noWrap/>
            <w:vAlign w:val="center"/>
          </w:tcPr>
          <w:p w14:paraId="1F2EE2E2" w14:textId="3D749DCA"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1,531</w:t>
            </w:r>
          </w:p>
        </w:tc>
      </w:tr>
      <w:tr w:rsidR="00134287" w:rsidRPr="00B06893" w14:paraId="1710CA2E" w14:textId="77777777" w:rsidTr="00501A02">
        <w:trPr>
          <w:trHeight w:val="270"/>
        </w:trPr>
        <w:tc>
          <w:tcPr>
            <w:tcW w:w="2277" w:type="pct"/>
            <w:noWrap/>
            <w:vAlign w:val="center"/>
            <w:hideMark/>
          </w:tcPr>
          <w:p w14:paraId="1F731972" w14:textId="5B536A11"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COVID</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related Deaths</w:t>
            </w:r>
          </w:p>
        </w:tc>
        <w:tc>
          <w:tcPr>
            <w:tcW w:w="908" w:type="pct"/>
            <w:noWrap/>
            <w:vAlign w:val="center"/>
          </w:tcPr>
          <w:p w14:paraId="1DA3E144"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11,205</w:t>
            </w:r>
          </w:p>
        </w:tc>
        <w:tc>
          <w:tcPr>
            <w:tcW w:w="899" w:type="pct"/>
            <w:noWrap/>
            <w:vAlign w:val="center"/>
          </w:tcPr>
          <w:p w14:paraId="33059FAE"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10,054</w:t>
            </w:r>
          </w:p>
        </w:tc>
        <w:tc>
          <w:tcPr>
            <w:tcW w:w="915" w:type="pct"/>
            <w:noWrap/>
            <w:vAlign w:val="center"/>
          </w:tcPr>
          <w:p w14:paraId="79CBB5F7" w14:textId="1CA5C3CB"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1,151</w:t>
            </w:r>
          </w:p>
        </w:tc>
      </w:tr>
      <w:tr w:rsidR="00134287" w:rsidRPr="00B06893" w14:paraId="648AED16" w14:textId="77777777" w:rsidTr="00501A02">
        <w:trPr>
          <w:trHeight w:val="270"/>
        </w:trPr>
        <w:tc>
          <w:tcPr>
            <w:tcW w:w="2277" w:type="pct"/>
            <w:noWrap/>
            <w:vAlign w:val="center"/>
          </w:tcPr>
          <w:p w14:paraId="7A290D84"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Infection Related Myocarditis</w:t>
            </w:r>
          </w:p>
        </w:tc>
        <w:tc>
          <w:tcPr>
            <w:tcW w:w="908" w:type="pct"/>
            <w:noWrap/>
            <w:vAlign w:val="center"/>
          </w:tcPr>
          <w:p w14:paraId="13F873BF"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 xml:space="preserve">1,547 </w:t>
            </w:r>
          </w:p>
        </w:tc>
        <w:tc>
          <w:tcPr>
            <w:tcW w:w="899" w:type="pct"/>
            <w:noWrap/>
            <w:vAlign w:val="center"/>
          </w:tcPr>
          <w:p w14:paraId="3D7D245A"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 xml:space="preserve">1,424 </w:t>
            </w:r>
          </w:p>
        </w:tc>
        <w:tc>
          <w:tcPr>
            <w:tcW w:w="915" w:type="pct"/>
            <w:noWrap/>
            <w:vAlign w:val="center"/>
          </w:tcPr>
          <w:p w14:paraId="04E872DB" w14:textId="40538DE4"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124</w:t>
            </w:r>
          </w:p>
        </w:tc>
      </w:tr>
      <w:tr w:rsidR="00134287" w:rsidRPr="00B06893" w14:paraId="604110D8" w14:textId="77777777" w:rsidTr="00501A02">
        <w:trPr>
          <w:trHeight w:val="270"/>
        </w:trPr>
        <w:tc>
          <w:tcPr>
            <w:tcW w:w="2277" w:type="pct"/>
            <w:noWrap/>
            <w:vAlign w:val="center"/>
          </w:tcPr>
          <w:p w14:paraId="40B6414E"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Adverse Event Myocarditis</w:t>
            </w:r>
          </w:p>
        </w:tc>
        <w:tc>
          <w:tcPr>
            <w:tcW w:w="908" w:type="pct"/>
            <w:noWrap/>
            <w:vAlign w:val="center"/>
          </w:tcPr>
          <w:p w14:paraId="2AF41EC9"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0</w:t>
            </w:r>
          </w:p>
        </w:tc>
        <w:tc>
          <w:tcPr>
            <w:tcW w:w="899" w:type="pct"/>
            <w:noWrap/>
            <w:vAlign w:val="center"/>
          </w:tcPr>
          <w:p w14:paraId="724DC980"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10</w:t>
            </w:r>
          </w:p>
        </w:tc>
        <w:tc>
          <w:tcPr>
            <w:tcW w:w="915" w:type="pct"/>
            <w:noWrap/>
            <w:vAlign w:val="center"/>
          </w:tcPr>
          <w:p w14:paraId="2D383474"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10</w:t>
            </w:r>
          </w:p>
        </w:tc>
      </w:tr>
      <w:tr w:rsidR="00134287" w:rsidRPr="00B06893" w14:paraId="240C1947" w14:textId="77777777" w:rsidTr="00501A02">
        <w:trPr>
          <w:trHeight w:val="270"/>
        </w:trPr>
        <w:tc>
          <w:tcPr>
            <w:tcW w:w="2277" w:type="pct"/>
            <w:noWrap/>
            <w:vAlign w:val="center"/>
          </w:tcPr>
          <w:p w14:paraId="3B300BFB"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Long COVID</w:t>
            </w:r>
          </w:p>
        </w:tc>
        <w:tc>
          <w:tcPr>
            <w:tcW w:w="908" w:type="pct"/>
            <w:noWrap/>
            <w:vAlign w:val="center"/>
          </w:tcPr>
          <w:p w14:paraId="3D486A09"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85,841</w:t>
            </w:r>
          </w:p>
        </w:tc>
        <w:tc>
          <w:tcPr>
            <w:tcW w:w="899" w:type="pct"/>
            <w:noWrap/>
            <w:vAlign w:val="center"/>
          </w:tcPr>
          <w:p w14:paraId="1E18AA8C"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78,970</w:t>
            </w:r>
          </w:p>
        </w:tc>
        <w:tc>
          <w:tcPr>
            <w:tcW w:w="915" w:type="pct"/>
            <w:noWrap/>
            <w:vAlign w:val="center"/>
          </w:tcPr>
          <w:p w14:paraId="33537714" w14:textId="59B95877"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6,871</w:t>
            </w:r>
          </w:p>
        </w:tc>
      </w:tr>
      <w:tr w:rsidR="00134287" w:rsidRPr="00B06893" w14:paraId="00C54255" w14:textId="77777777" w:rsidTr="00501A02">
        <w:trPr>
          <w:trHeight w:val="270"/>
        </w:trPr>
        <w:tc>
          <w:tcPr>
            <w:tcW w:w="2277" w:type="pct"/>
            <w:shd w:val="clear" w:color="auto" w:fill="D9D9D9" w:themeFill="background1" w:themeFillShade="D9"/>
            <w:noWrap/>
            <w:vAlign w:val="center"/>
          </w:tcPr>
          <w:p w14:paraId="7F32788E"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QALY losses</w:t>
            </w:r>
          </w:p>
        </w:tc>
        <w:tc>
          <w:tcPr>
            <w:tcW w:w="908" w:type="pct"/>
            <w:shd w:val="clear" w:color="auto" w:fill="D9D9D9" w:themeFill="background1" w:themeFillShade="D9"/>
            <w:noWrap/>
            <w:vAlign w:val="center"/>
          </w:tcPr>
          <w:p w14:paraId="4E47CF87" w14:textId="77777777" w:rsidR="00134287" w:rsidRPr="00B06893" w:rsidRDefault="00134287" w:rsidP="00134287">
            <w:pPr>
              <w:keepNext/>
              <w:jc w:val="left"/>
              <w:rPr>
                <w:rFonts w:ascii="Arial Narrow" w:hAnsi="Arial Narrow"/>
                <w:snapToGrid w:val="0"/>
                <w:sz w:val="20"/>
                <w:szCs w:val="24"/>
                <w:lang w:val="en-AU"/>
              </w:rPr>
            </w:pPr>
          </w:p>
        </w:tc>
        <w:tc>
          <w:tcPr>
            <w:tcW w:w="899" w:type="pct"/>
            <w:shd w:val="clear" w:color="auto" w:fill="D9D9D9" w:themeFill="background1" w:themeFillShade="D9"/>
            <w:noWrap/>
            <w:vAlign w:val="center"/>
          </w:tcPr>
          <w:p w14:paraId="33F15645" w14:textId="77777777" w:rsidR="00134287" w:rsidRPr="00B06893" w:rsidRDefault="00134287" w:rsidP="00134287">
            <w:pPr>
              <w:keepNext/>
              <w:jc w:val="left"/>
              <w:rPr>
                <w:rFonts w:ascii="Arial Narrow" w:hAnsi="Arial Narrow"/>
                <w:snapToGrid w:val="0"/>
                <w:sz w:val="20"/>
                <w:szCs w:val="24"/>
                <w:lang w:val="en-AU"/>
              </w:rPr>
            </w:pPr>
          </w:p>
        </w:tc>
        <w:tc>
          <w:tcPr>
            <w:tcW w:w="915" w:type="pct"/>
            <w:shd w:val="clear" w:color="auto" w:fill="D9D9D9" w:themeFill="background1" w:themeFillShade="D9"/>
            <w:noWrap/>
            <w:vAlign w:val="center"/>
          </w:tcPr>
          <w:p w14:paraId="4C8761F1" w14:textId="77777777" w:rsidR="00134287" w:rsidRPr="00B06893" w:rsidRDefault="00134287" w:rsidP="00134287">
            <w:pPr>
              <w:keepNext/>
              <w:jc w:val="left"/>
              <w:rPr>
                <w:rFonts w:ascii="Arial Narrow" w:hAnsi="Arial Narrow"/>
                <w:snapToGrid w:val="0"/>
                <w:sz w:val="20"/>
                <w:szCs w:val="24"/>
                <w:lang w:val="en-AU"/>
              </w:rPr>
            </w:pPr>
          </w:p>
        </w:tc>
      </w:tr>
      <w:tr w:rsidR="00134287" w:rsidRPr="00B06893" w14:paraId="1FE40066" w14:textId="77777777" w:rsidTr="00501A02">
        <w:trPr>
          <w:trHeight w:val="270"/>
        </w:trPr>
        <w:tc>
          <w:tcPr>
            <w:tcW w:w="2277" w:type="pct"/>
            <w:noWrap/>
            <w:vAlign w:val="center"/>
          </w:tcPr>
          <w:p w14:paraId="2A8E59F2" w14:textId="73FDAB96"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Infection</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Related Mortality</w:t>
            </w:r>
          </w:p>
        </w:tc>
        <w:tc>
          <w:tcPr>
            <w:tcW w:w="908" w:type="pct"/>
            <w:noWrap/>
            <w:vAlign w:val="center"/>
          </w:tcPr>
          <w:p w14:paraId="321D730E"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60,412</w:t>
            </w:r>
          </w:p>
        </w:tc>
        <w:tc>
          <w:tcPr>
            <w:tcW w:w="899" w:type="pct"/>
            <w:noWrap/>
            <w:vAlign w:val="center"/>
          </w:tcPr>
          <w:p w14:paraId="2ED3B2C5"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54,208</w:t>
            </w:r>
          </w:p>
        </w:tc>
        <w:tc>
          <w:tcPr>
            <w:tcW w:w="915" w:type="pct"/>
            <w:noWrap/>
            <w:vAlign w:val="center"/>
          </w:tcPr>
          <w:p w14:paraId="0A7E0720" w14:textId="297454B5"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6,203</w:t>
            </w:r>
          </w:p>
        </w:tc>
      </w:tr>
      <w:tr w:rsidR="00134287" w:rsidRPr="00B06893" w14:paraId="32D9DE7F" w14:textId="77777777" w:rsidTr="00501A02">
        <w:trPr>
          <w:trHeight w:val="270"/>
        </w:trPr>
        <w:tc>
          <w:tcPr>
            <w:tcW w:w="2277" w:type="pct"/>
            <w:noWrap/>
            <w:vAlign w:val="center"/>
          </w:tcPr>
          <w:p w14:paraId="08F019DE" w14:textId="7DA093F0"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Infection</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Related Morbidity</w:t>
            </w:r>
          </w:p>
        </w:tc>
        <w:tc>
          <w:tcPr>
            <w:tcW w:w="908" w:type="pct"/>
            <w:noWrap/>
            <w:vAlign w:val="center"/>
          </w:tcPr>
          <w:p w14:paraId="7E1D1C72"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66,802</w:t>
            </w:r>
          </w:p>
        </w:tc>
        <w:tc>
          <w:tcPr>
            <w:tcW w:w="899" w:type="pct"/>
            <w:noWrap/>
            <w:vAlign w:val="center"/>
          </w:tcPr>
          <w:p w14:paraId="3DD92BDA"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61,304</w:t>
            </w:r>
          </w:p>
        </w:tc>
        <w:tc>
          <w:tcPr>
            <w:tcW w:w="915" w:type="pct"/>
            <w:noWrap/>
            <w:vAlign w:val="center"/>
          </w:tcPr>
          <w:p w14:paraId="4F7411C0" w14:textId="1AA6110C"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5,497</w:t>
            </w:r>
          </w:p>
        </w:tc>
      </w:tr>
      <w:tr w:rsidR="00134287" w:rsidRPr="00B06893" w14:paraId="6057B76F" w14:textId="77777777" w:rsidTr="00501A02">
        <w:trPr>
          <w:trHeight w:val="270"/>
        </w:trPr>
        <w:tc>
          <w:tcPr>
            <w:tcW w:w="2277" w:type="pct"/>
            <w:noWrap/>
            <w:vAlign w:val="center"/>
          </w:tcPr>
          <w:p w14:paraId="6B398F9E" w14:textId="4D917006"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AE</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Related Morbidity</w:t>
            </w:r>
          </w:p>
        </w:tc>
        <w:tc>
          <w:tcPr>
            <w:tcW w:w="908" w:type="pct"/>
            <w:noWrap/>
            <w:vAlign w:val="center"/>
          </w:tcPr>
          <w:p w14:paraId="1A47864E"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0</w:t>
            </w:r>
          </w:p>
        </w:tc>
        <w:tc>
          <w:tcPr>
            <w:tcW w:w="899" w:type="pct"/>
            <w:noWrap/>
            <w:vAlign w:val="center"/>
          </w:tcPr>
          <w:p w14:paraId="44F81303"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186</w:t>
            </w:r>
          </w:p>
        </w:tc>
        <w:tc>
          <w:tcPr>
            <w:tcW w:w="915" w:type="pct"/>
            <w:noWrap/>
            <w:vAlign w:val="center"/>
          </w:tcPr>
          <w:p w14:paraId="7BFE2829"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186</w:t>
            </w:r>
          </w:p>
        </w:tc>
      </w:tr>
      <w:tr w:rsidR="00134287" w:rsidRPr="00B06893" w14:paraId="7F64799A" w14:textId="77777777" w:rsidTr="00501A02">
        <w:trPr>
          <w:trHeight w:val="270"/>
        </w:trPr>
        <w:tc>
          <w:tcPr>
            <w:tcW w:w="2277" w:type="pct"/>
            <w:noWrap/>
            <w:vAlign w:val="center"/>
          </w:tcPr>
          <w:p w14:paraId="202517FC"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Total QALYs Lost</w:t>
            </w:r>
          </w:p>
        </w:tc>
        <w:tc>
          <w:tcPr>
            <w:tcW w:w="908" w:type="pct"/>
            <w:noWrap/>
            <w:vAlign w:val="center"/>
          </w:tcPr>
          <w:p w14:paraId="4A15DF49"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127,213</w:t>
            </w:r>
          </w:p>
        </w:tc>
        <w:tc>
          <w:tcPr>
            <w:tcW w:w="899" w:type="pct"/>
            <w:noWrap/>
            <w:vAlign w:val="center"/>
          </w:tcPr>
          <w:p w14:paraId="4423CAF6"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115,698</w:t>
            </w:r>
          </w:p>
        </w:tc>
        <w:tc>
          <w:tcPr>
            <w:tcW w:w="915" w:type="pct"/>
            <w:noWrap/>
            <w:vAlign w:val="center"/>
          </w:tcPr>
          <w:p w14:paraId="2C2E183C" w14:textId="519DF3C7" w:rsidR="00134287" w:rsidRPr="00B06893" w:rsidRDefault="00193971" w:rsidP="00134287">
            <w:pPr>
              <w:keepNext/>
              <w:jc w:val="left"/>
              <w:rPr>
                <w:rFonts w:ascii="Arial Narrow" w:hAnsi="Arial Narrow"/>
                <w:snapToGrid w:val="0"/>
                <w:sz w:val="20"/>
                <w:szCs w:val="24"/>
                <w:lang w:val="en-AU"/>
              </w:rPr>
            </w:pPr>
            <w:r>
              <w:rPr>
                <w:rFonts w:ascii="Arial Narrow" w:hAnsi="Arial Narrow"/>
                <w:snapToGrid w:val="0"/>
                <w:sz w:val="20"/>
                <w:szCs w:val="24"/>
                <w:lang w:val="en-AU"/>
              </w:rPr>
              <w:noBreakHyphen/>
            </w:r>
            <w:r w:rsidR="00134287" w:rsidRPr="00B06893">
              <w:rPr>
                <w:rFonts w:ascii="Arial Narrow" w:hAnsi="Arial Narrow"/>
                <w:snapToGrid w:val="0"/>
                <w:sz w:val="20"/>
                <w:szCs w:val="24"/>
                <w:lang w:val="en-AU"/>
              </w:rPr>
              <w:t>11,515</w:t>
            </w:r>
          </w:p>
        </w:tc>
      </w:tr>
      <w:tr w:rsidR="00134287" w:rsidRPr="00B06893" w14:paraId="0549CC6B" w14:textId="77777777" w:rsidTr="00501A02">
        <w:trPr>
          <w:trHeight w:val="270"/>
        </w:trPr>
        <w:tc>
          <w:tcPr>
            <w:tcW w:w="2277" w:type="pct"/>
            <w:shd w:val="clear" w:color="auto" w:fill="D9D9D9" w:themeFill="background1" w:themeFillShade="D9"/>
            <w:noWrap/>
            <w:vAlign w:val="center"/>
          </w:tcPr>
          <w:p w14:paraId="4C9A17E8"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Costs</w:t>
            </w:r>
          </w:p>
        </w:tc>
        <w:tc>
          <w:tcPr>
            <w:tcW w:w="908" w:type="pct"/>
            <w:shd w:val="clear" w:color="auto" w:fill="D9D9D9" w:themeFill="background1" w:themeFillShade="D9"/>
            <w:noWrap/>
            <w:vAlign w:val="center"/>
          </w:tcPr>
          <w:p w14:paraId="4E940F00" w14:textId="77777777" w:rsidR="00134287" w:rsidRPr="00B06893" w:rsidRDefault="00134287" w:rsidP="00134287">
            <w:pPr>
              <w:keepNext/>
              <w:jc w:val="left"/>
              <w:rPr>
                <w:rFonts w:ascii="Arial Narrow" w:hAnsi="Arial Narrow"/>
                <w:snapToGrid w:val="0"/>
                <w:sz w:val="20"/>
                <w:szCs w:val="24"/>
                <w:lang w:val="en-AU"/>
              </w:rPr>
            </w:pPr>
          </w:p>
        </w:tc>
        <w:tc>
          <w:tcPr>
            <w:tcW w:w="899" w:type="pct"/>
            <w:shd w:val="clear" w:color="auto" w:fill="D9D9D9" w:themeFill="background1" w:themeFillShade="D9"/>
            <w:noWrap/>
            <w:vAlign w:val="center"/>
          </w:tcPr>
          <w:p w14:paraId="2110462C" w14:textId="77777777" w:rsidR="00134287" w:rsidRPr="00B06893" w:rsidRDefault="00134287" w:rsidP="00134287">
            <w:pPr>
              <w:keepNext/>
              <w:jc w:val="left"/>
              <w:rPr>
                <w:rFonts w:ascii="Arial Narrow" w:hAnsi="Arial Narrow"/>
                <w:snapToGrid w:val="0"/>
                <w:sz w:val="20"/>
                <w:szCs w:val="24"/>
                <w:lang w:val="en-AU"/>
              </w:rPr>
            </w:pPr>
          </w:p>
        </w:tc>
        <w:tc>
          <w:tcPr>
            <w:tcW w:w="915" w:type="pct"/>
            <w:shd w:val="clear" w:color="auto" w:fill="D9D9D9" w:themeFill="background1" w:themeFillShade="D9"/>
            <w:noWrap/>
            <w:vAlign w:val="center"/>
          </w:tcPr>
          <w:p w14:paraId="0860D14B" w14:textId="77777777" w:rsidR="00134287" w:rsidRPr="00B06893" w:rsidRDefault="00134287" w:rsidP="00134287">
            <w:pPr>
              <w:keepNext/>
              <w:jc w:val="left"/>
              <w:rPr>
                <w:rFonts w:ascii="Arial Narrow" w:hAnsi="Arial Narrow"/>
                <w:snapToGrid w:val="0"/>
                <w:sz w:val="20"/>
                <w:szCs w:val="24"/>
                <w:lang w:val="en-AU"/>
              </w:rPr>
            </w:pPr>
          </w:p>
        </w:tc>
      </w:tr>
      <w:tr w:rsidR="00134287" w:rsidRPr="00D9163C" w14:paraId="369689AB" w14:textId="77777777" w:rsidTr="00501A02">
        <w:trPr>
          <w:trHeight w:val="270"/>
        </w:trPr>
        <w:tc>
          <w:tcPr>
            <w:tcW w:w="2277" w:type="pct"/>
            <w:noWrap/>
            <w:vAlign w:val="center"/>
          </w:tcPr>
          <w:p w14:paraId="7B33D1C0"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Vaccination (including AEs)†</w:t>
            </w:r>
          </w:p>
        </w:tc>
        <w:tc>
          <w:tcPr>
            <w:tcW w:w="908" w:type="pct"/>
            <w:noWrap/>
            <w:vAlign w:val="center"/>
          </w:tcPr>
          <w:p w14:paraId="0E02AB63" w14:textId="6C57860D" w:rsidR="00134287" w:rsidRPr="00D9163C" w:rsidRDefault="00D9163C" w:rsidP="00134287">
            <w:pPr>
              <w:keepNext/>
              <w:jc w:val="left"/>
              <w:rPr>
                <w:rFonts w:ascii="Arial Narrow" w:hAnsi="Arial Narrow"/>
                <w:snapToGrid w:val="0"/>
                <w:sz w:val="20"/>
                <w:szCs w:val="24"/>
                <w:vertAlign w:val="superscript"/>
                <w:lang w:val="en-AU"/>
              </w:rPr>
            </w:pPr>
            <w:r w:rsidRPr="00D9163C">
              <w:rPr>
                <w:rFonts w:ascii="Arial Narrow" w:hAnsi="Arial Narrow"/>
                <w:snapToGrid w:val="0"/>
                <w:sz w:val="20"/>
                <w:szCs w:val="24"/>
                <w:lang w:val="en-AU"/>
              </w:rPr>
              <w:t>$</w:t>
            </w:r>
            <w:r w:rsidR="00134287" w:rsidRPr="004B7ECE">
              <w:rPr>
                <w:rFonts w:ascii="Arial Narrow" w:hAnsi="Arial Narrow"/>
                <w:snapToGrid w:val="0"/>
                <w:sz w:val="20"/>
                <w:szCs w:val="24"/>
                <w:lang w:val="en-AU"/>
              </w:rPr>
              <w:t>0</w:t>
            </w:r>
          </w:p>
        </w:tc>
        <w:tc>
          <w:tcPr>
            <w:tcW w:w="899" w:type="pct"/>
            <w:noWrap/>
            <w:vAlign w:val="center"/>
          </w:tcPr>
          <w:p w14:paraId="1775B987" w14:textId="03374322" w:rsidR="00134287" w:rsidRPr="00D9163C" w:rsidRDefault="00D9163C" w:rsidP="00134287">
            <w:pPr>
              <w:keepNext/>
              <w:jc w:val="left"/>
              <w:rPr>
                <w:rFonts w:ascii="Arial Narrow" w:hAnsi="Arial Narrow"/>
                <w:snapToGrid w:val="0"/>
                <w:sz w:val="20"/>
                <w:szCs w:val="24"/>
                <w:vertAlign w:val="superscript"/>
                <w:lang w:val="en-AU"/>
              </w:rPr>
            </w:pPr>
            <w:r w:rsidRPr="004B7ECE">
              <w:rPr>
                <w:rFonts w:ascii="Arial Narrow" w:hAnsi="Arial Narrow"/>
                <w:snapToGrid w:val="0"/>
                <w:sz w:val="20"/>
                <w:szCs w:val="24"/>
                <w:lang w:val="en-AU"/>
              </w:rPr>
              <w:t>$</w:t>
            </w:r>
            <w:r w:rsidR="00FF3F29" w:rsidRPr="00FF3F29">
              <w:rPr>
                <w:rFonts w:ascii="Arial Narrow" w:hAnsi="Arial Narrow"/>
                <w:snapToGrid w:val="0"/>
                <w:sz w:val="2"/>
                <w:szCs w:val="24"/>
                <w:highlight w:val="black"/>
                <w:lang w:val="en-AU"/>
              </w:rPr>
              <w:t>redacted content</w:t>
            </w:r>
          </w:p>
        </w:tc>
        <w:tc>
          <w:tcPr>
            <w:tcW w:w="915" w:type="pct"/>
            <w:noWrap/>
            <w:vAlign w:val="center"/>
          </w:tcPr>
          <w:p w14:paraId="1A5B2B3D" w14:textId="656647C4" w:rsidR="00134287" w:rsidRPr="00D9163C" w:rsidRDefault="00D9163C" w:rsidP="00134287">
            <w:pPr>
              <w:keepNext/>
              <w:jc w:val="left"/>
              <w:rPr>
                <w:rFonts w:ascii="Arial Narrow" w:hAnsi="Arial Narrow"/>
                <w:snapToGrid w:val="0"/>
                <w:sz w:val="20"/>
                <w:szCs w:val="24"/>
                <w:vertAlign w:val="superscript"/>
                <w:lang w:val="en-AU"/>
              </w:rPr>
            </w:pPr>
            <w:r w:rsidRPr="004B7ECE">
              <w:rPr>
                <w:rFonts w:ascii="Arial Narrow" w:hAnsi="Arial Narrow"/>
                <w:snapToGrid w:val="0"/>
                <w:sz w:val="20"/>
                <w:szCs w:val="24"/>
                <w:lang w:val="en-AU"/>
              </w:rPr>
              <w:t>$</w:t>
            </w:r>
            <w:r w:rsidR="00FF3F29" w:rsidRPr="00FF3F29">
              <w:rPr>
                <w:rFonts w:ascii="Arial Narrow" w:hAnsi="Arial Narrow"/>
                <w:snapToGrid w:val="0"/>
                <w:sz w:val="2"/>
                <w:szCs w:val="24"/>
                <w:highlight w:val="black"/>
                <w:lang w:val="en-AU"/>
              </w:rPr>
              <w:t>redacted content</w:t>
            </w:r>
          </w:p>
        </w:tc>
      </w:tr>
      <w:tr w:rsidR="00134287" w:rsidRPr="00B06893" w14:paraId="4107E025" w14:textId="77777777" w:rsidTr="00501A02">
        <w:trPr>
          <w:trHeight w:val="270"/>
        </w:trPr>
        <w:tc>
          <w:tcPr>
            <w:tcW w:w="2277" w:type="pct"/>
            <w:noWrap/>
            <w:vAlign w:val="center"/>
          </w:tcPr>
          <w:p w14:paraId="482C3C0A" w14:textId="3F1353EC"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Hospitali</w:t>
            </w:r>
            <w:r w:rsidR="00F134DF" w:rsidRPr="00B06893">
              <w:rPr>
                <w:rFonts w:ascii="Arial Narrow" w:hAnsi="Arial Narrow"/>
                <w:snapToGrid w:val="0"/>
                <w:sz w:val="20"/>
                <w:szCs w:val="24"/>
                <w:lang w:val="en-AU"/>
              </w:rPr>
              <w:t>s</w:t>
            </w:r>
            <w:r w:rsidRPr="00B06893">
              <w:rPr>
                <w:rFonts w:ascii="Arial Narrow" w:hAnsi="Arial Narrow"/>
                <w:snapToGrid w:val="0"/>
                <w:sz w:val="20"/>
                <w:szCs w:val="24"/>
                <w:lang w:val="en-AU"/>
              </w:rPr>
              <w:t>ation (including recovery)</w:t>
            </w:r>
          </w:p>
        </w:tc>
        <w:tc>
          <w:tcPr>
            <w:tcW w:w="908" w:type="pct"/>
            <w:noWrap/>
            <w:vAlign w:val="center"/>
          </w:tcPr>
          <w:p w14:paraId="64081A15" w14:textId="308B8782" w:rsidR="00134287" w:rsidRPr="00545C32" w:rsidRDefault="00D9163C" w:rsidP="00134287">
            <w:pPr>
              <w:keepNext/>
              <w:jc w:val="left"/>
              <w:rPr>
                <w:rFonts w:ascii="Arial Narrow" w:hAnsi="Arial Narrow"/>
                <w:snapToGrid w:val="0"/>
                <w:sz w:val="20"/>
                <w:szCs w:val="24"/>
                <w:vertAlign w:val="superscript"/>
                <w:lang w:val="en-AU"/>
              </w:rPr>
            </w:pPr>
            <w:r w:rsidRPr="00545C32">
              <w:rPr>
                <w:rFonts w:ascii="Arial Narrow" w:hAnsi="Arial Narrow"/>
                <w:snapToGrid w:val="0"/>
                <w:sz w:val="20"/>
                <w:szCs w:val="24"/>
                <w:lang w:val="en-AU"/>
              </w:rPr>
              <w:t>$</w:t>
            </w:r>
            <w:r w:rsidR="00134287" w:rsidRPr="00545C32">
              <w:rPr>
                <w:rFonts w:ascii="Arial Narrow" w:hAnsi="Arial Narrow"/>
                <w:snapToGrid w:val="0"/>
                <w:sz w:val="20"/>
                <w:szCs w:val="24"/>
                <w:lang w:val="en-AU"/>
              </w:rPr>
              <w:t>1,048,711,110</w:t>
            </w:r>
          </w:p>
        </w:tc>
        <w:tc>
          <w:tcPr>
            <w:tcW w:w="899" w:type="pct"/>
            <w:noWrap/>
            <w:vAlign w:val="center"/>
          </w:tcPr>
          <w:p w14:paraId="25DD784A" w14:textId="7B367B75" w:rsidR="00134287" w:rsidRPr="00545C32" w:rsidRDefault="00D9163C" w:rsidP="00134287">
            <w:pPr>
              <w:keepNext/>
              <w:jc w:val="left"/>
              <w:rPr>
                <w:rFonts w:ascii="Arial Narrow" w:hAnsi="Arial Narrow"/>
                <w:snapToGrid w:val="0"/>
                <w:sz w:val="20"/>
                <w:szCs w:val="24"/>
                <w:vertAlign w:val="superscript"/>
                <w:lang w:val="en-AU"/>
              </w:rPr>
            </w:pPr>
            <w:r w:rsidRPr="00545C32">
              <w:rPr>
                <w:rFonts w:ascii="Arial Narrow" w:hAnsi="Arial Narrow"/>
                <w:snapToGrid w:val="0"/>
                <w:sz w:val="20"/>
                <w:szCs w:val="24"/>
                <w:lang w:val="en-AU"/>
              </w:rPr>
              <w:t>$</w:t>
            </w:r>
            <w:r w:rsidR="00134287" w:rsidRPr="00545C32">
              <w:rPr>
                <w:rFonts w:ascii="Arial Narrow" w:hAnsi="Arial Narrow"/>
                <w:snapToGrid w:val="0"/>
                <w:sz w:val="20"/>
                <w:szCs w:val="24"/>
                <w:lang w:val="en-AU"/>
              </w:rPr>
              <w:t>941,261,952</w:t>
            </w:r>
          </w:p>
        </w:tc>
        <w:tc>
          <w:tcPr>
            <w:tcW w:w="915" w:type="pct"/>
            <w:noWrap/>
            <w:vAlign w:val="center"/>
          </w:tcPr>
          <w:p w14:paraId="3C5C6E7F" w14:textId="76A9BC86" w:rsidR="00134287" w:rsidRPr="00545C32" w:rsidRDefault="00D9163C" w:rsidP="00134287">
            <w:pPr>
              <w:keepNext/>
              <w:jc w:val="left"/>
              <w:rPr>
                <w:rFonts w:ascii="Arial Narrow" w:hAnsi="Arial Narrow"/>
                <w:snapToGrid w:val="0"/>
                <w:sz w:val="20"/>
                <w:szCs w:val="24"/>
                <w:vertAlign w:val="superscript"/>
                <w:lang w:val="en-AU"/>
              </w:rPr>
            </w:pPr>
            <w:r w:rsidRPr="00545C32">
              <w:rPr>
                <w:rFonts w:ascii="Arial Narrow" w:hAnsi="Arial Narrow"/>
                <w:snapToGrid w:val="0"/>
                <w:sz w:val="20"/>
                <w:szCs w:val="24"/>
                <w:lang w:val="en-AU"/>
              </w:rPr>
              <w:t>-$</w:t>
            </w:r>
            <w:r w:rsidR="00134287" w:rsidRPr="00545C32">
              <w:rPr>
                <w:rFonts w:ascii="Arial Narrow" w:hAnsi="Arial Narrow"/>
                <w:snapToGrid w:val="0"/>
                <w:sz w:val="20"/>
                <w:szCs w:val="24"/>
                <w:lang w:val="en-AU"/>
              </w:rPr>
              <w:t>107,449,158</w:t>
            </w:r>
          </w:p>
        </w:tc>
      </w:tr>
      <w:tr w:rsidR="00134287" w:rsidRPr="00D9163C" w14:paraId="6DB0FC40" w14:textId="77777777" w:rsidTr="00501A02">
        <w:trPr>
          <w:trHeight w:val="270"/>
        </w:trPr>
        <w:tc>
          <w:tcPr>
            <w:tcW w:w="2277" w:type="pct"/>
            <w:noWrap/>
            <w:vAlign w:val="center"/>
          </w:tcPr>
          <w:p w14:paraId="662EB565" w14:textId="234782AB"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Short</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term non</w:t>
            </w:r>
            <w:r w:rsidR="00193971">
              <w:rPr>
                <w:rFonts w:ascii="Arial Narrow" w:hAnsi="Arial Narrow"/>
                <w:snapToGrid w:val="0"/>
                <w:sz w:val="20"/>
                <w:szCs w:val="24"/>
                <w:lang w:val="en-AU"/>
              </w:rPr>
              <w:noBreakHyphen/>
            </w:r>
            <w:r w:rsidR="00C93301" w:rsidRPr="00B06893">
              <w:rPr>
                <w:rFonts w:ascii="Arial Narrow" w:hAnsi="Arial Narrow"/>
                <w:snapToGrid w:val="0"/>
                <w:sz w:val="20"/>
                <w:szCs w:val="24"/>
                <w:lang w:val="en-AU"/>
              </w:rPr>
              <w:t xml:space="preserve">hospitalised </w:t>
            </w:r>
            <w:r w:rsidRPr="00B06893">
              <w:rPr>
                <w:rFonts w:ascii="Arial Narrow" w:hAnsi="Arial Narrow"/>
                <w:snapToGrid w:val="0"/>
                <w:sz w:val="20"/>
                <w:szCs w:val="24"/>
                <w:lang w:val="en-AU"/>
              </w:rPr>
              <w:t>patient care</w:t>
            </w:r>
          </w:p>
        </w:tc>
        <w:tc>
          <w:tcPr>
            <w:tcW w:w="908" w:type="pct"/>
            <w:noWrap/>
            <w:vAlign w:val="center"/>
          </w:tcPr>
          <w:p w14:paraId="28F1C83F" w14:textId="5C7CDDE1" w:rsidR="00134287" w:rsidRPr="00545C32" w:rsidRDefault="00D9163C" w:rsidP="00134287">
            <w:pPr>
              <w:keepNext/>
              <w:jc w:val="left"/>
              <w:rPr>
                <w:rFonts w:ascii="Arial Narrow" w:hAnsi="Arial Narrow"/>
                <w:snapToGrid w:val="0"/>
                <w:sz w:val="20"/>
                <w:szCs w:val="24"/>
                <w:vertAlign w:val="superscript"/>
                <w:lang w:val="en-AU"/>
              </w:rPr>
            </w:pPr>
            <w:r w:rsidRPr="00545C32">
              <w:rPr>
                <w:rFonts w:ascii="Arial Narrow" w:hAnsi="Arial Narrow"/>
                <w:snapToGrid w:val="0"/>
                <w:sz w:val="20"/>
                <w:szCs w:val="24"/>
                <w:lang w:val="en-AU"/>
              </w:rPr>
              <w:t>$</w:t>
            </w:r>
            <w:r w:rsidR="00134287" w:rsidRPr="00545C32">
              <w:rPr>
                <w:rFonts w:ascii="Arial Narrow" w:hAnsi="Arial Narrow"/>
                <w:snapToGrid w:val="0"/>
                <w:sz w:val="20"/>
                <w:szCs w:val="24"/>
                <w:lang w:val="en-AU"/>
              </w:rPr>
              <w:t>259,054,999</w:t>
            </w:r>
          </w:p>
        </w:tc>
        <w:tc>
          <w:tcPr>
            <w:tcW w:w="899" w:type="pct"/>
            <w:noWrap/>
            <w:vAlign w:val="center"/>
          </w:tcPr>
          <w:p w14:paraId="5E9BE995" w14:textId="64255CA4" w:rsidR="00134287" w:rsidRPr="00545C32" w:rsidRDefault="00D9163C" w:rsidP="00134287">
            <w:pPr>
              <w:keepNext/>
              <w:jc w:val="left"/>
              <w:rPr>
                <w:rFonts w:ascii="Arial Narrow" w:hAnsi="Arial Narrow"/>
                <w:snapToGrid w:val="0"/>
                <w:sz w:val="20"/>
                <w:szCs w:val="24"/>
                <w:vertAlign w:val="superscript"/>
                <w:lang w:val="en-AU"/>
              </w:rPr>
            </w:pPr>
            <w:r w:rsidRPr="00545C32">
              <w:rPr>
                <w:rFonts w:ascii="Arial Narrow" w:hAnsi="Arial Narrow"/>
                <w:snapToGrid w:val="0"/>
                <w:sz w:val="20"/>
                <w:szCs w:val="24"/>
                <w:vertAlign w:val="superscript"/>
                <w:lang w:val="en-AU"/>
              </w:rPr>
              <w:t>$</w:t>
            </w:r>
            <w:r w:rsidR="00134287" w:rsidRPr="00545C32">
              <w:rPr>
                <w:rFonts w:ascii="Arial Narrow" w:hAnsi="Arial Narrow"/>
                <w:snapToGrid w:val="0"/>
                <w:sz w:val="20"/>
                <w:szCs w:val="24"/>
                <w:lang w:val="en-AU"/>
              </w:rPr>
              <w:t>238,831,763</w:t>
            </w:r>
          </w:p>
        </w:tc>
        <w:tc>
          <w:tcPr>
            <w:tcW w:w="915" w:type="pct"/>
            <w:noWrap/>
            <w:vAlign w:val="center"/>
          </w:tcPr>
          <w:p w14:paraId="1E5CEB06" w14:textId="085FF78B" w:rsidR="00134287" w:rsidRPr="00545C32" w:rsidRDefault="00193971" w:rsidP="00134287">
            <w:pPr>
              <w:keepNext/>
              <w:jc w:val="left"/>
              <w:rPr>
                <w:rFonts w:ascii="Arial Narrow" w:hAnsi="Arial Narrow"/>
                <w:snapToGrid w:val="0"/>
                <w:sz w:val="20"/>
                <w:szCs w:val="24"/>
                <w:vertAlign w:val="superscript"/>
                <w:lang w:val="en-AU"/>
              </w:rPr>
            </w:pPr>
            <w:r w:rsidRPr="00545C32">
              <w:rPr>
                <w:rFonts w:ascii="Arial Narrow" w:hAnsi="Arial Narrow"/>
                <w:snapToGrid w:val="0"/>
                <w:sz w:val="20"/>
                <w:szCs w:val="24"/>
                <w:vertAlign w:val="superscript"/>
                <w:lang w:val="en-AU"/>
              </w:rPr>
              <w:noBreakHyphen/>
            </w:r>
            <w:r w:rsidR="00D9163C" w:rsidRPr="00545C32">
              <w:rPr>
                <w:rFonts w:ascii="Arial Narrow" w:hAnsi="Arial Narrow"/>
                <w:snapToGrid w:val="0"/>
                <w:sz w:val="20"/>
                <w:szCs w:val="24"/>
                <w:lang w:val="en-AU"/>
              </w:rPr>
              <w:t>$</w:t>
            </w:r>
            <w:r w:rsidR="00134287" w:rsidRPr="00545C32">
              <w:rPr>
                <w:rFonts w:ascii="Arial Narrow" w:hAnsi="Arial Narrow"/>
                <w:snapToGrid w:val="0"/>
                <w:sz w:val="20"/>
                <w:szCs w:val="24"/>
                <w:lang w:val="en-AU"/>
              </w:rPr>
              <w:t>20,223,236</w:t>
            </w:r>
          </w:p>
        </w:tc>
      </w:tr>
      <w:tr w:rsidR="00134287" w:rsidRPr="00B06893" w14:paraId="24C2B474" w14:textId="77777777" w:rsidTr="00501A02">
        <w:trPr>
          <w:trHeight w:val="270"/>
        </w:trPr>
        <w:tc>
          <w:tcPr>
            <w:tcW w:w="2277" w:type="pct"/>
            <w:noWrap/>
            <w:vAlign w:val="center"/>
          </w:tcPr>
          <w:p w14:paraId="39CA107F" w14:textId="339ADF1C"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Post</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acute care</w:t>
            </w:r>
          </w:p>
        </w:tc>
        <w:tc>
          <w:tcPr>
            <w:tcW w:w="908" w:type="pct"/>
            <w:noWrap/>
            <w:vAlign w:val="center"/>
          </w:tcPr>
          <w:p w14:paraId="17E7ABAF" w14:textId="28D0640F" w:rsidR="00134287" w:rsidRPr="001F3B6B" w:rsidRDefault="00D9163C" w:rsidP="00134287">
            <w:pPr>
              <w:keepNext/>
              <w:jc w:val="left"/>
              <w:rPr>
                <w:rFonts w:ascii="Arial Narrow" w:hAnsi="Arial Narrow"/>
                <w:snapToGrid w:val="0"/>
                <w:sz w:val="20"/>
                <w:szCs w:val="24"/>
                <w:vertAlign w:val="superscript"/>
                <w:lang w:val="en-AU"/>
              </w:rPr>
            </w:pPr>
            <w:r w:rsidRPr="001F3B6B">
              <w:rPr>
                <w:rFonts w:ascii="Arial Narrow" w:hAnsi="Arial Narrow"/>
                <w:snapToGrid w:val="0"/>
                <w:sz w:val="20"/>
                <w:szCs w:val="24"/>
                <w:lang w:val="en-AU"/>
              </w:rPr>
              <w:t>$</w:t>
            </w:r>
            <w:r w:rsidR="00134287" w:rsidRPr="001F3B6B">
              <w:rPr>
                <w:rFonts w:ascii="Arial Narrow" w:hAnsi="Arial Narrow"/>
                <w:snapToGrid w:val="0"/>
                <w:sz w:val="20"/>
                <w:szCs w:val="24"/>
                <w:lang w:val="en-AU"/>
              </w:rPr>
              <w:t>66,105,414</w:t>
            </w:r>
          </w:p>
        </w:tc>
        <w:tc>
          <w:tcPr>
            <w:tcW w:w="899" w:type="pct"/>
            <w:noWrap/>
            <w:vAlign w:val="center"/>
          </w:tcPr>
          <w:p w14:paraId="2DB2205B" w14:textId="35003511" w:rsidR="00134287" w:rsidRPr="001F3B6B" w:rsidRDefault="00D9163C" w:rsidP="00134287">
            <w:pPr>
              <w:keepNext/>
              <w:jc w:val="left"/>
              <w:rPr>
                <w:rFonts w:ascii="Arial Narrow" w:hAnsi="Arial Narrow"/>
                <w:snapToGrid w:val="0"/>
                <w:sz w:val="20"/>
                <w:szCs w:val="24"/>
                <w:vertAlign w:val="superscript"/>
                <w:lang w:val="en-AU"/>
              </w:rPr>
            </w:pPr>
            <w:r w:rsidRPr="001F3B6B">
              <w:rPr>
                <w:rFonts w:ascii="Arial Narrow" w:hAnsi="Arial Narrow"/>
                <w:snapToGrid w:val="0"/>
                <w:sz w:val="20"/>
                <w:szCs w:val="24"/>
                <w:lang w:val="en-AU"/>
              </w:rPr>
              <w:t>$</w:t>
            </w:r>
            <w:r w:rsidR="00134287" w:rsidRPr="001F3B6B">
              <w:rPr>
                <w:rFonts w:ascii="Arial Narrow" w:hAnsi="Arial Narrow"/>
                <w:snapToGrid w:val="0"/>
                <w:sz w:val="20"/>
                <w:szCs w:val="24"/>
                <w:lang w:val="en-AU"/>
              </w:rPr>
              <w:t>59,419,470</w:t>
            </w:r>
          </w:p>
        </w:tc>
        <w:tc>
          <w:tcPr>
            <w:tcW w:w="915" w:type="pct"/>
            <w:noWrap/>
            <w:vAlign w:val="center"/>
          </w:tcPr>
          <w:p w14:paraId="25901D59" w14:textId="6400A238" w:rsidR="00134287" w:rsidRPr="001F3B6B" w:rsidRDefault="00D9163C" w:rsidP="00134287">
            <w:pPr>
              <w:keepNext/>
              <w:jc w:val="left"/>
              <w:rPr>
                <w:rFonts w:ascii="Arial Narrow" w:hAnsi="Arial Narrow"/>
                <w:snapToGrid w:val="0"/>
                <w:sz w:val="20"/>
                <w:szCs w:val="24"/>
                <w:vertAlign w:val="superscript"/>
                <w:lang w:val="en-AU"/>
              </w:rPr>
            </w:pPr>
            <w:r w:rsidRPr="001F3B6B">
              <w:rPr>
                <w:rFonts w:ascii="Arial Narrow" w:hAnsi="Arial Narrow"/>
                <w:snapToGrid w:val="0"/>
                <w:sz w:val="20"/>
                <w:szCs w:val="24"/>
                <w:lang w:val="en-AU"/>
              </w:rPr>
              <w:t>-$</w:t>
            </w:r>
            <w:r w:rsidR="00134287" w:rsidRPr="001F3B6B">
              <w:rPr>
                <w:rFonts w:ascii="Arial Narrow" w:hAnsi="Arial Narrow"/>
                <w:snapToGrid w:val="0"/>
                <w:sz w:val="20"/>
                <w:szCs w:val="24"/>
                <w:lang w:val="en-AU"/>
              </w:rPr>
              <w:t>6,685,944</w:t>
            </w:r>
          </w:p>
        </w:tc>
      </w:tr>
      <w:tr w:rsidR="00134287" w:rsidRPr="00D9163C" w14:paraId="1C5B3BA3" w14:textId="77777777" w:rsidTr="00501A02">
        <w:trPr>
          <w:trHeight w:val="270"/>
        </w:trPr>
        <w:tc>
          <w:tcPr>
            <w:tcW w:w="2277" w:type="pct"/>
            <w:noWrap/>
            <w:vAlign w:val="center"/>
          </w:tcPr>
          <w:p w14:paraId="5C9186CD" w14:textId="551DF79B"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COVID 19</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infection</w:t>
            </w:r>
            <w:r w:rsidR="00193971">
              <w:rPr>
                <w:rFonts w:ascii="Arial Narrow" w:hAnsi="Arial Narrow"/>
                <w:snapToGrid w:val="0"/>
                <w:sz w:val="20"/>
                <w:szCs w:val="24"/>
                <w:lang w:val="en-AU"/>
              </w:rPr>
              <w:noBreakHyphen/>
            </w:r>
            <w:r w:rsidRPr="00B06893">
              <w:rPr>
                <w:rFonts w:ascii="Arial Narrow" w:hAnsi="Arial Narrow"/>
                <w:snapToGrid w:val="0"/>
                <w:sz w:val="20"/>
                <w:szCs w:val="24"/>
                <w:lang w:val="en-AU"/>
              </w:rPr>
              <w:t>related myocarditis cases</w:t>
            </w:r>
          </w:p>
        </w:tc>
        <w:tc>
          <w:tcPr>
            <w:tcW w:w="908" w:type="pct"/>
            <w:noWrap/>
            <w:vAlign w:val="center"/>
          </w:tcPr>
          <w:p w14:paraId="55ED5D4F" w14:textId="075C1E68" w:rsidR="00134287" w:rsidRPr="001F3B6B" w:rsidRDefault="00D9163C" w:rsidP="00134287">
            <w:pPr>
              <w:keepNext/>
              <w:jc w:val="left"/>
              <w:rPr>
                <w:rFonts w:ascii="Arial Narrow" w:hAnsi="Arial Narrow"/>
                <w:snapToGrid w:val="0"/>
                <w:sz w:val="20"/>
                <w:szCs w:val="24"/>
                <w:vertAlign w:val="superscript"/>
                <w:lang w:val="en-AU"/>
              </w:rPr>
            </w:pPr>
            <w:r w:rsidRPr="001F3B6B">
              <w:rPr>
                <w:rFonts w:ascii="Arial Narrow" w:hAnsi="Arial Narrow"/>
                <w:snapToGrid w:val="0"/>
                <w:sz w:val="20"/>
                <w:szCs w:val="24"/>
                <w:lang w:val="en-AU"/>
              </w:rPr>
              <w:t>$</w:t>
            </w:r>
            <w:r w:rsidR="00134287" w:rsidRPr="001F3B6B">
              <w:rPr>
                <w:rFonts w:ascii="Arial Narrow" w:hAnsi="Arial Narrow"/>
                <w:snapToGrid w:val="0"/>
                <w:sz w:val="20"/>
                <w:szCs w:val="24"/>
                <w:lang w:val="en-AU"/>
              </w:rPr>
              <w:t>13,719,898</w:t>
            </w:r>
          </w:p>
        </w:tc>
        <w:tc>
          <w:tcPr>
            <w:tcW w:w="899" w:type="pct"/>
            <w:noWrap/>
            <w:vAlign w:val="center"/>
          </w:tcPr>
          <w:p w14:paraId="0E217CB0" w14:textId="74072A02" w:rsidR="00134287" w:rsidRPr="001F3B6B" w:rsidRDefault="00D9163C" w:rsidP="00134287">
            <w:pPr>
              <w:keepNext/>
              <w:jc w:val="left"/>
              <w:rPr>
                <w:rFonts w:ascii="Arial Narrow" w:hAnsi="Arial Narrow"/>
                <w:snapToGrid w:val="0"/>
                <w:sz w:val="20"/>
                <w:szCs w:val="24"/>
                <w:vertAlign w:val="superscript"/>
                <w:lang w:val="en-AU"/>
              </w:rPr>
            </w:pPr>
            <w:r w:rsidRPr="001F3B6B">
              <w:rPr>
                <w:rFonts w:ascii="Arial Narrow" w:hAnsi="Arial Narrow"/>
                <w:snapToGrid w:val="0"/>
                <w:sz w:val="20"/>
                <w:szCs w:val="24"/>
                <w:vertAlign w:val="superscript"/>
                <w:lang w:val="en-AU"/>
              </w:rPr>
              <w:t>$</w:t>
            </w:r>
            <w:r w:rsidR="00134287" w:rsidRPr="001F3B6B">
              <w:rPr>
                <w:rFonts w:ascii="Arial Narrow" w:hAnsi="Arial Narrow"/>
                <w:snapToGrid w:val="0"/>
                <w:sz w:val="20"/>
                <w:szCs w:val="24"/>
                <w:lang w:val="en-AU"/>
              </w:rPr>
              <w:t>12,623,432</w:t>
            </w:r>
          </w:p>
        </w:tc>
        <w:tc>
          <w:tcPr>
            <w:tcW w:w="915" w:type="pct"/>
            <w:noWrap/>
            <w:vAlign w:val="center"/>
          </w:tcPr>
          <w:p w14:paraId="35B92F60" w14:textId="42D32334" w:rsidR="00134287" w:rsidRPr="001F3B6B" w:rsidRDefault="00193971" w:rsidP="00134287">
            <w:pPr>
              <w:keepNext/>
              <w:jc w:val="left"/>
              <w:rPr>
                <w:rFonts w:ascii="Arial Narrow" w:hAnsi="Arial Narrow"/>
                <w:snapToGrid w:val="0"/>
                <w:sz w:val="20"/>
                <w:szCs w:val="24"/>
                <w:vertAlign w:val="superscript"/>
                <w:lang w:val="en-AU"/>
              </w:rPr>
            </w:pPr>
            <w:r w:rsidRPr="001F3B6B">
              <w:rPr>
                <w:rFonts w:ascii="Arial Narrow" w:hAnsi="Arial Narrow"/>
                <w:snapToGrid w:val="0"/>
                <w:sz w:val="20"/>
                <w:szCs w:val="24"/>
                <w:vertAlign w:val="superscript"/>
                <w:lang w:val="en-AU"/>
              </w:rPr>
              <w:noBreakHyphen/>
            </w:r>
            <w:r w:rsidR="00D9163C" w:rsidRPr="001F3B6B">
              <w:rPr>
                <w:rFonts w:ascii="Arial Narrow" w:hAnsi="Arial Narrow"/>
                <w:snapToGrid w:val="0"/>
                <w:sz w:val="20"/>
                <w:szCs w:val="24"/>
                <w:lang w:val="en-AU"/>
              </w:rPr>
              <w:t>$</w:t>
            </w:r>
            <w:r w:rsidR="00134287" w:rsidRPr="001F3B6B">
              <w:rPr>
                <w:rFonts w:ascii="Arial Narrow" w:hAnsi="Arial Narrow"/>
                <w:snapToGrid w:val="0"/>
                <w:sz w:val="20"/>
                <w:szCs w:val="24"/>
                <w:lang w:val="en-AU"/>
              </w:rPr>
              <w:t>1,096,466</w:t>
            </w:r>
          </w:p>
        </w:tc>
      </w:tr>
      <w:tr w:rsidR="00134287" w:rsidRPr="00B06893" w14:paraId="75098462" w14:textId="77777777" w:rsidTr="00501A02">
        <w:trPr>
          <w:trHeight w:val="270"/>
        </w:trPr>
        <w:tc>
          <w:tcPr>
            <w:tcW w:w="2277" w:type="pct"/>
            <w:noWrap/>
            <w:vAlign w:val="center"/>
          </w:tcPr>
          <w:p w14:paraId="730B93CF" w14:textId="77777777" w:rsidR="00134287" w:rsidRPr="00D724FB" w:rsidRDefault="00134287" w:rsidP="00134287">
            <w:pPr>
              <w:keepNext/>
              <w:jc w:val="left"/>
              <w:rPr>
                <w:rFonts w:ascii="Arial Narrow" w:hAnsi="Arial Narrow"/>
                <w:snapToGrid w:val="0"/>
                <w:sz w:val="20"/>
                <w:szCs w:val="24"/>
                <w:lang w:val="en-AU"/>
              </w:rPr>
            </w:pPr>
            <w:r w:rsidRPr="00D724FB">
              <w:rPr>
                <w:rFonts w:ascii="Arial Narrow" w:hAnsi="Arial Narrow"/>
                <w:snapToGrid w:val="0"/>
                <w:sz w:val="20"/>
                <w:szCs w:val="24"/>
                <w:lang w:val="en-AU"/>
              </w:rPr>
              <w:t>Total costs</w:t>
            </w:r>
          </w:p>
        </w:tc>
        <w:tc>
          <w:tcPr>
            <w:tcW w:w="908" w:type="pct"/>
            <w:noWrap/>
            <w:vAlign w:val="center"/>
          </w:tcPr>
          <w:p w14:paraId="1E3263DD" w14:textId="3F5E095F" w:rsidR="00134287" w:rsidRPr="00D724FB" w:rsidRDefault="00D9163C" w:rsidP="00134287">
            <w:pPr>
              <w:keepNext/>
              <w:jc w:val="left"/>
              <w:rPr>
                <w:rFonts w:ascii="Arial Narrow" w:hAnsi="Arial Narrow"/>
                <w:snapToGrid w:val="0"/>
                <w:sz w:val="20"/>
                <w:szCs w:val="24"/>
                <w:vertAlign w:val="superscript"/>
                <w:lang w:val="en-AU"/>
              </w:rPr>
            </w:pPr>
            <w:r w:rsidRPr="00D724FB">
              <w:rPr>
                <w:rFonts w:ascii="Arial Narrow" w:hAnsi="Arial Narrow"/>
                <w:snapToGrid w:val="0"/>
                <w:sz w:val="20"/>
                <w:szCs w:val="24"/>
                <w:lang w:val="en-AU"/>
              </w:rPr>
              <w:t>$</w:t>
            </w:r>
            <w:r w:rsidR="00134287" w:rsidRPr="00D724FB">
              <w:rPr>
                <w:rFonts w:ascii="Arial Narrow" w:hAnsi="Arial Narrow"/>
                <w:snapToGrid w:val="0"/>
                <w:sz w:val="20"/>
                <w:szCs w:val="24"/>
                <w:lang w:val="en-AU"/>
              </w:rPr>
              <w:t>1,387,591,421</w:t>
            </w:r>
          </w:p>
        </w:tc>
        <w:tc>
          <w:tcPr>
            <w:tcW w:w="899" w:type="pct"/>
            <w:noWrap/>
            <w:vAlign w:val="center"/>
          </w:tcPr>
          <w:p w14:paraId="0E2DCBE9" w14:textId="5796A007" w:rsidR="00134287" w:rsidRPr="00D9163C" w:rsidRDefault="00D9163C" w:rsidP="00134287">
            <w:pPr>
              <w:keepNext/>
              <w:jc w:val="left"/>
              <w:rPr>
                <w:rFonts w:ascii="Arial Narrow" w:hAnsi="Arial Narrow"/>
                <w:snapToGrid w:val="0"/>
                <w:sz w:val="20"/>
                <w:szCs w:val="24"/>
                <w:vertAlign w:val="superscript"/>
                <w:lang w:val="en-AU"/>
              </w:rPr>
            </w:pPr>
            <w:r w:rsidRPr="00D9163C">
              <w:rPr>
                <w:rFonts w:ascii="Arial Narrow" w:hAnsi="Arial Narrow"/>
                <w:snapToGrid w:val="0"/>
                <w:sz w:val="20"/>
                <w:szCs w:val="24"/>
                <w:lang w:val="en-AU"/>
              </w:rPr>
              <w:t>$</w:t>
            </w:r>
            <w:r w:rsidR="00FF3F29" w:rsidRPr="00FF3F29">
              <w:rPr>
                <w:rFonts w:ascii="Arial Narrow" w:hAnsi="Arial Narrow"/>
                <w:snapToGrid w:val="0"/>
                <w:sz w:val="2"/>
                <w:szCs w:val="24"/>
                <w:highlight w:val="black"/>
                <w:lang w:val="en-AU"/>
              </w:rPr>
              <w:t>redacted content</w:t>
            </w:r>
          </w:p>
        </w:tc>
        <w:tc>
          <w:tcPr>
            <w:tcW w:w="915" w:type="pct"/>
            <w:noWrap/>
            <w:vAlign w:val="center"/>
          </w:tcPr>
          <w:p w14:paraId="0DF46D15" w14:textId="5A871A10" w:rsidR="00134287" w:rsidRPr="00D9163C" w:rsidRDefault="00D9163C" w:rsidP="00134287">
            <w:pPr>
              <w:keepNext/>
              <w:jc w:val="left"/>
              <w:rPr>
                <w:rFonts w:ascii="Arial Narrow" w:hAnsi="Arial Narrow"/>
                <w:snapToGrid w:val="0"/>
                <w:sz w:val="20"/>
                <w:szCs w:val="24"/>
                <w:vertAlign w:val="superscript"/>
                <w:lang w:val="en-AU"/>
              </w:rPr>
            </w:pPr>
            <w:r w:rsidRPr="00D9163C">
              <w:rPr>
                <w:rFonts w:ascii="Arial Narrow" w:hAnsi="Arial Narrow"/>
                <w:snapToGrid w:val="0"/>
                <w:sz w:val="20"/>
                <w:szCs w:val="24"/>
                <w:lang w:val="en-AU"/>
              </w:rPr>
              <w:t>$</w:t>
            </w:r>
            <w:r w:rsidR="00FF3F29" w:rsidRPr="00FF3F29">
              <w:rPr>
                <w:rFonts w:ascii="Arial Narrow" w:hAnsi="Arial Narrow"/>
                <w:snapToGrid w:val="0"/>
                <w:sz w:val="2"/>
                <w:szCs w:val="24"/>
                <w:highlight w:val="black"/>
                <w:lang w:val="en-AU"/>
              </w:rPr>
              <w:t>redacted content</w:t>
            </w:r>
          </w:p>
        </w:tc>
      </w:tr>
      <w:tr w:rsidR="00134287" w:rsidRPr="00B06893" w14:paraId="18569166" w14:textId="77777777" w:rsidTr="00501A02">
        <w:trPr>
          <w:trHeight w:val="270"/>
        </w:trPr>
        <w:tc>
          <w:tcPr>
            <w:tcW w:w="2277" w:type="pct"/>
            <w:shd w:val="clear" w:color="auto" w:fill="D9D9D9" w:themeFill="background1" w:themeFillShade="D9"/>
            <w:noWrap/>
            <w:vAlign w:val="center"/>
          </w:tcPr>
          <w:p w14:paraId="0928A7EE" w14:textId="77777777" w:rsidR="00134287" w:rsidRPr="00B06893" w:rsidRDefault="00134287" w:rsidP="00134287">
            <w:pPr>
              <w:keepNext/>
              <w:jc w:val="left"/>
              <w:rPr>
                <w:rFonts w:ascii="Arial Narrow" w:hAnsi="Arial Narrow"/>
                <w:snapToGrid w:val="0"/>
                <w:sz w:val="20"/>
                <w:szCs w:val="24"/>
                <w:lang w:val="en-AU"/>
              </w:rPr>
            </w:pPr>
            <w:r w:rsidRPr="00B06893">
              <w:rPr>
                <w:rFonts w:ascii="Arial Narrow" w:hAnsi="Arial Narrow"/>
                <w:snapToGrid w:val="0"/>
                <w:sz w:val="20"/>
                <w:szCs w:val="24"/>
                <w:lang w:val="en-AU"/>
              </w:rPr>
              <w:t>Incremental cost effectiveness ratio</w:t>
            </w:r>
          </w:p>
        </w:tc>
        <w:tc>
          <w:tcPr>
            <w:tcW w:w="908" w:type="pct"/>
            <w:shd w:val="clear" w:color="auto" w:fill="D9D9D9" w:themeFill="background1" w:themeFillShade="D9"/>
            <w:noWrap/>
            <w:vAlign w:val="center"/>
          </w:tcPr>
          <w:p w14:paraId="77BF008B" w14:textId="77777777" w:rsidR="00134287" w:rsidRPr="00B06893" w:rsidRDefault="00134287" w:rsidP="00134287">
            <w:pPr>
              <w:keepNext/>
              <w:jc w:val="left"/>
              <w:rPr>
                <w:rFonts w:ascii="Arial Narrow" w:hAnsi="Arial Narrow"/>
                <w:snapToGrid w:val="0"/>
                <w:sz w:val="20"/>
                <w:szCs w:val="24"/>
                <w:lang w:val="en-AU"/>
              </w:rPr>
            </w:pPr>
          </w:p>
        </w:tc>
        <w:tc>
          <w:tcPr>
            <w:tcW w:w="899" w:type="pct"/>
            <w:shd w:val="clear" w:color="auto" w:fill="D9D9D9" w:themeFill="background1" w:themeFillShade="D9"/>
            <w:noWrap/>
            <w:vAlign w:val="center"/>
          </w:tcPr>
          <w:p w14:paraId="7584BF57" w14:textId="77777777" w:rsidR="00134287" w:rsidRPr="00B06893" w:rsidRDefault="00134287" w:rsidP="00134287">
            <w:pPr>
              <w:keepNext/>
              <w:jc w:val="left"/>
              <w:rPr>
                <w:rFonts w:ascii="Arial Narrow" w:hAnsi="Arial Narrow"/>
                <w:snapToGrid w:val="0"/>
                <w:sz w:val="20"/>
                <w:szCs w:val="24"/>
                <w:lang w:val="en-AU"/>
              </w:rPr>
            </w:pPr>
          </w:p>
        </w:tc>
        <w:tc>
          <w:tcPr>
            <w:tcW w:w="915" w:type="pct"/>
            <w:shd w:val="clear" w:color="auto" w:fill="D9D9D9" w:themeFill="background1" w:themeFillShade="D9"/>
            <w:noWrap/>
            <w:vAlign w:val="center"/>
          </w:tcPr>
          <w:p w14:paraId="00AD6DB6" w14:textId="77777777" w:rsidR="00134287" w:rsidRPr="00B06893" w:rsidRDefault="00134287" w:rsidP="00134287">
            <w:pPr>
              <w:keepNext/>
              <w:jc w:val="left"/>
              <w:rPr>
                <w:rFonts w:ascii="Arial Narrow" w:hAnsi="Arial Narrow"/>
                <w:snapToGrid w:val="0"/>
                <w:sz w:val="20"/>
                <w:szCs w:val="24"/>
                <w:lang w:val="en-AU"/>
              </w:rPr>
            </w:pPr>
          </w:p>
        </w:tc>
      </w:tr>
      <w:tr w:rsidR="00134287" w:rsidRPr="00B06893" w14:paraId="32A11183" w14:textId="77777777" w:rsidTr="00501A02">
        <w:trPr>
          <w:trHeight w:val="270"/>
        </w:trPr>
        <w:tc>
          <w:tcPr>
            <w:tcW w:w="4085" w:type="pct"/>
            <w:gridSpan w:val="3"/>
            <w:noWrap/>
            <w:vAlign w:val="center"/>
          </w:tcPr>
          <w:p w14:paraId="4C14A4F6" w14:textId="77777777" w:rsidR="00134287" w:rsidRPr="00B06893" w:rsidRDefault="00134287" w:rsidP="001863E2">
            <w:pPr>
              <w:keepNext/>
              <w:jc w:val="left"/>
              <w:rPr>
                <w:rFonts w:ascii="Arial Narrow" w:hAnsi="Arial Narrow"/>
                <w:b/>
                <w:bCs/>
                <w:snapToGrid w:val="0"/>
                <w:sz w:val="20"/>
                <w:szCs w:val="24"/>
                <w:lang w:val="en-AU"/>
              </w:rPr>
            </w:pPr>
            <w:r w:rsidRPr="00B06893">
              <w:rPr>
                <w:rFonts w:ascii="Arial Narrow" w:hAnsi="Arial Narrow"/>
                <w:b/>
                <w:bCs/>
                <w:snapToGrid w:val="0"/>
                <w:sz w:val="20"/>
                <w:szCs w:val="24"/>
                <w:lang w:val="en-AU"/>
              </w:rPr>
              <w:t>Cost / LY gain</w:t>
            </w:r>
          </w:p>
        </w:tc>
        <w:tc>
          <w:tcPr>
            <w:tcW w:w="915" w:type="pct"/>
            <w:noWrap/>
            <w:vAlign w:val="center"/>
          </w:tcPr>
          <w:p w14:paraId="4F094B78" w14:textId="6D714CC4" w:rsidR="00134287" w:rsidRPr="00651AB4" w:rsidRDefault="00134287" w:rsidP="001863E2">
            <w:pPr>
              <w:keepNext/>
              <w:jc w:val="left"/>
              <w:rPr>
                <w:rFonts w:ascii="Arial Narrow" w:hAnsi="Arial Narrow"/>
                <w:b/>
                <w:bCs/>
                <w:snapToGrid w:val="0"/>
                <w:sz w:val="20"/>
                <w:szCs w:val="24"/>
                <w:vertAlign w:val="superscript"/>
                <w:lang w:val="en-AU"/>
              </w:rPr>
            </w:pPr>
            <w:r w:rsidRPr="00B06893">
              <w:rPr>
                <w:rFonts w:ascii="Arial Narrow" w:hAnsi="Arial Narrow"/>
                <w:b/>
                <w:bCs/>
                <w:snapToGrid w:val="0"/>
                <w:sz w:val="20"/>
                <w:szCs w:val="24"/>
                <w:lang w:val="en-AU"/>
              </w:rPr>
              <w:t>$</w:t>
            </w:r>
            <w:r w:rsidR="00FF3F29" w:rsidRPr="00FF3F29">
              <w:rPr>
                <w:rFonts w:ascii="Arial Narrow" w:hAnsi="Arial Narrow"/>
                <w:b/>
                <w:bCs/>
                <w:snapToGrid w:val="0"/>
                <w:sz w:val="2"/>
                <w:szCs w:val="24"/>
                <w:highlight w:val="black"/>
                <w:lang w:val="en-AU"/>
              </w:rPr>
              <w:t>redacted content</w:t>
            </w:r>
            <w:r w:rsidR="00651AB4">
              <w:rPr>
                <w:rFonts w:ascii="Arial Narrow" w:hAnsi="Arial Narrow"/>
                <w:b/>
                <w:bCs/>
                <w:snapToGrid w:val="0"/>
                <w:sz w:val="20"/>
                <w:szCs w:val="24"/>
                <w:vertAlign w:val="superscript"/>
                <w:lang w:val="en-AU"/>
              </w:rPr>
              <w:t>1</w:t>
            </w:r>
          </w:p>
        </w:tc>
      </w:tr>
      <w:tr w:rsidR="00134287" w:rsidRPr="00B06893" w14:paraId="362621DC" w14:textId="77777777" w:rsidTr="00501A02">
        <w:trPr>
          <w:trHeight w:val="270"/>
        </w:trPr>
        <w:tc>
          <w:tcPr>
            <w:tcW w:w="4085" w:type="pct"/>
            <w:gridSpan w:val="3"/>
            <w:noWrap/>
            <w:vAlign w:val="center"/>
          </w:tcPr>
          <w:p w14:paraId="68299D0A" w14:textId="77777777" w:rsidR="00134287" w:rsidRPr="00B06893" w:rsidRDefault="00134287" w:rsidP="001863E2">
            <w:pPr>
              <w:keepNext/>
              <w:jc w:val="left"/>
              <w:rPr>
                <w:rFonts w:ascii="Arial Narrow" w:hAnsi="Arial Narrow"/>
                <w:b/>
                <w:bCs/>
                <w:snapToGrid w:val="0"/>
                <w:sz w:val="20"/>
                <w:szCs w:val="24"/>
                <w:lang w:val="en-AU"/>
              </w:rPr>
            </w:pPr>
            <w:r w:rsidRPr="00B06893">
              <w:rPr>
                <w:rFonts w:ascii="Arial Narrow" w:hAnsi="Arial Narrow"/>
                <w:b/>
                <w:bCs/>
                <w:snapToGrid w:val="0"/>
                <w:sz w:val="20"/>
                <w:szCs w:val="24"/>
                <w:lang w:val="en-AU"/>
              </w:rPr>
              <w:t>Cost / QALY gain</w:t>
            </w:r>
          </w:p>
        </w:tc>
        <w:tc>
          <w:tcPr>
            <w:tcW w:w="915" w:type="pct"/>
            <w:noWrap/>
            <w:vAlign w:val="center"/>
          </w:tcPr>
          <w:p w14:paraId="1F7A694B" w14:textId="083EB277" w:rsidR="00134287" w:rsidRPr="00E2320A" w:rsidRDefault="00134287" w:rsidP="001863E2">
            <w:pPr>
              <w:keepNext/>
              <w:jc w:val="left"/>
              <w:rPr>
                <w:rFonts w:ascii="Arial Narrow" w:hAnsi="Arial Narrow"/>
                <w:b/>
                <w:bCs/>
                <w:snapToGrid w:val="0"/>
                <w:sz w:val="20"/>
                <w:szCs w:val="24"/>
                <w:vertAlign w:val="superscript"/>
                <w:lang w:val="en-AU"/>
              </w:rPr>
            </w:pPr>
            <w:r w:rsidRPr="00B06893">
              <w:rPr>
                <w:rFonts w:ascii="Arial Narrow" w:hAnsi="Arial Narrow"/>
                <w:b/>
                <w:bCs/>
                <w:snapToGrid w:val="0"/>
                <w:sz w:val="20"/>
                <w:szCs w:val="24"/>
                <w:lang w:val="en-AU"/>
              </w:rPr>
              <w:t>$</w:t>
            </w:r>
            <w:r w:rsidR="00FF3F29" w:rsidRPr="00FF3F29">
              <w:rPr>
                <w:rFonts w:ascii="Arial Narrow" w:hAnsi="Arial Narrow"/>
                <w:b/>
                <w:bCs/>
                <w:snapToGrid w:val="0"/>
                <w:sz w:val="2"/>
                <w:szCs w:val="24"/>
                <w:highlight w:val="black"/>
                <w:lang w:val="en-AU"/>
              </w:rPr>
              <w:t>redacted content</w:t>
            </w:r>
            <w:r w:rsidR="00E2320A">
              <w:rPr>
                <w:rFonts w:ascii="Arial Narrow" w:hAnsi="Arial Narrow"/>
                <w:b/>
                <w:bCs/>
                <w:snapToGrid w:val="0"/>
                <w:sz w:val="20"/>
                <w:szCs w:val="24"/>
                <w:vertAlign w:val="superscript"/>
                <w:lang w:val="en-AU"/>
              </w:rPr>
              <w:t>2</w:t>
            </w:r>
          </w:p>
        </w:tc>
      </w:tr>
    </w:tbl>
    <w:p w14:paraId="4CF1C08D" w14:textId="467A54F9" w:rsidR="001863E2" w:rsidRPr="00B06893" w:rsidRDefault="00D85592" w:rsidP="001863E2">
      <w:pPr>
        <w:keepNext/>
        <w:rPr>
          <w:rFonts w:ascii="Arial Narrow" w:hAnsi="Arial Narrow" w:cs="Arial"/>
          <w:sz w:val="18"/>
          <w:szCs w:val="24"/>
        </w:rPr>
      </w:pPr>
      <w:r w:rsidRPr="00B06893">
        <w:rPr>
          <w:rFonts w:ascii="Arial Narrow" w:hAnsi="Arial Narrow" w:cs="Arial"/>
          <w:sz w:val="18"/>
          <w:szCs w:val="24"/>
        </w:rPr>
        <w:t>Source: Table 3</w:t>
      </w:r>
      <w:r w:rsidR="00193971">
        <w:rPr>
          <w:rFonts w:ascii="Arial Narrow" w:hAnsi="Arial Narrow" w:cs="Arial"/>
          <w:sz w:val="18"/>
          <w:szCs w:val="24"/>
        </w:rPr>
        <w:noBreakHyphen/>
      </w:r>
      <w:r w:rsidRPr="00B06893">
        <w:rPr>
          <w:rFonts w:ascii="Arial Narrow" w:hAnsi="Arial Narrow" w:cs="Arial"/>
          <w:sz w:val="18"/>
          <w:szCs w:val="24"/>
        </w:rPr>
        <w:t>36, p138, Table 3</w:t>
      </w:r>
      <w:r w:rsidR="00193971">
        <w:rPr>
          <w:rFonts w:ascii="Arial Narrow" w:hAnsi="Arial Narrow" w:cs="Arial"/>
          <w:sz w:val="18"/>
          <w:szCs w:val="24"/>
        </w:rPr>
        <w:noBreakHyphen/>
      </w:r>
      <w:r w:rsidRPr="00B06893">
        <w:rPr>
          <w:rFonts w:ascii="Arial Narrow" w:hAnsi="Arial Narrow" w:cs="Arial"/>
          <w:sz w:val="18"/>
          <w:szCs w:val="24"/>
        </w:rPr>
        <w:t>33, p137, Table 3</w:t>
      </w:r>
      <w:r w:rsidR="00193971">
        <w:rPr>
          <w:rFonts w:ascii="Arial Narrow" w:hAnsi="Arial Narrow" w:cs="Arial"/>
          <w:sz w:val="18"/>
          <w:szCs w:val="24"/>
        </w:rPr>
        <w:noBreakHyphen/>
      </w:r>
      <w:r w:rsidRPr="00B06893">
        <w:rPr>
          <w:rFonts w:ascii="Arial Narrow" w:hAnsi="Arial Narrow" w:cs="Arial"/>
          <w:sz w:val="18"/>
          <w:szCs w:val="24"/>
        </w:rPr>
        <w:t>34, p138, Table 3</w:t>
      </w:r>
      <w:r w:rsidR="00193971">
        <w:rPr>
          <w:rFonts w:ascii="Arial Narrow" w:hAnsi="Arial Narrow" w:cs="Arial"/>
          <w:sz w:val="18"/>
          <w:szCs w:val="24"/>
        </w:rPr>
        <w:noBreakHyphen/>
      </w:r>
      <w:r w:rsidRPr="00B06893">
        <w:rPr>
          <w:rFonts w:ascii="Arial Narrow" w:hAnsi="Arial Narrow" w:cs="Arial"/>
          <w:sz w:val="18"/>
          <w:szCs w:val="24"/>
        </w:rPr>
        <w:t>35, p138 of the submission.</w:t>
      </w:r>
    </w:p>
    <w:p w14:paraId="23FD7E41" w14:textId="77777777" w:rsidR="00BF719B" w:rsidRDefault="001863E2" w:rsidP="00E84251">
      <w:pPr>
        <w:rPr>
          <w:rFonts w:ascii="Arial Narrow" w:hAnsi="Arial Narrow" w:cs="Arial"/>
          <w:snapToGrid w:val="0"/>
          <w:sz w:val="18"/>
          <w:szCs w:val="22"/>
        </w:rPr>
      </w:pPr>
      <w:r w:rsidRPr="00B06893">
        <w:rPr>
          <w:rFonts w:ascii="Arial Narrow" w:hAnsi="Arial Narrow" w:cs="Arial"/>
          <w:snapToGrid w:val="0"/>
          <w:sz w:val="18"/>
          <w:szCs w:val="22"/>
        </w:rPr>
        <w:t>AE = Adverse Event; COVID = Coronavirus disease of 2019; QALY = Quality</w:t>
      </w:r>
      <w:r w:rsidR="00193971">
        <w:rPr>
          <w:rFonts w:ascii="Arial Narrow" w:hAnsi="Arial Narrow" w:cs="Arial"/>
          <w:snapToGrid w:val="0"/>
          <w:sz w:val="18"/>
          <w:szCs w:val="22"/>
        </w:rPr>
        <w:noBreakHyphen/>
      </w:r>
      <w:r w:rsidRPr="00B06893">
        <w:rPr>
          <w:rFonts w:ascii="Arial Narrow" w:hAnsi="Arial Narrow" w:cs="Arial"/>
          <w:snapToGrid w:val="0"/>
          <w:sz w:val="18"/>
          <w:szCs w:val="22"/>
        </w:rPr>
        <w:t>Adjusted Life Year.</w:t>
      </w:r>
    </w:p>
    <w:p w14:paraId="010250AB" w14:textId="77777777" w:rsidR="00BF719B" w:rsidRPr="00BF719B" w:rsidRDefault="00BF719B" w:rsidP="00BF719B">
      <w:pPr>
        <w:jc w:val="left"/>
        <w:rPr>
          <w:rFonts w:ascii="Arial Narrow" w:hAnsi="Arial Narrow" w:cs="Arial"/>
          <w:i/>
          <w:sz w:val="18"/>
          <w:szCs w:val="18"/>
        </w:rPr>
      </w:pPr>
      <w:r w:rsidRPr="00BF719B">
        <w:rPr>
          <w:rFonts w:ascii="Arial Narrow" w:hAnsi="Arial Narrow" w:cs="Arial"/>
          <w:i/>
          <w:sz w:val="18"/>
          <w:szCs w:val="18"/>
        </w:rPr>
        <w:t xml:space="preserve">The redacted values correspond to the following ranges: </w:t>
      </w:r>
    </w:p>
    <w:p w14:paraId="50DD568F" w14:textId="56BF4DF3" w:rsidR="00BF719B" w:rsidRPr="00BF719B" w:rsidRDefault="00BF719B" w:rsidP="00BF719B">
      <w:pPr>
        <w:jc w:val="left"/>
        <w:rPr>
          <w:rFonts w:ascii="Arial Narrow" w:hAnsi="Arial Narrow" w:cs="Arial"/>
          <w:i/>
          <w:sz w:val="18"/>
          <w:szCs w:val="18"/>
        </w:rPr>
      </w:pPr>
      <w:r w:rsidRPr="00BF719B">
        <w:rPr>
          <w:rFonts w:ascii="Arial Narrow" w:hAnsi="Arial Narrow" w:cs="Arial"/>
          <w:i/>
          <w:sz w:val="18"/>
          <w:szCs w:val="18"/>
          <w:vertAlign w:val="superscript"/>
        </w:rPr>
        <w:t>1</w:t>
      </w:r>
      <w:r w:rsidRPr="00BF719B">
        <w:rPr>
          <w:rFonts w:ascii="Arial Narrow" w:hAnsi="Arial Narrow" w:cs="Arial"/>
          <w:i/>
          <w:sz w:val="18"/>
          <w:szCs w:val="18"/>
        </w:rPr>
        <w:t xml:space="preserve"> </w:t>
      </w:r>
      <w:r w:rsidR="00651AB4" w:rsidRPr="00651AB4">
        <w:rPr>
          <w:rFonts w:ascii="Arial Narrow" w:hAnsi="Arial Narrow" w:cs="Arial"/>
          <w:i/>
          <w:sz w:val="18"/>
          <w:szCs w:val="18"/>
        </w:rPr>
        <w:t>$45,000 to &lt; $55,000</w:t>
      </w:r>
    </w:p>
    <w:p w14:paraId="6F02FA08" w14:textId="02DAC9F6" w:rsidR="00E84251" w:rsidRDefault="00BF719B" w:rsidP="00E2320A">
      <w:pPr>
        <w:jc w:val="left"/>
        <w:rPr>
          <w:rFonts w:ascii="Arial Narrow" w:hAnsi="Arial Narrow" w:cs="Arial"/>
          <w:snapToGrid w:val="0"/>
          <w:sz w:val="18"/>
          <w:szCs w:val="22"/>
        </w:rPr>
      </w:pPr>
      <w:r w:rsidRPr="00BF719B">
        <w:rPr>
          <w:rFonts w:ascii="Arial Narrow" w:hAnsi="Arial Narrow" w:cs="Arial"/>
          <w:i/>
          <w:sz w:val="18"/>
          <w:szCs w:val="18"/>
          <w:vertAlign w:val="superscript"/>
        </w:rPr>
        <w:t>2</w:t>
      </w:r>
      <w:r w:rsidRPr="00BF719B">
        <w:rPr>
          <w:rFonts w:ascii="Arial Narrow" w:hAnsi="Arial Narrow" w:cs="Arial"/>
          <w:i/>
          <w:sz w:val="18"/>
          <w:szCs w:val="18"/>
        </w:rPr>
        <w:t xml:space="preserve"> </w:t>
      </w:r>
      <w:r w:rsidR="00E2320A" w:rsidRPr="00E2320A">
        <w:rPr>
          <w:rFonts w:ascii="Arial Narrow" w:hAnsi="Arial Narrow" w:cs="Arial"/>
          <w:i/>
          <w:sz w:val="18"/>
          <w:szCs w:val="18"/>
        </w:rPr>
        <w:t>$25,000 to &lt; $35,000</w:t>
      </w:r>
    </w:p>
    <w:p w14:paraId="24C08281" w14:textId="77777777" w:rsidR="00E90517" w:rsidRPr="00B06893" w:rsidRDefault="00E90517" w:rsidP="001863E2">
      <w:pPr>
        <w:rPr>
          <w:rFonts w:ascii="Arial Narrow" w:hAnsi="Arial Narrow" w:cs="Arial"/>
          <w:snapToGrid w:val="0"/>
          <w:sz w:val="18"/>
          <w:szCs w:val="22"/>
        </w:rPr>
      </w:pPr>
    </w:p>
    <w:p w14:paraId="26CB7E02" w14:textId="26D7BC2C" w:rsidR="001863E2" w:rsidRPr="00B06893" w:rsidRDefault="001863E2" w:rsidP="001863E2">
      <w:pPr>
        <w:pStyle w:val="3-BodyText"/>
      </w:pPr>
      <w:r w:rsidRPr="00B06893">
        <w:t xml:space="preserve">As previously noted, the base case model </w:t>
      </w:r>
      <w:r w:rsidR="001F5E5A" w:rsidRPr="00B06893">
        <w:t xml:space="preserve">predicted </w:t>
      </w:r>
      <w:r w:rsidRPr="00B06893">
        <w:t>a very high number of symptomatic infections in the target population of 18</w:t>
      </w:r>
      <w:r w:rsidR="00193971">
        <w:noBreakHyphen/>
      </w:r>
      <w:r w:rsidRPr="00B06893">
        <w:t xml:space="preserve">64 year old patients with </w:t>
      </w:r>
      <w:r w:rsidR="00562FDC" w:rsidRPr="00B06893">
        <w:t xml:space="preserve">severe </w:t>
      </w:r>
      <w:r w:rsidRPr="00B06893">
        <w:t xml:space="preserve">immunocompromise, and patients aged ≥65 years. </w:t>
      </w:r>
      <w:r w:rsidR="001F5E5A" w:rsidRPr="00B06893">
        <w:t>The evaluation noted that the model estimates</w:t>
      </w:r>
      <w:r w:rsidRPr="00B06893">
        <w:t xml:space="preserve"> </w:t>
      </w:r>
      <w:r w:rsidR="001F5E5A" w:rsidRPr="00B06893">
        <w:t xml:space="preserve">were </w:t>
      </w:r>
      <w:r w:rsidRPr="00B06893">
        <w:t>considerably higher than the highest Australian estimates from NNDSS.</w:t>
      </w:r>
    </w:p>
    <w:p w14:paraId="67ADEB11" w14:textId="0B131B9B" w:rsidR="001863E2" w:rsidRPr="00B06893" w:rsidRDefault="001F5E5A" w:rsidP="00501A02">
      <w:pPr>
        <w:pStyle w:val="3-BodyText"/>
      </w:pPr>
      <w:r w:rsidRPr="00B06893">
        <w:t xml:space="preserve">The evaluation noted </w:t>
      </w:r>
      <w:r w:rsidR="006D59B8" w:rsidRPr="00B06893">
        <w:t xml:space="preserve">that sensitivity analyses presented by the submission </w:t>
      </w:r>
      <w:r w:rsidR="001863E2" w:rsidRPr="00B06893">
        <w:t xml:space="preserve">should be interpreted with caution because many parameters </w:t>
      </w:r>
      <w:r w:rsidR="00B341A0" w:rsidRPr="00B06893">
        <w:t xml:space="preserve">would </w:t>
      </w:r>
      <w:r w:rsidR="001863E2" w:rsidRPr="00B06893">
        <w:t xml:space="preserve">have a larger impact on the model </w:t>
      </w:r>
      <w:r w:rsidR="00B341A0" w:rsidRPr="00B06893">
        <w:t>than it appear</w:t>
      </w:r>
      <w:r w:rsidR="006D59B8" w:rsidRPr="00B06893">
        <w:t>ed</w:t>
      </w:r>
      <w:r w:rsidR="00B341A0" w:rsidRPr="00B06893">
        <w:t xml:space="preserve">, </w:t>
      </w:r>
      <w:r w:rsidR="001863E2" w:rsidRPr="00B06893">
        <w:t xml:space="preserve">if </w:t>
      </w:r>
      <w:r w:rsidR="00B341A0" w:rsidRPr="00B06893">
        <w:t xml:space="preserve">other </w:t>
      </w:r>
      <w:r w:rsidR="001863E2" w:rsidRPr="00B06893">
        <w:t xml:space="preserve">parameters that are key drivers </w:t>
      </w:r>
      <w:r w:rsidR="00B341A0" w:rsidRPr="00B06893">
        <w:t xml:space="preserve">were </w:t>
      </w:r>
      <w:r w:rsidR="001863E2" w:rsidRPr="00B06893">
        <w:t>corrected</w:t>
      </w:r>
      <w:r w:rsidR="00B341A0" w:rsidRPr="00B06893">
        <w:t xml:space="preserve"> for the analysis</w:t>
      </w:r>
      <w:r w:rsidR="006D59B8" w:rsidRPr="00B06893">
        <w:t xml:space="preserve"> (data not shown).</w:t>
      </w:r>
    </w:p>
    <w:p w14:paraId="4E1DCA71" w14:textId="6DBDE502" w:rsidR="001863E2" w:rsidRPr="00B06893" w:rsidRDefault="001863E2" w:rsidP="00501A02">
      <w:pPr>
        <w:pStyle w:val="3-BodyText"/>
      </w:pPr>
      <w:r w:rsidRPr="00B06893">
        <w:t xml:space="preserve">The commentary has performed univariate sensitivity analyses addressing key issues identified during the evaluation. Justifications for the sensitivity analyses </w:t>
      </w:r>
      <w:r w:rsidR="001A00DE" w:rsidRPr="00B06893">
        <w:rPr>
          <w:iCs/>
        </w:rPr>
        <w:t xml:space="preserve">and advice </w:t>
      </w:r>
      <w:r w:rsidR="001A00DE" w:rsidRPr="00B06893">
        <w:rPr>
          <w:iCs/>
        </w:rPr>
        <w:lastRenderedPageBreak/>
        <w:t>from the ESC</w:t>
      </w:r>
      <w:r w:rsidR="001A00DE" w:rsidRPr="00B06893">
        <w:t xml:space="preserve"> </w:t>
      </w:r>
      <w:r w:rsidRPr="00B06893">
        <w:t>are presented in the table below.</w:t>
      </w:r>
      <w:r w:rsidR="00580BAD">
        <w:t xml:space="preserve"> </w:t>
      </w:r>
      <w:bookmarkStart w:id="80" w:name="_Ref221807687"/>
      <w:r w:rsidR="008401CB" w:rsidRPr="00B06893">
        <w:rPr>
          <w:rFonts w:ascii="Calibri" w:hAnsi="Calibri" w:cs="Calibri"/>
          <w:iCs/>
          <w:snapToGrid w:val="0"/>
          <w:szCs w:val="24"/>
        </w:rPr>
        <w:t>In addition to the changes</w:t>
      </w:r>
      <w:r w:rsidR="008401CB" w:rsidRPr="00B06893">
        <w:rPr>
          <w:iCs/>
          <w:snapToGrid w:val="0"/>
        </w:rPr>
        <w:t xml:space="preserve"> shown in </w:t>
      </w:r>
      <w:r w:rsidR="008401CB" w:rsidRPr="00B06893">
        <w:rPr>
          <w:iCs/>
          <w:snapToGrid w:val="0"/>
        </w:rPr>
        <w:fldChar w:fldCharType="begin"/>
      </w:r>
      <w:r w:rsidR="008401CB" w:rsidRPr="00B06893">
        <w:rPr>
          <w:iCs/>
          <w:snapToGrid w:val="0"/>
        </w:rPr>
        <w:instrText xml:space="preserve"> REF _Ref221742334 \h  \* MERGEFORMAT </w:instrText>
      </w:r>
      <w:r w:rsidR="008401CB" w:rsidRPr="00B06893">
        <w:rPr>
          <w:iCs/>
          <w:snapToGrid w:val="0"/>
        </w:rPr>
      </w:r>
      <w:r w:rsidR="008401CB" w:rsidRPr="00B06893">
        <w:rPr>
          <w:iCs/>
          <w:snapToGrid w:val="0"/>
        </w:rPr>
        <w:fldChar w:fldCharType="separate"/>
      </w:r>
      <w:r w:rsidR="00810177" w:rsidRPr="00B06893">
        <w:rPr>
          <w:iCs/>
        </w:rPr>
        <w:t>Table 29</w:t>
      </w:r>
      <w:r w:rsidR="008401CB" w:rsidRPr="00B06893">
        <w:rPr>
          <w:iCs/>
          <w:snapToGrid w:val="0"/>
        </w:rPr>
        <w:fldChar w:fldCharType="end"/>
      </w:r>
      <w:r w:rsidR="008401CB" w:rsidRPr="00B06893">
        <w:rPr>
          <w:rFonts w:ascii="Calibri" w:hAnsi="Calibri" w:cs="Calibri"/>
          <w:iCs/>
          <w:snapToGrid w:val="0"/>
          <w:szCs w:val="24"/>
        </w:rPr>
        <w:t>, the PSCR made additional changes</w:t>
      </w:r>
      <w:r w:rsidR="004A7B35" w:rsidRPr="00B06893">
        <w:rPr>
          <w:rFonts w:ascii="Calibri" w:hAnsi="Calibri" w:cs="Calibri"/>
          <w:iCs/>
          <w:snapToGrid w:val="0"/>
          <w:szCs w:val="24"/>
        </w:rPr>
        <w:t xml:space="preserve"> (see paragraphs </w:t>
      </w:r>
      <w:r w:rsidR="004A7B35" w:rsidRPr="00B06893">
        <w:rPr>
          <w:rFonts w:ascii="Calibri" w:hAnsi="Calibri" w:cs="Calibri"/>
          <w:iCs/>
          <w:snapToGrid w:val="0"/>
          <w:szCs w:val="24"/>
        </w:rPr>
        <w:fldChar w:fldCharType="begin"/>
      </w:r>
      <w:r w:rsidR="004A7B35" w:rsidRPr="00B06893">
        <w:rPr>
          <w:rFonts w:ascii="Calibri" w:hAnsi="Calibri" w:cs="Calibri"/>
          <w:iCs/>
          <w:snapToGrid w:val="0"/>
          <w:szCs w:val="24"/>
        </w:rPr>
        <w:instrText xml:space="preserve"> REF _Ref222838977 \r \h </w:instrText>
      </w:r>
      <w:r w:rsidR="004A7B35" w:rsidRPr="00B06893">
        <w:rPr>
          <w:rFonts w:ascii="Calibri" w:hAnsi="Calibri" w:cs="Calibri"/>
          <w:iCs/>
          <w:snapToGrid w:val="0"/>
          <w:szCs w:val="24"/>
        </w:rPr>
      </w:r>
      <w:r w:rsidR="004A7B35" w:rsidRPr="00B06893">
        <w:rPr>
          <w:rFonts w:ascii="Calibri" w:hAnsi="Calibri" w:cs="Calibri"/>
          <w:iCs/>
          <w:snapToGrid w:val="0"/>
          <w:szCs w:val="24"/>
        </w:rPr>
        <w:fldChar w:fldCharType="separate"/>
      </w:r>
      <w:r w:rsidR="00334943">
        <w:rPr>
          <w:rFonts w:ascii="Calibri" w:hAnsi="Calibri" w:cs="Calibri"/>
          <w:iCs/>
          <w:snapToGrid w:val="0"/>
          <w:szCs w:val="24"/>
        </w:rPr>
        <w:t>6.122</w:t>
      </w:r>
      <w:r w:rsidR="004A7B35" w:rsidRPr="00B06893">
        <w:rPr>
          <w:rFonts w:ascii="Calibri" w:hAnsi="Calibri" w:cs="Calibri"/>
          <w:iCs/>
          <w:snapToGrid w:val="0"/>
          <w:szCs w:val="24"/>
        </w:rPr>
        <w:fldChar w:fldCharType="end"/>
      </w:r>
      <w:r w:rsidR="004A7B35" w:rsidRPr="00B06893">
        <w:rPr>
          <w:rFonts w:ascii="Calibri" w:hAnsi="Calibri" w:cs="Calibri"/>
          <w:iCs/>
          <w:snapToGrid w:val="0"/>
          <w:szCs w:val="24"/>
        </w:rPr>
        <w:t xml:space="preserve"> and </w:t>
      </w:r>
      <w:r w:rsidR="004A7B35" w:rsidRPr="00B06893">
        <w:rPr>
          <w:rFonts w:ascii="Calibri" w:hAnsi="Calibri" w:cs="Calibri"/>
          <w:iCs/>
          <w:snapToGrid w:val="0"/>
          <w:szCs w:val="24"/>
        </w:rPr>
        <w:fldChar w:fldCharType="begin"/>
      </w:r>
      <w:r w:rsidR="004A7B35" w:rsidRPr="00B06893">
        <w:rPr>
          <w:rFonts w:ascii="Calibri" w:hAnsi="Calibri" w:cs="Calibri"/>
          <w:iCs/>
          <w:snapToGrid w:val="0"/>
          <w:szCs w:val="24"/>
        </w:rPr>
        <w:instrText xml:space="preserve"> REF _Ref221888807 \r \h </w:instrText>
      </w:r>
      <w:r w:rsidR="004A7B35" w:rsidRPr="00B06893">
        <w:rPr>
          <w:rFonts w:ascii="Calibri" w:hAnsi="Calibri" w:cs="Calibri"/>
          <w:iCs/>
          <w:snapToGrid w:val="0"/>
          <w:szCs w:val="24"/>
        </w:rPr>
      </w:r>
      <w:r w:rsidR="004A7B35" w:rsidRPr="00B06893">
        <w:rPr>
          <w:rFonts w:ascii="Calibri" w:hAnsi="Calibri" w:cs="Calibri"/>
          <w:iCs/>
          <w:snapToGrid w:val="0"/>
          <w:szCs w:val="24"/>
        </w:rPr>
        <w:fldChar w:fldCharType="separate"/>
      </w:r>
      <w:r w:rsidR="00334943">
        <w:rPr>
          <w:rFonts w:ascii="Calibri" w:hAnsi="Calibri" w:cs="Calibri"/>
          <w:iCs/>
          <w:snapToGrid w:val="0"/>
          <w:szCs w:val="24"/>
        </w:rPr>
        <w:t>6.123</w:t>
      </w:r>
      <w:r w:rsidR="004A7B35" w:rsidRPr="00B06893">
        <w:rPr>
          <w:rFonts w:ascii="Calibri" w:hAnsi="Calibri" w:cs="Calibri"/>
          <w:iCs/>
          <w:snapToGrid w:val="0"/>
          <w:szCs w:val="24"/>
        </w:rPr>
        <w:fldChar w:fldCharType="end"/>
      </w:r>
      <w:r w:rsidR="004A7B35" w:rsidRPr="00B06893">
        <w:rPr>
          <w:rFonts w:ascii="Calibri" w:hAnsi="Calibri" w:cs="Calibri"/>
          <w:iCs/>
          <w:snapToGrid w:val="0"/>
          <w:szCs w:val="24"/>
        </w:rPr>
        <w:t>)</w:t>
      </w:r>
      <w:r w:rsidR="008401CB" w:rsidRPr="00B06893">
        <w:rPr>
          <w:rFonts w:ascii="Calibri" w:hAnsi="Calibri" w:cs="Calibri"/>
          <w:iCs/>
          <w:snapToGrid w:val="0"/>
          <w:szCs w:val="24"/>
        </w:rPr>
        <w:t>.</w:t>
      </w:r>
      <w:bookmarkEnd w:id="80"/>
    </w:p>
    <w:p w14:paraId="78E9FC68" w14:textId="08C675E5" w:rsidR="001863E2" w:rsidRPr="00B06893" w:rsidRDefault="007F2D2C" w:rsidP="00452EA3">
      <w:pPr>
        <w:pStyle w:val="Caption"/>
      </w:pPr>
      <w:bookmarkStart w:id="81" w:name="_Ref221742334"/>
      <w:r w:rsidRPr="00B06893">
        <w:t xml:space="preserve">Table </w:t>
      </w:r>
      <w:fldSimple w:instr=" SEQ Table \* ARABIC ">
        <w:r w:rsidR="00810177" w:rsidRPr="00B06893">
          <w:t>29</w:t>
        </w:r>
      </w:fldSimple>
      <w:bookmarkEnd w:id="81"/>
      <w:r w:rsidRPr="00B06893">
        <w:t xml:space="preserve">: </w:t>
      </w:r>
      <w:r w:rsidR="001863E2" w:rsidRPr="00B06893">
        <w:t>Description of the sensitivity analyses applied during the evaluation, with justifications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9: Description of the sensitivity analyses applied during the evaluation, with justifications"/>
      </w:tblPr>
      <w:tblGrid>
        <w:gridCol w:w="490"/>
        <w:gridCol w:w="1646"/>
        <w:gridCol w:w="1538"/>
        <w:gridCol w:w="2708"/>
        <w:gridCol w:w="1284"/>
        <w:gridCol w:w="1351"/>
      </w:tblGrid>
      <w:tr w:rsidR="00B409D7" w:rsidRPr="00E633F9" w14:paraId="1187F9FB" w14:textId="421D5685" w:rsidTr="001A00DE">
        <w:trPr>
          <w:cantSplit/>
          <w:trHeight w:val="50"/>
          <w:tblHeader/>
        </w:trPr>
        <w:tc>
          <w:tcPr>
            <w:tcW w:w="0" w:type="auto"/>
            <w:shd w:val="clear" w:color="auto" w:fill="FFFFFF" w:themeFill="background1"/>
            <w:vAlign w:val="center"/>
            <w:hideMark/>
          </w:tcPr>
          <w:p w14:paraId="4385177E" w14:textId="77777777" w:rsidR="00FD2A15" w:rsidRPr="00E633F9" w:rsidRDefault="00FD2A15" w:rsidP="001A00DE">
            <w:pPr>
              <w:pStyle w:val="TableText0"/>
              <w:keepNext w:val="0"/>
              <w:keepLines w:val="0"/>
              <w:rPr>
                <w:b/>
                <w:bCs w:val="0"/>
                <w:iCs/>
              </w:rPr>
            </w:pPr>
            <w:r w:rsidRPr="00E633F9">
              <w:rPr>
                <w:b/>
                <w:bCs w:val="0"/>
                <w:iCs/>
              </w:rPr>
              <w:t>#</w:t>
            </w:r>
          </w:p>
        </w:tc>
        <w:tc>
          <w:tcPr>
            <w:tcW w:w="0" w:type="auto"/>
            <w:shd w:val="clear" w:color="auto" w:fill="FFFFFF" w:themeFill="background1"/>
            <w:vAlign w:val="center"/>
            <w:hideMark/>
          </w:tcPr>
          <w:p w14:paraId="63E32466" w14:textId="77777777" w:rsidR="00FD2A15" w:rsidRPr="00E633F9" w:rsidRDefault="00FD2A15" w:rsidP="001A00DE">
            <w:pPr>
              <w:pStyle w:val="TableText0"/>
              <w:keepNext w:val="0"/>
              <w:keepLines w:val="0"/>
              <w:rPr>
                <w:b/>
                <w:bCs w:val="0"/>
              </w:rPr>
            </w:pPr>
            <w:r w:rsidRPr="00E633F9">
              <w:rPr>
                <w:b/>
                <w:bCs w:val="0"/>
              </w:rPr>
              <w:t>Parameter and base case</w:t>
            </w:r>
          </w:p>
        </w:tc>
        <w:tc>
          <w:tcPr>
            <w:tcW w:w="0" w:type="auto"/>
            <w:shd w:val="clear" w:color="auto" w:fill="FFFFFF" w:themeFill="background1"/>
            <w:vAlign w:val="center"/>
            <w:hideMark/>
          </w:tcPr>
          <w:p w14:paraId="1BF83EEA" w14:textId="77777777" w:rsidR="00FD2A15" w:rsidRPr="00E633F9" w:rsidRDefault="00FD2A15" w:rsidP="001A00DE">
            <w:pPr>
              <w:pStyle w:val="TableText0"/>
              <w:keepNext w:val="0"/>
              <w:keepLines w:val="0"/>
              <w:rPr>
                <w:b/>
                <w:bCs w:val="0"/>
              </w:rPr>
            </w:pPr>
            <w:r w:rsidRPr="00E633F9">
              <w:rPr>
                <w:b/>
                <w:bCs w:val="0"/>
              </w:rPr>
              <w:t>Sensitivity analysis</w:t>
            </w:r>
          </w:p>
        </w:tc>
        <w:tc>
          <w:tcPr>
            <w:tcW w:w="0" w:type="auto"/>
            <w:shd w:val="clear" w:color="auto" w:fill="FFFFFF" w:themeFill="background1"/>
            <w:vAlign w:val="center"/>
            <w:hideMark/>
          </w:tcPr>
          <w:p w14:paraId="1D925307" w14:textId="77777777" w:rsidR="00FD2A15" w:rsidRPr="00E633F9" w:rsidRDefault="00FD2A15" w:rsidP="001A00DE">
            <w:pPr>
              <w:pStyle w:val="TableText0"/>
              <w:keepNext w:val="0"/>
              <w:keepLines w:val="0"/>
              <w:rPr>
                <w:b/>
                <w:bCs w:val="0"/>
              </w:rPr>
            </w:pPr>
            <w:r w:rsidRPr="00E633F9">
              <w:rPr>
                <w:b/>
                <w:bCs w:val="0"/>
              </w:rPr>
              <w:t>Reason for change / justification</w:t>
            </w:r>
          </w:p>
        </w:tc>
        <w:tc>
          <w:tcPr>
            <w:tcW w:w="0" w:type="auto"/>
            <w:shd w:val="clear" w:color="auto" w:fill="FFFFFF" w:themeFill="background1"/>
          </w:tcPr>
          <w:p w14:paraId="25DC67A9" w14:textId="250CA3D3" w:rsidR="00FD2A15" w:rsidRPr="00E633F9" w:rsidRDefault="00FD2A15" w:rsidP="001A00DE">
            <w:pPr>
              <w:pStyle w:val="TableText0"/>
              <w:keepNext w:val="0"/>
              <w:keepLines w:val="0"/>
              <w:rPr>
                <w:b/>
                <w:bCs w:val="0"/>
                <w:iCs/>
              </w:rPr>
            </w:pPr>
            <w:r w:rsidRPr="00E633F9">
              <w:rPr>
                <w:b/>
                <w:bCs w:val="0"/>
                <w:iCs/>
              </w:rPr>
              <w:t>PSCR</w:t>
            </w:r>
          </w:p>
        </w:tc>
        <w:tc>
          <w:tcPr>
            <w:tcW w:w="0" w:type="auto"/>
            <w:shd w:val="clear" w:color="auto" w:fill="FFFFFF" w:themeFill="background1"/>
          </w:tcPr>
          <w:p w14:paraId="7A8D0F25" w14:textId="5FE4EF43" w:rsidR="00FD2A15" w:rsidRPr="00E633F9" w:rsidRDefault="00FD2A15" w:rsidP="001A00DE">
            <w:pPr>
              <w:pStyle w:val="TableText0"/>
              <w:keepNext w:val="0"/>
              <w:keepLines w:val="0"/>
              <w:rPr>
                <w:b/>
                <w:bCs w:val="0"/>
                <w:iCs/>
              </w:rPr>
            </w:pPr>
            <w:r w:rsidRPr="00E633F9">
              <w:rPr>
                <w:b/>
                <w:bCs w:val="0"/>
                <w:iCs/>
              </w:rPr>
              <w:t>ESC</w:t>
            </w:r>
            <w:r w:rsidR="005C572C" w:rsidRPr="00E633F9">
              <w:rPr>
                <w:b/>
                <w:bCs w:val="0"/>
                <w:iCs/>
              </w:rPr>
              <w:t xml:space="preserve"> advice</w:t>
            </w:r>
          </w:p>
        </w:tc>
      </w:tr>
      <w:tr w:rsidR="00B409D7" w:rsidRPr="00E633F9" w14:paraId="60694723" w14:textId="6680F274" w:rsidTr="001A00DE">
        <w:trPr>
          <w:cantSplit/>
          <w:trHeight w:val="50"/>
        </w:trPr>
        <w:tc>
          <w:tcPr>
            <w:tcW w:w="0" w:type="auto"/>
            <w:gridSpan w:val="4"/>
            <w:shd w:val="clear" w:color="auto" w:fill="FFFFFF" w:themeFill="background1"/>
            <w:vAlign w:val="center"/>
            <w:hideMark/>
          </w:tcPr>
          <w:p w14:paraId="288DBBC5" w14:textId="77777777" w:rsidR="00FD2A15" w:rsidRPr="00E633F9" w:rsidRDefault="00FD2A15" w:rsidP="001A00DE">
            <w:pPr>
              <w:pStyle w:val="TableText0"/>
              <w:keepNext w:val="0"/>
              <w:keepLines w:val="0"/>
              <w:rPr>
                <w:b/>
                <w:bCs w:val="0"/>
              </w:rPr>
            </w:pPr>
            <w:r w:rsidRPr="00E633F9">
              <w:rPr>
                <w:b/>
                <w:bCs w:val="0"/>
              </w:rPr>
              <w:t>Transitions / proportions</w:t>
            </w:r>
          </w:p>
        </w:tc>
        <w:tc>
          <w:tcPr>
            <w:tcW w:w="0" w:type="auto"/>
            <w:shd w:val="clear" w:color="auto" w:fill="FFFFFF" w:themeFill="background1"/>
          </w:tcPr>
          <w:p w14:paraId="04BA7133" w14:textId="77777777" w:rsidR="00FD2A15" w:rsidRPr="00E633F9" w:rsidRDefault="00FD2A15" w:rsidP="001A00DE">
            <w:pPr>
              <w:pStyle w:val="TableText0"/>
              <w:keepNext w:val="0"/>
              <w:keepLines w:val="0"/>
              <w:rPr>
                <w:b/>
                <w:bCs w:val="0"/>
              </w:rPr>
            </w:pPr>
          </w:p>
        </w:tc>
        <w:tc>
          <w:tcPr>
            <w:tcW w:w="0" w:type="auto"/>
            <w:shd w:val="clear" w:color="auto" w:fill="FFFFFF" w:themeFill="background1"/>
          </w:tcPr>
          <w:p w14:paraId="7BE23569" w14:textId="77777777" w:rsidR="00FD2A15" w:rsidRPr="00E633F9" w:rsidRDefault="00FD2A15" w:rsidP="001A00DE">
            <w:pPr>
              <w:pStyle w:val="TableText0"/>
              <w:keepNext w:val="0"/>
              <w:keepLines w:val="0"/>
              <w:rPr>
                <w:b/>
                <w:bCs w:val="0"/>
              </w:rPr>
            </w:pPr>
          </w:p>
        </w:tc>
      </w:tr>
      <w:tr w:rsidR="00B409D7" w:rsidRPr="00E633F9" w14:paraId="1EFB617F" w14:textId="288D9B46" w:rsidTr="001A00DE">
        <w:trPr>
          <w:cantSplit/>
          <w:trHeight w:val="690"/>
        </w:trPr>
        <w:tc>
          <w:tcPr>
            <w:tcW w:w="0" w:type="auto"/>
            <w:vAlign w:val="center"/>
            <w:hideMark/>
          </w:tcPr>
          <w:p w14:paraId="41DAE9FF" w14:textId="77777777" w:rsidR="00FD2A15" w:rsidRPr="00E633F9" w:rsidRDefault="00FD2A15" w:rsidP="001A00DE">
            <w:pPr>
              <w:pStyle w:val="TableText0"/>
              <w:keepNext w:val="0"/>
              <w:keepLines w:val="0"/>
              <w:rPr>
                <w:iCs/>
              </w:rPr>
            </w:pPr>
            <w:r w:rsidRPr="00E633F9">
              <w:rPr>
                <w:iCs/>
              </w:rPr>
              <w:t>#1</w:t>
            </w:r>
          </w:p>
        </w:tc>
        <w:tc>
          <w:tcPr>
            <w:tcW w:w="0" w:type="auto"/>
            <w:vAlign w:val="center"/>
            <w:hideMark/>
          </w:tcPr>
          <w:p w14:paraId="064FC524" w14:textId="77777777" w:rsidR="00FD2A15" w:rsidRPr="00E633F9" w:rsidRDefault="00FD2A15" w:rsidP="001A00DE">
            <w:pPr>
              <w:pStyle w:val="TableText0"/>
              <w:keepNext w:val="0"/>
              <w:keepLines w:val="0"/>
            </w:pPr>
            <w:r w:rsidRPr="00E633F9">
              <w:t>Readmissions = 17.86% of all hospitalisations</w:t>
            </w:r>
          </w:p>
        </w:tc>
        <w:tc>
          <w:tcPr>
            <w:tcW w:w="0" w:type="auto"/>
            <w:vAlign w:val="center"/>
            <w:hideMark/>
          </w:tcPr>
          <w:p w14:paraId="3D4A9FF7" w14:textId="77777777" w:rsidR="00FD2A15" w:rsidRPr="00E633F9" w:rsidRDefault="00FD2A15" w:rsidP="001A00DE">
            <w:pPr>
              <w:pStyle w:val="TableText0"/>
              <w:keepNext w:val="0"/>
              <w:keepLines w:val="0"/>
            </w:pPr>
            <w:r w:rsidRPr="00E633F9">
              <w:t>0%</w:t>
            </w:r>
          </w:p>
        </w:tc>
        <w:tc>
          <w:tcPr>
            <w:tcW w:w="0" w:type="auto"/>
            <w:vAlign w:val="center"/>
            <w:hideMark/>
          </w:tcPr>
          <w:p w14:paraId="72E78ECF" w14:textId="77777777" w:rsidR="00FD2A15" w:rsidRPr="00E633F9" w:rsidRDefault="00FD2A15" w:rsidP="001A00DE">
            <w:pPr>
              <w:pStyle w:val="TableText0"/>
              <w:keepNext w:val="0"/>
              <w:keepLines w:val="0"/>
              <w:rPr>
                <w:b/>
                <w:bCs w:val="0"/>
              </w:rPr>
            </w:pPr>
            <w:r w:rsidRPr="00E633F9">
              <w:rPr>
                <w:b/>
                <w:bCs w:val="0"/>
              </w:rPr>
              <w:t>Error</w:t>
            </w:r>
          </w:p>
          <w:p w14:paraId="385E915D" w14:textId="5D003B85" w:rsidR="00FD2A15" w:rsidRPr="00E633F9" w:rsidRDefault="00FD2A15" w:rsidP="001A00DE">
            <w:pPr>
              <w:pStyle w:val="TableText0"/>
              <w:keepNext w:val="0"/>
              <w:keepLines w:val="0"/>
            </w:pPr>
            <w:r w:rsidRPr="00E633F9">
              <w:t>Initial hospitalisations in the model have been calibrated to AIHW hospitalisations, which already capture re</w:t>
            </w:r>
            <w:r w:rsidR="00193971" w:rsidRPr="00E633F9">
              <w:noBreakHyphen/>
            </w:r>
            <w:r w:rsidRPr="00E633F9">
              <w:t>admissions. The use of readmissions in the model appear to be double counting.</w:t>
            </w:r>
          </w:p>
        </w:tc>
        <w:tc>
          <w:tcPr>
            <w:tcW w:w="0" w:type="auto"/>
          </w:tcPr>
          <w:p w14:paraId="6B15BCF3" w14:textId="154E2372" w:rsidR="00FD2A15" w:rsidRPr="00E633F9" w:rsidRDefault="00FD2A15" w:rsidP="001A00DE">
            <w:pPr>
              <w:pStyle w:val="TableText0"/>
              <w:keepNext w:val="0"/>
              <w:keepLines w:val="0"/>
              <w:rPr>
                <w:iCs/>
              </w:rPr>
            </w:pPr>
            <w:r w:rsidRPr="00E633F9">
              <w:rPr>
                <w:iCs/>
              </w:rPr>
              <w:t>Change accepted by PSCR.</w:t>
            </w:r>
          </w:p>
        </w:tc>
        <w:tc>
          <w:tcPr>
            <w:tcW w:w="0" w:type="auto"/>
          </w:tcPr>
          <w:p w14:paraId="5B8A9BA1" w14:textId="2FBC43A3" w:rsidR="00FD2A15" w:rsidRPr="00E633F9" w:rsidRDefault="00B23D1E" w:rsidP="001A00DE">
            <w:pPr>
              <w:pStyle w:val="TableText0"/>
              <w:keepNext w:val="0"/>
              <w:keepLines w:val="0"/>
              <w:rPr>
                <w:iCs/>
              </w:rPr>
            </w:pPr>
            <w:r w:rsidRPr="00E633F9">
              <w:rPr>
                <w:iCs/>
              </w:rPr>
              <w:t xml:space="preserve">Input for </w:t>
            </w:r>
            <w:r w:rsidR="00B409D7" w:rsidRPr="00E633F9">
              <w:rPr>
                <w:iCs/>
              </w:rPr>
              <w:t>sensitivity analysis</w:t>
            </w:r>
            <w:r w:rsidR="00FD2A15" w:rsidRPr="00E633F9">
              <w:rPr>
                <w:iCs/>
              </w:rPr>
              <w:t xml:space="preserve"> supported by ESC</w:t>
            </w:r>
          </w:p>
        </w:tc>
      </w:tr>
      <w:tr w:rsidR="00B409D7" w:rsidRPr="00E633F9" w14:paraId="6B94C63E" w14:textId="6452E63A" w:rsidTr="001A00DE">
        <w:trPr>
          <w:cantSplit/>
          <w:trHeight w:val="690"/>
        </w:trPr>
        <w:tc>
          <w:tcPr>
            <w:tcW w:w="0" w:type="auto"/>
            <w:vAlign w:val="center"/>
            <w:hideMark/>
          </w:tcPr>
          <w:p w14:paraId="2CD80E45" w14:textId="77777777" w:rsidR="00FD2A15" w:rsidRPr="00E633F9" w:rsidRDefault="00FD2A15" w:rsidP="001A00DE">
            <w:pPr>
              <w:pStyle w:val="TableText0"/>
              <w:keepNext w:val="0"/>
              <w:keepLines w:val="0"/>
              <w:rPr>
                <w:iCs/>
              </w:rPr>
            </w:pPr>
            <w:r w:rsidRPr="00E633F9">
              <w:rPr>
                <w:iCs/>
              </w:rPr>
              <w:t>#2</w:t>
            </w:r>
          </w:p>
        </w:tc>
        <w:tc>
          <w:tcPr>
            <w:tcW w:w="0" w:type="auto"/>
            <w:vAlign w:val="center"/>
            <w:hideMark/>
          </w:tcPr>
          <w:p w14:paraId="77A82B54" w14:textId="77777777" w:rsidR="00FD2A15" w:rsidRPr="00E633F9" w:rsidRDefault="00FD2A15" w:rsidP="001A00DE">
            <w:pPr>
              <w:pStyle w:val="TableText0"/>
              <w:keepNext w:val="0"/>
              <w:keepLines w:val="0"/>
            </w:pPr>
            <w:r w:rsidRPr="00E633F9">
              <w:t>Initial VE derived by assuming linear waning</w:t>
            </w:r>
          </w:p>
        </w:tc>
        <w:tc>
          <w:tcPr>
            <w:tcW w:w="0" w:type="auto"/>
            <w:vAlign w:val="center"/>
            <w:hideMark/>
          </w:tcPr>
          <w:p w14:paraId="0993338C" w14:textId="77777777" w:rsidR="00FD2A15" w:rsidRPr="00E633F9" w:rsidRDefault="00FD2A15" w:rsidP="001A00DE">
            <w:pPr>
              <w:pStyle w:val="TableText0"/>
              <w:keepNext w:val="0"/>
              <w:keepLines w:val="0"/>
            </w:pPr>
            <w:r w:rsidRPr="00E633F9">
              <w:t>Assume no waning in the first two months</w:t>
            </w:r>
          </w:p>
        </w:tc>
        <w:tc>
          <w:tcPr>
            <w:tcW w:w="0" w:type="auto"/>
            <w:vAlign w:val="center"/>
            <w:hideMark/>
          </w:tcPr>
          <w:p w14:paraId="6F2D496A" w14:textId="77777777" w:rsidR="00FD2A15" w:rsidRPr="00E633F9" w:rsidRDefault="00FD2A15" w:rsidP="001A00DE">
            <w:pPr>
              <w:pStyle w:val="TableText0"/>
              <w:keepNext w:val="0"/>
              <w:keepLines w:val="0"/>
              <w:rPr>
                <w:b/>
                <w:bCs w:val="0"/>
              </w:rPr>
            </w:pPr>
            <w:r w:rsidRPr="00E633F9">
              <w:rPr>
                <w:b/>
                <w:bCs w:val="0"/>
              </w:rPr>
              <w:t>Unsupported</w:t>
            </w:r>
          </w:p>
          <w:p w14:paraId="37665341" w14:textId="77777777" w:rsidR="00FD2A15" w:rsidRPr="00E633F9" w:rsidRDefault="00FD2A15" w:rsidP="001A00DE">
            <w:pPr>
              <w:pStyle w:val="TableText0"/>
              <w:keepNext w:val="0"/>
              <w:keepLines w:val="0"/>
            </w:pPr>
            <w:r w:rsidRPr="00E633F9">
              <w:t>The submission has increased the initial VE based on an assumption that waning estimates can be linearly extrapolated back from 64 days to 14 days.</w:t>
            </w:r>
          </w:p>
        </w:tc>
        <w:tc>
          <w:tcPr>
            <w:tcW w:w="0" w:type="auto"/>
          </w:tcPr>
          <w:p w14:paraId="5F2BE2E8" w14:textId="28997064" w:rsidR="00FD2A15" w:rsidRPr="00E633F9" w:rsidRDefault="00FD2A15" w:rsidP="001A00DE">
            <w:pPr>
              <w:pStyle w:val="TableText0"/>
              <w:keepNext w:val="0"/>
              <w:keepLines w:val="0"/>
            </w:pPr>
            <w:r w:rsidRPr="00E633F9">
              <w:t>Not addressed.</w:t>
            </w:r>
          </w:p>
        </w:tc>
        <w:tc>
          <w:tcPr>
            <w:tcW w:w="0" w:type="auto"/>
          </w:tcPr>
          <w:p w14:paraId="5B573980" w14:textId="6098B22D" w:rsidR="00FD2A15" w:rsidRPr="00E633F9" w:rsidRDefault="00B409D7" w:rsidP="001A00DE">
            <w:pPr>
              <w:pStyle w:val="TableText0"/>
              <w:keepNext w:val="0"/>
              <w:keepLines w:val="0"/>
            </w:pPr>
            <w:r w:rsidRPr="00E633F9">
              <w:rPr>
                <w:iCs/>
              </w:rPr>
              <w:t>Input for sensitivity analysis</w:t>
            </w:r>
            <w:r w:rsidR="00F24725" w:rsidRPr="00E633F9">
              <w:rPr>
                <w:iCs/>
              </w:rPr>
              <w:t xml:space="preserve"> supported by ESC</w:t>
            </w:r>
            <w:r w:rsidR="00F70373" w:rsidRPr="00E633F9">
              <w:rPr>
                <w:iCs/>
              </w:rPr>
              <w:t xml:space="preserve">, however there is no justification for assuming higher VE for Spikevax compared with Comirnaty </w:t>
            </w:r>
          </w:p>
        </w:tc>
      </w:tr>
      <w:tr w:rsidR="00B409D7" w:rsidRPr="00E633F9" w14:paraId="780BA05F" w14:textId="390E085B" w:rsidTr="001A00DE">
        <w:trPr>
          <w:cantSplit/>
          <w:trHeight w:val="465"/>
        </w:trPr>
        <w:tc>
          <w:tcPr>
            <w:tcW w:w="0" w:type="auto"/>
            <w:vAlign w:val="center"/>
            <w:hideMark/>
          </w:tcPr>
          <w:p w14:paraId="45862C5D" w14:textId="77777777" w:rsidR="00FD2A15" w:rsidRPr="00E633F9" w:rsidRDefault="00FD2A15" w:rsidP="001A00DE">
            <w:pPr>
              <w:pStyle w:val="TableText0"/>
              <w:keepNext w:val="0"/>
              <w:keepLines w:val="0"/>
              <w:rPr>
                <w:iCs/>
              </w:rPr>
            </w:pPr>
            <w:r w:rsidRPr="00E633F9">
              <w:rPr>
                <w:iCs/>
              </w:rPr>
              <w:t>#3</w:t>
            </w:r>
          </w:p>
        </w:tc>
        <w:tc>
          <w:tcPr>
            <w:tcW w:w="0" w:type="auto"/>
            <w:vAlign w:val="center"/>
            <w:hideMark/>
          </w:tcPr>
          <w:p w14:paraId="4760BEBB" w14:textId="77777777" w:rsidR="00FD2A15" w:rsidRPr="00E633F9" w:rsidRDefault="00FD2A15" w:rsidP="001A00DE">
            <w:pPr>
              <w:pStyle w:val="TableText0"/>
              <w:keepNext w:val="0"/>
              <w:keepLines w:val="0"/>
            </w:pPr>
            <w:r w:rsidRPr="00E633F9">
              <w:t>Long Covid = 9.6% post hospitalisation, 4.7% post outpatient</w:t>
            </w:r>
          </w:p>
        </w:tc>
        <w:tc>
          <w:tcPr>
            <w:tcW w:w="0" w:type="auto"/>
            <w:vAlign w:val="center"/>
            <w:hideMark/>
          </w:tcPr>
          <w:p w14:paraId="6581E8B1" w14:textId="77777777" w:rsidR="00FD2A15" w:rsidRPr="00E633F9" w:rsidRDefault="00FD2A15" w:rsidP="001A00DE">
            <w:pPr>
              <w:pStyle w:val="TableText0"/>
              <w:keepNext w:val="0"/>
              <w:keepLines w:val="0"/>
            </w:pPr>
            <w:r w:rsidRPr="00E633F9">
              <w:t>0%</w:t>
            </w:r>
          </w:p>
        </w:tc>
        <w:tc>
          <w:tcPr>
            <w:tcW w:w="0" w:type="auto"/>
            <w:vAlign w:val="center"/>
            <w:hideMark/>
          </w:tcPr>
          <w:p w14:paraId="43C8C98F" w14:textId="77777777" w:rsidR="00FD2A15" w:rsidRPr="00E633F9" w:rsidRDefault="00FD2A15" w:rsidP="001A00DE">
            <w:pPr>
              <w:pStyle w:val="TableText0"/>
              <w:keepNext w:val="0"/>
              <w:keepLines w:val="0"/>
              <w:rPr>
                <w:b/>
                <w:bCs w:val="0"/>
              </w:rPr>
            </w:pPr>
            <w:r w:rsidRPr="00E633F9">
              <w:rPr>
                <w:b/>
                <w:bCs w:val="0"/>
              </w:rPr>
              <w:t>Unsupported</w:t>
            </w:r>
          </w:p>
          <w:p w14:paraId="08E94513" w14:textId="0E177547" w:rsidR="00FD2A15" w:rsidRPr="00E633F9" w:rsidRDefault="00FD2A15" w:rsidP="001A00DE">
            <w:pPr>
              <w:pStyle w:val="TableText0"/>
              <w:keepNext w:val="0"/>
              <w:keepLines w:val="0"/>
            </w:pPr>
            <w:r w:rsidRPr="00E633F9">
              <w:t>The impact of vaccination on long</w:t>
            </w:r>
            <w:r w:rsidR="00193971" w:rsidRPr="00E633F9">
              <w:noBreakHyphen/>
            </w:r>
            <w:r w:rsidRPr="00E633F9">
              <w:t xml:space="preserve">COVID is not presented in the submission. </w:t>
            </w:r>
          </w:p>
        </w:tc>
        <w:tc>
          <w:tcPr>
            <w:tcW w:w="0" w:type="auto"/>
          </w:tcPr>
          <w:p w14:paraId="22BEA6F4" w14:textId="0C8E5199" w:rsidR="00FD2A15" w:rsidRPr="00E633F9" w:rsidRDefault="00FD2A15" w:rsidP="001A00DE">
            <w:pPr>
              <w:pStyle w:val="TableText0"/>
              <w:keepNext w:val="0"/>
              <w:keepLines w:val="0"/>
              <w:rPr>
                <w:b/>
                <w:bCs w:val="0"/>
              </w:rPr>
            </w:pPr>
            <w:r w:rsidRPr="00E633F9">
              <w:rPr>
                <w:iCs/>
              </w:rPr>
              <w:t xml:space="preserve">Change </w:t>
            </w:r>
            <w:r w:rsidR="006E6617" w:rsidRPr="00E633F9">
              <w:rPr>
                <w:iCs/>
              </w:rPr>
              <w:t>not</w:t>
            </w:r>
            <w:r w:rsidRPr="00E633F9">
              <w:rPr>
                <w:iCs/>
              </w:rPr>
              <w:t xml:space="preserve"> accepted by PSCR but additional discussion provided and revised inputs applied (see paragraph</w:t>
            </w:r>
            <w:r w:rsidR="00323FD2" w:rsidRPr="00E633F9">
              <w:rPr>
                <w:iCs/>
              </w:rPr>
              <w:t xml:space="preserve"> </w:t>
            </w:r>
            <w:r w:rsidR="00323FD2" w:rsidRPr="00E633F9">
              <w:rPr>
                <w:iCs/>
              </w:rPr>
              <w:fldChar w:fldCharType="begin"/>
            </w:r>
            <w:r w:rsidR="00323FD2" w:rsidRPr="00E633F9">
              <w:rPr>
                <w:iCs/>
              </w:rPr>
              <w:instrText xml:space="preserve"> REF _Ref221805251 \r \h </w:instrText>
            </w:r>
            <w:r w:rsidR="00E633F9">
              <w:rPr>
                <w:iCs/>
              </w:rPr>
              <w:instrText xml:space="preserve"> \* MERGEFORMAT </w:instrText>
            </w:r>
            <w:r w:rsidR="00323FD2" w:rsidRPr="00E633F9">
              <w:rPr>
                <w:iCs/>
              </w:rPr>
            </w:r>
            <w:r w:rsidR="00323FD2" w:rsidRPr="00E633F9">
              <w:rPr>
                <w:iCs/>
              </w:rPr>
              <w:fldChar w:fldCharType="separate"/>
            </w:r>
            <w:r w:rsidR="00810177" w:rsidRPr="00E633F9">
              <w:rPr>
                <w:iCs/>
              </w:rPr>
              <w:t>6.22</w:t>
            </w:r>
            <w:r w:rsidR="00323FD2" w:rsidRPr="00E633F9">
              <w:rPr>
                <w:iCs/>
              </w:rPr>
              <w:fldChar w:fldCharType="end"/>
            </w:r>
            <w:r w:rsidRPr="00E633F9">
              <w:rPr>
                <w:iCs/>
              </w:rPr>
              <w:t>).</w:t>
            </w:r>
          </w:p>
        </w:tc>
        <w:tc>
          <w:tcPr>
            <w:tcW w:w="0" w:type="auto"/>
          </w:tcPr>
          <w:p w14:paraId="6A63596E" w14:textId="59DAFED4" w:rsidR="00FD2A15" w:rsidRPr="00E633F9" w:rsidRDefault="008A381B" w:rsidP="001A00DE">
            <w:pPr>
              <w:pStyle w:val="TableText0"/>
              <w:keepNext w:val="0"/>
              <w:keepLines w:val="0"/>
              <w:rPr>
                <w:iCs/>
              </w:rPr>
            </w:pPr>
            <w:r w:rsidRPr="00E633F9">
              <w:rPr>
                <w:iCs/>
              </w:rPr>
              <w:t>Input for sensitivity analysis</w:t>
            </w:r>
            <w:r w:rsidR="00FD2A15" w:rsidRPr="00E633F9">
              <w:rPr>
                <w:iCs/>
              </w:rPr>
              <w:t xml:space="preserve"> supported by ESC</w:t>
            </w:r>
          </w:p>
        </w:tc>
      </w:tr>
      <w:tr w:rsidR="00B409D7" w:rsidRPr="00E633F9" w14:paraId="30053BD7" w14:textId="09E7F513" w:rsidTr="001A00DE">
        <w:trPr>
          <w:cantSplit/>
          <w:trHeight w:val="1140"/>
        </w:trPr>
        <w:tc>
          <w:tcPr>
            <w:tcW w:w="0" w:type="auto"/>
            <w:vAlign w:val="center"/>
            <w:hideMark/>
          </w:tcPr>
          <w:p w14:paraId="71145EBC" w14:textId="77777777" w:rsidR="00FD2A15" w:rsidRPr="00E633F9" w:rsidRDefault="00FD2A15" w:rsidP="001A00DE">
            <w:pPr>
              <w:pStyle w:val="TableText0"/>
              <w:keepNext w:val="0"/>
              <w:keepLines w:val="0"/>
              <w:rPr>
                <w:iCs/>
              </w:rPr>
            </w:pPr>
            <w:r w:rsidRPr="00E633F9">
              <w:rPr>
                <w:iCs/>
              </w:rPr>
              <w:t>#4</w:t>
            </w:r>
          </w:p>
        </w:tc>
        <w:tc>
          <w:tcPr>
            <w:tcW w:w="0" w:type="auto"/>
            <w:vAlign w:val="center"/>
            <w:hideMark/>
          </w:tcPr>
          <w:p w14:paraId="358346D0" w14:textId="77777777" w:rsidR="00FD2A15" w:rsidRPr="00E633F9" w:rsidRDefault="00FD2A15" w:rsidP="001A00DE">
            <w:pPr>
              <w:pStyle w:val="TableText0"/>
              <w:keepNext w:val="0"/>
              <w:keepLines w:val="0"/>
            </w:pPr>
            <w:r w:rsidRPr="00E633F9">
              <w:t>ICU 5.74%, ventilation 5.78% of hospitalisations</w:t>
            </w:r>
          </w:p>
        </w:tc>
        <w:tc>
          <w:tcPr>
            <w:tcW w:w="0" w:type="auto"/>
            <w:vAlign w:val="center"/>
            <w:hideMark/>
          </w:tcPr>
          <w:p w14:paraId="08405E6D" w14:textId="77777777" w:rsidR="00FD2A15" w:rsidRPr="00E633F9" w:rsidRDefault="00FD2A15" w:rsidP="001A00DE">
            <w:pPr>
              <w:pStyle w:val="TableText0"/>
              <w:keepNext w:val="0"/>
              <w:keepLines w:val="0"/>
            </w:pPr>
            <w:r w:rsidRPr="00E633F9">
              <w:t>AIHW based ICU and CVS per age group (assume that all CVS occur in ICU)</w:t>
            </w:r>
          </w:p>
        </w:tc>
        <w:tc>
          <w:tcPr>
            <w:tcW w:w="0" w:type="auto"/>
            <w:vAlign w:val="center"/>
            <w:hideMark/>
          </w:tcPr>
          <w:p w14:paraId="28732C4E" w14:textId="77777777" w:rsidR="00FD2A15" w:rsidRPr="00E633F9" w:rsidRDefault="00FD2A15" w:rsidP="001A00DE">
            <w:pPr>
              <w:pStyle w:val="TableText0"/>
              <w:keepNext w:val="0"/>
              <w:keepLines w:val="0"/>
              <w:rPr>
                <w:b/>
                <w:bCs w:val="0"/>
              </w:rPr>
            </w:pPr>
            <w:r w:rsidRPr="00E633F9">
              <w:rPr>
                <w:b/>
                <w:bCs w:val="0"/>
              </w:rPr>
              <w:t>More reasonable source of estimate</w:t>
            </w:r>
          </w:p>
          <w:p w14:paraId="6577625B" w14:textId="176713CF" w:rsidR="00FD2A15" w:rsidRPr="00E633F9" w:rsidRDefault="00FD2A15" w:rsidP="001A00DE">
            <w:pPr>
              <w:pStyle w:val="TableText0"/>
              <w:keepNext w:val="0"/>
              <w:keepLines w:val="0"/>
            </w:pPr>
            <w:r w:rsidRPr="00E633F9">
              <w:t>AIHW reports separations requiring mechanical ventilation and ICU from 2023</w:t>
            </w:r>
            <w:r w:rsidR="00193971" w:rsidRPr="00E633F9">
              <w:noBreakHyphen/>
            </w:r>
            <w:r w:rsidRPr="00E633F9">
              <w:t>24. These estimates are lower than Hitch et al 2024 used in the submission. Hitch et al reported on hospitalisations up to November 2021 and likely represents more severe disease.</w:t>
            </w:r>
          </w:p>
        </w:tc>
        <w:tc>
          <w:tcPr>
            <w:tcW w:w="0" w:type="auto"/>
          </w:tcPr>
          <w:p w14:paraId="4AABA5DF" w14:textId="591E39DF" w:rsidR="00FD2A15" w:rsidRPr="00E633F9" w:rsidRDefault="00FD2A15" w:rsidP="001A00DE">
            <w:pPr>
              <w:pStyle w:val="TableText0"/>
              <w:keepNext w:val="0"/>
              <w:keepLines w:val="0"/>
              <w:rPr>
                <w:b/>
                <w:bCs w:val="0"/>
              </w:rPr>
            </w:pPr>
            <w:r w:rsidRPr="00E633F9">
              <w:rPr>
                <w:iCs/>
              </w:rPr>
              <w:t>Change accepted by PSCR.</w:t>
            </w:r>
          </w:p>
        </w:tc>
        <w:tc>
          <w:tcPr>
            <w:tcW w:w="0" w:type="auto"/>
          </w:tcPr>
          <w:p w14:paraId="22B18C85" w14:textId="5EB2DB8D" w:rsidR="00FD2A15" w:rsidRPr="00E633F9" w:rsidRDefault="005F08EB" w:rsidP="001A00DE">
            <w:pPr>
              <w:pStyle w:val="TableText0"/>
              <w:keepNext w:val="0"/>
              <w:keepLines w:val="0"/>
              <w:rPr>
                <w:iCs/>
              </w:rPr>
            </w:pPr>
            <w:r w:rsidRPr="00E633F9">
              <w:rPr>
                <w:iCs/>
              </w:rPr>
              <w:t>Input for sensitivity analysis</w:t>
            </w:r>
            <w:r w:rsidRPr="00E633F9" w:rsidDel="005F08EB">
              <w:rPr>
                <w:iCs/>
              </w:rPr>
              <w:t xml:space="preserve"> </w:t>
            </w:r>
            <w:r w:rsidR="00FD2A15" w:rsidRPr="00E633F9">
              <w:rPr>
                <w:iCs/>
              </w:rPr>
              <w:t>supported by ESC</w:t>
            </w:r>
          </w:p>
        </w:tc>
      </w:tr>
      <w:tr w:rsidR="00B409D7" w:rsidRPr="00E633F9" w14:paraId="336130DB" w14:textId="671E2C29" w:rsidTr="001A00DE">
        <w:trPr>
          <w:cantSplit/>
          <w:trHeight w:val="915"/>
        </w:trPr>
        <w:tc>
          <w:tcPr>
            <w:tcW w:w="0" w:type="auto"/>
            <w:vAlign w:val="center"/>
            <w:hideMark/>
          </w:tcPr>
          <w:p w14:paraId="53D56778" w14:textId="77777777" w:rsidR="00FD2A15" w:rsidRPr="00E633F9" w:rsidRDefault="00FD2A15" w:rsidP="001A00DE">
            <w:pPr>
              <w:pStyle w:val="TableText0"/>
              <w:keepNext w:val="0"/>
              <w:keepLines w:val="0"/>
              <w:rPr>
                <w:iCs/>
              </w:rPr>
            </w:pPr>
            <w:r w:rsidRPr="00E633F9">
              <w:rPr>
                <w:iCs/>
              </w:rPr>
              <w:lastRenderedPageBreak/>
              <w:t>#5</w:t>
            </w:r>
          </w:p>
        </w:tc>
        <w:tc>
          <w:tcPr>
            <w:tcW w:w="0" w:type="auto"/>
            <w:vAlign w:val="center"/>
            <w:hideMark/>
          </w:tcPr>
          <w:p w14:paraId="3CEF418F" w14:textId="6C40FB86" w:rsidR="00FD2A15" w:rsidRPr="00E633F9" w:rsidRDefault="00FD2A15" w:rsidP="001A00DE">
            <w:pPr>
              <w:pStyle w:val="TableText0"/>
              <w:keepNext w:val="0"/>
              <w:keepLines w:val="0"/>
            </w:pPr>
            <w:r w:rsidRPr="00E633F9">
              <w:t>COVID</w:t>
            </w:r>
            <w:r w:rsidR="00193971" w:rsidRPr="00E633F9">
              <w:noBreakHyphen/>
            </w:r>
            <w:r w:rsidRPr="00E633F9">
              <w:t>19 mortality based on 2021</w:t>
            </w:r>
            <w:r w:rsidR="00193971" w:rsidRPr="00E633F9">
              <w:noBreakHyphen/>
            </w:r>
            <w:r w:rsidRPr="00E633F9">
              <w:t xml:space="preserve">22 data. </w:t>
            </w:r>
          </w:p>
        </w:tc>
        <w:tc>
          <w:tcPr>
            <w:tcW w:w="0" w:type="auto"/>
            <w:vAlign w:val="center"/>
            <w:hideMark/>
          </w:tcPr>
          <w:p w14:paraId="41B2D20E" w14:textId="1CE0C274" w:rsidR="00FD2A15" w:rsidRPr="00E633F9" w:rsidRDefault="00FD2A15" w:rsidP="001A00DE">
            <w:pPr>
              <w:pStyle w:val="TableText0"/>
              <w:keepNext w:val="0"/>
              <w:keepLines w:val="0"/>
            </w:pPr>
            <w:r w:rsidRPr="00E633F9">
              <w:t>Corrected error in model, and update mortality to ABS values from 2024</w:t>
            </w:r>
            <w:r w:rsidR="00193971" w:rsidRPr="00E633F9">
              <w:noBreakHyphen/>
            </w:r>
            <w:r w:rsidRPr="00E633F9">
              <w:t>25</w:t>
            </w:r>
          </w:p>
        </w:tc>
        <w:tc>
          <w:tcPr>
            <w:tcW w:w="0" w:type="auto"/>
            <w:vAlign w:val="center"/>
            <w:hideMark/>
          </w:tcPr>
          <w:p w14:paraId="04314B64" w14:textId="77777777" w:rsidR="00FD2A15" w:rsidRPr="00E633F9" w:rsidRDefault="00FD2A15" w:rsidP="001A00DE">
            <w:pPr>
              <w:pStyle w:val="TableText0"/>
              <w:keepNext w:val="0"/>
              <w:keepLines w:val="0"/>
              <w:rPr>
                <w:b/>
                <w:bCs w:val="0"/>
              </w:rPr>
            </w:pPr>
            <w:r w:rsidRPr="00E633F9">
              <w:rPr>
                <w:b/>
                <w:bCs w:val="0"/>
              </w:rPr>
              <w:t>More reasonable source of estimate</w:t>
            </w:r>
          </w:p>
          <w:p w14:paraId="7225E8CF" w14:textId="0E3484B1" w:rsidR="00FD2A15" w:rsidRPr="00E633F9" w:rsidRDefault="00FD2A15" w:rsidP="001A00DE">
            <w:pPr>
              <w:pStyle w:val="TableText0"/>
              <w:keepNext w:val="0"/>
              <w:keepLines w:val="0"/>
            </w:pPr>
            <w:r w:rsidRPr="00E633F9">
              <w:t>The submission incorrectly distributed mortality across age brackets. The correction does not alter the estimate of deaths but moves deaths from the 75</w:t>
            </w:r>
            <w:r w:rsidR="00193971" w:rsidRPr="00E633F9">
              <w:noBreakHyphen/>
            </w:r>
            <w:r w:rsidRPr="00E633F9">
              <w:t>79 age group to the 65</w:t>
            </w:r>
            <w:r w:rsidR="00193971" w:rsidRPr="00E633F9">
              <w:noBreakHyphen/>
            </w:r>
            <w:r w:rsidRPr="00E633F9">
              <w:t>74 age group. ABS data from 2024</w:t>
            </w:r>
            <w:r w:rsidR="00193971" w:rsidRPr="00E633F9">
              <w:noBreakHyphen/>
            </w:r>
            <w:r w:rsidRPr="00E633F9">
              <w:t>25.</w:t>
            </w:r>
          </w:p>
        </w:tc>
        <w:tc>
          <w:tcPr>
            <w:tcW w:w="0" w:type="auto"/>
          </w:tcPr>
          <w:p w14:paraId="4D06E2A5" w14:textId="6C3D9304" w:rsidR="00FD2A15" w:rsidRPr="00E633F9" w:rsidRDefault="00FD2A15" w:rsidP="001A00DE">
            <w:pPr>
              <w:pStyle w:val="TableText0"/>
              <w:keepNext w:val="0"/>
              <w:keepLines w:val="0"/>
              <w:rPr>
                <w:b/>
                <w:bCs w:val="0"/>
              </w:rPr>
            </w:pPr>
            <w:r w:rsidRPr="00E633F9">
              <w:rPr>
                <w:iCs/>
              </w:rPr>
              <w:t>Change partially accepted by PSCR.</w:t>
            </w:r>
          </w:p>
        </w:tc>
        <w:tc>
          <w:tcPr>
            <w:tcW w:w="0" w:type="auto"/>
          </w:tcPr>
          <w:p w14:paraId="0B911526" w14:textId="5305CA82" w:rsidR="00FD2A15" w:rsidRPr="00E633F9" w:rsidRDefault="00C109C2" w:rsidP="001A00DE">
            <w:pPr>
              <w:pStyle w:val="TableText0"/>
              <w:keepNext w:val="0"/>
              <w:keepLines w:val="0"/>
              <w:rPr>
                <w:iCs/>
              </w:rPr>
            </w:pPr>
            <w:r w:rsidRPr="00E633F9">
              <w:rPr>
                <w:iCs/>
              </w:rPr>
              <w:t>Input for sensitivity analysis</w:t>
            </w:r>
            <w:r w:rsidR="00580BAD" w:rsidRPr="00E633F9">
              <w:rPr>
                <w:iCs/>
              </w:rPr>
              <w:t xml:space="preserve"> </w:t>
            </w:r>
            <w:r w:rsidR="00FD2A15" w:rsidRPr="00E633F9">
              <w:rPr>
                <w:iCs/>
              </w:rPr>
              <w:t>supported by ESC</w:t>
            </w:r>
          </w:p>
        </w:tc>
      </w:tr>
      <w:tr w:rsidR="00B409D7" w:rsidRPr="00E633F9" w14:paraId="6CA4D244" w14:textId="604A3BCD" w:rsidTr="001A00DE">
        <w:trPr>
          <w:cantSplit/>
          <w:trHeight w:val="690"/>
        </w:trPr>
        <w:tc>
          <w:tcPr>
            <w:tcW w:w="0" w:type="auto"/>
            <w:vAlign w:val="center"/>
            <w:hideMark/>
          </w:tcPr>
          <w:p w14:paraId="329C0B84" w14:textId="77777777" w:rsidR="00FD2A15" w:rsidRPr="00E633F9" w:rsidRDefault="00FD2A15" w:rsidP="001A00DE">
            <w:pPr>
              <w:pStyle w:val="TableText0"/>
              <w:keepNext w:val="0"/>
              <w:keepLines w:val="0"/>
              <w:rPr>
                <w:iCs/>
              </w:rPr>
            </w:pPr>
            <w:r w:rsidRPr="00E633F9">
              <w:rPr>
                <w:iCs/>
              </w:rPr>
              <w:t>#6</w:t>
            </w:r>
          </w:p>
        </w:tc>
        <w:tc>
          <w:tcPr>
            <w:tcW w:w="0" w:type="auto"/>
            <w:vAlign w:val="center"/>
            <w:hideMark/>
          </w:tcPr>
          <w:p w14:paraId="27728525" w14:textId="33BDFAE6" w:rsidR="00FD2A15" w:rsidRPr="00E633F9" w:rsidRDefault="00FD2A15" w:rsidP="001A00DE">
            <w:pPr>
              <w:pStyle w:val="TableText0"/>
              <w:keepNext w:val="0"/>
              <w:keepLines w:val="0"/>
            </w:pPr>
            <w:r w:rsidRPr="00E633F9">
              <w:t>Post</w:t>
            </w:r>
            <w:r w:rsidR="00193971" w:rsidRPr="00E633F9">
              <w:noBreakHyphen/>
            </w:r>
            <w:r w:rsidRPr="00E633F9">
              <w:t>discharge mortality = 6.59%</w:t>
            </w:r>
          </w:p>
        </w:tc>
        <w:tc>
          <w:tcPr>
            <w:tcW w:w="0" w:type="auto"/>
            <w:vAlign w:val="center"/>
            <w:hideMark/>
          </w:tcPr>
          <w:p w14:paraId="6F6AAD23" w14:textId="77777777" w:rsidR="00FD2A15" w:rsidRPr="00E633F9" w:rsidRDefault="00FD2A15" w:rsidP="001A00DE">
            <w:pPr>
              <w:pStyle w:val="TableText0"/>
              <w:keepNext w:val="0"/>
              <w:keepLines w:val="0"/>
            </w:pPr>
            <w:r w:rsidRPr="00E633F9">
              <w:t>Removed from the model as incorrectly applied. Hospital related deaths are inflated by 1/92.22%.</w:t>
            </w:r>
          </w:p>
        </w:tc>
        <w:tc>
          <w:tcPr>
            <w:tcW w:w="0" w:type="auto"/>
            <w:vAlign w:val="center"/>
            <w:hideMark/>
          </w:tcPr>
          <w:p w14:paraId="6A81099B" w14:textId="77777777" w:rsidR="00FD2A15" w:rsidRPr="00E633F9" w:rsidRDefault="00FD2A15" w:rsidP="001A00DE">
            <w:pPr>
              <w:pStyle w:val="TableText0"/>
              <w:keepNext w:val="0"/>
              <w:keepLines w:val="0"/>
              <w:rPr>
                <w:b/>
                <w:bCs w:val="0"/>
              </w:rPr>
            </w:pPr>
            <w:r w:rsidRPr="00E633F9">
              <w:rPr>
                <w:b/>
                <w:bCs w:val="0"/>
              </w:rPr>
              <w:t>Error</w:t>
            </w:r>
          </w:p>
          <w:p w14:paraId="735A5CBE" w14:textId="77777777" w:rsidR="00FD2A15" w:rsidRPr="00E633F9" w:rsidRDefault="00FD2A15" w:rsidP="001A00DE">
            <w:pPr>
              <w:pStyle w:val="TableText0"/>
              <w:keepNext w:val="0"/>
              <w:keepLines w:val="0"/>
            </w:pPr>
            <w:r w:rsidRPr="00E633F9">
              <w:t>The correction reflects an earlier calculation in the submission, and is required to ensure that the model is consistent with ABS deaths.</w:t>
            </w:r>
          </w:p>
        </w:tc>
        <w:tc>
          <w:tcPr>
            <w:tcW w:w="0" w:type="auto"/>
          </w:tcPr>
          <w:p w14:paraId="6999615F" w14:textId="798F6A1C" w:rsidR="00FD2A15" w:rsidRPr="00E633F9" w:rsidRDefault="00FD2A15" w:rsidP="001A00DE">
            <w:pPr>
              <w:pStyle w:val="TableText0"/>
              <w:keepNext w:val="0"/>
              <w:keepLines w:val="0"/>
              <w:rPr>
                <w:b/>
                <w:bCs w:val="0"/>
              </w:rPr>
            </w:pPr>
            <w:r w:rsidRPr="00E633F9">
              <w:rPr>
                <w:iCs/>
              </w:rPr>
              <w:t>Change partially accepted by PSCR.</w:t>
            </w:r>
          </w:p>
        </w:tc>
        <w:tc>
          <w:tcPr>
            <w:tcW w:w="0" w:type="auto"/>
          </w:tcPr>
          <w:p w14:paraId="1AE50BA8" w14:textId="2AA2C626" w:rsidR="00FD2A15" w:rsidRPr="00E633F9" w:rsidRDefault="00C109C2" w:rsidP="001A00DE">
            <w:pPr>
              <w:pStyle w:val="TableText0"/>
              <w:keepNext w:val="0"/>
              <w:keepLines w:val="0"/>
              <w:rPr>
                <w:iCs/>
              </w:rPr>
            </w:pPr>
            <w:r w:rsidRPr="00E633F9">
              <w:rPr>
                <w:iCs/>
              </w:rPr>
              <w:t>Input for sensitivity analysis</w:t>
            </w:r>
            <w:r w:rsidRPr="00E633F9" w:rsidDel="00C109C2">
              <w:rPr>
                <w:iCs/>
              </w:rPr>
              <w:t xml:space="preserve"> </w:t>
            </w:r>
            <w:r w:rsidR="00FD2A15" w:rsidRPr="00E633F9">
              <w:rPr>
                <w:iCs/>
              </w:rPr>
              <w:t>supported by ESC</w:t>
            </w:r>
          </w:p>
        </w:tc>
      </w:tr>
      <w:tr w:rsidR="00B409D7" w:rsidRPr="00E633F9" w14:paraId="0D3D72E5" w14:textId="61BFFE25" w:rsidTr="001A00DE">
        <w:trPr>
          <w:cantSplit/>
          <w:trHeight w:val="50"/>
        </w:trPr>
        <w:tc>
          <w:tcPr>
            <w:tcW w:w="0" w:type="auto"/>
            <w:gridSpan w:val="4"/>
            <w:shd w:val="clear" w:color="auto" w:fill="D9D9D9" w:themeFill="background1" w:themeFillShade="D9"/>
            <w:vAlign w:val="center"/>
            <w:hideMark/>
          </w:tcPr>
          <w:p w14:paraId="0A23749D" w14:textId="77777777" w:rsidR="00FD2A15" w:rsidRPr="00E633F9" w:rsidRDefault="00FD2A15" w:rsidP="001A00DE">
            <w:pPr>
              <w:pStyle w:val="TableText0"/>
              <w:keepNext w:val="0"/>
              <w:keepLines w:val="0"/>
              <w:rPr>
                <w:b/>
                <w:bCs w:val="0"/>
              </w:rPr>
            </w:pPr>
            <w:r w:rsidRPr="00E633F9">
              <w:rPr>
                <w:b/>
                <w:bCs w:val="0"/>
              </w:rPr>
              <w:t>Health outcomes</w:t>
            </w:r>
          </w:p>
        </w:tc>
        <w:tc>
          <w:tcPr>
            <w:tcW w:w="0" w:type="auto"/>
            <w:shd w:val="clear" w:color="auto" w:fill="D9D9D9" w:themeFill="background1" w:themeFillShade="D9"/>
          </w:tcPr>
          <w:p w14:paraId="1465F149" w14:textId="77777777" w:rsidR="00FD2A15" w:rsidRPr="00E633F9" w:rsidRDefault="00FD2A15" w:rsidP="001A00DE">
            <w:pPr>
              <w:pStyle w:val="TableText0"/>
              <w:keepNext w:val="0"/>
              <w:keepLines w:val="0"/>
              <w:rPr>
                <w:b/>
                <w:bCs w:val="0"/>
              </w:rPr>
            </w:pPr>
          </w:p>
        </w:tc>
        <w:tc>
          <w:tcPr>
            <w:tcW w:w="0" w:type="auto"/>
            <w:shd w:val="clear" w:color="auto" w:fill="D9D9D9" w:themeFill="background1" w:themeFillShade="D9"/>
          </w:tcPr>
          <w:p w14:paraId="1D85A9F0" w14:textId="77777777" w:rsidR="00FD2A15" w:rsidRPr="00E633F9" w:rsidRDefault="00FD2A15" w:rsidP="001A00DE">
            <w:pPr>
              <w:pStyle w:val="TableText0"/>
              <w:keepNext w:val="0"/>
              <w:keepLines w:val="0"/>
              <w:rPr>
                <w:b/>
                <w:bCs w:val="0"/>
              </w:rPr>
            </w:pPr>
          </w:p>
        </w:tc>
      </w:tr>
      <w:tr w:rsidR="00B409D7" w:rsidRPr="00E633F9" w14:paraId="17B6DD0E" w14:textId="67052CCA" w:rsidTr="001A00DE">
        <w:trPr>
          <w:cantSplit/>
          <w:trHeight w:val="690"/>
        </w:trPr>
        <w:tc>
          <w:tcPr>
            <w:tcW w:w="0" w:type="auto"/>
            <w:vAlign w:val="center"/>
            <w:hideMark/>
          </w:tcPr>
          <w:p w14:paraId="096D7617" w14:textId="77777777" w:rsidR="00FD2A15" w:rsidRPr="00E633F9" w:rsidRDefault="00FD2A15" w:rsidP="001A00DE">
            <w:pPr>
              <w:pStyle w:val="TableText0"/>
              <w:keepNext w:val="0"/>
              <w:keepLines w:val="0"/>
              <w:rPr>
                <w:iCs/>
              </w:rPr>
            </w:pPr>
            <w:r w:rsidRPr="00E633F9">
              <w:rPr>
                <w:iCs/>
              </w:rPr>
              <w:t>#7</w:t>
            </w:r>
          </w:p>
        </w:tc>
        <w:tc>
          <w:tcPr>
            <w:tcW w:w="0" w:type="auto"/>
            <w:vAlign w:val="center"/>
            <w:hideMark/>
          </w:tcPr>
          <w:p w14:paraId="4757FAFD" w14:textId="77777777" w:rsidR="00FD2A15" w:rsidRPr="00E633F9" w:rsidRDefault="00FD2A15" w:rsidP="001A00DE">
            <w:pPr>
              <w:pStyle w:val="TableText0"/>
              <w:keepNext w:val="0"/>
              <w:keepLines w:val="0"/>
            </w:pPr>
            <w:r w:rsidRPr="00E633F9">
              <w:t>LY and QALYs gained based on population life expectancy and utility norms</w:t>
            </w:r>
          </w:p>
        </w:tc>
        <w:tc>
          <w:tcPr>
            <w:tcW w:w="0" w:type="auto"/>
            <w:vAlign w:val="center"/>
            <w:hideMark/>
          </w:tcPr>
          <w:p w14:paraId="1544A350" w14:textId="77777777" w:rsidR="00FD2A15" w:rsidRPr="00E633F9" w:rsidRDefault="00FD2A15" w:rsidP="001A00DE">
            <w:pPr>
              <w:pStyle w:val="TableText0"/>
              <w:keepNext w:val="0"/>
              <w:keepLines w:val="0"/>
            </w:pPr>
            <w:r w:rsidRPr="00E633F9">
              <w:t>Estimate LYs and QALYs based on reduced health in those prone to severe COVID</w:t>
            </w:r>
          </w:p>
        </w:tc>
        <w:tc>
          <w:tcPr>
            <w:tcW w:w="0" w:type="auto"/>
            <w:vAlign w:val="center"/>
            <w:hideMark/>
          </w:tcPr>
          <w:p w14:paraId="053A0105" w14:textId="77777777" w:rsidR="00FD2A15" w:rsidRPr="00E633F9" w:rsidRDefault="00FD2A15" w:rsidP="001A00DE">
            <w:pPr>
              <w:pStyle w:val="TableText0"/>
              <w:keepNext w:val="0"/>
              <w:keepLines w:val="0"/>
              <w:rPr>
                <w:b/>
                <w:bCs w:val="0"/>
              </w:rPr>
            </w:pPr>
            <w:r w:rsidRPr="00E633F9">
              <w:rPr>
                <w:b/>
                <w:bCs w:val="0"/>
              </w:rPr>
              <w:t>Unreasonable assumption</w:t>
            </w:r>
          </w:p>
          <w:p w14:paraId="1D45BED6" w14:textId="77777777" w:rsidR="00FD2A15" w:rsidRPr="00E633F9" w:rsidRDefault="00FD2A15" w:rsidP="001A00DE">
            <w:pPr>
              <w:pStyle w:val="TableText0"/>
              <w:keepNext w:val="0"/>
              <w:keepLines w:val="0"/>
            </w:pPr>
            <w:r w:rsidRPr="00E633F9">
              <w:t>This correction uses Wouterse et al 2022 that reported LYs lost and QALYs lost adjusted for health status. Approximately 63% LYs and 53% QALYs of population norms</w:t>
            </w:r>
          </w:p>
        </w:tc>
        <w:tc>
          <w:tcPr>
            <w:tcW w:w="0" w:type="auto"/>
          </w:tcPr>
          <w:p w14:paraId="11F405BF" w14:textId="57E059B6" w:rsidR="00FD2A15" w:rsidRPr="00E633F9" w:rsidRDefault="00FD2A15" w:rsidP="001A00DE">
            <w:pPr>
              <w:pStyle w:val="TableText0"/>
              <w:keepNext w:val="0"/>
              <w:keepLines w:val="0"/>
              <w:rPr>
                <w:b/>
                <w:bCs w:val="0"/>
              </w:rPr>
            </w:pPr>
            <w:r w:rsidRPr="00E633F9">
              <w:rPr>
                <w:iCs/>
              </w:rPr>
              <w:t xml:space="preserve">Change </w:t>
            </w:r>
            <w:r w:rsidR="008E5F85" w:rsidRPr="00E633F9">
              <w:rPr>
                <w:iCs/>
              </w:rPr>
              <w:t>not</w:t>
            </w:r>
            <w:r w:rsidRPr="00E633F9">
              <w:rPr>
                <w:iCs/>
              </w:rPr>
              <w:t xml:space="preserve"> accepted by PSCR.</w:t>
            </w:r>
          </w:p>
        </w:tc>
        <w:tc>
          <w:tcPr>
            <w:tcW w:w="0" w:type="auto"/>
          </w:tcPr>
          <w:p w14:paraId="4C942616" w14:textId="09DB13AB" w:rsidR="00FD2A15" w:rsidRPr="00E633F9" w:rsidRDefault="00670C06" w:rsidP="001A00DE">
            <w:pPr>
              <w:pStyle w:val="TableText0"/>
              <w:keepNext w:val="0"/>
              <w:keepLines w:val="0"/>
              <w:rPr>
                <w:iCs/>
              </w:rPr>
            </w:pPr>
            <w:r w:rsidRPr="00E633F9">
              <w:rPr>
                <w:iCs/>
              </w:rPr>
              <w:t>P</w:t>
            </w:r>
            <w:r w:rsidR="006C64DF" w:rsidRPr="00E633F9">
              <w:rPr>
                <w:iCs/>
              </w:rPr>
              <w:t>ending PBAC advice</w:t>
            </w:r>
          </w:p>
        </w:tc>
      </w:tr>
      <w:tr w:rsidR="00B409D7" w:rsidRPr="00E633F9" w14:paraId="232D057A" w14:textId="048AB91E" w:rsidTr="001A00DE">
        <w:trPr>
          <w:cantSplit/>
          <w:trHeight w:val="915"/>
        </w:trPr>
        <w:tc>
          <w:tcPr>
            <w:tcW w:w="0" w:type="auto"/>
            <w:vAlign w:val="center"/>
            <w:hideMark/>
          </w:tcPr>
          <w:p w14:paraId="5D4B163C" w14:textId="77777777" w:rsidR="00FD2A15" w:rsidRPr="00E633F9" w:rsidRDefault="00FD2A15" w:rsidP="001A00DE">
            <w:pPr>
              <w:pStyle w:val="TableText0"/>
              <w:keepNext w:val="0"/>
              <w:keepLines w:val="0"/>
              <w:rPr>
                <w:iCs/>
              </w:rPr>
            </w:pPr>
            <w:r w:rsidRPr="00E633F9">
              <w:rPr>
                <w:iCs/>
              </w:rPr>
              <w:t>#8</w:t>
            </w:r>
          </w:p>
        </w:tc>
        <w:tc>
          <w:tcPr>
            <w:tcW w:w="0" w:type="auto"/>
            <w:vAlign w:val="center"/>
            <w:hideMark/>
          </w:tcPr>
          <w:p w14:paraId="24A0E5D3" w14:textId="4421A8BD" w:rsidR="00FD2A15" w:rsidRPr="00E633F9" w:rsidRDefault="00FD2A15" w:rsidP="001A00DE">
            <w:pPr>
              <w:pStyle w:val="TableText0"/>
              <w:keepNext w:val="0"/>
              <w:keepLines w:val="0"/>
            </w:pPr>
            <w:r w:rsidRPr="00E633F9">
              <w:t>QALY decrements related to post</w:t>
            </w:r>
            <w:r w:rsidR="00193971" w:rsidRPr="00E633F9">
              <w:noBreakHyphen/>
            </w:r>
            <w:r w:rsidRPr="00E633F9">
              <w:t>COVID</w:t>
            </w:r>
            <w:r w:rsidR="00193971" w:rsidRPr="00E633F9">
              <w:noBreakHyphen/>
            </w:r>
            <w:r w:rsidRPr="00E633F9">
              <w:t>19 condition 0.28 for infections, 0.122 for hospitalisation</w:t>
            </w:r>
          </w:p>
        </w:tc>
        <w:tc>
          <w:tcPr>
            <w:tcW w:w="0" w:type="auto"/>
            <w:vAlign w:val="center"/>
            <w:hideMark/>
          </w:tcPr>
          <w:p w14:paraId="4B9D83F4" w14:textId="24F39E74" w:rsidR="00FD2A15" w:rsidRPr="00E633F9" w:rsidRDefault="00FD2A15" w:rsidP="001A00DE">
            <w:pPr>
              <w:pStyle w:val="TableText0"/>
              <w:keepNext w:val="0"/>
              <w:keepLines w:val="0"/>
            </w:pPr>
            <w:r w:rsidRPr="00E633F9">
              <w:t>Remove post</w:t>
            </w:r>
            <w:r w:rsidR="00193971" w:rsidRPr="00E633F9">
              <w:noBreakHyphen/>
            </w:r>
            <w:r w:rsidRPr="00E633F9">
              <w:t>COVID</w:t>
            </w:r>
            <w:r w:rsidR="00193971" w:rsidRPr="00E633F9">
              <w:noBreakHyphen/>
            </w:r>
            <w:r w:rsidRPr="00E633F9">
              <w:t>19 QALY decrements</w:t>
            </w:r>
          </w:p>
        </w:tc>
        <w:tc>
          <w:tcPr>
            <w:tcW w:w="0" w:type="auto"/>
            <w:vAlign w:val="center"/>
            <w:hideMark/>
          </w:tcPr>
          <w:p w14:paraId="74DBF93C" w14:textId="77777777" w:rsidR="00FD2A15" w:rsidRPr="00E633F9" w:rsidRDefault="00FD2A15" w:rsidP="001A00DE">
            <w:pPr>
              <w:pStyle w:val="TableText0"/>
              <w:keepNext w:val="0"/>
              <w:keepLines w:val="0"/>
              <w:rPr>
                <w:b/>
                <w:bCs w:val="0"/>
              </w:rPr>
            </w:pPr>
            <w:r w:rsidRPr="00E633F9">
              <w:rPr>
                <w:b/>
                <w:bCs w:val="0"/>
              </w:rPr>
              <w:t>Potentially biased estimate</w:t>
            </w:r>
          </w:p>
          <w:p w14:paraId="35F56B95" w14:textId="2EC0DB31" w:rsidR="00FD2A15" w:rsidRPr="00E633F9" w:rsidRDefault="00FD2A15" w:rsidP="001A00DE">
            <w:pPr>
              <w:pStyle w:val="TableText0"/>
              <w:keepNext w:val="0"/>
              <w:keepLines w:val="0"/>
            </w:pPr>
            <w:r w:rsidRPr="00E633F9">
              <w:t>QALY decrements are already included for infections and hospitalisations. The studies upon which long term QALY decrements are sources are prone to bias and represent COVID</w:t>
            </w:r>
            <w:r w:rsidR="00193971" w:rsidRPr="00E633F9">
              <w:noBreakHyphen/>
            </w:r>
            <w:r w:rsidRPr="00E633F9">
              <w:t>19 during earlier, less applicable virus strains.</w:t>
            </w:r>
          </w:p>
        </w:tc>
        <w:tc>
          <w:tcPr>
            <w:tcW w:w="0" w:type="auto"/>
          </w:tcPr>
          <w:p w14:paraId="3A956E67" w14:textId="4ADD0AFC" w:rsidR="00FD2A15" w:rsidRPr="00E633F9" w:rsidRDefault="00FD2A15" w:rsidP="001A00DE">
            <w:pPr>
              <w:pStyle w:val="TableText0"/>
              <w:keepNext w:val="0"/>
              <w:keepLines w:val="0"/>
              <w:rPr>
                <w:b/>
                <w:bCs w:val="0"/>
              </w:rPr>
            </w:pPr>
            <w:r w:rsidRPr="00E633F9">
              <w:rPr>
                <w:iCs/>
              </w:rPr>
              <w:t xml:space="preserve">Change </w:t>
            </w:r>
            <w:r w:rsidR="00930062" w:rsidRPr="00E633F9">
              <w:rPr>
                <w:iCs/>
              </w:rPr>
              <w:t>not</w:t>
            </w:r>
            <w:r w:rsidRPr="00E633F9">
              <w:rPr>
                <w:iCs/>
              </w:rPr>
              <w:t xml:space="preserve"> accepted by PSCR but additional discussion provided and revised inputs applied (</w:t>
            </w:r>
            <w:r w:rsidR="00323FD2" w:rsidRPr="00E633F9">
              <w:rPr>
                <w:iCs/>
              </w:rPr>
              <w:t xml:space="preserve">see paragraph </w:t>
            </w:r>
            <w:r w:rsidR="00323FD2" w:rsidRPr="00E633F9">
              <w:rPr>
                <w:iCs/>
              </w:rPr>
              <w:fldChar w:fldCharType="begin"/>
            </w:r>
            <w:r w:rsidR="00323FD2" w:rsidRPr="00E633F9">
              <w:rPr>
                <w:iCs/>
              </w:rPr>
              <w:instrText xml:space="preserve"> REF _Ref221805251 \r \h </w:instrText>
            </w:r>
            <w:r w:rsidR="00E633F9">
              <w:rPr>
                <w:iCs/>
              </w:rPr>
              <w:instrText xml:space="preserve"> \* MERGEFORMAT </w:instrText>
            </w:r>
            <w:r w:rsidR="00323FD2" w:rsidRPr="00E633F9">
              <w:rPr>
                <w:iCs/>
              </w:rPr>
            </w:r>
            <w:r w:rsidR="00323FD2" w:rsidRPr="00E633F9">
              <w:rPr>
                <w:iCs/>
              </w:rPr>
              <w:fldChar w:fldCharType="separate"/>
            </w:r>
            <w:r w:rsidR="00810177" w:rsidRPr="00E633F9">
              <w:rPr>
                <w:iCs/>
              </w:rPr>
              <w:t>6.22</w:t>
            </w:r>
            <w:r w:rsidR="00323FD2" w:rsidRPr="00E633F9">
              <w:rPr>
                <w:iCs/>
              </w:rPr>
              <w:fldChar w:fldCharType="end"/>
            </w:r>
            <w:r w:rsidR="00323FD2" w:rsidRPr="00E633F9">
              <w:rPr>
                <w:iCs/>
              </w:rPr>
              <w:t>)</w:t>
            </w:r>
          </w:p>
        </w:tc>
        <w:tc>
          <w:tcPr>
            <w:tcW w:w="0" w:type="auto"/>
          </w:tcPr>
          <w:p w14:paraId="58EC73BC" w14:textId="4C06B820" w:rsidR="00FD2A15" w:rsidRPr="00E633F9" w:rsidRDefault="00C20A8C" w:rsidP="001A00DE">
            <w:pPr>
              <w:pStyle w:val="TableText0"/>
              <w:keepNext w:val="0"/>
              <w:keepLines w:val="0"/>
              <w:rPr>
                <w:iCs/>
              </w:rPr>
            </w:pPr>
            <w:r w:rsidRPr="00E633F9">
              <w:rPr>
                <w:iCs/>
              </w:rPr>
              <w:t>Input for sensitivity analysis</w:t>
            </w:r>
            <w:r w:rsidRPr="00E633F9" w:rsidDel="00C20A8C">
              <w:rPr>
                <w:iCs/>
              </w:rPr>
              <w:t xml:space="preserve"> </w:t>
            </w:r>
            <w:r w:rsidR="00FD2A15" w:rsidRPr="00E633F9">
              <w:rPr>
                <w:iCs/>
              </w:rPr>
              <w:t>supported by ESC</w:t>
            </w:r>
          </w:p>
        </w:tc>
      </w:tr>
      <w:tr w:rsidR="00B409D7" w:rsidRPr="00E633F9" w14:paraId="284D7687" w14:textId="17DDF1F0" w:rsidTr="001A00DE">
        <w:trPr>
          <w:cantSplit/>
          <w:trHeight w:val="50"/>
        </w:trPr>
        <w:tc>
          <w:tcPr>
            <w:tcW w:w="0" w:type="auto"/>
            <w:gridSpan w:val="4"/>
            <w:shd w:val="clear" w:color="auto" w:fill="D9D9D9" w:themeFill="background1" w:themeFillShade="D9"/>
            <w:vAlign w:val="center"/>
            <w:hideMark/>
          </w:tcPr>
          <w:p w14:paraId="1137E4B4" w14:textId="77777777" w:rsidR="00FD2A15" w:rsidRPr="00E633F9" w:rsidRDefault="00FD2A15" w:rsidP="001A00DE">
            <w:pPr>
              <w:pStyle w:val="TableText0"/>
              <w:keepNext w:val="0"/>
              <w:keepLines w:val="0"/>
              <w:rPr>
                <w:b/>
                <w:bCs w:val="0"/>
              </w:rPr>
            </w:pPr>
            <w:r w:rsidRPr="00E633F9">
              <w:rPr>
                <w:b/>
                <w:bCs w:val="0"/>
              </w:rPr>
              <w:t>Costs</w:t>
            </w:r>
          </w:p>
        </w:tc>
        <w:tc>
          <w:tcPr>
            <w:tcW w:w="0" w:type="auto"/>
            <w:shd w:val="clear" w:color="auto" w:fill="D9D9D9" w:themeFill="background1" w:themeFillShade="D9"/>
          </w:tcPr>
          <w:p w14:paraId="4382F2C4" w14:textId="77777777" w:rsidR="00FD2A15" w:rsidRPr="00E633F9" w:rsidRDefault="00FD2A15" w:rsidP="001A00DE">
            <w:pPr>
              <w:pStyle w:val="TableText0"/>
              <w:keepNext w:val="0"/>
              <w:keepLines w:val="0"/>
              <w:rPr>
                <w:b/>
                <w:bCs w:val="0"/>
              </w:rPr>
            </w:pPr>
          </w:p>
        </w:tc>
        <w:tc>
          <w:tcPr>
            <w:tcW w:w="0" w:type="auto"/>
            <w:shd w:val="clear" w:color="auto" w:fill="D9D9D9" w:themeFill="background1" w:themeFillShade="D9"/>
          </w:tcPr>
          <w:p w14:paraId="38973AF6" w14:textId="77777777" w:rsidR="00FD2A15" w:rsidRPr="00E633F9" w:rsidRDefault="00FD2A15" w:rsidP="001A00DE">
            <w:pPr>
              <w:pStyle w:val="TableText0"/>
              <w:keepNext w:val="0"/>
              <w:keepLines w:val="0"/>
              <w:rPr>
                <w:b/>
                <w:bCs w:val="0"/>
              </w:rPr>
            </w:pPr>
          </w:p>
        </w:tc>
      </w:tr>
      <w:tr w:rsidR="00B409D7" w:rsidRPr="00E633F9" w14:paraId="163F689D" w14:textId="7ED9EAD7" w:rsidTr="001A00DE">
        <w:trPr>
          <w:cantSplit/>
          <w:trHeight w:val="465"/>
        </w:trPr>
        <w:tc>
          <w:tcPr>
            <w:tcW w:w="0" w:type="auto"/>
            <w:vAlign w:val="center"/>
            <w:hideMark/>
          </w:tcPr>
          <w:p w14:paraId="3EC8E82B" w14:textId="77777777" w:rsidR="00FD2A15" w:rsidRPr="00E633F9" w:rsidRDefault="00FD2A15" w:rsidP="001A00DE">
            <w:pPr>
              <w:pStyle w:val="TableText0"/>
              <w:keepNext w:val="0"/>
              <w:keepLines w:val="0"/>
              <w:rPr>
                <w:iCs/>
              </w:rPr>
            </w:pPr>
            <w:r w:rsidRPr="00E633F9">
              <w:rPr>
                <w:iCs/>
              </w:rPr>
              <w:t>#9</w:t>
            </w:r>
          </w:p>
        </w:tc>
        <w:tc>
          <w:tcPr>
            <w:tcW w:w="0" w:type="auto"/>
            <w:vAlign w:val="center"/>
            <w:hideMark/>
          </w:tcPr>
          <w:p w14:paraId="3C7F8C44" w14:textId="77777777" w:rsidR="00FD2A15" w:rsidRPr="00E633F9" w:rsidRDefault="00FD2A15" w:rsidP="001A00DE">
            <w:pPr>
              <w:pStyle w:val="TableText0"/>
              <w:keepNext w:val="0"/>
              <w:keepLines w:val="0"/>
            </w:pPr>
            <w:r w:rsidRPr="00E633F9">
              <w:t>Emergency department costs = $841.39</w:t>
            </w:r>
          </w:p>
        </w:tc>
        <w:tc>
          <w:tcPr>
            <w:tcW w:w="0" w:type="auto"/>
            <w:vAlign w:val="center"/>
            <w:hideMark/>
          </w:tcPr>
          <w:p w14:paraId="0434F3F5" w14:textId="77777777" w:rsidR="00FD2A15" w:rsidRPr="00E633F9" w:rsidRDefault="00FD2A15" w:rsidP="001A00DE">
            <w:pPr>
              <w:pStyle w:val="TableText0"/>
              <w:keepNext w:val="0"/>
              <w:keepLines w:val="0"/>
            </w:pPr>
            <w:r w:rsidRPr="00E633F9">
              <w:t>922.86</w:t>
            </w:r>
          </w:p>
        </w:tc>
        <w:tc>
          <w:tcPr>
            <w:tcW w:w="0" w:type="auto"/>
            <w:vAlign w:val="center"/>
            <w:hideMark/>
          </w:tcPr>
          <w:p w14:paraId="7E7FBD04" w14:textId="77777777" w:rsidR="00FD2A15" w:rsidRPr="00E633F9" w:rsidRDefault="00FD2A15" w:rsidP="001A00DE">
            <w:pPr>
              <w:pStyle w:val="TableText0"/>
              <w:keepNext w:val="0"/>
              <w:keepLines w:val="0"/>
              <w:rPr>
                <w:b/>
                <w:bCs w:val="0"/>
              </w:rPr>
            </w:pPr>
            <w:r w:rsidRPr="00E633F9">
              <w:rPr>
                <w:b/>
                <w:bCs w:val="0"/>
              </w:rPr>
              <w:t>Error</w:t>
            </w:r>
          </w:p>
          <w:p w14:paraId="05833971" w14:textId="77777777" w:rsidR="00FD2A15" w:rsidRPr="00E633F9" w:rsidRDefault="00FD2A15" w:rsidP="001A00DE">
            <w:pPr>
              <w:pStyle w:val="TableText0"/>
              <w:keepNext w:val="0"/>
              <w:keepLines w:val="0"/>
            </w:pPr>
            <w:r w:rsidRPr="00E633F9">
              <w:t>Model error / discrepancy with submission. Corrected cost is weighted average of E2080A and E2080B.</w:t>
            </w:r>
          </w:p>
        </w:tc>
        <w:tc>
          <w:tcPr>
            <w:tcW w:w="0" w:type="auto"/>
          </w:tcPr>
          <w:p w14:paraId="599CC20A" w14:textId="5CFC833A" w:rsidR="00FD2A15" w:rsidRPr="00E633F9" w:rsidRDefault="00FD2A15" w:rsidP="001A00DE">
            <w:pPr>
              <w:pStyle w:val="TableText0"/>
              <w:keepNext w:val="0"/>
              <w:keepLines w:val="0"/>
              <w:rPr>
                <w:b/>
                <w:bCs w:val="0"/>
              </w:rPr>
            </w:pPr>
            <w:r w:rsidRPr="00E633F9">
              <w:rPr>
                <w:iCs/>
              </w:rPr>
              <w:t>Change accepted by PSCR.</w:t>
            </w:r>
          </w:p>
        </w:tc>
        <w:tc>
          <w:tcPr>
            <w:tcW w:w="0" w:type="auto"/>
          </w:tcPr>
          <w:p w14:paraId="6CF073F7" w14:textId="62B91383" w:rsidR="007E0BCC" w:rsidRPr="00E633F9" w:rsidRDefault="00402594" w:rsidP="001A00DE">
            <w:pPr>
              <w:pStyle w:val="TableText0"/>
              <w:keepNext w:val="0"/>
              <w:keepLines w:val="0"/>
              <w:rPr>
                <w:iCs/>
              </w:rPr>
            </w:pPr>
            <w:r w:rsidRPr="00E633F9">
              <w:rPr>
                <w:iCs/>
              </w:rPr>
              <w:t>Input for sensitivity analysis</w:t>
            </w:r>
            <w:r w:rsidRPr="00E633F9" w:rsidDel="00402594">
              <w:rPr>
                <w:iCs/>
              </w:rPr>
              <w:t xml:space="preserve"> </w:t>
            </w:r>
            <w:r w:rsidR="00972EF4" w:rsidRPr="00E633F9">
              <w:rPr>
                <w:iCs/>
              </w:rPr>
              <w:t xml:space="preserve">supported by ESC </w:t>
            </w:r>
          </w:p>
          <w:p w14:paraId="09132ABA" w14:textId="443B994F" w:rsidR="00FD2A15" w:rsidRPr="00E633F9" w:rsidRDefault="00FD2A15" w:rsidP="001A00DE">
            <w:pPr>
              <w:pStyle w:val="TableText0"/>
              <w:keepNext w:val="0"/>
              <w:keepLines w:val="0"/>
              <w:rPr>
                <w:iCs/>
              </w:rPr>
            </w:pPr>
          </w:p>
        </w:tc>
      </w:tr>
      <w:tr w:rsidR="00B409D7" w:rsidRPr="00E633F9" w14:paraId="7ABE67A4" w14:textId="0C7D56DD" w:rsidTr="001A00DE">
        <w:trPr>
          <w:cantSplit/>
          <w:trHeight w:val="690"/>
        </w:trPr>
        <w:tc>
          <w:tcPr>
            <w:tcW w:w="0" w:type="auto"/>
            <w:vAlign w:val="center"/>
            <w:hideMark/>
          </w:tcPr>
          <w:p w14:paraId="199D0A3B" w14:textId="77777777" w:rsidR="00FD2A15" w:rsidRPr="00E633F9" w:rsidRDefault="00FD2A15" w:rsidP="001A00DE">
            <w:pPr>
              <w:pStyle w:val="TableText0"/>
              <w:keepNext w:val="0"/>
              <w:keepLines w:val="0"/>
              <w:rPr>
                <w:iCs/>
              </w:rPr>
            </w:pPr>
            <w:r w:rsidRPr="00E633F9">
              <w:rPr>
                <w:iCs/>
              </w:rPr>
              <w:t>#10</w:t>
            </w:r>
          </w:p>
        </w:tc>
        <w:tc>
          <w:tcPr>
            <w:tcW w:w="0" w:type="auto"/>
            <w:vAlign w:val="center"/>
            <w:hideMark/>
          </w:tcPr>
          <w:p w14:paraId="389E3FF1" w14:textId="68DCD34A" w:rsidR="00FD2A15" w:rsidRPr="00E633F9" w:rsidRDefault="00FD2A15" w:rsidP="001A00DE">
            <w:pPr>
              <w:pStyle w:val="TableText0"/>
              <w:keepNext w:val="0"/>
              <w:keepLines w:val="0"/>
            </w:pPr>
            <w:r w:rsidRPr="00E633F9">
              <w:t>Non</w:t>
            </w:r>
            <w:r w:rsidR="00193971" w:rsidRPr="00E633F9">
              <w:noBreakHyphen/>
            </w:r>
            <w:r w:rsidRPr="00E633F9">
              <w:t>ICU costs: $9,001. ICU costs: $23,150. Ventilation costs: $23,150.</w:t>
            </w:r>
          </w:p>
        </w:tc>
        <w:tc>
          <w:tcPr>
            <w:tcW w:w="0" w:type="auto"/>
            <w:vAlign w:val="center"/>
            <w:hideMark/>
          </w:tcPr>
          <w:p w14:paraId="2A07D778" w14:textId="4BF6969E" w:rsidR="00FD2A15" w:rsidRPr="00E633F9" w:rsidRDefault="00FD2A15" w:rsidP="001A00DE">
            <w:pPr>
              <w:pStyle w:val="TableText0"/>
              <w:keepNext w:val="0"/>
              <w:keepLines w:val="0"/>
            </w:pPr>
            <w:r w:rsidRPr="00E633F9">
              <w:t>Non</w:t>
            </w:r>
            <w:r w:rsidR="00193971" w:rsidRPr="00E633F9">
              <w:noBreakHyphen/>
            </w:r>
            <w:r w:rsidRPr="00E633F9">
              <w:t>ICU costs: $16,289. ICU costs: $22,434. Ventilation costs: $33,520.</w:t>
            </w:r>
          </w:p>
        </w:tc>
        <w:tc>
          <w:tcPr>
            <w:tcW w:w="0" w:type="auto"/>
            <w:vAlign w:val="center"/>
            <w:hideMark/>
          </w:tcPr>
          <w:p w14:paraId="09E1E50C" w14:textId="77777777" w:rsidR="00FD2A15" w:rsidRPr="00E633F9" w:rsidRDefault="00FD2A15" w:rsidP="001A00DE">
            <w:pPr>
              <w:pStyle w:val="TableText0"/>
              <w:keepNext w:val="0"/>
              <w:keepLines w:val="0"/>
              <w:rPr>
                <w:b/>
                <w:bCs w:val="0"/>
              </w:rPr>
            </w:pPr>
            <w:r w:rsidRPr="00E633F9">
              <w:rPr>
                <w:b/>
                <w:bCs w:val="0"/>
              </w:rPr>
              <w:t>More reasonable estimate</w:t>
            </w:r>
          </w:p>
          <w:p w14:paraId="3A1CB7A7" w14:textId="452F1E3C" w:rsidR="00FD2A15" w:rsidRPr="00E633F9" w:rsidRDefault="00FD2A15" w:rsidP="001A00DE">
            <w:pPr>
              <w:pStyle w:val="TableText0"/>
              <w:keepNext w:val="0"/>
              <w:keepLines w:val="0"/>
            </w:pPr>
            <w:r w:rsidRPr="00E633F9">
              <w:t>Increase admission costs and mechanical ventilation costs to reflect that average LOS for COVID</w:t>
            </w:r>
            <w:r w:rsidR="00193971" w:rsidRPr="00E633F9">
              <w:noBreakHyphen/>
            </w:r>
            <w:r w:rsidRPr="00E633F9">
              <w:t>19 is considerably longer than AR</w:t>
            </w:r>
            <w:r w:rsidR="00193971" w:rsidRPr="00E633F9">
              <w:noBreakHyphen/>
            </w:r>
            <w:r w:rsidRPr="00E633F9">
              <w:t>DRGs.</w:t>
            </w:r>
          </w:p>
        </w:tc>
        <w:tc>
          <w:tcPr>
            <w:tcW w:w="0" w:type="auto"/>
          </w:tcPr>
          <w:p w14:paraId="7EC3BC00" w14:textId="75DABAC8" w:rsidR="00FD2A15" w:rsidRPr="00E633F9" w:rsidRDefault="00FD2A15" w:rsidP="001A00DE">
            <w:pPr>
              <w:pStyle w:val="TableText0"/>
              <w:keepNext w:val="0"/>
              <w:keepLines w:val="0"/>
              <w:rPr>
                <w:b/>
                <w:bCs w:val="0"/>
              </w:rPr>
            </w:pPr>
            <w:r w:rsidRPr="00E633F9">
              <w:rPr>
                <w:iCs/>
              </w:rPr>
              <w:t>Change accepted by PSCR.</w:t>
            </w:r>
          </w:p>
        </w:tc>
        <w:tc>
          <w:tcPr>
            <w:tcW w:w="0" w:type="auto"/>
          </w:tcPr>
          <w:p w14:paraId="24AE0B75" w14:textId="6862CA8A" w:rsidR="007E0BCC" w:rsidRPr="00E633F9" w:rsidRDefault="00402594" w:rsidP="001A00DE">
            <w:pPr>
              <w:pStyle w:val="TableText0"/>
              <w:keepNext w:val="0"/>
              <w:keepLines w:val="0"/>
              <w:rPr>
                <w:iCs/>
              </w:rPr>
            </w:pPr>
            <w:r w:rsidRPr="00E633F9">
              <w:rPr>
                <w:iCs/>
              </w:rPr>
              <w:t>Input for base case</w:t>
            </w:r>
            <w:r w:rsidR="00DC25C0" w:rsidRPr="00E633F9">
              <w:rPr>
                <w:iCs/>
              </w:rPr>
              <w:t xml:space="preserve"> supported by ESC</w:t>
            </w:r>
          </w:p>
          <w:p w14:paraId="43FA4E16" w14:textId="77777777" w:rsidR="007E0BCC" w:rsidRPr="00E633F9" w:rsidRDefault="007E0BCC" w:rsidP="001A00DE">
            <w:pPr>
              <w:pStyle w:val="TableText0"/>
              <w:keepNext w:val="0"/>
              <w:keepLines w:val="0"/>
              <w:rPr>
                <w:iCs/>
              </w:rPr>
            </w:pPr>
          </w:p>
          <w:p w14:paraId="3F7A05A5" w14:textId="33A5AD8D" w:rsidR="00FD2A15" w:rsidRPr="00E633F9" w:rsidRDefault="00FD2A15" w:rsidP="001A00DE">
            <w:pPr>
              <w:pStyle w:val="TableText0"/>
              <w:keepNext w:val="0"/>
              <w:keepLines w:val="0"/>
              <w:rPr>
                <w:iCs/>
              </w:rPr>
            </w:pPr>
          </w:p>
        </w:tc>
      </w:tr>
      <w:tr w:rsidR="00B409D7" w:rsidRPr="00E633F9" w14:paraId="3E22E517" w14:textId="545A9709" w:rsidTr="001A00DE">
        <w:trPr>
          <w:cantSplit/>
          <w:trHeight w:val="465"/>
        </w:trPr>
        <w:tc>
          <w:tcPr>
            <w:tcW w:w="0" w:type="auto"/>
            <w:vAlign w:val="center"/>
            <w:hideMark/>
          </w:tcPr>
          <w:p w14:paraId="759B06F2" w14:textId="77777777" w:rsidR="00FD2A15" w:rsidRPr="00E633F9" w:rsidRDefault="00FD2A15" w:rsidP="001A00DE">
            <w:pPr>
              <w:pStyle w:val="TableText0"/>
              <w:keepNext w:val="0"/>
              <w:keepLines w:val="0"/>
              <w:rPr>
                <w:iCs/>
              </w:rPr>
            </w:pPr>
            <w:r w:rsidRPr="00E633F9">
              <w:rPr>
                <w:iCs/>
              </w:rPr>
              <w:lastRenderedPageBreak/>
              <w:t>#11</w:t>
            </w:r>
          </w:p>
        </w:tc>
        <w:tc>
          <w:tcPr>
            <w:tcW w:w="0" w:type="auto"/>
            <w:vAlign w:val="center"/>
            <w:hideMark/>
          </w:tcPr>
          <w:p w14:paraId="5766623B" w14:textId="60B7C1CF" w:rsidR="00FD2A15" w:rsidRPr="00E633F9" w:rsidRDefault="00FD2A15" w:rsidP="001A00DE">
            <w:pPr>
              <w:pStyle w:val="TableText0"/>
              <w:keepNext w:val="0"/>
              <w:keepLines w:val="0"/>
            </w:pPr>
            <w:r w:rsidRPr="00E633F9">
              <w:t>Adverse event costs = $14.87 per Grade 3 event</w:t>
            </w:r>
          </w:p>
        </w:tc>
        <w:tc>
          <w:tcPr>
            <w:tcW w:w="0" w:type="auto"/>
            <w:vAlign w:val="center"/>
            <w:hideMark/>
          </w:tcPr>
          <w:p w14:paraId="0DD35611" w14:textId="77777777" w:rsidR="00FD2A15" w:rsidRPr="00E633F9" w:rsidRDefault="00FD2A15" w:rsidP="001A00DE">
            <w:pPr>
              <w:pStyle w:val="TableText0"/>
              <w:keepNext w:val="0"/>
              <w:keepLines w:val="0"/>
            </w:pPr>
            <w:r w:rsidRPr="00E633F9">
              <w:t>Adverse event costs = $43.90</w:t>
            </w:r>
          </w:p>
        </w:tc>
        <w:tc>
          <w:tcPr>
            <w:tcW w:w="0" w:type="auto"/>
            <w:vAlign w:val="center"/>
            <w:hideMark/>
          </w:tcPr>
          <w:p w14:paraId="7F997B7A" w14:textId="77777777" w:rsidR="00FD2A15" w:rsidRPr="00E633F9" w:rsidRDefault="00FD2A15" w:rsidP="001A00DE">
            <w:pPr>
              <w:pStyle w:val="TableText0"/>
              <w:keepNext w:val="0"/>
              <w:keepLines w:val="0"/>
            </w:pPr>
            <w:r w:rsidRPr="00E633F9">
              <w:t xml:space="preserve">Assume that a Grade 3 event requires at least one GP visit, costed at MBS item 23. </w:t>
            </w:r>
          </w:p>
        </w:tc>
        <w:tc>
          <w:tcPr>
            <w:tcW w:w="0" w:type="auto"/>
          </w:tcPr>
          <w:p w14:paraId="4FAAA223" w14:textId="74A66296" w:rsidR="00FD2A15" w:rsidRPr="00E633F9" w:rsidRDefault="00FD2A15" w:rsidP="001A00DE">
            <w:pPr>
              <w:pStyle w:val="TableText0"/>
              <w:keepNext w:val="0"/>
              <w:keepLines w:val="0"/>
            </w:pPr>
            <w:r w:rsidRPr="00E633F9">
              <w:rPr>
                <w:iCs/>
              </w:rPr>
              <w:t xml:space="preserve">Change </w:t>
            </w:r>
            <w:r w:rsidR="00930062" w:rsidRPr="00E633F9">
              <w:rPr>
                <w:iCs/>
              </w:rPr>
              <w:t>not</w:t>
            </w:r>
            <w:r w:rsidRPr="00E633F9">
              <w:rPr>
                <w:iCs/>
              </w:rPr>
              <w:t xml:space="preserve"> accepted by PSCR.</w:t>
            </w:r>
          </w:p>
        </w:tc>
        <w:tc>
          <w:tcPr>
            <w:tcW w:w="0" w:type="auto"/>
          </w:tcPr>
          <w:p w14:paraId="294FF48A" w14:textId="4A895A7E" w:rsidR="007E0BCC" w:rsidRPr="00E633F9" w:rsidRDefault="003352F9" w:rsidP="001A00DE">
            <w:pPr>
              <w:pStyle w:val="TableText0"/>
              <w:keepNext w:val="0"/>
              <w:keepLines w:val="0"/>
              <w:rPr>
                <w:iCs/>
              </w:rPr>
            </w:pPr>
            <w:r w:rsidRPr="00E633F9">
              <w:rPr>
                <w:iCs/>
              </w:rPr>
              <w:t>Input for sensitivity analysis</w:t>
            </w:r>
            <w:r w:rsidRPr="00E633F9" w:rsidDel="003352F9">
              <w:rPr>
                <w:iCs/>
              </w:rPr>
              <w:t xml:space="preserve"> </w:t>
            </w:r>
            <w:r w:rsidR="00972EF4" w:rsidRPr="00E633F9">
              <w:rPr>
                <w:iCs/>
              </w:rPr>
              <w:t>supported by ESC</w:t>
            </w:r>
          </w:p>
          <w:p w14:paraId="7B652A9F" w14:textId="77777777" w:rsidR="007E0BCC" w:rsidRPr="00E633F9" w:rsidRDefault="007E0BCC" w:rsidP="001A00DE">
            <w:pPr>
              <w:pStyle w:val="TableText0"/>
              <w:keepNext w:val="0"/>
              <w:keepLines w:val="0"/>
              <w:rPr>
                <w:iCs/>
              </w:rPr>
            </w:pPr>
          </w:p>
          <w:p w14:paraId="32610F15" w14:textId="044053E2" w:rsidR="00FD2A15" w:rsidRPr="00E633F9" w:rsidRDefault="00FD2A15" w:rsidP="001A00DE">
            <w:pPr>
              <w:pStyle w:val="TableText0"/>
              <w:keepNext w:val="0"/>
              <w:keepLines w:val="0"/>
              <w:rPr>
                <w:iCs/>
              </w:rPr>
            </w:pPr>
          </w:p>
        </w:tc>
      </w:tr>
      <w:tr w:rsidR="00B409D7" w:rsidRPr="00E633F9" w14:paraId="4359F1DA" w14:textId="410C74C9" w:rsidTr="001A00DE">
        <w:trPr>
          <w:cantSplit/>
          <w:trHeight w:val="50"/>
        </w:trPr>
        <w:tc>
          <w:tcPr>
            <w:tcW w:w="0" w:type="auto"/>
            <w:gridSpan w:val="4"/>
            <w:shd w:val="clear" w:color="auto" w:fill="D9D9D9" w:themeFill="background1" w:themeFillShade="D9"/>
            <w:vAlign w:val="center"/>
            <w:hideMark/>
          </w:tcPr>
          <w:p w14:paraId="5BBB813D" w14:textId="77777777" w:rsidR="00FD2A15" w:rsidRPr="00E633F9" w:rsidRDefault="00FD2A15" w:rsidP="001A00DE">
            <w:pPr>
              <w:pStyle w:val="TableText0"/>
              <w:keepNext w:val="0"/>
              <w:keepLines w:val="0"/>
              <w:rPr>
                <w:b/>
                <w:bCs w:val="0"/>
              </w:rPr>
            </w:pPr>
            <w:r w:rsidRPr="00E633F9">
              <w:rPr>
                <w:b/>
                <w:bCs w:val="0"/>
              </w:rPr>
              <w:t>Scenario</w:t>
            </w:r>
          </w:p>
        </w:tc>
        <w:tc>
          <w:tcPr>
            <w:tcW w:w="0" w:type="auto"/>
            <w:shd w:val="clear" w:color="auto" w:fill="D9D9D9" w:themeFill="background1" w:themeFillShade="D9"/>
          </w:tcPr>
          <w:p w14:paraId="776C99D4" w14:textId="77777777" w:rsidR="00FD2A15" w:rsidRPr="00E633F9" w:rsidRDefault="00FD2A15" w:rsidP="001A00DE">
            <w:pPr>
              <w:pStyle w:val="TableText0"/>
              <w:keepNext w:val="0"/>
              <w:keepLines w:val="0"/>
              <w:rPr>
                <w:b/>
                <w:bCs w:val="0"/>
              </w:rPr>
            </w:pPr>
          </w:p>
        </w:tc>
        <w:tc>
          <w:tcPr>
            <w:tcW w:w="0" w:type="auto"/>
            <w:shd w:val="clear" w:color="auto" w:fill="D9D9D9" w:themeFill="background1" w:themeFillShade="D9"/>
          </w:tcPr>
          <w:p w14:paraId="15E9075B" w14:textId="77777777" w:rsidR="00FD2A15" w:rsidRPr="00E633F9" w:rsidRDefault="00FD2A15" w:rsidP="001A00DE">
            <w:pPr>
              <w:pStyle w:val="TableText0"/>
              <w:keepNext w:val="0"/>
              <w:keepLines w:val="0"/>
              <w:rPr>
                <w:b/>
                <w:bCs w:val="0"/>
              </w:rPr>
            </w:pPr>
          </w:p>
        </w:tc>
      </w:tr>
      <w:tr w:rsidR="00B409D7" w:rsidRPr="00E633F9" w14:paraId="32DAFAC3" w14:textId="490CC1B4" w:rsidTr="001A00DE">
        <w:trPr>
          <w:cantSplit/>
          <w:trHeight w:val="376"/>
        </w:trPr>
        <w:tc>
          <w:tcPr>
            <w:tcW w:w="0" w:type="auto"/>
            <w:vAlign w:val="center"/>
            <w:hideMark/>
          </w:tcPr>
          <w:p w14:paraId="6CA0193A" w14:textId="77777777" w:rsidR="00FD2A15" w:rsidRPr="00E633F9" w:rsidRDefault="00FD2A15" w:rsidP="001A00DE">
            <w:pPr>
              <w:pStyle w:val="TableText0"/>
              <w:keepNext w:val="0"/>
              <w:keepLines w:val="0"/>
              <w:rPr>
                <w:iCs/>
              </w:rPr>
            </w:pPr>
            <w:r w:rsidRPr="00E633F9">
              <w:rPr>
                <w:iCs/>
              </w:rPr>
              <w:t>#12</w:t>
            </w:r>
          </w:p>
        </w:tc>
        <w:tc>
          <w:tcPr>
            <w:tcW w:w="0" w:type="auto"/>
            <w:vAlign w:val="center"/>
            <w:hideMark/>
          </w:tcPr>
          <w:p w14:paraId="54F4A886" w14:textId="2E8A37B9" w:rsidR="00FD2A15" w:rsidRPr="00E633F9" w:rsidRDefault="00FD2A15" w:rsidP="001A00DE">
            <w:pPr>
              <w:pStyle w:val="TableText0"/>
              <w:keepNext w:val="0"/>
              <w:keepLines w:val="0"/>
            </w:pPr>
            <w:r w:rsidRPr="00E633F9">
              <w:t>Inclusion of costs and outcomes associated with non</w:t>
            </w:r>
            <w:r w:rsidR="00193971" w:rsidRPr="00E633F9">
              <w:noBreakHyphen/>
            </w:r>
            <w:r w:rsidRPr="00E633F9">
              <w:t>hospitalised infections (both outpatient and no formal care)</w:t>
            </w:r>
          </w:p>
        </w:tc>
        <w:tc>
          <w:tcPr>
            <w:tcW w:w="0" w:type="auto"/>
            <w:vAlign w:val="center"/>
            <w:hideMark/>
          </w:tcPr>
          <w:p w14:paraId="48F21098" w14:textId="1A377122" w:rsidR="00FD2A15" w:rsidRPr="00E633F9" w:rsidRDefault="00FD2A15" w:rsidP="001A00DE">
            <w:pPr>
              <w:pStyle w:val="TableText0"/>
              <w:keepNext w:val="0"/>
              <w:keepLines w:val="0"/>
            </w:pPr>
            <w:r w:rsidRPr="00E633F9">
              <w:t>Remove all influence of COVID</w:t>
            </w:r>
            <w:r w:rsidR="00193971" w:rsidRPr="00E633F9">
              <w:noBreakHyphen/>
            </w:r>
            <w:r w:rsidRPr="00E633F9">
              <w:t>19 cases that are not hospitalised.</w:t>
            </w:r>
          </w:p>
        </w:tc>
        <w:tc>
          <w:tcPr>
            <w:tcW w:w="0" w:type="auto"/>
            <w:vAlign w:val="center"/>
            <w:hideMark/>
          </w:tcPr>
          <w:p w14:paraId="097370FD" w14:textId="77777777" w:rsidR="00FD2A15" w:rsidRPr="00E633F9" w:rsidRDefault="00FD2A15" w:rsidP="001A00DE">
            <w:pPr>
              <w:pStyle w:val="TableText0"/>
              <w:keepNext w:val="0"/>
              <w:keepLines w:val="0"/>
              <w:rPr>
                <w:b/>
                <w:bCs w:val="0"/>
              </w:rPr>
            </w:pPr>
            <w:r w:rsidRPr="00E633F9">
              <w:rPr>
                <w:b/>
                <w:bCs w:val="0"/>
              </w:rPr>
              <w:t>Uncertain</w:t>
            </w:r>
          </w:p>
          <w:p w14:paraId="2CC23E40" w14:textId="1D7CC6B4" w:rsidR="00FD2A15" w:rsidRPr="00E633F9" w:rsidRDefault="00FD2A15" w:rsidP="001A00DE">
            <w:pPr>
              <w:pStyle w:val="TableText0"/>
              <w:keepNext w:val="0"/>
              <w:keepLines w:val="0"/>
            </w:pPr>
            <w:r w:rsidRPr="00E633F9">
              <w:t>The greatest uncertainty in the model relates to the estimate of infections. The overall estimate of infections appears implausible. ATAGI advice recommended that the value of a vaccine for COVID</w:t>
            </w:r>
            <w:r w:rsidR="00193971" w:rsidRPr="00E633F9">
              <w:noBreakHyphen/>
            </w:r>
            <w:r w:rsidRPr="00E633F9">
              <w:t>19 should be driven by severe COVID</w:t>
            </w:r>
            <w:r w:rsidR="00193971" w:rsidRPr="00E633F9">
              <w:noBreakHyphen/>
            </w:r>
            <w:r w:rsidRPr="00E633F9">
              <w:t xml:space="preserve">19, as indicated by hospitalisations and mortality. The PSD for Comirnaty indicates that the sponsor for Comirnaty did not include infections </w:t>
            </w:r>
            <w:r w:rsidR="00193971" w:rsidRPr="00E633F9">
              <w:noBreakHyphen/>
            </w:r>
            <w:r w:rsidRPr="00E633F9">
              <w:t xml:space="preserve"> only hospitalisations. It is not possible to "turn infections" off in the model, and challenging to remove all infection related costs and outcomes </w:t>
            </w:r>
            <w:r w:rsidR="00193971" w:rsidRPr="00E633F9">
              <w:noBreakHyphen/>
            </w:r>
            <w:r w:rsidRPr="00E633F9">
              <w:t xml:space="preserve"> however the VE for infections can be set to zero which will retain the VE for hospitalisation but remove incremental differences in costs / outcomes for non</w:t>
            </w:r>
            <w:r w:rsidR="00193971" w:rsidRPr="00E633F9">
              <w:noBreakHyphen/>
            </w:r>
            <w:r w:rsidRPr="00E633F9">
              <w:t>hospitalised cases.</w:t>
            </w:r>
          </w:p>
        </w:tc>
        <w:tc>
          <w:tcPr>
            <w:tcW w:w="0" w:type="auto"/>
          </w:tcPr>
          <w:p w14:paraId="49760C87" w14:textId="1CFB4C6D" w:rsidR="00FD2A15" w:rsidRPr="00E633F9" w:rsidRDefault="00FD2A15" w:rsidP="001A00DE">
            <w:pPr>
              <w:pStyle w:val="TableText0"/>
              <w:keepNext w:val="0"/>
              <w:keepLines w:val="0"/>
              <w:rPr>
                <w:b/>
                <w:bCs w:val="0"/>
              </w:rPr>
            </w:pPr>
            <w:r w:rsidRPr="00E633F9">
              <w:rPr>
                <w:iCs/>
              </w:rPr>
              <w:t xml:space="preserve">Change </w:t>
            </w:r>
            <w:r w:rsidR="00930062" w:rsidRPr="00E633F9">
              <w:rPr>
                <w:iCs/>
              </w:rPr>
              <w:t>not</w:t>
            </w:r>
            <w:r w:rsidRPr="00E633F9">
              <w:rPr>
                <w:iCs/>
              </w:rPr>
              <w:t xml:space="preserve"> accepted by PSCR but additional discussion provided and revised inputs applied (see paragraph </w:t>
            </w:r>
            <w:r w:rsidRPr="00E633F9">
              <w:rPr>
                <w:iCs/>
              </w:rPr>
              <w:fldChar w:fldCharType="begin"/>
            </w:r>
            <w:r w:rsidRPr="00E633F9">
              <w:rPr>
                <w:iCs/>
              </w:rPr>
              <w:instrText xml:space="preserve"> REF _Ref221750571 \r \h </w:instrText>
            </w:r>
            <w:r w:rsidR="00E633F9">
              <w:rPr>
                <w:iCs/>
              </w:rPr>
              <w:instrText xml:space="preserve"> \* MERGEFORMAT </w:instrText>
            </w:r>
            <w:r w:rsidRPr="00E633F9">
              <w:rPr>
                <w:iCs/>
              </w:rPr>
            </w:r>
            <w:r w:rsidRPr="00E633F9">
              <w:rPr>
                <w:iCs/>
              </w:rPr>
              <w:fldChar w:fldCharType="separate"/>
            </w:r>
            <w:r w:rsidR="00810177" w:rsidRPr="00E633F9">
              <w:rPr>
                <w:iCs/>
              </w:rPr>
              <w:t></w:t>
            </w:r>
            <w:r w:rsidRPr="00E633F9">
              <w:rPr>
                <w:iCs/>
              </w:rPr>
              <w:fldChar w:fldCharType="end"/>
            </w:r>
            <w:r w:rsidRPr="00E633F9">
              <w:rPr>
                <w:iCs/>
              </w:rPr>
              <w:t>).</w:t>
            </w:r>
          </w:p>
        </w:tc>
        <w:tc>
          <w:tcPr>
            <w:tcW w:w="0" w:type="auto"/>
          </w:tcPr>
          <w:p w14:paraId="3ACE6744" w14:textId="52EB803B" w:rsidR="00FD2A15" w:rsidRPr="00E633F9" w:rsidRDefault="00907114" w:rsidP="001A00DE">
            <w:pPr>
              <w:pStyle w:val="TableText0"/>
              <w:keepNext w:val="0"/>
              <w:keepLines w:val="0"/>
              <w:rPr>
                <w:iCs/>
              </w:rPr>
            </w:pPr>
            <w:r w:rsidRPr="00E633F9">
              <w:rPr>
                <w:iCs/>
              </w:rPr>
              <w:t>Input for sensitivity analysis</w:t>
            </w:r>
            <w:r w:rsidRPr="00E633F9" w:rsidDel="00907114">
              <w:rPr>
                <w:iCs/>
              </w:rPr>
              <w:t xml:space="preserve"> </w:t>
            </w:r>
            <w:r w:rsidR="000762BB" w:rsidRPr="00E633F9">
              <w:rPr>
                <w:iCs/>
              </w:rPr>
              <w:t>supported by ESC</w:t>
            </w:r>
          </w:p>
          <w:p w14:paraId="4289A486" w14:textId="77777777" w:rsidR="00BA1E64" w:rsidRPr="00E633F9" w:rsidRDefault="00BA1E64" w:rsidP="001A00DE">
            <w:pPr>
              <w:pStyle w:val="TableText0"/>
              <w:keepNext w:val="0"/>
              <w:keepLines w:val="0"/>
              <w:rPr>
                <w:iCs/>
              </w:rPr>
            </w:pPr>
          </w:p>
          <w:p w14:paraId="096FEF69" w14:textId="50EA845E" w:rsidR="00BA1E64" w:rsidRPr="00E633F9" w:rsidRDefault="00BA1E64" w:rsidP="001A00DE">
            <w:pPr>
              <w:pStyle w:val="TableText0"/>
              <w:keepNext w:val="0"/>
              <w:keepLines w:val="0"/>
              <w:rPr>
                <w:iCs/>
              </w:rPr>
            </w:pPr>
          </w:p>
        </w:tc>
      </w:tr>
      <w:tr w:rsidR="00B409D7" w:rsidRPr="00B06893" w14:paraId="4DE3A10F" w14:textId="19649286" w:rsidTr="001A00DE">
        <w:trPr>
          <w:cantSplit/>
          <w:trHeight w:val="376"/>
        </w:trPr>
        <w:tc>
          <w:tcPr>
            <w:tcW w:w="0" w:type="auto"/>
            <w:vAlign w:val="center"/>
          </w:tcPr>
          <w:p w14:paraId="15D2D8B1" w14:textId="77777777" w:rsidR="00FD2A15" w:rsidRPr="00E633F9" w:rsidRDefault="00FD2A15" w:rsidP="001A00DE">
            <w:pPr>
              <w:pStyle w:val="TableText0"/>
              <w:keepNext w:val="0"/>
              <w:keepLines w:val="0"/>
              <w:rPr>
                <w:iCs/>
              </w:rPr>
            </w:pPr>
            <w:r w:rsidRPr="00E633F9">
              <w:rPr>
                <w:iCs/>
              </w:rPr>
              <w:t>#13</w:t>
            </w:r>
          </w:p>
        </w:tc>
        <w:tc>
          <w:tcPr>
            <w:tcW w:w="0" w:type="auto"/>
            <w:vAlign w:val="center"/>
          </w:tcPr>
          <w:p w14:paraId="54CFCD93" w14:textId="5BEEA0B0" w:rsidR="00FD2A15" w:rsidRPr="00E633F9" w:rsidRDefault="00FD2A15" w:rsidP="001A00DE">
            <w:pPr>
              <w:pStyle w:val="TableText0"/>
              <w:keepNext w:val="0"/>
              <w:keepLines w:val="0"/>
            </w:pPr>
            <w:r w:rsidRPr="00E633F9">
              <w:t>70% of deaths occur in hospital (or post</w:t>
            </w:r>
            <w:r w:rsidR="00193971" w:rsidRPr="00E633F9">
              <w:noBreakHyphen/>
            </w:r>
            <w:r w:rsidRPr="00E633F9">
              <w:t>discharge), 30% occur outside of hospital</w:t>
            </w:r>
          </w:p>
        </w:tc>
        <w:tc>
          <w:tcPr>
            <w:tcW w:w="0" w:type="auto"/>
            <w:vAlign w:val="center"/>
          </w:tcPr>
          <w:p w14:paraId="430E60FC" w14:textId="77777777" w:rsidR="00FD2A15" w:rsidRPr="00E633F9" w:rsidRDefault="00FD2A15" w:rsidP="001A00DE">
            <w:pPr>
              <w:pStyle w:val="TableText0"/>
              <w:keepNext w:val="0"/>
              <w:keepLines w:val="0"/>
            </w:pPr>
            <w:r w:rsidRPr="00E633F9">
              <w:t>Include 100% mortality</w:t>
            </w:r>
          </w:p>
        </w:tc>
        <w:tc>
          <w:tcPr>
            <w:tcW w:w="0" w:type="auto"/>
            <w:vAlign w:val="center"/>
          </w:tcPr>
          <w:p w14:paraId="19AB828F" w14:textId="77777777" w:rsidR="00FD2A15" w:rsidRPr="00E633F9" w:rsidRDefault="00FD2A15" w:rsidP="001A00DE">
            <w:pPr>
              <w:pStyle w:val="TableText0"/>
              <w:keepNext w:val="0"/>
              <w:keepLines w:val="0"/>
              <w:rPr>
                <w:b/>
                <w:bCs w:val="0"/>
              </w:rPr>
            </w:pPr>
            <w:r w:rsidRPr="00E633F9">
              <w:rPr>
                <w:b/>
                <w:bCs w:val="0"/>
              </w:rPr>
              <w:t>Possibly an error</w:t>
            </w:r>
          </w:p>
          <w:p w14:paraId="63BC67B6" w14:textId="09192DE7" w:rsidR="00FD2A15" w:rsidRPr="00E633F9" w:rsidRDefault="00FD2A15" w:rsidP="001A00DE">
            <w:pPr>
              <w:pStyle w:val="TableText0"/>
              <w:keepNext w:val="0"/>
              <w:keepLines w:val="0"/>
            </w:pPr>
            <w:r w:rsidRPr="00E633F9">
              <w:t>When estimating mortality rates, the submission assumes 30% would occur out of hospital and reduces mortality rates in hospital to 70% of the ABS mortality rates. However, the evaluation cannot identify where out of hospital deaths are reintroduced into the model and they appear to have been overlooked. The sensitivity analysis inflates in</w:t>
            </w:r>
            <w:r w:rsidR="00193971" w:rsidRPr="00E633F9">
              <w:noBreakHyphen/>
            </w:r>
            <w:r w:rsidRPr="00E633F9">
              <w:t>hospital deaths to account for 100% mortality.</w:t>
            </w:r>
          </w:p>
        </w:tc>
        <w:tc>
          <w:tcPr>
            <w:tcW w:w="0" w:type="auto"/>
          </w:tcPr>
          <w:p w14:paraId="578A1D36" w14:textId="2BDE0FFD" w:rsidR="00FD2A15" w:rsidRPr="00E633F9" w:rsidRDefault="00FD2A15" w:rsidP="001A00DE">
            <w:pPr>
              <w:pStyle w:val="TableText0"/>
              <w:keepNext w:val="0"/>
              <w:keepLines w:val="0"/>
              <w:rPr>
                <w:b/>
                <w:bCs w:val="0"/>
              </w:rPr>
            </w:pPr>
            <w:r w:rsidRPr="00E633F9">
              <w:rPr>
                <w:iCs/>
              </w:rPr>
              <w:t>Change accepted by PSCR.</w:t>
            </w:r>
          </w:p>
        </w:tc>
        <w:tc>
          <w:tcPr>
            <w:tcW w:w="0" w:type="auto"/>
          </w:tcPr>
          <w:p w14:paraId="4255EACF" w14:textId="174C3137" w:rsidR="00FD2A15" w:rsidRPr="00B06893" w:rsidRDefault="00B55339" w:rsidP="001A00DE">
            <w:pPr>
              <w:pStyle w:val="TableText0"/>
              <w:keepNext w:val="0"/>
              <w:keepLines w:val="0"/>
              <w:rPr>
                <w:iCs/>
              </w:rPr>
            </w:pPr>
            <w:r w:rsidRPr="00E633F9">
              <w:rPr>
                <w:iCs/>
              </w:rPr>
              <w:t>Input for sensitivity analysis</w:t>
            </w:r>
            <w:r w:rsidRPr="00E633F9" w:rsidDel="00B55339">
              <w:rPr>
                <w:iCs/>
              </w:rPr>
              <w:t xml:space="preserve"> </w:t>
            </w:r>
            <w:r w:rsidR="00092118" w:rsidRPr="00E633F9">
              <w:rPr>
                <w:iCs/>
              </w:rPr>
              <w:t>supported by ESC</w:t>
            </w:r>
          </w:p>
        </w:tc>
      </w:tr>
    </w:tbl>
    <w:p w14:paraId="30A6A487" w14:textId="77777777" w:rsidR="001863E2" w:rsidRPr="00B06893" w:rsidRDefault="001863E2" w:rsidP="001863E2">
      <w:pPr>
        <w:pStyle w:val="TableFigureFooter"/>
        <w:rPr>
          <w:iCs/>
        </w:rPr>
      </w:pPr>
      <w:r w:rsidRPr="00B06893">
        <w:rPr>
          <w:iCs/>
        </w:rPr>
        <w:t>Source: generated during the evaluation.</w:t>
      </w:r>
    </w:p>
    <w:p w14:paraId="04028DFD" w14:textId="5091A7E1" w:rsidR="001863E2" w:rsidRPr="00B06893" w:rsidRDefault="001863E2" w:rsidP="001863E2">
      <w:pPr>
        <w:pStyle w:val="TableFigureFooter"/>
        <w:rPr>
          <w:iCs/>
        </w:rPr>
      </w:pPr>
      <w:r w:rsidRPr="00B06893">
        <w:rPr>
          <w:iCs/>
        </w:rPr>
        <w:t>ABS = Australian Bureau of Statistics; AIHW = Australian Institute of Health and Welfare; AR = Adverse reaction; ATAGI = Australian Technical Advisory Group on Immunisation; COVID = Coronavirus disease of 2019; CVS = Continuous ventilatory support; GP = General practitioner; ICU = Intensive Care Unit; LOS = Length of Stay; MBS = Medicare Benefits Schedule; PSD = Public summary document; QALY = Quality</w:t>
      </w:r>
      <w:r w:rsidR="00193971">
        <w:rPr>
          <w:iCs/>
        </w:rPr>
        <w:noBreakHyphen/>
      </w:r>
      <w:r w:rsidRPr="00B06893">
        <w:rPr>
          <w:iCs/>
        </w:rPr>
        <w:t>Adjusted Life Year; VE = Vaccine effectiveness.</w:t>
      </w:r>
    </w:p>
    <w:p w14:paraId="754E9534" w14:textId="710DC633" w:rsidR="00D85592" w:rsidRPr="00B06893" w:rsidRDefault="001863E2" w:rsidP="001863E2">
      <w:pPr>
        <w:pStyle w:val="3-BodyText"/>
      </w:pPr>
      <w:r w:rsidRPr="00B06893">
        <w:t>The results of the evaluation univariate sensitivity analyses are presented below.</w:t>
      </w:r>
    </w:p>
    <w:p w14:paraId="62BED2B1" w14:textId="7459A097" w:rsidR="00D85592" w:rsidRPr="00B06893" w:rsidRDefault="00D85592" w:rsidP="00D85592">
      <w:pPr>
        <w:keepNext/>
        <w:keepLines/>
        <w:rPr>
          <w:rFonts w:ascii="Arial Narrow" w:hAnsi="Arial Narrow" w:cs="Arial"/>
          <w:b/>
          <w:bCs/>
          <w:sz w:val="20"/>
          <w:szCs w:val="18"/>
        </w:rPr>
      </w:pPr>
      <w:bookmarkStart w:id="82" w:name="_Ref221748141"/>
      <w:r w:rsidRPr="00B06893">
        <w:rPr>
          <w:rFonts w:ascii="Arial Narrow" w:hAnsi="Arial Narrow" w:cs="Arial"/>
          <w:b/>
          <w:bCs/>
          <w:sz w:val="20"/>
          <w:szCs w:val="18"/>
        </w:rPr>
        <w:lastRenderedPageBreak/>
        <w:t xml:space="preserve">Table </w:t>
      </w:r>
      <w:r w:rsidR="00B531BD" w:rsidRPr="00B06893">
        <w:rPr>
          <w:rFonts w:ascii="Arial Narrow" w:hAnsi="Arial Narrow" w:cs="Arial"/>
          <w:b/>
          <w:bCs/>
          <w:sz w:val="20"/>
          <w:szCs w:val="18"/>
        </w:rPr>
        <w:fldChar w:fldCharType="begin"/>
      </w:r>
      <w:r w:rsidR="00B531BD" w:rsidRPr="00B06893">
        <w:rPr>
          <w:rFonts w:ascii="Arial Narrow" w:hAnsi="Arial Narrow" w:cs="Arial"/>
          <w:b/>
          <w:bCs/>
          <w:sz w:val="20"/>
          <w:szCs w:val="18"/>
        </w:rPr>
        <w:instrText xml:space="preserve"> SEQ Table \* ARABIC </w:instrText>
      </w:r>
      <w:r w:rsidR="00B531BD" w:rsidRPr="00B06893">
        <w:rPr>
          <w:rFonts w:ascii="Arial Narrow" w:hAnsi="Arial Narrow" w:cs="Arial"/>
          <w:b/>
          <w:bCs/>
          <w:sz w:val="20"/>
          <w:szCs w:val="18"/>
        </w:rPr>
        <w:fldChar w:fldCharType="separate"/>
      </w:r>
      <w:r w:rsidR="00810177" w:rsidRPr="00B06893">
        <w:rPr>
          <w:rFonts w:ascii="Arial Narrow" w:hAnsi="Arial Narrow" w:cs="Arial"/>
          <w:b/>
          <w:bCs/>
          <w:sz w:val="20"/>
          <w:szCs w:val="18"/>
        </w:rPr>
        <w:t>30</w:t>
      </w:r>
      <w:r w:rsidR="00B531BD" w:rsidRPr="00B06893">
        <w:rPr>
          <w:rFonts w:ascii="Arial Narrow" w:hAnsi="Arial Narrow" w:cs="Arial"/>
          <w:b/>
          <w:bCs/>
          <w:sz w:val="20"/>
          <w:szCs w:val="18"/>
        </w:rPr>
        <w:fldChar w:fldCharType="end"/>
      </w:r>
      <w:bookmarkEnd w:id="82"/>
      <w:r w:rsidR="007F2D2C" w:rsidRPr="00B06893">
        <w:rPr>
          <w:rFonts w:ascii="Arial Narrow" w:hAnsi="Arial Narrow" w:cs="Arial"/>
          <w:b/>
          <w:bCs/>
          <w:sz w:val="20"/>
          <w:szCs w:val="18"/>
        </w:rPr>
        <w:t xml:space="preserve">: </w:t>
      </w:r>
      <w:r w:rsidRPr="00B06893">
        <w:rPr>
          <w:rFonts w:ascii="Arial Narrow" w:hAnsi="Arial Narrow" w:cs="Arial"/>
          <w:b/>
          <w:bCs/>
          <w:iCs/>
          <w:sz w:val="20"/>
          <w:szCs w:val="18"/>
        </w:rPr>
        <w:t>Univariate sensitivity analyses performed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0: Univariate sensitivity analyses performed during the evaluation"/>
      </w:tblPr>
      <w:tblGrid>
        <w:gridCol w:w="581"/>
        <w:gridCol w:w="4024"/>
        <w:gridCol w:w="1487"/>
        <w:gridCol w:w="1140"/>
        <w:gridCol w:w="967"/>
        <w:gridCol w:w="818"/>
      </w:tblGrid>
      <w:tr w:rsidR="001863E2" w:rsidRPr="00B06893" w14:paraId="7C572D0F" w14:textId="77777777" w:rsidTr="001D59BC">
        <w:trPr>
          <w:trHeight w:val="50"/>
        </w:trPr>
        <w:tc>
          <w:tcPr>
            <w:tcW w:w="581" w:type="dxa"/>
            <w:shd w:val="clear" w:color="auto" w:fill="D9D9D9" w:themeFill="background1" w:themeFillShade="D9"/>
            <w:noWrap/>
            <w:vAlign w:val="center"/>
            <w:hideMark/>
          </w:tcPr>
          <w:p w14:paraId="7B4788C6" w14:textId="77777777" w:rsidR="001863E2" w:rsidRPr="00B06893" w:rsidRDefault="001863E2" w:rsidP="001863E2">
            <w:pPr>
              <w:keepNext/>
              <w:keepLines/>
              <w:jc w:val="left"/>
              <w:rPr>
                <w:rFonts w:ascii="Arial Narrow" w:eastAsiaTheme="majorEastAsia" w:hAnsi="Arial Narrow" w:cstheme="majorBidi"/>
                <w:b/>
                <w:iCs/>
                <w:sz w:val="20"/>
                <w:szCs w:val="24"/>
              </w:rPr>
            </w:pPr>
            <w:bookmarkStart w:id="83" w:name="_Hlk221883350"/>
            <w:r w:rsidRPr="00B06893">
              <w:rPr>
                <w:rFonts w:ascii="Arial Narrow" w:eastAsiaTheme="majorEastAsia" w:hAnsi="Arial Narrow" w:cstheme="majorBidi"/>
                <w:b/>
                <w:iCs/>
                <w:sz w:val="20"/>
                <w:szCs w:val="24"/>
              </w:rPr>
              <w:t>#</w:t>
            </w:r>
          </w:p>
        </w:tc>
        <w:tc>
          <w:tcPr>
            <w:tcW w:w="4024" w:type="dxa"/>
            <w:shd w:val="clear" w:color="auto" w:fill="D9D9D9" w:themeFill="background1" w:themeFillShade="D9"/>
            <w:noWrap/>
            <w:vAlign w:val="center"/>
            <w:hideMark/>
          </w:tcPr>
          <w:p w14:paraId="02571004" w14:textId="77777777" w:rsidR="001863E2" w:rsidRPr="00B06893" w:rsidRDefault="001863E2" w:rsidP="001863E2">
            <w:pPr>
              <w:keepNext/>
              <w:keepLines/>
              <w:jc w:val="left"/>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Sensitivity analysis</w:t>
            </w:r>
          </w:p>
        </w:tc>
        <w:tc>
          <w:tcPr>
            <w:tcW w:w="1487" w:type="dxa"/>
            <w:shd w:val="clear" w:color="auto" w:fill="D9D9D9" w:themeFill="background1" w:themeFillShade="D9"/>
            <w:noWrap/>
            <w:vAlign w:val="center"/>
            <w:hideMark/>
          </w:tcPr>
          <w:p w14:paraId="610E1522" w14:textId="77777777" w:rsidR="001863E2" w:rsidRPr="00B06893" w:rsidRDefault="001863E2" w:rsidP="001863E2">
            <w:pPr>
              <w:keepNext/>
              <w:keepLines/>
              <w:jc w:val="center"/>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Incremental costs</w:t>
            </w:r>
          </w:p>
        </w:tc>
        <w:tc>
          <w:tcPr>
            <w:tcW w:w="1140" w:type="dxa"/>
            <w:shd w:val="clear" w:color="auto" w:fill="D9D9D9" w:themeFill="background1" w:themeFillShade="D9"/>
            <w:noWrap/>
            <w:vAlign w:val="center"/>
            <w:hideMark/>
          </w:tcPr>
          <w:p w14:paraId="744DB595" w14:textId="77777777" w:rsidR="001863E2" w:rsidRPr="00B06893" w:rsidRDefault="001863E2" w:rsidP="001863E2">
            <w:pPr>
              <w:keepNext/>
              <w:keepLines/>
              <w:jc w:val="center"/>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Incremental QALYs</w:t>
            </w:r>
          </w:p>
        </w:tc>
        <w:tc>
          <w:tcPr>
            <w:tcW w:w="967" w:type="dxa"/>
            <w:shd w:val="clear" w:color="auto" w:fill="D9D9D9" w:themeFill="background1" w:themeFillShade="D9"/>
            <w:noWrap/>
            <w:vAlign w:val="center"/>
            <w:hideMark/>
          </w:tcPr>
          <w:p w14:paraId="643C0C1D" w14:textId="77777777" w:rsidR="001863E2" w:rsidRPr="00B06893" w:rsidRDefault="001863E2" w:rsidP="001863E2">
            <w:pPr>
              <w:keepNext/>
              <w:keepLines/>
              <w:jc w:val="center"/>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ICER</w:t>
            </w:r>
          </w:p>
        </w:tc>
        <w:tc>
          <w:tcPr>
            <w:tcW w:w="818" w:type="dxa"/>
            <w:shd w:val="clear" w:color="auto" w:fill="D9D9D9" w:themeFill="background1" w:themeFillShade="D9"/>
            <w:noWrap/>
            <w:vAlign w:val="center"/>
            <w:hideMark/>
          </w:tcPr>
          <w:p w14:paraId="6EA99F75" w14:textId="77777777" w:rsidR="001863E2" w:rsidRPr="00B06893" w:rsidRDefault="001863E2" w:rsidP="001863E2">
            <w:pPr>
              <w:keepNext/>
              <w:keepLines/>
              <w:jc w:val="center"/>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Change</w:t>
            </w:r>
          </w:p>
        </w:tc>
      </w:tr>
      <w:tr w:rsidR="001863E2" w:rsidRPr="00B06893" w14:paraId="15C125D0" w14:textId="77777777" w:rsidTr="001D59BC">
        <w:trPr>
          <w:trHeight w:val="50"/>
        </w:trPr>
        <w:tc>
          <w:tcPr>
            <w:tcW w:w="581" w:type="dxa"/>
            <w:shd w:val="clear" w:color="000000" w:fill="FFFFFF"/>
            <w:noWrap/>
            <w:vAlign w:val="center"/>
            <w:hideMark/>
          </w:tcPr>
          <w:p w14:paraId="37688579" w14:textId="77777777" w:rsidR="001863E2" w:rsidRPr="00B06893" w:rsidRDefault="001863E2" w:rsidP="001863E2">
            <w:pPr>
              <w:keepNext/>
              <w:keepLines/>
              <w:jc w:val="left"/>
              <w:rPr>
                <w:rFonts w:ascii="Arial Narrow" w:eastAsiaTheme="majorEastAsia" w:hAnsi="Arial Narrow" w:cstheme="majorBidi"/>
                <w:bCs/>
                <w:iCs/>
                <w:sz w:val="20"/>
                <w:szCs w:val="24"/>
              </w:rPr>
            </w:pPr>
          </w:p>
        </w:tc>
        <w:tc>
          <w:tcPr>
            <w:tcW w:w="4024" w:type="dxa"/>
            <w:shd w:val="clear" w:color="000000" w:fill="FFFFFF"/>
            <w:noWrap/>
            <w:vAlign w:val="center"/>
            <w:hideMark/>
          </w:tcPr>
          <w:p w14:paraId="3FD53186"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Base case</w:t>
            </w:r>
          </w:p>
        </w:tc>
        <w:tc>
          <w:tcPr>
            <w:tcW w:w="1487" w:type="dxa"/>
            <w:shd w:val="clear" w:color="000000" w:fill="FFFFFF"/>
            <w:noWrap/>
            <w:vAlign w:val="center"/>
            <w:hideMark/>
          </w:tcPr>
          <w:p w14:paraId="70D9AEDA" w14:textId="103822BA"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6A15E4D8"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11,515</w:t>
            </w:r>
          </w:p>
        </w:tc>
        <w:tc>
          <w:tcPr>
            <w:tcW w:w="967" w:type="dxa"/>
            <w:shd w:val="clear" w:color="000000" w:fill="FFFFFF"/>
            <w:noWrap/>
            <w:vAlign w:val="center"/>
            <w:hideMark/>
          </w:tcPr>
          <w:p w14:paraId="64F911DA" w14:textId="0C7F77DE" w:rsidR="001863E2" w:rsidRPr="003A3183"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422EBACD" w14:textId="77777777" w:rsidR="001863E2" w:rsidRPr="00B06893" w:rsidRDefault="001863E2" w:rsidP="001863E2">
            <w:pPr>
              <w:keepNext/>
              <w:keepLines/>
              <w:jc w:val="center"/>
              <w:rPr>
                <w:rFonts w:ascii="Arial Narrow" w:eastAsiaTheme="majorEastAsia" w:hAnsi="Arial Narrow" w:cstheme="majorBidi"/>
                <w:bCs/>
                <w:iCs/>
                <w:sz w:val="20"/>
                <w:szCs w:val="24"/>
              </w:rPr>
            </w:pPr>
          </w:p>
        </w:tc>
      </w:tr>
      <w:tr w:rsidR="001863E2" w:rsidRPr="00B06893" w14:paraId="47796580" w14:textId="77777777" w:rsidTr="003837CF">
        <w:trPr>
          <w:trHeight w:val="50"/>
        </w:trPr>
        <w:tc>
          <w:tcPr>
            <w:tcW w:w="9017" w:type="dxa"/>
            <w:gridSpan w:val="6"/>
            <w:shd w:val="clear" w:color="auto" w:fill="D9D9D9" w:themeFill="background1" w:themeFillShade="D9"/>
            <w:noWrap/>
            <w:vAlign w:val="center"/>
          </w:tcPr>
          <w:p w14:paraId="2DD46026" w14:textId="77777777" w:rsidR="001863E2" w:rsidRPr="00B06893" w:rsidRDefault="001863E2" w:rsidP="001863E2">
            <w:pPr>
              <w:keepNext/>
              <w:keepLines/>
              <w:jc w:val="left"/>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Transitions / proportions</w:t>
            </w:r>
          </w:p>
        </w:tc>
      </w:tr>
      <w:tr w:rsidR="001863E2" w:rsidRPr="00B06893" w14:paraId="51E1D302" w14:textId="77777777" w:rsidTr="001D59BC">
        <w:trPr>
          <w:trHeight w:val="50"/>
        </w:trPr>
        <w:tc>
          <w:tcPr>
            <w:tcW w:w="581" w:type="dxa"/>
            <w:shd w:val="clear" w:color="000000" w:fill="FFFFFF"/>
            <w:noWrap/>
            <w:vAlign w:val="center"/>
            <w:hideMark/>
          </w:tcPr>
          <w:p w14:paraId="1737B539"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w:t>
            </w:r>
          </w:p>
        </w:tc>
        <w:tc>
          <w:tcPr>
            <w:tcW w:w="4024" w:type="dxa"/>
            <w:shd w:val="clear" w:color="000000" w:fill="FFFFFF"/>
            <w:noWrap/>
            <w:vAlign w:val="center"/>
            <w:hideMark/>
          </w:tcPr>
          <w:p w14:paraId="4F2FF764"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Readmissions = 0%</w:t>
            </w:r>
          </w:p>
        </w:tc>
        <w:tc>
          <w:tcPr>
            <w:tcW w:w="1487" w:type="dxa"/>
            <w:shd w:val="clear" w:color="000000" w:fill="FFFFFF"/>
            <w:noWrap/>
            <w:vAlign w:val="center"/>
            <w:hideMark/>
          </w:tcPr>
          <w:p w14:paraId="7E328D31" w14:textId="0216BDB5"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745F9725"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11,477</w:t>
            </w:r>
          </w:p>
        </w:tc>
        <w:tc>
          <w:tcPr>
            <w:tcW w:w="967" w:type="dxa"/>
            <w:shd w:val="clear" w:color="000000" w:fill="FFFFFF"/>
            <w:noWrap/>
            <w:vAlign w:val="center"/>
            <w:hideMark/>
          </w:tcPr>
          <w:p w14:paraId="12365A82" w14:textId="4F713591" w:rsidR="001863E2" w:rsidRPr="003A3183"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4A3AEEA3" w14:textId="1AD69628"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68BCEC05" w14:textId="77777777" w:rsidTr="001D59BC">
        <w:trPr>
          <w:trHeight w:val="50"/>
        </w:trPr>
        <w:tc>
          <w:tcPr>
            <w:tcW w:w="581" w:type="dxa"/>
            <w:shd w:val="clear" w:color="000000" w:fill="FFFFFF"/>
            <w:noWrap/>
            <w:vAlign w:val="center"/>
            <w:hideMark/>
          </w:tcPr>
          <w:p w14:paraId="5F68CDDD"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#2</w:t>
            </w:r>
          </w:p>
        </w:tc>
        <w:tc>
          <w:tcPr>
            <w:tcW w:w="4024" w:type="dxa"/>
            <w:shd w:val="clear" w:color="000000" w:fill="FFFFFF"/>
            <w:noWrap/>
            <w:vAlign w:val="center"/>
            <w:hideMark/>
          </w:tcPr>
          <w:p w14:paraId="52AE84D4" w14:textId="074EC20A"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 xml:space="preserve">Published </w:t>
            </w:r>
            <w:r w:rsidR="000948F8" w:rsidRPr="00B06893">
              <w:rPr>
                <w:rFonts w:ascii="Arial Narrow" w:eastAsiaTheme="majorEastAsia" w:hAnsi="Arial Narrow" w:cstheme="majorBidi"/>
                <w:bCs/>
                <w:iCs/>
                <w:sz w:val="20"/>
                <w:szCs w:val="24"/>
              </w:rPr>
              <w:t>VE</w:t>
            </w:r>
            <w:r w:rsidRPr="00B06893">
              <w:rPr>
                <w:rFonts w:ascii="Arial Narrow" w:eastAsiaTheme="majorEastAsia" w:hAnsi="Arial Narrow" w:cstheme="majorBidi"/>
                <w:bCs/>
                <w:iCs/>
                <w:sz w:val="20"/>
                <w:szCs w:val="24"/>
              </w:rPr>
              <w:t xml:space="preserve"> used at start (no back calculation to estimate highest VE)</w:t>
            </w:r>
          </w:p>
        </w:tc>
        <w:tc>
          <w:tcPr>
            <w:tcW w:w="1487" w:type="dxa"/>
            <w:shd w:val="clear" w:color="000000" w:fill="FFFFFF"/>
            <w:noWrap/>
            <w:vAlign w:val="center"/>
            <w:hideMark/>
          </w:tcPr>
          <w:p w14:paraId="0C2AA84A" w14:textId="247CE05C" w:rsidR="001863E2" w:rsidRPr="00741DC1" w:rsidRDefault="005E1BCD" w:rsidP="001863E2">
            <w:pPr>
              <w:keepNext/>
              <w:keepLines/>
              <w:jc w:val="center"/>
              <w:rPr>
                <w:rFonts w:ascii="Arial Narrow" w:eastAsiaTheme="majorEastAsia" w:hAnsi="Arial Narrow" w:cstheme="majorBidi"/>
                <w:bCs/>
                <w:iCs/>
                <w:sz w:val="20"/>
                <w:szCs w:val="24"/>
                <w:highlight w:val="lightGray"/>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5B86C83E"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10,727</w:t>
            </w:r>
          </w:p>
        </w:tc>
        <w:tc>
          <w:tcPr>
            <w:tcW w:w="967" w:type="dxa"/>
            <w:shd w:val="clear" w:color="000000" w:fill="FFFFFF"/>
            <w:noWrap/>
            <w:vAlign w:val="center"/>
            <w:hideMark/>
          </w:tcPr>
          <w:p w14:paraId="5CBCD68D" w14:textId="5DEC43D3" w:rsidR="001863E2" w:rsidRPr="003A3183" w:rsidRDefault="005E1BCD" w:rsidP="001863E2">
            <w:pPr>
              <w:keepNext/>
              <w:keepLines/>
              <w:jc w:val="center"/>
              <w:rPr>
                <w:rFonts w:ascii="Arial Narrow" w:eastAsiaTheme="majorEastAsia" w:hAnsi="Arial Narrow" w:cstheme="majorBidi"/>
                <w:bCs/>
                <w:iCs/>
                <w:sz w:val="20"/>
                <w:szCs w:val="24"/>
                <w:highlight w:val="lightGray"/>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sidRP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537FCBDE" w14:textId="3CC9E98D"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5F28F6BD" w14:textId="77777777" w:rsidTr="001D59BC">
        <w:trPr>
          <w:trHeight w:val="58"/>
        </w:trPr>
        <w:tc>
          <w:tcPr>
            <w:tcW w:w="581" w:type="dxa"/>
            <w:shd w:val="clear" w:color="000000" w:fill="FFFFFF"/>
            <w:noWrap/>
            <w:vAlign w:val="center"/>
            <w:hideMark/>
          </w:tcPr>
          <w:p w14:paraId="32B77CFE"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#3</w:t>
            </w:r>
          </w:p>
        </w:tc>
        <w:tc>
          <w:tcPr>
            <w:tcW w:w="4024" w:type="dxa"/>
            <w:shd w:val="clear" w:color="000000" w:fill="FFFFFF"/>
            <w:noWrap/>
            <w:vAlign w:val="center"/>
            <w:hideMark/>
          </w:tcPr>
          <w:p w14:paraId="4442FBCF" w14:textId="47FB8E48"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Remove long</w:t>
            </w:r>
            <w:r w:rsidR="00193971">
              <w:rPr>
                <w:rFonts w:ascii="Arial Narrow" w:eastAsiaTheme="majorEastAsia" w:hAnsi="Arial Narrow" w:cstheme="majorBidi"/>
                <w:bCs/>
                <w:iCs/>
                <w:sz w:val="20"/>
                <w:szCs w:val="24"/>
              </w:rPr>
              <w:noBreakHyphen/>
            </w:r>
            <w:r w:rsidRPr="00B06893">
              <w:rPr>
                <w:rFonts w:ascii="Arial Narrow" w:eastAsiaTheme="majorEastAsia" w:hAnsi="Arial Narrow" w:cstheme="majorBidi"/>
                <w:bCs/>
                <w:iCs/>
                <w:sz w:val="20"/>
                <w:szCs w:val="24"/>
              </w:rPr>
              <w:t xml:space="preserve">COVID </w:t>
            </w:r>
            <w:r w:rsidR="009751E6" w:rsidRPr="00B06893">
              <w:rPr>
                <w:rFonts w:ascii="Arial Narrow" w:eastAsiaTheme="majorEastAsia" w:hAnsi="Arial Narrow" w:cstheme="majorBidi"/>
                <w:bCs/>
                <w:iCs/>
                <w:sz w:val="20"/>
                <w:szCs w:val="24"/>
              </w:rPr>
              <w:t xml:space="preserve">costs </w:t>
            </w:r>
            <w:r w:rsidRPr="00B06893">
              <w:rPr>
                <w:rFonts w:ascii="Arial Narrow" w:eastAsiaTheme="majorEastAsia" w:hAnsi="Arial Narrow" w:cstheme="majorBidi"/>
                <w:bCs/>
                <w:iCs/>
                <w:sz w:val="20"/>
                <w:szCs w:val="24"/>
              </w:rPr>
              <w:t>from the model</w:t>
            </w:r>
          </w:p>
        </w:tc>
        <w:tc>
          <w:tcPr>
            <w:tcW w:w="1487" w:type="dxa"/>
            <w:shd w:val="clear" w:color="000000" w:fill="FFFFFF"/>
            <w:noWrap/>
            <w:vAlign w:val="center"/>
            <w:hideMark/>
          </w:tcPr>
          <w:p w14:paraId="58C2FE61" w14:textId="21B83432"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4BA5A255"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11,515</w:t>
            </w:r>
          </w:p>
        </w:tc>
        <w:tc>
          <w:tcPr>
            <w:tcW w:w="967" w:type="dxa"/>
            <w:shd w:val="clear" w:color="000000" w:fill="FFFFFF"/>
            <w:noWrap/>
            <w:vAlign w:val="center"/>
            <w:hideMark/>
          </w:tcPr>
          <w:p w14:paraId="2C518194" w14:textId="39944EE6" w:rsidR="001863E2" w:rsidRPr="003A3183"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4DE4D76B" w14:textId="666ADE96"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0AE6557E" w14:textId="77777777" w:rsidTr="001D59BC">
        <w:trPr>
          <w:trHeight w:val="330"/>
        </w:trPr>
        <w:tc>
          <w:tcPr>
            <w:tcW w:w="581" w:type="dxa"/>
            <w:shd w:val="clear" w:color="000000" w:fill="FFFFFF"/>
            <w:noWrap/>
            <w:vAlign w:val="center"/>
            <w:hideMark/>
          </w:tcPr>
          <w:p w14:paraId="418EACD1"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#4</w:t>
            </w:r>
          </w:p>
        </w:tc>
        <w:tc>
          <w:tcPr>
            <w:tcW w:w="4024" w:type="dxa"/>
            <w:shd w:val="clear" w:color="000000" w:fill="FFFFFF"/>
            <w:noWrap/>
            <w:vAlign w:val="center"/>
            <w:hideMark/>
          </w:tcPr>
          <w:p w14:paraId="1988A6F1"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Reduce % of hospitalisations requiring ICU and ventilation to AIHW estimates</w:t>
            </w:r>
          </w:p>
        </w:tc>
        <w:tc>
          <w:tcPr>
            <w:tcW w:w="1487" w:type="dxa"/>
            <w:shd w:val="clear" w:color="000000" w:fill="FFFFFF"/>
            <w:noWrap/>
            <w:vAlign w:val="center"/>
            <w:hideMark/>
          </w:tcPr>
          <w:p w14:paraId="2A793D4D" w14:textId="292F49CB" w:rsidR="001863E2" w:rsidRPr="00741DC1" w:rsidRDefault="005E1BCD" w:rsidP="001863E2">
            <w:pPr>
              <w:keepNext/>
              <w:keepLines/>
              <w:jc w:val="center"/>
              <w:rPr>
                <w:rFonts w:ascii="Arial Narrow" w:eastAsiaTheme="majorEastAsia" w:hAnsi="Arial Narrow" w:cstheme="majorBidi"/>
                <w:bCs/>
                <w:iCs/>
                <w:sz w:val="20"/>
                <w:szCs w:val="24"/>
                <w:highlight w:val="lightGray"/>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08316CF9"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11,494</w:t>
            </w:r>
          </w:p>
        </w:tc>
        <w:tc>
          <w:tcPr>
            <w:tcW w:w="967" w:type="dxa"/>
            <w:shd w:val="clear" w:color="000000" w:fill="FFFFFF"/>
            <w:noWrap/>
            <w:vAlign w:val="center"/>
            <w:hideMark/>
          </w:tcPr>
          <w:p w14:paraId="6B2E3032" w14:textId="16D7AAF3" w:rsidR="001863E2" w:rsidRPr="003A3183" w:rsidRDefault="005E1BCD" w:rsidP="001863E2">
            <w:pPr>
              <w:keepNext/>
              <w:keepLines/>
              <w:jc w:val="center"/>
              <w:rPr>
                <w:rFonts w:ascii="Arial Narrow" w:eastAsiaTheme="majorEastAsia" w:hAnsi="Arial Narrow" w:cstheme="majorBidi"/>
                <w:bCs/>
                <w:iCs/>
                <w:sz w:val="20"/>
                <w:szCs w:val="24"/>
                <w:highlight w:val="lightGray"/>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sidRP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65FBE0A7" w14:textId="46E3213B"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78E67847" w14:textId="77777777" w:rsidTr="001D59BC">
        <w:trPr>
          <w:trHeight w:val="50"/>
        </w:trPr>
        <w:tc>
          <w:tcPr>
            <w:tcW w:w="581" w:type="dxa"/>
            <w:shd w:val="clear" w:color="000000" w:fill="FFFFFF"/>
            <w:noWrap/>
            <w:vAlign w:val="center"/>
            <w:hideMark/>
          </w:tcPr>
          <w:p w14:paraId="416A68B0"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#5</w:t>
            </w:r>
          </w:p>
        </w:tc>
        <w:tc>
          <w:tcPr>
            <w:tcW w:w="4024" w:type="dxa"/>
            <w:shd w:val="clear" w:color="000000" w:fill="FFFFFF"/>
            <w:noWrap/>
            <w:vAlign w:val="center"/>
            <w:hideMark/>
          </w:tcPr>
          <w:p w14:paraId="2A3EFE55" w14:textId="25592608"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Change mortality to reflect ABS estimates for 2024</w:t>
            </w:r>
            <w:r w:rsidR="00193971">
              <w:rPr>
                <w:rFonts w:ascii="Arial Narrow" w:eastAsiaTheme="majorEastAsia" w:hAnsi="Arial Narrow" w:cstheme="majorBidi"/>
                <w:bCs/>
                <w:iCs/>
                <w:sz w:val="20"/>
                <w:szCs w:val="24"/>
              </w:rPr>
              <w:noBreakHyphen/>
            </w:r>
            <w:r w:rsidRPr="00B06893">
              <w:rPr>
                <w:rFonts w:ascii="Arial Narrow" w:eastAsiaTheme="majorEastAsia" w:hAnsi="Arial Narrow" w:cstheme="majorBidi"/>
                <w:bCs/>
                <w:iCs/>
                <w:sz w:val="20"/>
                <w:szCs w:val="24"/>
              </w:rPr>
              <w:t>25</w:t>
            </w:r>
          </w:p>
        </w:tc>
        <w:tc>
          <w:tcPr>
            <w:tcW w:w="1487" w:type="dxa"/>
            <w:shd w:val="clear" w:color="000000" w:fill="FFFFFF"/>
            <w:noWrap/>
            <w:vAlign w:val="center"/>
            <w:hideMark/>
          </w:tcPr>
          <w:p w14:paraId="4DAFC6EA" w14:textId="1FAE9397"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6B6ED626"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10,251</w:t>
            </w:r>
          </w:p>
        </w:tc>
        <w:tc>
          <w:tcPr>
            <w:tcW w:w="967" w:type="dxa"/>
            <w:shd w:val="clear" w:color="000000" w:fill="FFFFFF"/>
            <w:noWrap/>
            <w:vAlign w:val="center"/>
            <w:hideMark/>
          </w:tcPr>
          <w:p w14:paraId="161A532A" w14:textId="251C3C42" w:rsidR="001863E2" w:rsidRPr="003A3183"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0AF52058" w14:textId="11756E4B"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7AB580DC" w14:textId="77777777" w:rsidTr="001D59BC">
        <w:trPr>
          <w:trHeight w:val="50"/>
        </w:trPr>
        <w:tc>
          <w:tcPr>
            <w:tcW w:w="581" w:type="dxa"/>
            <w:shd w:val="clear" w:color="000000" w:fill="FFFFFF"/>
            <w:noWrap/>
            <w:vAlign w:val="center"/>
            <w:hideMark/>
          </w:tcPr>
          <w:p w14:paraId="3CA1315B"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#6</w:t>
            </w:r>
          </w:p>
        </w:tc>
        <w:tc>
          <w:tcPr>
            <w:tcW w:w="4024" w:type="dxa"/>
            <w:shd w:val="clear" w:color="000000" w:fill="FFFFFF"/>
            <w:noWrap/>
            <w:vAlign w:val="center"/>
            <w:hideMark/>
          </w:tcPr>
          <w:p w14:paraId="0EEF49C0" w14:textId="0118FA15"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Correct post</w:t>
            </w:r>
            <w:r w:rsidR="00193971">
              <w:rPr>
                <w:rFonts w:ascii="Arial Narrow" w:eastAsiaTheme="majorEastAsia" w:hAnsi="Arial Narrow" w:cstheme="majorBidi"/>
                <w:bCs/>
                <w:iCs/>
                <w:sz w:val="20"/>
                <w:szCs w:val="24"/>
              </w:rPr>
              <w:noBreakHyphen/>
            </w:r>
            <w:r w:rsidRPr="00B06893">
              <w:rPr>
                <w:rFonts w:ascii="Arial Narrow" w:eastAsiaTheme="majorEastAsia" w:hAnsi="Arial Narrow" w:cstheme="majorBidi"/>
                <w:bCs/>
                <w:iCs/>
                <w:sz w:val="20"/>
                <w:szCs w:val="24"/>
              </w:rPr>
              <w:t>discharge mortality in the model</w:t>
            </w:r>
          </w:p>
        </w:tc>
        <w:tc>
          <w:tcPr>
            <w:tcW w:w="1487" w:type="dxa"/>
            <w:shd w:val="clear" w:color="000000" w:fill="FFFFFF"/>
            <w:noWrap/>
            <w:vAlign w:val="center"/>
            <w:hideMark/>
          </w:tcPr>
          <w:p w14:paraId="0CED0E7D" w14:textId="78406BC2" w:rsidR="001863E2" w:rsidRPr="00741DC1" w:rsidRDefault="005E1BCD" w:rsidP="001863E2">
            <w:pPr>
              <w:keepNext/>
              <w:keepLines/>
              <w:jc w:val="center"/>
              <w:rPr>
                <w:rFonts w:ascii="Arial Narrow" w:eastAsiaTheme="majorEastAsia" w:hAnsi="Arial Narrow" w:cstheme="majorBidi"/>
                <w:bCs/>
                <w:iCs/>
                <w:sz w:val="20"/>
                <w:szCs w:val="24"/>
                <w:highlight w:val="lightGray"/>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7D518CAD"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8,591</w:t>
            </w:r>
          </w:p>
        </w:tc>
        <w:tc>
          <w:tcPr>
            <w:tcW w:w="967" w:type="dxa"/>
            <w:shd w:val="clear" w:color="000000" w:fill="FFFFFF"/>
            <w:noWrap/>
            <w:vAlign w:val="center"/>
            <w:hideMark/>
          </w:tcPr>
          <w:p w14:paraId="3C8EBCB0" w14:textId="04CB87B0" w:rsidR="001863E2" w:rsidRPr="0096425F" w:rsidRDefault="005E1BCD" w:rsidP="001863E2">
            <w:pPr>
              <w:keepNext/>
              <w:keepLines/>
              <w:jc w:val="center"/>
              <w:rPr>
                <w:rFonts w:ascii="Arial Narrow" w:eastAsiaTheme="majorEastAsia" w:hAnsi="Arial Narrow" w:cstheme="majorBidi"/>
                <w:bCs/>
                <w:iCs/>
                <w:sz w:val="20"/>
                <w:szCs w:val="24"/>
                <w:highlight w:val="lightGray"/>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96425F" w:rsidRPr="0096425F">
              <w:rPr>
                <w:rFonts w:ascii="Arial Narrow" w:eastAsiaTheme="majorEastAsia" w:hAnsi="Arial Narrow" w:cstheme="majorBidi"/>
                <w:bCs/>
                <w:iCs/>
                <w:sz w:val="20"/>
                <w:szCs w:val="24"/>
                <w:vertAlign w:val="superscript"/>
              </w:rPr>
              <w:t>2</w:t>
            </w:r>
          </w:p>
        </w:tc>
        <w:tc>
          <w:tcPr>
            <w:tcW w:w="818" w:type="dxa"/>
            <w:shd w:val="clear" w:color="000000" w:fill="FFFFFF"/>
            <w:noWrap/>
            <w:vAlign w:val="center"/>
            <w:hideMark/>
          </w:tcPr>
          <w:p w14:paraId="4AE97EE2" w14:textId="05D7ABD4"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24D87DE9" w14:textId="77777777" w:rsidTr="003837CF">
        <w:trPr>
          <w:trHeight w:val="50"/>
        </w:trPr>
        <w:tc>
          <w:tcPr>
            <w:tcW w:w="9017" w:type="dxa"/>
            <w:gridSpan w:val="6"/>
            <w:shd w:val="clear" w:color="auto" w:fill="D9D9D9" w:themeFill="background1" w:themeFillShade="D9"/>
            <w:noWrap/>
            <w:vAlign w:val="center"/>
          </w:tcPr>
          <w:p w14:paraId="201D732E" w14:textId="77777777" w:rsidR="001863E2" w:rsidRPr="00B06893" w:rsidRDefault="001863E2" w:rsidP="001863E2">
            <w:pPr>
              <w:keepNext/>
              <w:keepLines/>
              <w:jc w:val="left"/>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Health outcomes</w:t>
            </w:r>
          </w:p>
        </w:tc>
      </w:tr>
      <w:tr w:rsidR="001863E2" w:rsidRPr="00B06893" w14:paraId="242ABED1" w14:textId="77777777" w:rsidTr="001D59BC">
        <w:trPr>
          <w:trHeight w:val="50"/>
        </w:trPr>
        <w:tc>
          <w:tcPr>
            <w:tcW w:w="581" w:type="dxa"/>
            <w:shd w:val="clear" w:color="000000" w:fill="FFFFFF"/>
            <w:noWrap/>
            <w:vAlign w:val="center"/>
            <w:hideMark/>
          </w:tcPr>
          <w:p w14:paraId="20631117"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#7</w:t>
            </w:r>
          </w:p>
        </w:tc>
        <w:tc>
          <w:tcPr>
            <w:tcW w:w="4024" w:type="dxa"/>
            <w:shd w:val="clear" w:color="000000" w:fill="FFFFFF"/>
            <w:noWrap/>
            <w:vAlign w:val="center"/>
            <w:hideMark/>
          </w:tcPr>
          <w:p w14:paraId="139350BC"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LY and QALY losses adjusted for health status</w:t>
            </w:r>
          </w:p>
        </w:tc>
        <w:tc>
          <w:tcPr>
            <w:tcW w:w="1487" w:type="dxa"/>
            <w:shd w:val="clear" w:color="000000" w:fill="FFFFFF"/>
            <w:noWrap/>
            <w:vAlign w:val="center"/>
            <w:hideMark/>
          </w:tcPr>
          <w:p w14:paraId="158D0AAD" w14:textId="790A6A2D"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5EDF422C"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8,587</w:t>
            </w:r>
          </w:p>
        </w:tc>
        <w:tc>
          <w:tcPr>
            <w:tcW w:w="967" w:type="dxa"/>
            <w:shd w:val="clear" w:color="000000" w:fill="FFFFFF"/>
            <w:noWrap/>
            <w:vAlign w:val="center"/>
            <w:hideMark/>
          </w:tcPr>
          <w:p w14:paraId="35FA7C15" w14:textId="2BBDF7E7" w:rsidR="001863E2" w:rsidRPr="0096425F"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96425F">
              <w:rPr>
                <w:rFonts w:ascii="Arial Narrow" w:eastAsiaTheme="majorEastAsia" w:hAnsi="Arial Narrow" w:cstheme="majorBidi"/>
                <w:bCs/>
                <w:iCs/>
                <w:sz w:val="20"/>
                <w:szCs w:val="24"/>
                <w:vertAlign w:val="superscript"/>
              </w:rPr>
              <w:t>2</w:t>
            </w:r>
          </w:p>
        </w:tc>
        <w:tc>
          <w:tcPr>
            <w:tcW w:w="818" w:type="dxa"/>
            <w:shd w:val="clear" w:color="000000" w:fill="FFFFFF"/>
            <w:noWrap/>
            <w:vAlign w:val="center"/>
            <w:hideMark/>
          </w:tcPr>
          <w:p w14:paraId="65771342" w14:textId="67633058"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769869A5" w14:textId="77777777" w:rsidTr="001D59BC">
        <w:trPr>
          <w:trHeight w:val="330"/>
        </w:trPr>
        <w:tc>
          <w:tcPr>
            <w:tcW w:w="581" w:type="dxa"/>
            <w:shd w:val="clear" w:color="000000" w:fill="FFFFFF"/>
            <w:noWrap/>
            <w:vAlign w:val="center"/>
            <w:hideMark/>
          </w:tcPr>
          <w:p w14:paraId="16E72AB9"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#8</w:t>
            </w:r>
          </w:p>
        </w:tc>
        <w:tc>
          <w:tcPr>
            <w:tcW w:w="4024" w:type="dxa"/>
            <w:shd w:val="clear" w:color="000000" w:fill="FFFFFF"/>
            <w:noWrap/>
            <w:vAlign w:val="center"/>
            <w:hideMark/>
          </w:tcPr>
          <w:p w14:paraId="3D5ECA08"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Remove QALY decrements applied to infections or hospitalisations after acute phase</w:t>
            </w:r>
          </w:p>
        </w:tc>
        <w:tc>
          <w:tcPr>
            <w:tcW w:w="1487" w:type="dxa"/>
            <w:shd w:val="clear" w:color="000000" w:fill="FFFFFF"/>
            <w:noWrap/>
            <w:vAlign w:val="center"/>
            <w:hideMark/>
          </w:tcPr>
          <w:p w14:paraId="7879720A" w14:textId="0CF675F2" w:rsidR="001863E2" w:rsidRPr="00741DC1" w:rsidRDefault="005E1BCD" w:rsidP="001863E2">
            <w:pPr>
              <w:keepNext/>
              <w:keepLines/>
              <w:jc w:val="center"/>
              <w:rPr>
                <w:rFonts w:ascii="Arial Narrow" w:eastAsiaTheme="majorEastAsia" w:hAnsi="Arial Narrow" w:cstheme="majorBidi"/>
                <w:bCs/>
                <w:iCs/>
                <w:sz w:val="20"/>
                <w:szCs w:val="24"/>
                <w:highlight w:val="lightGray"/>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6618E15E"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6,940</w:t>
            </w:r>
          </w:p>
        </w:tc>
        <w:tc>
          <w:tcPr>
            <w:tcW w:w="967" w:type="dxa"/>
            <w:shd w:val="clear" w:color="000000" w:fill="FFFFFF"/>
            <w:noWrap/>
            <w:vAlign w:val="center"/>
            <w:hideMark/>
          </w:tcPr>
          <w:p w14:paraId="638AB72D" w14:textId="2E8EF933" w:rsidR="001863E2" w:rsidRPr="00FE28FE" w:rsidRDefault="005E1BCD" w:rsidP="001863E2">
            <w:pPr>
              <w:keepNext/>
              <w:keepLines/>
              <w:jc w:val="center"/>
              <w:rPr>
                <w:rFonts w:ascii="Arial Narrow" w:eastAsiaTheme="majorEastAsia" w:hAnsi="Arial Narrow" w:cstheme="majorBidi"/>
                <w:bCs/>
                <w:iCs/>
                <w:sz w:val="20"/>
                <w:szCs w:val="24"/>
                <w:highlight w:val="lightGray"/>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FE28FE" w:rsidRPr="00FE28FE">
              <w:rPr>
                <w:rFonts w:ascii="Arial Narrow" w:eastAsiaTheme="majorEastAsia" w:hAnsi="Arial Narrow" w:cstheme="majorBidi"/>
                <w:bCs/>
                <w:iCs/>
                <w:sz w:val="20"/>
                <w:szCs w:val="24"/>
                <w:vertAlign w:val="superscript"/>
              </w:rPr>
              <w:t>3</w:t>
            </w:r>
          </w:p>
        </w:tc>
        <w:tc>
          <w:tcPr>
            <w:tcW w:w="818" w:type="dxa"/>
            <w:shd w:val="clear" w:color="000000" w:fill="FFFFFF"/>
            <w:noWrap/>
            <w:vAlign w:val="center"/>
            <w:hideMark/>
          </w:tcPr>
          <w:p w14:paraId="5BA225FE" w14:textId="5B9FB9A0"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0BB7BE6F" w14:textId="77777777" w:rsidTr="003837CF">
        <w:trPr>
          <w:trHeight w:val="50"/>
        </w:trPr>
        <w:tc>
          <w:tcPr>
            <w:tcW w:w="9017" w:type="dxa"/>
            <w:gridSpan w:val="6"/>
            <w:shd w:val="clear" w:color="auto" w:fill="D9D9D9" w:themeFill="background1" w:themeFillShade="D9"/>
            <w:noWrap/>
            <w:vAlign w:val="center"/>
          </w:tcPr>
          <w:p w14:paraId="5019E01E" w14:textId="77777777" w:rsidR="001863E2" w:rsidRPr="00B06893" w:rsidRDefault="001863E2" w:rsidP="001863E2">
            <w:pPr>
              <w:keepNext/>
              <w:keepLines/>
              <w:jc w:val="left"/>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Costs</w:t>
            </w:r>
          </w:p>
        </w:tc>
      </w:tr>
      <w:tr w:rsidR="001863E2" w:rsidRPr="00B06893" w14:paraId="6E2BFE10" w14:textId="77777777" w:rsidTr="001D59BC">
        <w:trPr>
          <w:trHeight w:val="91"/>
        </w:trPr>
        <w:tc>
          <w:tcPr>
            <w:tcW w:w="581" w:type="dxa"/>
            <w:shd w:val="clear" w:color="000000" w:fill="FFFFFF"/>
            <w:noWrap/>
            <w:vAlign w:val="center"/>
            <w:hideMark/>
          </w:tcPr>
          <w:p w14:paraId="23117281"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#9</w:t>
            </w:r>
          </w:p>
        </w:tc>
        <w:tc>
          <w:tcPr>
            <w:tcW w:w="4024" w:type="dxa"/>
            <w:shd w:val="clear" w:color="000000" w:fill="FFFFFF"/>
            <w:noWrap/>
            <w:vAlign w:val="center"/>
            <w:hideMark/>
          </w:tcPr>
          <w:p w14:paraId="6F6291F5"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Correct Emergency Department costs</w:t>
            </w:r>
          </w:p>
        </w:tc>
        <w:tc>
          <w:tcPr>
            <w:tcW w:w="1487" w:type="dxa"/>
            <w:shd w:val="clear" w:color="000000" w:fill="FFFFFF"/>
            <w:noWrap/>
            <w:vAlign w:val="center"/>
            <w:hideMark/>
          </w:tcPr>
          <w:p w14:paraId="33864EB4" w14:textId="5503B952"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42861C0B"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11,515</w:t>
            </w:r>
          </w:p>
        </w:tc>
        <w:tc>
          <w:tcPr>
            <w:tcW w:w="967" w:type="dxa"/>
            <w:shd w:val="clear" w:color="000000" w:fill="FFFFFF"/>
            <w:noWrap/>
            <w:vAlign w:val="center"/>
            <w:hideMark/>
          </w:tcPr>
          <w:p w14:paraId="2DEEA4DE" w14:textId="3513C8FF" w:rsidR="001863E2" w:rsidRPr="003A3183"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3737AE71" w14:textId="105B9093" w:rsidR="001863E2" w:rsidRPr="006A3B96" w:rsidRDefault="00193971" w:rsidP="001863E2">
            <w:pPr>
              <w:keepNext/>
              <w:keepLines/>
              <w:jc w:val="center"/>
              <w:rPr>
                <w:rFonts w:ascii="Arial Narrow" w:eastAsiaTheme="majorEastAsia" w:hAnsi="Arial Narrow" w:cstheme="majorBidi"/>
                <w:bCs/>
                <w:iCs/>
                <w:sz w:val="20"/>
                <w:szCs w:val="24"/>
                <w:highlight w:val="lightGray"/>
              </w:rPr>
            </w:pPr>
            <w:r w:rsidRPr="0062217C">
              <w:rPr>
                <w:rFonts w:ascii="Arial Narrow" w:eastAsiaTheme="majorEastAsia" w:hAnsi="Arial Narrow" w:cstheme="majorBidi"/>
                <w:bCs/>
                <w:iCs/>
                <w:sz w:val="20"/>
                <w:szCs w:val="24"/>
              </w:rPr>
              <w:noBreakHyphen/>
            </w:r>
            <w:r w:rsidR="00FF3F29"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6A34B0C0" w14:textId="77777777" w:rsidTr="001D59BC">
        <w:trPr>
          <w:trHeight w:val="330"/>
        </w:trPr>
        <w:tc>
          <w:tcPr>
            <w:tcW w:w="581" w:type="dxa"/>
            <w:shd w:val="clear" w:color="000000" w:fill="FFFFFF"/>
            <w:noWrap/>
            <w:vAlign w:val="center"/>
            <w:hideMark/>
          </w:tcPr>
          <w:p w14:paraId="28BEA3ED"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#10</w:t>
            </w:r>
          </w:p>
        </w:tc>
        <w:tc>
          <w:tcPr>
            <w:tcW w:w="4024" w:type="dxa"/>
            <w:shd w:val="clear" w:color="000000" w:fill="FFFFFF"/>
            <w:noWrap/>
            <w:vAlign w:val="center"/>
            <w:hideMark/>
          </w:tcPr>
          <w:p w14:paraId="34A3752B" w14:textId="60BE02B2"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Increase hospitalisation costs by applying AR</w:t>
            </w:r>
            <w:r w:rsidR="00193971">
              <w:rPr>
                <w:rFonts w:ascii="Arial Narrow" w:eastAsiaTheme="majorEastAsia" w:hAnsi="Arial Narrow" w:cstheme="majorBidi"/>
                <w:bCs/>
                <w:iCs/>
                <w:sz w:val="20"/>
                <w:szCs w:val="24"/>
              </w:rPr>
              <w:noBreakHyphen/>
            </w:r>
            <w:r w:rsidRPr="00B06893">
              <w:rPr>
                <w:rFonts w:ascii="Arial Narrow" w:eastAsiaTheme="majorEastAsia" w:hAnsi="Arial Narrow" w:cstheme="majorBidi"/>
                <w:bCs/>
                <w:iCs/>
                <w:sz w:val="20"/>
                <w:szCs w:val="24"/>
              </w:rPr>
              <w:t>DRGs with higher average LOS</w:t>
            </w:r>
          </w:p>
        </w:tc>
        <w:tc>
          <w:tcPr>
            <w:tcW w:w="1487" w:type="dxa"/>
            <w:shd w:val="clear" w:color="000000" w:fill="FFFFFF"/>
            <w:noWrap/>
            <w:vAlign w:val="center"/>
            <w:hideMark/>
          </w:tcPr>
          <w:p w14:paraId="7DD2C3B1" w14:textId="7E7F9836" w:rsidR="001863E2" w:rsidRPr="00741DC1" w:rsidRDefault="005E1BCD" w:rsidP="001863E2">
            <w:pPr>
              <w:keepNext/>
              <w:keepLines/>
              <w:jc w:val="center"/>
              <w:rPr>
                <w:rFonts w:ascii="Arial Narrow" w:eastAsiaTheme="majorEastAsia" w:hAnsi="Arial Narrow" w:cstheme="majorBidi"/>
                <w:bCs/>
                <w:iCs/>
                <w:sz w:val="20"/>
                <w:szCs w:val="24"/>
                <w:highlight w:val="lightGray"/>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19AA4BAC"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11,515</w:t>
            </w:r>
          </w:p>
        </w:tc>
        <w:tc>
          <w:tcPr>
            <w:tcW w:w="967" w:type="dxa"/>
            <w:shd w:val="clear" w:color="000000" w:fill="FFFFFF"/>
            <w:noWrap/>
            <w:vAlign w:val="center"/>
            <w:hideMark/>
          </w:tcPr>
          <w:p w14:paraId="3525CE64" w14:textId="7E7B3611" w:rsidR="001863E2" w:rsidRPr="00AF4529" w:rsidRDefault="005E1BCD" w:rsidP="001863E2">
            <w:pPr>
              <w:keepNext/>
              <w:keepLines/>
              <w:jc w:val="center"/>
              <w:rPr>
                <w:rFonts w:ascii="Arial Narrow" w:eastAsiaTheme="majorEastAsia" w:hAnsi="Arial Narrow" w:cstheme="majorBidi"/>
                <w:bCs/>
                <w:iCs/>
                <w:sz w:val="20"/>
                <w:szCs w:val="24"/>
                <w:highlight w:val="lightGray"/>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AF4529" w:rsidRPr="00AF4529">
              <w:rPr>
                <w:rFonts w:ascii="Arial Narrow" w:eastAsiaTheme="majorEastAsia" w:hAnsi="Arial Narrow" w:cstheme="majorBidi"/>
                <w:bCs/>
                <w:iCs/>
                <w:sz w:val="20"/>
                <w:szCs w:val="24"/>
                <w:vertAlign w:val="superscript"/>
              </w:rPr>
              <w:t>4</w:t>
            </w:r>
          </w:p>
        </w:tc>
        <w:tc>
          <w:tcPr>
            <w:tcW w:w="818" w:type="dxa"/>
            <w:shd w:val="clear" w:color="000000" w:fill="FFFFFF"/>
            <w:noWrap/>
            <w:vAlign w:val="center"/>
            <w:hideMark/>
          </w:tcPr>
          <w:p w14:paraId="066BA20E" w14:textId="4EA3174B" w:rsidR="001863E2" w:rsidRPr="006A3B96" w:rsidRDefault="00193971" w:rsidP="001863E2">
            <w:pPr>
              <w:keepNext/>
              <w:keepLines/>
              <w:jc w:val="center"/>
              <w:rPr>
                <w:rFonts w:ascii="Arial Narrow" w:eastAsiaTheme="majorEastAsia" w:hAnsi="Arial Narrow" w:cstheme="majorBidi"/>
                <w:bCs/>
                <w:iCs/>
                <w:sz w:val="20"/>
                <w:szCs w:val="24"/>
                <w:highlight w:val="lightGray"/>
              </w:rPr>
            </w:pPr>
            <w:r w:rsidRPr="0062217C">
              <w:rPr>
                <w:rFonts w:ascii="Arial Narrow" w:eastAsiaTheme="majorEastAsia" w:hAnsi="Arial Narrow" w:cstheme="majorBidi"/>
                <w:bCs/>
                <w:iCs/>
                <w:sz w:val="20"/>
                <w:szCs w:val="24"/>
              </w:rPr>
              <w:noBreakHyphen/>
            </w:r>
            <w:r w:rsidR="00FF3F29"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7C805302" w14:textId="77777777" w:rsidTr="001D59BC">
        <w:trPr>
          <w:trHeight w:val="50"/>
        </w:trPr>
        <w:tc>
          <w:tcPr>
            <w:tcW w:w="581" w:type="dxa"/>
            <w:shd w:val="clear" w:color="000000" w:fill="FFFFFF"/>
            <w:noWrap/>
            <w:vAlign w:val="center"/>
            <w:hideMark/>
          </w:tcPr>
          <w:p w14:paraId="026DA266" w14:textId="44510695"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w:t>
            </w:r>
          </w:p>
        </w:tc>
        <w:tc>
          <w:tcPr>
            <w:tcW w:w="4024" w:type="dxa"/>
            <w:shd w:val="clear" w:color="000000" w:fill="FFFFFF"/>
            <w:noWrap/>
            <w:vAlign w:val="center"/>
            <w:hideMark/>
          </w:tcPr>
          <w:p w14:paraId="42FBE511"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Increase cost of Grade 3 AE to one GP visit</w:t>
            </w:r>
          </w:p>
        </w:tc>
        <w:tc>
          <w:tcPr>
            <w:tcW w:w="1487" w:type="dxa"/>
            <w:shd w:val="clear" w:color="000000" w:fill="FFFFFF"/>
            <w:noWrap/>
            <w:vAlign w:val="center"/>
            <w:hideMark/>
          </w:tcPr>
          <w:p w14:paraId="548F97FE" w14:textId="57CF0A4E"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23C6BB73"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11,515</w:t>
            </w:r>
          </w:p>
        </w:tc>
        <w:tc>
          <w:tcPr>
            <w:tcW w:w="967" w:type="dxa"/>
            <w:shd w:val="clear" w:color="000000" w:fill="FFFFFF"/>
            <w:noWrap/>
            <w:vAlign w:val="center"/>
            <w:hideMark/>
          </w:tcPr>
          <w:p w14:paraId="1A11EBE5" w14:textId="5CE2C40E" w:rsidR="001863E2" w:rsidRPr="003A3183"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Pr>
                <w:rFonts w:ascii="Arial Narrow" w:eastAsiaTheme="majorEastAsia" w:hAnsi="Arial Narrow" w:cstheme="majorBidi"/>
                <w:bCs/>
                <w:iCs/>
                <w:sz w:val="20"/>
                <w:szCs w:val="24"/>
                <w:vertAlign w:val="superscript"/>
              </w:rPr>
              <w:t>1</w:t>
            </w:r>
          </w:p>
        </w:tc>
        <w:tc>
          <w:tcPr>
            <w:tcW w:w="818" w:type="dxa"/>
            <w:shd w:val="clear" w:color="000000" w:fill="FFFFFF"/>
            <w:noWrap/>
            <w:vAlign w:val="center"/>
            <w:hideMark/>
          </w:tcPr>
          <w:p w14:paraId="3C935DC0" w14:textId="40DC0F22" w:rsidR="001863E2" w:rsidRPr="006A3B96"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50500612" w14:textId="77777777" w:rsidTr="003837CF">
        <w:trPr>
          <w:trHeight w:val="50"/>
        </w:trPr>
        <w:tc>
          <w:tcPr>
            <w:tcW w:w="9017" w:type="dxa"/>
            <w:gridSpan w:val="6"/>
            <w:shd w:val="clear" w:color="auto" w:fill="D9D9D9" w:themeFill="background1" w:themeFillShade="D9"/>
            <w:noWrap/>
            <w:vAlign w:val="center"/>
          </w:tcPr>
          <w:p w14:paraId="61FD5FC5" w14:textId="77777777" w:rsidR="001863E2" w:rsidRPr="00B06893" w:rsidRDefault="001863E2" w:rsidP="001863E2">
            <w:pPr>
              <w:keepNext/>
              <w:keepLines/>
              <w:jc w:val="left"/>
              <w:rPr>
                <w:rFonts w:ascii="Arial Narrow" w:eastAsiaTheme="majorEastAsia" w:hAnsi="Arial Narrow" w:cstheme="majorBidi"/>
                <w:b/>
                <w:iCs/>
                <w:sz w:val="20"/>
                <w:szCs w:val="24"/>
              </w:rPr>
            </w:pPr>
            <w:r w:rsidRPr="00B06893">
              <w:rPr>
                <w:rFonts w:ascii="Arial Narrow" w:eastAsiaTheme="majorEastAsia" w:hAnsi="Arial Narrow" w:cstheme="majorBidi"/>
                <w:b/>
                <w:iCs/>
                <w:sz w:val="20"/>
                <w:szCs w:val="24"/>
              </w:rPr>
              <w:t>Scenario analysis</w:t>
            </w:r>
          </w:p>
        </w:tc>
      </w:tr>
      <w:tr w:rsidR="001863E2" w:rsidRPr="00B06893" w14:paraId="72C7C939" w14:textId="77777777" w:rsidTr="001D59BC">
        <w:trPr>
          <w:trHeight w:val="330"/>
        </w:trPr>
        <w:tc>
          <w:tcPr>
            <w:tcW w:w="581" w:type="dxa"/>
            <w:shd w:val="clear" w:color="000000" w:fill="FFFFFF"/>
            <w:noWrap/>
            <w:vAlign w:val="center"/>
            <w:hideMark/>
          </w:tcPr>
          <w:p w14:paraId="2905C3E5"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#12</w:t>
            </w:r>
          </w:p>
        </w:tc>
        <w:tc>
          <w:tcPr>
            <w:tcW w:w="4024" w:type="dxa"/>
            <w:shd w:val="clear" w:color="000000" w:fill="FFFFFF"/>
            <w:noWrap/>
            <w:vAlign w:val="center"/>
            <w:hideMark/>
          </w:tcPr>
          <w:p w14:paraId="5D38FC7C" w14:textId="1D02A546"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Remove effect of non</w:t>
            </w:r>
            <w:r w:rsidR="00193971">
              <w:rPr>
                <w:rFonts w:ascii="Arial Narrow" w:eastAsiaTheme="majorEastAsia" w:hAnsi="Arial Narrow" w:cstheme="majorBidi"/>
                <w:bCs/>
                <w:iCs/>
                <w:sz w:val="20"/>
                <w:szCs w:val="24"/>
              </w:rPr>
              <w:noBreakHyphen/>
            </w:r>
            <w:r w:rsidRPr="00B06893">
              <w:rPr>
                <w:rFonts w:ascii="Arial Narrow" w:eastAsiaTheme="majorEastAsia" w:hAnsi="Arial Narrow" w:cstheme="majorBidi"/>
                <w:bCs/>
                <w:iCs/>
                <w:sz w:val="20"/>
                <w:szCs w:val="24"/>
              </w:rPr>
              <w:t>hospitalised cases in the model</w:t>
            </w:r>
            <w:r w:rsidR="007252B9" w:rsidRPr="00B06893">
              <w:rPr>
                <w:rFonts w:ascii="Arial Narrow" w:eastAsiaTheme="majorEastAsia" w:hAnsi="Arial Narrow" w:cstheme="majorBidi"/>
                <w:bCs/>
                <w:iCs/>
                <w:sz w:val="20"/>
                <w:szCs w:val="24"/>
              </w:rPr>
              <w:t xml:space="preserve"> (both benefits and costs)</w:t>
            </w:r>
          </w:p>
        </w:tc>
        <w:tc>
          <w:tcPr>
            <w:tcW w:w="1487" w:type="dxa"/>
            <w:shd w:val="clear" w:color="000000" w:fill="FFFFFF"/>
            <w:noWrap/>
            <w:vAlign w:val="center"/>
            <w:hideMark/>
          </w:tcPr>
          <w:p w14:paraId="6E3B0825" w14:textId="30E9BFC2" w:rsidR="001863E2" w:rsidRPr="005E1BCD"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hideMark/>
          </w:tcPr>
          <w:p w14:paraId="69B4713E"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6,893</w:t>
            </w:r>
          </w:p>
        </w:tc>
        <w:tc>
          <w:tcPr>
            <w:tcW w:w="967" w:type="dxa"/>
            <w:shd w:val="clear" w:color="000000" w:fill="FFFFFF"/>
            <w:noWrap/>
            <w:vAlign w:val="center"/>
            <w:hideMark/>
          </w:tcPr>
          <w:p w14:paraId="4A6956D4" w14:textId="2D1965C5" w:rsidR="001863E2" w:rsidRPr="00FE28FE" w:rsidRDefault="005E1BCD" w:rsidP="001863E2">
            <w:pPr>
              <w:keepNext/>
              <w:keepLines/>
              <w:jc w:val="center"/>
              <w:rPr>
                <w:rFonts w:ascii="Arial Narrow" w:eastAsiaTheme="majorEastAsia" w:hAnsi="Arial Narrow" w:cstheme="majorBidi"/>
                <w:bCs/>
                <w:iCs/>
                <w:sz w:val="20"/>
                <w:szCs w:val="24"/>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FE28FE">
              <w:rPr>
                <w:rFonts w:ascii="Arial Narrow" w:eastAsiaTheme="majorEastAsia" w:hAnsi="Arial Narrow" w:cstheme="majorBidi"/>
                <w:bCs/>
                <w:iCs/>
                <w:sz w:val="20"/>
                <w:szCs w:val="24"/>
                <w:vertAlign w:val="superscript"/>
              </w:rPr>
              <w:t>3</w:t>
            </w:r>
          </w:p>
        </w:tc>
        <w:tc>
          <w:tcPr>
            <w:tcW w:w="818" w:type="dxa"/>
            <w:shd w:val="clear" w:color="000000" w:fill="FFFFFF"/>
            <w:noWrap/>
            <w:vAlign w:val="center"/>
            <w:hideMark/>
          </w:tcPr>
          <w:p w14:paraId="4634CDCB" w14:textId="476CB3D5" w:rsidR="001863E2" w:rsidRPr="00496424" w:rsidRDefault="00FF3F29" w:rsidP="001863E2">
            <w:pPr>
              <w:keepNext/>
              <w:keepLines/>
              <w:jc w:val="center"/>
              <w:rPr>
                <w:rFonts w:ascii="Arial Narrow" w:eastAsiaTheme="majorEastAsia" w:hAnsi="Arial Narrow" w:cstheme="majorBidi"/>
                <w:bCs/>
                <w:iCs/>
                <w:sz w:val="20"/>
                <w:szCs w:val="24"/>
                <w:highlight w:val="lightGray"/>
              </w:rPr>
            </w:pPr>
            <w:r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r w:rsidR="001863E2" w:rsidRPr="00B06893" w14:paraId="6275DC29" w14:textId="77777777" w:rsidTr="001D59BC">
        <w:trPr>
          <w:trHeight w:val="50"/>
        </w:trPr>
        <w:tc>
          <w:tcPr>
            <w:tcW w:w="581" w:type="dxa"/>
            <w:shd w:val="clear" w:color="000000" w:fill="FFFFFF"/>
            <w:noWrap/>
            <w:vAlign w:val="center"/>
          </w:tcPr>
          <w:p w14:paraId="757F7FCC"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#13</w:t>
            </w:r>
          </w:p>
        </w:tc>
        <w:tc>
          <w:tcPr>
            <w:tcW w:w="4024" w:type="dxa"/>
            <w:shd w:val="clear" w:color="000000" w:fill="FFFFFF"/>
            <w:noWrap/>
            <w:vAlign w:val="center"/>
          </w:tcPr>
          <w:p w14:paraId="3756AB1F" w14:textId="77777777" w:rsidR="001863E2" w:rsidRPr="00B06893" w:rsidRDefault="001863E2" w:rsidP="001863E2">
            <w:pPr>
              <w:keepNext/>
              <w:keepLines/>
              <w:jc w:val="left"/>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Add 30% mortality to account for out of hospital deaths</w:t>
            </w:r>
          </w:p>
        </w:tc>
        <w:tc>
          <w:tcPr>
            <w:tcW w:w="1487" w:type="dxa"/>
            <w:shd w:val="clear" w:color="000000" w:fill="FFFFFF"/>
            <w:noWrap/>
            <w:vAlign w:val="center"/>
          </w:tcPr>
          <w:p w14:paraId="12EFA167" w14:textId="00F99350" w:rsidR="001863E2" w:rsidRPr="008C7B9E" w:rsidRDefault="005E1BCD" w:rsidP="001863E2">
            <w:pPr>
              <w:keepNext/>
              <w:keepLines/>
              <w:jc w:val="center"/>
              <w:rPr>
                <w:rFonts w:ascii="Arial Narrow" w:eastAsiaTheme="majorEastAsia" w:hAnsi="Arial Narrow" w:cstheme="majorBidi"/>
                <w:bCs/>
                <w:iCs/>
                <w:sz w:val="20"/>
                <w:szCs w:val="24"/>
                <w:highlight w:val="lightGray"/>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p>
        </w:tc>
        <w:tc>
          <w:tcPr>
            <w:tcW w:w="1140" w:type="dxa"/>
            <w:shd w:val="clear" w:color="000000" w:fill="FFFFFF"/>
            <w:noWrap/>
            <w:vAlign w:val="center"/>
          </w:tcPr>
          <w:p w14:paraId="0E0F976E" w14:textId="77777777" w:rsidR="001863E2" w:rsidRPr="00B06893" w:rsidRDefault="001863E2" w:rsidP="001863E2">
            <w:pPr>
              <w:keepNext/>
              <w:keepLines/>
              <w:jc w:val="center"/>
              <w:rPr>
                <w:rFonts w:ascii="Arial Narrow" w:eastAsiaTheme="majorEastAsia" w:hAnsi="Arial Narrow" w:cstheme="majorBidi"/>
                <w:bCs/>
                <w:iCs/>
                <w:sz w:val="20"/>
                <w:szCs w:val="24"/>
              </w:rPr>
            </w:pPr>
            <w:r w:rsidRPr="00B06893">
              <w:rPr>
                <w:rFonts w:ascii="Arial Narrow" w:eastAsiaTheme="majorEastAsia" w:hAnsi="Arial Narrow" w:cstheme="majorBidi"/>
                <w:bCs/>
                <w:iCs/>
                <w:sz w:val="20"/>
                <w:szCs w:val="24"/>
              </w:rPr>
              <w:t>12,666</w:t>
            </w:r>
          </w:p>
        </w:tc>
        <w:tc>
          <w:tcPr>
            <w:tcW w:w="967" w:type="dxa"/>
            <w:shd w:val="clear" w:color="000000" w:fill="FFFFFF"/>
            <w:noWrap/>
            <w:vAlign w:val="center"/>
          </w:tcPr>
          <w:p w14:paraId="0731147B" w14:textId="5010D6AB" w:rsidR="001863E2" w:rsidRPr="003A3183" w:rsidRDefault="005E1BCD" w:rsidP="001863E2">
            <w:pPr>
              <w:keepNext/>
              <w:keepLines/>
              <w:jc w:val="center"/>
              <w:rPr>
                <w:rFonts w:ascii="Arial Narrow" w:eastAsiaTheme="majorEastAsia" w:hAnsi="Arial Narrow" w:cstheme="majorBidi"/>
                <w:bCs/>
                <w:iCs/>
                <w:sz w:val="20"/>
                <w:szCs w:val="24"/>
                <w:highlight w:val="lightGray"/>
                <w:vertAlign w:val="superscript"/>
              </w:rPr>
            </w:pPr>
            <w:r w:rsidRPr="005E1BCD">
              <w:rPr>
                <w:rFonts w:ascii="Arial Narrow" w:eastAsiaTheme="majorEastAsia" w:hAnsi="Arial Narrow" w:cstheme="majorBidi"/>
                <w:bCs/>
                <w:iCs/>
                <w:sz w:val="20"/>
                <w:szCs w:val="24"/>
              </w:rPr>
              <w:t>$</w:t>
            </w:r>
            <w:r w:rsidR="00FF3F29" w:rsidRPr="00FF3F29">
              <w:rPr>
                <w:rFonts w:ascii="Arial Narrow" w:eastAsiaTheme="majorEastAsia" w:hAnsi="Arial Narrow" w:cstheme="majorBidi"/>
                <w:bCs/>
                <w:iCs/>
                <w:sz w:val="2"/>
                <w:szCs w:val="24"/>
                <w:highlight w:val="black"/>
              </w:rPr>
              <w:t>redacted content</w:t>
            </w:r>
            <w:r w:rsidR="003A3183" w:rsidRPr="00DE3C1C">
              <w:rPr>
                <w:rFonts w:ascii="Arial Narrow" w:eastAsiaTheme="majorEastAsia" w:hAnsi="Arial Narrow" w:cstheme="majorBidi"/>
                <w:bCs/>
                <w:iCs/>
                <w:sz w:val="20"/>
                <w:szCs w:val="24"/>
                <w:vertAlign w:val="superscript"/>
              </w:rPr>
              <w:t>1</w:t>
            </w:r>
          </w:p>
        </w:tc>
        <w:tc>
          <w:tcPr>
            <w:tcW w:w="818" w:type="dxa"/>
            <w:shd w:val="clear" w:color="000000" w:fill="FFFFFF"/>
            <w:noWrap/>
            <w:vAlign w:val="center"/>
          </w:tcPr>
          <w:p w14:paraId="00EB6B09" w14:textId="227BACF8" w:rsidR="001863E2" w:rsidRPr="00496424" w:rsidRDefault="00193971" w:rsidP="001863E2">
            <w:pPr>
              <w:keepNext/>
              <w:keepLines/>
              <w:jc w:val="center"/>
              <w:rPr>
                <w:rFonts w:ascii="Arial Narrow" w:eastAsiaTheme="majorEastAsia" w:hAnsi="Arial Narrow" w:cstheme="majorBidi"/>
                <w:bCs/>
                <w:iCs/>
                <w:sz w:val="20"/>
                <w:szCs w:val="24"/>
                <w:highlight w:val="lightGray"/>
              </w:rPr>
            </w:pPr>
            <w:r w:rsidRPr="0062217C">
              <w:rPr>
                <w:rFonts w:ascii="Arial Narrow" w:eastAsiaTheme="majorEastAsia" w:hAnsi="Arial Narrow" w:cstheme="majorBidi"/>
                <w:bCs/>
                <w:iCs/>
                <w:sz w:val="20"/>
                <w:szCs w:val="24"/>
              </w:rPr>
              <w:noBreakHyphen/>
            </w:r>
            <w:r w:rsidR="00FF3F29" w:rsidRPr="00FF3F29">
              <w:rPr>
                <w:rFonts w:ascii="Arial Narrow" w:eastAsiaTheme="majorEastAsia" w:hAnsi="Arial Narrow" w:cstheme="majorBidi"/>
                <w:bCs/>
                <w:iCs/>
                <w:sz w:val="2"/>
                <w:szCs w:val="24"/>
                <w:highlight w:val="black"/>
              </w:rPr>
              <w:t>redacted content</w:t>
            </w:r>
            <w:r w:rsidR="00496424" w:rsidRPr="00496424">
              <w:rPr>
                <w:rFonts w:ascii="Arial Narrow" w:eastAsiaTheme="majorEastAsia" w:hAnsi="Arial Narrow" w:cstheme="majorBidi"/>
                <w:bCs/>
                <w:iCs/>
                <w:sz w:val="20"/>
                <w:szCs w:val="24"/>
              </w:rPr>
              <w:t>%</w:t>
            </w:r>
          </w:p>
        </w:tc>
      </w:tr>
    </w:tbl>
    <w:bookmarkEnd w:id="83"/>
    <w:p w14:paraId="5E8BEAF5" w14:textId="77777777" w:rsidR="001863E2" w:rsidRPr="00B06893" w:rsidRDefault="001863E2" w:rsidP="001863E2">
      <w:pPr>
        <w:keepLines/>
        <w:spacing w:after="120"/>
        <w:contextualSpacing/>
        <w:jc w:val="left"/>
        <w:rPr>
          <w:rFonts w:ascii="Arial Narrow" w:hAnsi="Arial Narrow" w:cs="Arial"/>
          <w:iCs/>
          <w:snapToGrid w:val="0"/>
          <w:sz w:val="18"/>
          <w:szCs w:val="22"/>
        </w:rPr>
      </w:pPr>
      <w:r w:rsidRPr="00B06893">
        <w:rPr>
          <w:rFonts w:ascii="Arial Narrow" w:hAnsi="Arial Narrow" w:cs="Arial"/>
          <w:iCs/>
          <w:snapToGrid w:val="0"/>
          <w:sz w:val="18"/>
          <w:szCs w:val="22"/>
        </w:rPr>
        <w:t>Source: generated during the evaluation based on the Spikevax economic model.</w:t>
      </w:r>
    </w:p>
    <w:p w14:paraId="75E0403D" w14:textId="77777777" w:rsidR="00425D18" w:rsidRDefault="001863E2" w:rsidP="00425D18">
      <w:pPr>
        <w:keepNext/>
        <w:keepLines/>
        <w:spacing w:after="120"/>
        <w:contextualSpacing/>
        <w:jc w:val="left"/>
        <w:rPr>
          <w:rFonts w:ascii="Arial Narrow" w:hAnsi="Arial Narrow" w:cs="Arial"/>
          <w:iCs/>
          <w:snapToGrid w:val="0"/>
          <w:sz w:val="18"/>
          <w:szCs w:val="22"/>
        </w:rPr>
      </w:pPr>
      <w:r w:rsidRPr="00B06893">
        <w:rPr>
          <w:rFonts w:ascii="Arial Narrow" w:hAnsi="Arial Narrow" w:cs="Arial"/>
          <w:iCs/>
          <w:snapToGrid w:val="0"/>
          <w:sz w:val="18"/>
          <w:szCs w:val="22"/>
        </w:rPr>
        <w:t>ABS = Australian Bureau of Statistics; AE = Adverse Event; AIHW = Australian Institute of Health and Welfare; AR = Adverse reaction; COVID = Coronavirus disease of 2019; GP = General practitioner; ICER = Incremental cost</w:t>
      </w:r>
      <w:r w:rsidR="00193971">
        <w:rPr>
          <w:rFonts w:ascii="Arial Narrow" w:hAnsi="Arial Narrow" w:cs="Arial"/>
          <w:iCs/>
          <w:snapToGrid w:val="0"/>
          <w:sz w:val="18"/>
          <w:szCs w:val="22"/>
        </w:rPr>
        <w:noBreakHyphen/>
      </w:r>
      <w:r w:rsidRPr="00B06893">
        <w:rPr>
          <w:rFonts w:ascii="Arial Narrow" w:hAnsi="Arial Narrow" w:cs="Arial"/>
          <w:iCs/>
          <w:snapToGrid w:val="0"/>
          <w:sz w:val="18"/>
          <w:szCs w:val="22"/>
        </w:rPr>
        <w:t>effectiveness ratio; ICU = Intensive Care Unit; LOS = Length of Stay; QALY = Quality</w:t>
      </w:r>
      <w:r w:rsidR="00193971">
        <w:rPr>
          <w:rFonts w:ascii="Arial Narrow" w:hAnsi="Arial Narrow" w:cs="Arial"/>
          <w:iCs/>
          <w:snapToGrid w:val="0"/>
          <w:sz w:val="18"/>
          <w:szCs w:val="22"/>
        </w:rPr>
        <w:noBreakHyphen/>
      </w:r>
      <w:r w:rsidRPr="00B06893">
        <w:rPr>
          <w:rFonts w:ascii="Arial Narrow" w:hAnsi="Arial Narrow" w:cs="Arial"/>
          <w:iCs/>
          <w:snapToGrid w:val="0"/>
          <w:sz w:val="18"/>
          <w:szCs w:val="22"/>
        </w:rPr>
        <w:t>Adjusted Life Year; VE = Vaccine effectiveness.</w:t>
      </w:r>
      <w:r w:rsidR="00425D18">
        <w:rPr>
          <w:rFonts w:ascii="Arial Narrow" w:hAnsi="Arial Narrow" w:cs="Arial"/>
          <w:iCs/>
          <w:snapToGrid w:val="0"/>
          <w:sz w:val="18"/>
          <w:szCs w:val="22"/>
        </w:rPr>
        <w:t xml:space="preserve"> </w:t>
      </w:r>
    </w:p>
    <w:p w14:paraId="18F3133F" w14:textId="77777777" w:rsidR="00F51759" w:rsidRPr="00F51759" w:rsidRDefault="00F51759" w:rsidP="00F51759">
      <w:pPr>
        <w:jc w:val="left"/>
        <w:rPr>
          <w:rFonts w:ascii="Arial Narrow" w:hAnsi="Arial Narrow" w:cs="Arial"/>
          <w:i/>
          <w:sz w:val="18"/>
          <w:szCs w:val="18"/>
        </w:rPr>
      </w:pPr>
      <w:r w:rsidRPr="00F51759">
        <w:rPr>
          <w:rFonts w:ascii="Arial Narrow" w:hAnsi="Arial Narrow" w:cs="Arial"/>
          <w:i/>
          <w:sz w:val="18"/>
          <w:szCs w:val="18"/>
        </w:rPr>
        <w:t xml:space="preserve">The redacted values correspond to the following ranges: </w:t>
      </w:r>
    </w:p>
    <w:p w14:paraId="4036254A" w14:textId="52B7B739" w:rsidR="00F51759" w:rsidRPr="00F51759" w:rsidRDefault="00F51759" w:rsidP="00F51759">
      <w:pPr>
        <w:jc w:val="left"/>
        <w:rPr>
          <w:rFonts w:ascii="Arial Narrow" w:hAnsi="Arial Narrow" w:cs="Arial"/>
          <w:i/>
          <w:sz w:val="18"/>
          <w:szCs w:val="18"/>
        </w:rPr>
      </w:pPr>
      <w:r w:rsidRPr="00F51759">
        <w:rPr>
          <w:rFonts w:ascii="Arial Narrow" w:hAnsi="Arial Narrow" w:cs="Arial"/>
          <w:i/>
          <w:sz w:val="18"/>
          <w:szCs w:val="18"/>
          <w:vertAlign w:val="superscript"/>
        </w:rPr>
        <w:t>1</w:t>
      </w:r>
      <w:r w:rsidRPr="00F51759">
        <w:rPr>
          <w:rFonts w:ascii="Arial Narrow" w:hAnsi="Arial Narrow" w:cs="Arial"/>
          <w:i/>
          <w:sz w:val="18"/>
          <w:szCs w:val="18"/>
        </w:rPr>
        <w:t xml:space="preserve"> </w:t>
      </w:r>
      <w:r w:rsidR="003A3183" w:rsidRPr="003A3183">
        <w:rPr>
          <w:rFonts w:ascii="Arial Narrow" w:hAnsi="Arial Narrow" w:cs="Arial"/>
          <w:i/>
          <w:sz w:val="18"/>
          <w:szCs w:val="18"/>
        </w:rPr>
        <w:t>$25,000 to &lt; $35,000</w:t>
      </w:r>
    </w:p>
    <w:p w14:paraId="784153B5" w14:textId="25C95FD4" w:rsidR="00F51759" w:rsidRPr="00F51759" w:rsidRDefault="00F51759" w:rsidP="00F51759">
      <w:pPr>
        <w:jc w:val="left"/>
        <w:rPr>
          <w:rFonts w:ascii="Arial Narrow" w:hAnsi="Arial Narrow" w:cs="Arial"/>
          <w:i/>
          <w:sz w:val="18"/>
          <w:szCs w:val="18"/>
        </w:rPr>
      </w:pPr>
      <w:r w:rsidRPr="00F51759">
        <w:rPr>
          <w:rFonts w:ascii="Arial Narrow" w:hAnsi="Arial Narrow" w:cs="Arial"/>
          <w:i/>
          <w:sz w:val="18"/>
          <w:szCs w:val="18"/>
          <w:vertAlign w:val="superscript"/>
        </w:rPr>
        <w:t>2</w:t>
      </w:r>
      <w:r w:rsidRPr="00F51759">
        <w:rPr>
          <w:rFonts w:ascii="Arial Narrow" w:hAnsi="Arial Narrow" w:cs="Arial"/>
          <w:i/>
          <w:sz w:val="18"/>
          <w:szCs w:val="18"/>
        </w:rPr>
        <w:t xml:space="preserve"> </w:t>
      </w:r>
      <w:r w:rsidR="0096425F" w:rsidRPr="0096425F">
        <w:rPr>
          <w:rFonts w:ascii="Arial Narrow" w:hAnsi="Arial Narrow" w:cs="Arial"/>
          <w:i/>
          <w:sz w:val="18"/>
          <w:szCs w:val="18"/>
        </w:rPr>
        <w:t>$35,000 to &lt; $45,000</w:t>
      </w:r>
    </w:p>
    <w:p w14:paraId="7D35400F" w14:textId="21F4018B" w:rsidR="00F51759" w:rsidRPr="00F51759" w:rsidRDefault="00F51759" w:rsidP="00F51759">
      <w:pPr>
        <w:jc w:val="left"/>
        <w:rPr>
          <w:rFonts w:ascii="Arial Narrow" w:hAnsi="Arial Narrow" w:cs="Arial"/>
          <w:i/>
          <w:sz w:val="18"/>
          <w:szCs w:val="18"/>
        </w:rPr>
      </w:pPr>
      <w:r w:rsidRPr="00F51759">
        <w:rPr>
          <w:rFonts w:ascii="Arial Narrow" w:hAnsi="Arial Narrow" w:cs="Arial"/>
          <w:i/>
          <w:sz w:val="18"/>
          <w:szCs w:val="18"/>
          <w:vertAlign w:val="superscript"/>
        </w:rPr>
        <w:t>3</w:t>
      </w:r>
      <w:r w:rsidRPr="00F51759">
        <w:rPr>
          <w:rFonts w:ascii="Arial Narrow" w:hAnsi="Arial Narrow" w:cs="Arial"/>
          <w:i/>
          <w:sz w:val="18"/>
          <w:szCs w:val="18"/>
        </w:rPr>
        <w:t xml:space="preserve"> </w:t>
      </w:r>
      <w:r w:rsidR="00FE28FE" w:rsidRPr="00FE28FE">
        <w:rPr>
          <w:rFonts w:ascii="Arial Narrow" w:hAnsi="Arial Narrow" w:cs="Arial"/>
          <w:i/>
          <w:sz w:val="18"/>
          <w:szCs w:val="18"/>
        </w:rPr>
        <w:t>$45,000 to &lt; $55,000</w:t>
      </w:r>
    </w:p>
    <w:p w14:paraId="44A87C59" w14:textId="3AC23B4E" w:rsidR="009751E6" w:rsidRPr="00B06893" w:rsidRDefault="00F51759" w:rsidP="00AF4529">
      <w:pPr>
        <w:jc w:val="left"/>
        <w:rPr>
          <w:rFonts w:eastAsiaTheme="minorHAnsi" w:cstheme="minorBidi"/>
          <w:szCs w:val="22"/>
        </w:rPr>
      </w:pPr>
      <w:r w:rsidRPr="00F51759">
        <w:rPr>
          <w:rFonts w:ascii="Arial Narrow" w:hAnsi="Arial Narrow" w:cs="Arial"/>
          <w:i/>
          <w:sz w:val="18"/>
          <w:szCs w:val="18"/>
          <w:vertAlign w:val="superscript"/>
        </w:rPr>
        <w:t>4</w:t>
      </w:r>
      <w:r w:rsidRPr="00F51759">
        <w:rPr>
          <w:rFonts w:ascii="Arial Narrow" w:hAnsi="Arial Narrow" w:cs="Arial"/>
          <w:i/>
          <w:sz w:val="18"/>
          <w:szCs w:val="18"/>
        </w:rPr>
        <w:t xml:space="preserve"> </w:t>
      </w:r>
      <w:r w:rsidR="00AF4529" w:rsidRPr="00AF4529">
        <w:rPr>
          <w:rFonts w:ascii="Arial Narrow" w:hAnsi="Arial Narrow" w:cs="Arial"/>
          <w:i/>
          <w:sz w:val="18"/>
          <w:szCs w:val="18"/>
        </w:rPr>
        <w:t>$15,000 to &lt; $25,000</w:t>
      </w:r>
    </w:p>
    <w:p w14:paraId="536F7DA1" w14:textId="6FAC46BD" w:rsidR="002A54C5" w:rsidRPr="00B06893" w:rsidRDefault="002A54C5" w:rsidP="002A54C5">
      <w:pPr>
        <w:pStyle w:val="3-BodyText"/>
        <w:rPr>
          <w:iCs/>
        </w:rPr>
      </w:pPr>
      <w:r w:rsidRPr="00B06893">
        <w:t xml:space="preserve">The commentary proposed a respecified base case as shown in </w:t>
      </w:r>
      <w:r w:rsidRPr="00B06893">
        <w:fldChar w:fldCharType="begin"/>
      </w:r>
      <w:r w:rsidRPr="00B06893">
        <w:instrText xml:space="preserve"> REF _Ref221807110 \h  \* MERGEFORMAT </w:instrText>
      </w:r>
      <w:r w:rsidRPr="00B06893">
        <w:fldChar w:fldCharType="separate"/>
      </w:r>
      <w:r w:rsidR="00810177" w:rsidRPr="00B06893">
        <w:t>Table 31</w:t>
      </w:r>
      <w:r w:rsidRPr="00B06893">
        <w:fldChar w:fldCharType="end"/>
      </w:r>
      <w:r w:rsidRPr="00B06893">
        <w:t>.</w:t>
      </w:r>
      <w:r w:rsidR="00580BAD">
        <w:t xml:space="preserve"> </w:t>
      </w:r>
      <w:r w:rsidRPr="00B06893">
        <w:rPr>
          <w:iCs/>
        </w:rPr>
        <w:t>Further scenarios that were recommended by the ESC are also shown.</w:t>
      </w:r>
    </w:p>
    <w:p w14:paraId="491C4240" w14:textId="77777777" w:rsidR="009751E6" w:rsidRPr="00B06893" w:rsidRDefault="009751E6" w:rsidP="009751E6">
      <w:pPr>
        <w:spacing w:before="60" w:after="60"/>
        <w:rPr>
          <w:rFonts w:eastAsiaTheme="minorHAnsi" w:cstheme="minorBidi"/>
          <w:szCs w:val="22"/>
        </w:rPr>
      </w:pPr>
    </w:p>
    <w:p w14:paraId="598EC3D0" w14:textId="5E8A67D9" w:rsidR="00D85592" w:rsidRPr="00B06893" w:rsidRDefault="007F2D2C" w:rsidP="00556933">
      <w:pPr>
        <w:pStyle w:val="Caption"/>
        <w:rPr>
          <w:rFonts w:cs="Arial"/>
          <w:b w:val="0"/>
          <w:bCs w:val="0"/>
          <w:iCs/>
        </w:rPr>
      </w:pPr>
      <w:bookmarkStart w:id="84" w:name="_Ref221807110"/>
      <w:r w:rsidRPr="00B06893">
        <w:lastRenderedPageBreak/>
        <w:t xml:space="preserve">Table </w:t>
      </w:r>
      <w:fldSimple w:instr=" SEQ Table \* ARABIC ">
        <w:r w:rsidR="00810177" w:rsidRPr="00B06893">
          <w:t>31</w:t>
        </w:r>
      </w:fldSimple>
      <w:bookmarkEnd w:id="84"/>
      <w:r w:rsidRPr="00B06893">
        <w:t xml:space="preserve">: </w:t>
      </w:r>
      <w:r w:rsidR="00D85592" w:rsidRPr="00B06893">
        <w:rPr>
          <w:rFonts w:cs="Arial"/>
          <w:iCs/>
        </w:rPr>
        <w:t>Proposed respecified base case</w:t>
      </w:r>
      <w:r w:rsidR="002443DD" w:rsidRPr="00B06893">
        <w:rPr>
          <w:rFonts w:cs="Arial"/>
          <w:iCs/>
        </w:rPr>
        <w:t xml:space="preserve"> and further scenarios</w:t>
      </w:r>
    </w:p>
    <w:tbl>
      <w:tblPr>
        <w:tblStyle w:val="TableGrid"/>
        <w:tblW w:w="0" w:type="auto"/>
        <w:tblLook w:val="04A0" w:firstRow="1" w:lastRow="0" w:firstColumn="1" w:lastColumn="0" w:noHBand="0" w:noVBand="1"/>
        <w:tblCaption w:val="Table 31: Proposed respecified base case and further scenarios"/>
      </w:tblPr>
      <w:tblGrid>
        <w:gridCol w:w="3804"/>
        <w:gridCol w:w="1276"/>
        <w:gridCol w:w="1311"/>
        <w:gridCol w:w="608"/>
        <w:gridCol w:w="2018"/>
      </w:tblGrid>
      <w:tr w:rsidR="00813029" w:rsidRPr="00B06893" w14:paraId="71EF8030" w14:textId="77777777" w:rsidTr="001227DF">
        <w:trPr>
          <w:tblHeader/>
        </w:trPr>
        <w:tc>
          <w:tcPr>
            <w:tcW w:w="0" w:type="auto"/>
            <w:shd w:val="clear" w:color="auto" w:fill="D9D9D9" w:themeFill="background1" w:themeFillShade="D9"/>
            <w:vAlign w:val="center"/>
          </w:tcPr>
          <w:p w14:paraId="3AF17DE6" w14:textId="77777777" w:rsidR="00813029" w:rsidRPr="00B06893" w:rsidRDefault="00813029" w:rsidP="00556933">
            <w:pPr>
              <w:keepNext/>
              <w:jc w:val="left"/>
              <w:rPr>
                <w:rFonts w:ascii="Arial Narrow" w:hAnsi="Arial Narrow"/>
                <w:b/>
                <w:bCs/>
                <w:snapToGrid w:val="0"/>
                <w:sz w:val="20"/>
                <w:szCs w:val="24"/>
              </w:rPr>
            </w:pPr>
          </w:p>
        </w:tc>
        <w:tc>
          <w:tcPr>
            <w:tcW w:w="0" w:type="auto"/>
            <w:shd w:val="clear" w:color="auto" w:fill="D9D9D9" w:themeFill="background1" w:themeFillShade="D9"/>
            <w:vAlign w:val="center"/>
          </w:tcPr>
          <w:p w14:paraId="5D77C2B6" w14:textId="77777777" w:rsidR="00813029" w:rsidRPr="00B06893" w:rsidRDefault="00813029" w:rsidP="00556933">
            <w:pPr>
              <w:keepNext/>
              <w:jc w:val="center"/>
              <w:rPr>
                <w:rFonts w:ascii="Arial Narrow" w:hAnsi="Arial Narrow"/>
                <w:b/>
                <w:bCs/>
                <w:snapToGrid w:val="0"/>
                <w:sz w:val="20"/>
                <w:szCs w:val="24"/>
              </w:rPr>
            </w:pPr>
            <w:r w:rsidRPr="00B06893">
              <w:rPr>
                <w:rFonts w:ascii="Arial Narrow" w:hAnsi="Arial Narrow"/>
                <w:b/>
                <w:bCs/>
                <w:snapToGrid w:val="0"/>
                <w:sz w:val="20"/>
                <w:szCs w:val="24"/>
              </w:rPr>
              <w:t>Incremental costs</w:t>
            </w:r>
          </w:p>
        </w:tc>
        <w:tc>
          <w:tcPr>
            <w:tcW w:w="0" w:type="auto"/>
            <w:shd w:val="clear" w:color="auto" w:fill="D9D9D9" w:themeFill="background1" w:themeFillShade="D9"/>
            <w:vAlign w:val="center"/>
          </w:tcPr>
          <w:p w14:paraId="56759802" w14:textId="77777777" w:rsidR="00813029" w:rsidRPr="00B06893" w:rsidRDefault="00813029" w:rsidP="00556933">
            <w:pPr>
              <w:keepNext/>
              <w:jc w:val="center"/>
              <w:rPr>
                <w:rFonts w:ascii="Arial Narrow" w:hAnsi="Arial Narrow"/>
                <w:b/>
                <w:bCs/>
                <w:snapToGrid w:val="0"/>
                <w:sz w:val="20"/>
                <w:szCs w:val="24"/>
              </w:rPr>
            </w:pPr>
            <w:r w:rsidRPr="00B06893">
              <w:rPr>
                <w:rFonts w:ascii="Arial Narrow" w:hAnsi="Arial Narrow"/>
                <w:b/>
                <w:bCs/>
                <w:snapToGrid w:val="0"/>
                <w:sz w:val="20"/>
                <w:szCs w:val="24"/>
              </w:rPr>
              <w:t>Incremental QALYs</w:t>
            </w:r>
          </w:p>
        </w:tc>
        <w:tc>
          <w:tcPr>
            <w:tcW w:w="0" w:type="auto"/>
            <w:shd w:val="clear" w:color="auto" w:fill="D9D9D9" w:themeFill="background1" w:themeFillShade="D9"/>
            <w:vAlign w:val="center"/>
          </w:tcPr>
          <w:p w14:paraId="78556109" w14:textId="77777777" w:rsidR="00813029" w:rsidRPr="00B06893" w:rsidRDefault="00813029" w:rsidP="00556933">
            <w:pPr>
              <w:keepNext/>
              <w:jc w:val="center"/>
              <w:rPr>
                <w:rFonts w:ascii="Arial Narrow" w:hAnsi="Arial Narrow"/>
                <w:b/>
                <w:bCs/>
                <w:snapToGrid w:val="0"/>
                <w:sz w:val="20"/>
                <w:szCs w:val="24"/>
              </w:rPr>
            </w:pPr>
            <w:r w:rsidRPr="00B06893">
              <w:rPr>
                <w:rFonts w:ascii="Arial Narrow" w:hAnsi="Arial Narrow"/>
                <w:b/>
                <w:bCs/>
                <w:snapToGrid w:val="0"/>
                <w:sz w:val="20"/>
                <w:szCs w:val="24"/>
              </w:rPr>
              <w:t>ICER</w:t>
            </w:r>
          </w:p>
        </w:tc>
        <w:tc>
          <w:tcPr>
            <w:tcW w:w="0" w:type="auto"/>
            <w:shd w:val="clear" w:color="auto" w:fill="D9D9D9" w:themeFill="background1" w:themeFillShade="D9"/>
            <w:vAlign w:val="center"/>
          </w:tcPr>
          <w:p w14:paraId="7E788E14" w14:textId="77777777" w:rsidR="00813029" w:rsidRPr="00B06893" w:rsidRDefault="00813029" w:rsidP="00556933">
            <w:pPr>
              <w:keepNext/>
              <w:jc w:val="center"/>
              <w:rPr>
                <w:rFonts w:ascii="Arial Narrow" w:hAnsi="Arial Narrow"/>
                <w:b/>
                <w:bCs/>
                <w:snapToGrid w:val="0"/>
                <w:sz w:val="20"/>
                <w:szCs w:val="24"/>
              </w:rPr>
            </w:pPr>
            <w:r w:rsidRPr="00B06893">
              <w:rPr>
                <w:rFonts w:ascii="Arial Narrow" w:hAnsi="Arial Narrow"/>
                <w:b/>
                <w:bCs/>
                <w:snapToGrid w:val="0"/>
                <w:sz w:val="20"/>
                <w:szCs w:val="24"/>
              </w:rPr>
              <w:t>Difference from base case and change from prior step</w:t>
            </w:r>
          </w:p>
        </w:tc>
      </w:tr>
      <w:tr w:rsidR="00813029" w:rsidRPr="00B06893" w14:paraId="01040F61" w14:textId="77777777" w:rsidTr="001227DF">
        <w:tc>
          <w:tcPr>
            <w:tcW w:w="0" w:type="auto"/>
            <w:shd w:val="clear" w:color="auto" w:fill="D9D9D9" w:themeFill="background1" w:themeFillShade="D9"/>
            <w:vAlign w:val="center"/>
          </w:tcPr>
          <w:p w14:paraId="0C159313" w14:textId="77777777" w:rsidR="00813029" w:rsidRPr="00B06893" w:rsidRDefault="00813029" w:rsidP="00556933">
            <w:pPr>
              <w:keepNext/>
              <w:jc w:val="left"/>
              <w:rPr>
                <w:rFonts w:ascii="Arial Narrow" w:hAnsi="Arial Narrow"/>
                <w:b/>
                <w:bCs/>
                <w:snapToGrid w:val="0"/>
                <w:sz w:val="20"/>
                <w:szCs w:val="24"/>
              </w:rPr>
            </w:pPr>
            <w:r w:rsidRPr="00B06893">
              <w:rPr>
                <w:rFonts w:ascii="Arial Narrow" w:hAnsi="Arial Narrow"/>
                <w:b/>
                <w:bCs/>
                <w:snapToGrid w:val="0"/>
                <w:sz w:val="20"/>
                <w:szCs w:val="24"/>
              </w:rPr>
              <w:t>Submission Base case</w:t>
            </w:r>
          </w:p>
        </w:tc>
        <w:tc>
          <w:tcPr>
            <w:tcW w:w="0" w:type="auto"/>
            <w:shd w:val="clear" w:color="auto" w:fill="D9D9D9" w:themeFill="background1" w:themeFillShade="D9"/>
            <w:vAlign w:val="center"/>
          </w:tcPr>
          <w:p w14:paraId="32B7E717" w14:textId="1B34C468" w:rsidR="00813029" w:rsidRPr="00FE79E6" w:rsidRDefault="00FE79E6" w:rsidP="00556933">
            <w:pPr>
              <w:keepNext/>
              <w:jc w:val="center"/>
              <w:rPr>
                <w:rFonts w:ascii="Arial Narrow" w:hAnsi="Arial Narrow"/>
                <w:b/>
                <w:bCs/>
                <w:snapToGrid w:val="0"/>
                <w:sz w:val="20"/>
                <w:szCs w:val="24"/>
                <w:vertAlign w:val="superscript"/>
              </w:rPr>
            </w:pPr>
            <w:r w:rsidRPr="00FE79E6">
              <w:rPr>
                <w:rFonts w:ascii="Arial Narrow" w:hAnsi="Arial Narrow"/>
                <w:b/>
                <w:bCs/>
                <w:snapToGrid w:val="0"/>
                <w:sz w:val="20"/>
                <w:szCs w:val="24"/>
              </w:rPr>
              <w:t>$</w:t>
            </w:r>
            <w:r w:rsidR="00FF3F29" w:rsidRPr="00FF3F29">
              <w:rPr>
                <w:rFonts w:ascii="Arial Narrow" w:hAnsi="Arial Narrow"/>
                <w:b/>
                <w:bCs/>
                <w:snapToGrid w:val="0"/>
                <w:sz w:val="2"/>
                <w:szCs w:val="24"/>
                <w:highlight w:val="black"/>
              </w:rPr>
              <w:t>redacted content</w:t>
            </w:r>
          </w:p>
        </w:tc>
        <w:tc>
          <w:tcPr>
            <w:tcW w:w="0" w:type="auto"/>
            <w:shd w:val="clear" w:color="auto" w:fill="D9D9D9" w:themeFill="background1" w:themeFillShade="D9"/>
            <w:vAlign w:val="center"/>
          </w:tcPr>
          <w:p w14:paraId="5429371E" w14:textId="77777777" w:rsidR="00813029" w:rsidRPr="00B06893" w:rsidRDefault="00813029" w:rsidP="00556933">
            <w:pPr>
              <w:keepNext/>
              <w:jc w:val="center"/>
              <w:rPr>
                <w:rFonts w:ascii="Arial Narrow" w:hAnsi="Arial Narrow"/>
                <w:b/>
                <w:bCs/>
                <w:snapToGrid w:val="0"/>
                <w:sz w:val="20"/>
                <w:szCs w:val="24"/>
              </w:rPr>
            </w:pPr>
            <w:r w:rsidRPr="00E4635F">
              <w:rPr>
                <w:rFonts w:ascii="Arial Narrow" w:hAnsi="Arial Narrow"/>
                <w:b/>
                <w:bCs/>
                <w:snapToGrid w:val="0"/>
                <w:sz w:val="20"/>
                <w:szCs w:val="24"/>
              </w:rPr>
              <w:t>1</w:t>
            </w:r>
            <w:r w:rsidRPr="00B06893">
              <w:rPr>
                <w:rFonts w:ascii="Arial Narrow" w:hAnsi="Arial Narrow"/>
                <w:b/>
                <w:bCs/>
                <w:snapToGrid w:val="0"/>
                <w:sz w:val="20"/>
                <w:szCs w:val="24"/>
              </w:rPr>
              <w:t>1,515</w:t>
            </w:r>
          </w:p>
        </w:tc>
        <w:tc>
          <w:tcPr>
            <w:tcW w:w="0" w:type="auto"/>
            <w:shd w:val="clear" w:color="auto" w:fill="D9D9D9" w:themeFill="background1" w:themeFillShade="D9"/>
            <w:vAlign w:val="center"/>
          </w:tcPr>
          <w:p w14:paraId="4C346AF7" w14:textId="382672AE" w:rsidR="00813029" w:rsidRPr="00FE79E6" w:rsidRDefault="00FE79E6" w:rsidP="00556933">
            <w:pPr>
              <w:keepNext/>
              <w:jc w:val="center"/>
              <w:rPr>
                <w:rFonts w:ascii="Arial Narrow" w:hAnsi="Arial Narrow"/>
                <w:b/>
                <w:bCs/>
                <w:snapToGrid w:val="0"/>
                <w:sz w:val="20"/>
                <w:szCs w:val="24"/>
                <w:vertAlign w:val="superscript"/>
              </w:rPr>
            </w:pPr>
            <w:r w:rsidRPr="00FE79E6">
              <w:rPr>
                <w:rFonts w:ascii="Arial Narrow" w:hAnsi="Arial Narrow"/>
                <w:b/>
                <w:bCs/>
                <w:snapToGrid w:val="0"/>
                <w:sz w:val="20"/>
                <w:szCs w:val="24"/>
              </w:rPr>
              <w:t>$</w:t>
            </w:r>
            <w:r w:rsidR="00FF3F29" w:rsidRPr="00FF3F29">
              <w:rPr>
                <w:rFonts w:ascii="Arial Narrow" w:hAnsi="Arial Narrow"/>
                <w:b/>
                <w:bCs/>
                <w:snapToGrid w:val="0"/>
                <w:sz w:val="2"/>
                <w:szCs w:val="24"/>
                <w:highlight w:val="black"/>
              </w:rPr>
              <w:t>redacted content</w:t>
            </w:r>
            <w:r w:rsidR="00716858" w:rsidRPr="00FE79E6">
              <w:rPr>
                <w:rFonts w:ascii="Arial Narrow" w:hAnsi="Arial Narrow"/>
                <w:b/>
                <w:bCs/>
                <w:snapToGrid w:val="0"/>
                <w:sz w:val="20"/>
                <w:szCs w:val="24"/>
                <w:vertAlign w:val="superscript"/>
              </w:rPr>
              <w:t>1</w:t>
            </w:r>
          </w:p>
        </w:tc>
        <w:tc>
          <w:tcPr>
            <w:tcW w:w="0" w:type="auto"/>
            <w:shd w:val="clear" w:color="auto" w:fill="D9D9D9" w:themeFill="background1" w:themeFillShade="D9"/>
            <w:vAlign w:val="center"/>
          </w:tcPr>
          <w:p w14:paraId="11F8633E" w14:textId="77777777" w:rsidR="00813029" w:rsidRPr="00E4635F" w:rsidRDefault="00813029" w:rsidP="00556933">
            <w:pPr>
              <w:keepNext/>
              <w:jc w:val="center"/>
              <w:rPr>
                <w:rFonts w:ascii="Arial Narrow" w:hAnsi="Arial Narrow"/>
                <w:b/>
                <w:bCs/>
                <w:snapToGrid w:val="0"/>
                <w:sz w:val="20"/>
                <w:szCs w:val="24"/>
              </w:rPr>
            </w:pPr>
            <w:r w:rsidRPr="00E4635F">
              <w:rPr>
                <w:rFonts w:ascii="Arial Narrow" w:hAnsi="Arial Narrow"/>
                <w:b/>
                <w:bCs/>
                <w:snapToGrid w:val="0"/>
                <w:sz w:val="20"/>
                <w:szCs w:val="24"/>
              </w:rPr>
              <w:t>0</w:t>
            </w:r>
          </w:p>
        </w:tc>
      </w:tr>
      <w:tr w:rsidR="00813029" w:rsidRPr="00B06893" w14:paraId="733377AE" w14:textId="77777777" w:rsidTr="001227DF">
        <w:tc>
          <w:tcPr>
            <w:tcW w:w="0" w:type="auto"/>
            <w:vAlign w:val="center"/>
          </w:tcPr>
          <w:p w14:paraId="13CEA527" w14:textId="77777777"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#1: Readmissions = 0%</w:t>
            </w:r>
          </w:p>
        </w:tc>
        <w:tc>
          <w:tcPr>
            <w:tcW w:w="0" w:type="auto"/>
            <w:vAlign w:val="center"/>
          </w:tcPr>
          <w:p w14:paraId="79A28363" w14:textId="42A6C2D4"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6A975779" w14:textId="77777777" w:rsidR="00813029" w:rsidRPr="00B06893" w:rsidRDefault="00813029" w:rsidP="00556933">
            <w:pPr>
              <w:keepNext/>
              <w:jc w:val="center"/>
              <w:rPr>
                <w:rFonts w:ascii="Arial Narrow" w:hAnsi="Arial Narrow"/>
                <w:snapToGrid w:val="0"/>
                <w:sz w:val="20"/>
                <w:szCs w:val="24"/>
              </w:rPr>
            </w:pPr>
            <w:r w:rsidRPr="00E4635F">
              <w:rPr>
                <w:rFonts w:ascii="Arial Narrow" w:hAnsi="Arial Narrow"/>
                <w:snapToGrid w:val="0"/>
                <w:sz w:val="20"/>
                <w:szCs w:val="24"/>
              </w:rPr>
              <w:t>1</w:t>
            </w:r>
            <w:r w:rsidRPr="00B06893">
              <w:rPr>
                <w:rFonts w:ascii="Arial Narrow" w:hAnsi="Arial Narrow"/>
                <w:snapToGrid w:val="0"/>
                <w:sz w:val="20"/>
                <w:szCs w:val="24"/>
              </w:rPr>
              <w:t>1,477</w:t>
            </w:r>
          </w:p>
        </w:tc>
        <w:tc>
          <w:tcPr>
            <w:tcW w:w="0" w:type="auto"/>
            <w:vAlign w:val="center"/>
          </w:tcPr>
          <w:p w14:paraId="4B03B1C5" w14:textId="4C6C3F4C"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032FA0" w:rsidRPr="00FE79E6">
              <w:rPr>
                <w:rFonts w:ascii="Arial Narrow" w:hAnsi="Arial Narrow"/>
                <w:snapToGrid w:val="0"/>
                <w:sz w:val="20"/>
                <w:szCs w:val="24"/>
                <w:vertAlign w:val="superscript"/>
              </w:rPr>
              <w:t>1</w:t>
            </w:r>
          </w:p>
        </w:tc>
        <w:tc>
          <w:tcPr>
            <w:tcW w:w="0" w:type="auto"/>
            <w:vAlign w:val="center"/>
          </w:tcPr>
          <w:p w14:paraId="67C7B339" w14:textId="3E5F3F9E"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inc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07D11E0E" w14:textId="77777777" w:rsidTr="001227DF">
        <w:tc>
          <w:tcPr>
            <w:tcW w:w="0" w:type="auto"/>
            <w:vAlign w:val="center"/>
          </w:tcPr>
          <w:p w14:paraId="18835695" w14:textId="4FCB48D8"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#6: Correct post</w:t>
            </w:r>
            <w:r w:rsidR="00193971">
              <w:rPr>
                <w:rFonts w:ascii="Arial Narrow" w:hAnsi="Arial Narrow"/>
                <w:snapToGrid w:val="0"/>
                <w:sz w:val="20"/>
                <w:szCs w:val="24"/>
              </w:rPr>
              <w:noBreakHyphen/>
            </w:r>
            <w:r w:rsidRPr="00B06893">
              <w:rPr>
                <w:rFonts w:ascii="Arial Narrow" w:hAnsi="Arial Narrow"/>
                <w:snapToGrid w:val="0"/>
                <w:sz w:val="20"/>
                <w:szCs w:val="24"/>
              </w:rPr>
              <w:t>discharge mortality in the model</w:t>
            </w:r>
          </w:p>
        </w:tc>
        <w:tc>
          <w:tcPr>
            <w:tcW w:w="0" w:type="auto"/>
            <w:vAlign w:val="center"/>
          </w:tcPr>
          <w:p w14:paraId="019D5C16" w14:textId="2E2F1DA7"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0CE27630" w14:textId="77777777" w:rsidR="00813029" w:rsidRPr="00B06893" w:rsidRDefault="00813029" w:rsidP="00556933">
            <w:pPr>
              <w:keepNext/>
              <w:jc w:val="center"/>
              <w:rPr>
                <w:rFonts w:ascii="Arial Narrow" w:hAnsi="Arial Narrow"/>
                <w:snapToGrid w:val="0"/>
                <w:sz w:val="20"/>
                <w:szCs w:val="24"/>
              </w:rPr>
            </w:pPr>
            <w:r w:rsidRPr="00B06893">
              <w:rPr>
                <w:rFonts w:ascii="Arial Narrow" w:hAnsi="Arial Narrow"/>
                <w:snapToGrid w:val="0"/>
                <w:sz w:val="20"/>
                <w:szCs w:val="24"/>
              </w:rPr>
              <w:t>8,553</w:t>
            </w:r>
          </w:p>
        </w:tc>
        <w:tc>
          <w:tcPr>
            <w:tcW w:w="0" w:type="auto"/>
            <w:vAlign w:val="center"/>
          </w:tcPr>
          <w:p w14:paraId="66DCB9C5" w14:textId="4483DDAB"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430715" w:rsidRPr="00FE79E6">
              <w:rPr>
                <w:rFonts w:ascii="Arial Narrow" w:hAnsi="Arial Narrow"/>
                <w:snapToGrid w:val="0"/>
                <w:sz w:val="20"/>
                <w:szCs w:val="24"/>
                <w:vertAlign w:val="superscript"/>
              </w:rPr>
              <w:t>2</w:t>
            </w:r>
          </w:p>
        </w:tc>
        <w:tc>
          <w:tcPr>
            <w:tcW w:w="0" w:type="auto"/>
            <w:vAlign w:val="center"/>
          </w:tcPr>
          <w:p w14:paraId="3CCFB7F6" w14:textId="097851E0"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inc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64C715DF" w14:textId="77777777" w:rsidTr="001227DF">
        <w:tc>
          <w:tcPr>
            <w:tcW w:w="0" w:type="auto"/>
            <w:vAlign w:val="center"/>
          </w:tcPr>
          <w:p w14:paraId="7C7AAFB6" w14:textId="77777777"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#13: Add 30% mortality to account for out of hospital deaths</w:t>
            </w:r>
          </w:p>
        </w:tc>
        <w:tc>
          <w:tcPr>
            <w:tcW w:w="0" w:type="auto"/>
            <w:vAlign w:val="center"/>
          </w:tcPr>
          <w:p w14:paraId="09B3D4E7" w14:textId="09DA7B12"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52FB5817" w14:textId="77777777" w:rsidR="00813029" w:rsidRPr="00B06893" w:rsidRDefault="00813029" w:rsidP="00556933">
            <w:pPr>
              <w:keepNext/>
              <w:jc w:val="center"/>
              <w:rPr>
                <w:rFonts w:ascii="Arial Narrow" w:hAnsi="Arial Narrow"/>
                <w:snapToGrid w:val="0"/>
                <w:sz w:val="20"/>
                <w:szCs w:val="24"/>
              </w:rPr>
            </w:pPr>
            <w:r w:rsidRPr="00B06893">
              <w:rPr>
                <w:rFonts w:ascii="Arial Narrow" w:hAnsi="Arial Narrow"/>
                <w:snapToGrid w:val="0"/>
                <w:sz w:val="20"/>
                <w:szCs w:val="24"/>
              </w:rPr>
              <w:t>9,892</w:t>
            </w:r>
          </w:p>
        </w:tc>
        <w:tc>
          <w:tcPr>
            <w:tcW w:w="0" w:type="auto"/>
            <w:vAlign w:val="center"/>
          </w:tcPr>
          <w:p w14:paraId="0F6F50B6" w14:textId="08B859E5"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430715" w:rsidRPr="00FE79E6">
              <w:rPr>
                <w:rFonts w:ascii="Arial Narrow" w:hAnsi="Arial Narrow"/>
                <w:snapToGrid w:val="0"/>
                <w:sz w:val="20"/>
                <w:szCs w:val="24"/>
                <w:vertAlign w:val="superscript"/>
              </w:rPr>
              <w:t>2</w:t>
            </w:r>
          </w:p>
        </w:tc>
        <w:tc>
          <w:tcPr>
            <w:tcW w:w="0" w:type="auto"/>
            <w:vAlign w:val="center"/>
          </w:tcPr>
          <w:p w14:paraId="3C780E3D" w14:textId="55D93384"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dec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2C8AC01C" w14:textId="77777777" w:rsidTr="001227DF">
        <w:tc>
          <w:tcPr>
            <w:tcW w:w="0" w:type="auto"/>
            <w:vAlign w:val="center"/>
          </w:tcPr>
          <w:p w14:paraId="449EF270" w14:textId="77777777"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#9: Correct Emergency Department costs</w:t>
            </w:r>
          </w:p>
        </w:tc>
        <w:tc>
          <w:tcPr>
            <w:tcW w:w="0" w:type="auto"/>
            <w:vAlign w:val="center"/>
          </w:tcPr>
          <w:p w14:paraId="20C79825" w14:textId="1D8060E5"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242474AC" w14:textId="77777777" w:rsidR="00813029" w:rsidRPr="00B06893" w:rsidRDefault="00813029" w:rsidP="00556933">
            <w:pPr>
              <w:keepNext/>
              <w:jc w:val="center"/>
              <w:rPr>
                <w:rFonts w:ascii="Arial Narrow" w:hAnsi="Arial Narrow"/>
                <w:snapToGrid w:val="0"/>
                <w:sz w:val="20"/>
                <w:szCs w:val="24"/>
              </w:rPr>
            </w:pPr>
            <w:r w:rsidRPr="00B06893">
              <w:rPr>
                <w:rFonts w:ascii="Arial Narrow" w:hAnsi="Arial Narrow"/>
                <w:snapToGrid w:val="0"/>
                <w:sz w:val="20"/>
                <w:szCs w:val="24"/>
              </w:rPr>
              <w:t>9,892</w:t>
            </w:r>
          </w:p>
        </w:tc>
        <w:tc>
          <w:tcPr>
            <w:tcW w:w="0" w:type="auto"/>
            <w:vAlign w:val="center"/>
          </w:tcPr>
          <w:p w14:paraId="259CAAED" w14:textId="07CE96AA"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430715" w:rsidRPr="00FE79E6">
              <w:rPr>
                <w:rFonts w:ascii="Arial Narrow" w:hAnsi="Arial Narrow"/>
                <w:snapToGrid w:val="0"/>
                <w:sz w:val="20"/>
                <w:szCs w:val="24"/>
                <w:vertAlign w:val="superscript"/>
              </w:rPr>
              <w:t>2</w:t>
            </w:r>
          </w:p>
        </w:tc>
        <w:tc>
          <w:tcPr>
            <w:tcW w:w="0" w:type="auto"/>
            <w:vAlign w:val="center"/>
          </w:tcPr>
          <w:p w14:paraId="065601AB" w14:textId="4CD0CF5E"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dec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6624B6E6" w14:textId="77777777" w:rsidTr="001227DF">
        <w:tc>
          <w:tcPr>
            <w:tcW w:w="0" w:type="auto"/>
            <w:vAlign w:val="center"/>
          </w:tcPr>
          <w:p w14:paraId="61F8B47B" w14:textId="77777777"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#4: Reduce % of hospitalisations requiring ICU and ventilation to AIHW estimates</w:t>
            </w:r>
          </w:p>
        </w:tc>
        <w:tc>
          <w:tcPr>
            <w:tcW w:w="0" w:type="auto"/>
            <w:vAlign w:val="center"/>
          </w:tcPr>
          <w:p w14:paraId="1D30C95F" w14:textId="5CA2BC6F"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73AA108F" w14:textId="77777777" w:rsidR="00813029" w:rsidRPr="00B06893" w:rsidRDefault="00813029" w:rsidP="00556933">
            <w:pPr>
              <w:keepNext/>
              <w:jc w:val="center"/>
              <w:rPr>
                <w:rFonts w:ascii="Arial Narrow" w:hAnsi="Arial Narrow"/>
                <w:snapToGrid w:val="0"/>
                <w:sz w:val="20"/>
                <w:szCs w:val="24"/>
              </w:rPr>
            </w:pPr>
            <w:r w:rsidRPr="00B06893">
              <w:rPr>
                <w:rFonts w:ascii="Arial Narrow" w:hAnsi="Arial Narrow"/>
                <w:snapToGrid w:val="0"/>
                <w:sz w:val="20"/>
                <w:szCs w:val="24"/>
              </w:rPr>
              <w:t>9,874</w:t>
            </w:r>
          </w:p>
        </w:tc>
        <w:tc>
          <w:tcPr>
            <w:tcW w:w="0" w:type="auto"/>
            <w:vAlign w:val="center"/>
          </w:tcPr>
          <w:p w14:paraId="5E4A2FFD" w14:textId="7DAE0ECB"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430715" w:rsidRPr="00FE79E6">
              <w:rPr>
                <w:rFonts w:ascii="Arial Narrow" w:hAnsi="Arial Narrow"/>
                <w:snapToGrid w:val="0"/>
                <w:sz w:val="20"/>
                <w:szCs w:val="24"/>
                <w:vertAlign w:val="superscript"/>
              </w:rPr>
              <w:t>2</w:t>
            </w:r>
          </w:p>
        </w:tc>
        <w:tc>
          <w:tcPr>
            <w:tcW w:w="0" w:type="auto"/>
            <w:vAlign w:val="center"/>
          </w:tcPr>
          <w:p w14:paraId="5F1FE86E" w14:textId="32990269"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inc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4D4B34C0" w14:textId="77777777" w:rsidTr="001227DF">
        <w:tc>
          <w:tcPr>
            <w:tcW w:w="0" w:type="auto"/>
            <w:vAlign w:val="center"/>
          </w:tcPr>
          <w:p w14:paraId="298987D2" w14:textId="241AE28E"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#5: Change mortality to reflect ABS estimates for 2024</w:t>
            </w:r>
            <w:r w:rsidR="00193971">
              <w:rPr>
                <w:rFonts w:ascii="Arial Narrow" w:hAnsi="Arial Narrow"/>
                <w:snapToGrid w:val="0"/>
                <w:sz w:val="20"/>
                <w:szCs w:val="24"/>
              </w:rPr>
              <w:noBreakHyphen/>
            </w:r>
            <w:r w:rsidRPr="00B06893">
              <w:rPr>
                <w:rFonts w:ascii="Arial Narrow" w:hAnsi="Arial Narrow"/>
                <w:snapToGrid w:val="0"/>
                <w:sz w:val="20"/>
                <w:szCs w:val="24"/>
              </w:rPr>
              <w:t>25</w:t>
            </w:r>
          </w:p>
        </w:tc>
        <w:tc>
          <w:tcPr>
            <w:tcW w:w="0" w:type="auto"/>
            <w:vAlign w:val="center"/>
          </w:tcPr>
          <w:p w14:paraId="1C2C5D35" w14:textId="5D8693CD"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6D006C87" w14:textId="77777777" w:rsidR="00813029" w:rsidRPr="00B06893" w:rsidRDefault="00813029" w:rsidP="00556933">
            <w:pPr>
              <w:keepNext/>
              <w:jc w:val="center"/>
              <w:rPr>
                <w:rFonts w:ascii="Arial Narrow" w:hAnsi="Arial Narrow"/>
                <w:snapToGrid w:val="0"/>
                <w:sz w:val="20"/>
                <w:szCs w:val="24"/>
              </w:rPr>
            </w:pPr>
            <w:r w:rsidRPr="00B06893">
              <w:rPr>
                <w:rFonts w:ascii="Arial Narrow" w:hAnsi="Arial Narrow"/>
                <w:snapToGrid w:val="0"/>
                <w:sz w:val="20"/>
                <w:szCs w:val="24"/>
              </w:rPr>
              <w:t>7,777</w:t>
            </w:r>
          </w:p>
        </w:tc>
        <w:tc>
          <w:tcPr>
            <w:tcW w:w="0" w:type="auto"/>
            <w:vAlign w:val="center"/>
          </w:tcPr>
          <w:p w14:paraId="445072AD" w14:textId="68E01730"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842A03" w:rsidRPr="00FE79E6">
              <w:rPr>
                <w:rFonts w:ascii="Arial Narrow" w:hAnsi="Arial Narrow"/>
                <w:snapToGrid w:val="0"/>
                <w:sz w:val="20"/>
                <w:szCs w:val="24"/>
                <w:vertAlign w:val="superscript"/>
              </w:rPr>
              <w:t>3</w:t>
            </w:r>
          </w:p>
        </w:tc>
        <w:tc>
          <w:tcPr>
            <w:tcW w:w="0" w:type="auto"/>
            <w:vAlign w:val="center"/>
          </w:tcPr>
          <w:p w14:paraId="5D4C2599" w14:textId="0DDBBDDE"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inc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2726833A" w14:textId="77777777" w:rsidTr="001227DF">
        <w:tc>
          <w:tcPr>
            <w:tcW w:w="0" w:type="auto"/>
            <w:vAlign w:val="center"/>
          </w:tcPr>
          <w:p w14:paraId="59337F3E" w14:textId="77777777"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#7: LY and QALY losses adjusted for health status</w:t>
            </w:r>
          </w:p>
        </w:tc>
        <w:tc>
          <w:tcPr>
            <w:tcW w:w="0" w:type="auto"/>
            <w:vAlign w:val="center"/>
          </w:tcPr>
          <w:p w14:paraId="27A55108" w14:textId="6B9126B6"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0C225BC7" w14:textId="77777777" w:rsidR="00813029" w:rsidRPr="00B06893" w:rsidRDefault="00813029" w:rsidP="00556933">
            <w:pPr>
              <w:keepNext/>
              <w:jc w:val="center"/>
              <w:rPr>
                <w:rFonts w:ascii="Arial Narrow" w:hAnsi="Arial Narrow"/>
                <w:snapToGrid w:val="0"/>
                <w:sz w:val="20"/>
                <w:szCs w:val="24"/>
              </w:rPr>
            </w:pPr>
            <w:r w:rsidRPr="00B06893">
              <w:rPr>
                <w:rFonts w:ascii="Arial Narrow" w:hAnsi="Arial Narrow"/>
                <w:snapToGrid w:val="0"/>
                <w:sz w:val="20"/>
                <w:szCs w:val="24"/>
              </w:rPr>
              <w:t>6,629</w:t>
            </w:r>
          </w:p>
        </w:tc>
        <w:tc>
          <w:tcPr>
            <w:tcW w:w="0" w:type="auto"/>
            <w:vAlign w:val="center"/>
          </w:tcPr>
          <w:p w14:paraId="1D2799CB" w14:textId="671E4DD5"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C74D9E" w:rsidRPr="00FE79E6">
              <w:rPr>
                <w:rFonts w:ascii="Arial Narrow" w:hAnsi="Arial Narrow"/>
                <w:snapToGrid w:val="0"/>
                <w:sz w:val="20"/>
                <w:szCs w:val="24"/>
                <w:vertAlign w:val="superscript"/>
              </w:rPr>
              <w:t>4</w:t>
            </w:r>
          </w:p>
        </w:tc>
        <w:tc>
          <w:tcPr>
            <w:tcW w:w="0" w:type="auto"/>
            <w:vAlign w:val="center"/>
          </w:tcPr>
          <w:p w14:paraId="1343B294" w14:textId="28B143EF"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inc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1D42C7C7" w14:textId="77777777" w:rsidTr="001227DF">
        <w:tc>
          <w:tcPr>
            <w:tcW w:w="0" w:type="auto"/>
            <w:vAlign w:val="center"/>
          </w:tcPr>
          <w:p w14:paraId="0B850909" w14:textId="5281EE44"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#10: Increase hospitalisation costs by applying AR</w:t>
            </w:r>
            <w:r w:rsidR="00193971">
              <w:rPr>
                <w:rFonts w:ascii="Arial Narrow" w:hAnsi="Arial Narrow"/>
                <w:snapToGrid w:val="0"/>
                <w:sz w:val="20"/>
                <w:szCs w:val="24"/>
              </w:rPr>
              <w:noBreakHyphen/>
            </w:r>
            <w:r w:rsidRPr="00B06893">
              <w:rPr>
                <w:rFonts w:ascii="Arial Narrow" w:hAnsi="Arial Narrow"/>
                <w:snapToGrid w:val="0"/>
                <w:sz w:val="20"/>
                <w:szCs w:val="24"/>
              </w:rPr>
              <w:t>DRGs with higher average LOS</w:t>
            </w:r>
          </w:p>
        </w:tc>
        <w:tc>
          <w:tcPr>
            <w:tcW w:w="0" w:type="auto"/>
            <w:vAlign w:val="center"/>
          </w:tcPr>
          <w:p w14:paraId="09B86442" w14:textId="00FFE79A"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01EADE1F" w14:textId="77777777" w:rsidR="00813029" w:rsidRPr="00E4635F" w:rsidRDefault="00813029" w:rsidP="00556933">
            <w:pPr>
              <w:keepNext/>
              <w:jc w:val="center"/>
              <w:rPr>
                <w:rFonts w:ascii="Arial Narrow" w:hAnsi="Arial Narrow"/>
                <w:snapToGrid w:val="0"/>
                <w:sz w:val="20"/>
                <w:szCs w:val="24"/>
              </w:rPr>
            </w:pPr>
            <w:r w:rsidRPr="00E4635F">
              <w:rPr>
                <w:rFonts w:ascii="Arial Narrow" w:hAnsi="Arial Narrow"/>
                <w:snapToGrid w:val="0"/>
                <w:sz w:val="20"/>
                <w:szCs w:val="24"/>
              </w:rPr>
              <w:t>6,629</w:t>
            </w:r>
          </w:p>
        </w:tc>
        <w:tc>
          <w:tcPr>
            <w:tcW w:w="0" w:type="auto"/>
            <w:vAlign w:val="center"/>
          </w:tcPr>
          <w:p w14:paraId="2A57E9D6" w14:textId="5568930E"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842A03" w:rsidRPr="00FE79E6">
              <w:rPr>
                <w:rFonts w:ascii="Arial Narrow" w:hAnsi="Arial Narrow"/>
                <w:snapToGrid w:val="0"/>
                <w:sz w:val="20"/>
                <w:szCs w:val="24"/>
                <w:vertAlign w:val="superscript"/>
              </w:rPr>
              <w:t>3</w:t>
            </w:r>
          </w:p>
        </w:tc>
        <w:tc>
          <w:tcPr>
            <w:tcW w:w="0" w:type="auto"/>
            <w:vAlign w:val="center"/>
          </w:tcPr>
          <w:p w14:paraId="09B26E6B" w14:textId="710E8B4F"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dec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4DAA6F1C" w14:textId="77777777" w:rsidTr="001227DF">
        <w:tc>
          <w:tcPr>
            <w:tcW w:w="0" w:type="auto"/>
            <w:vAlign w:val="center"/>
          </w:tcPr>
          <w:p w14:paraId="25F6ED05" w14:textId="77777777"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#11: Increase cost of Grade 3 AE to one GP visit</w:t>
            </w:r>
          </w:p>
        </w:tc>
        <w:tc>
          <w:tcPr>
            <w:tcW w:w="0" w:type="auto"/>
            <w:vAlign w:val="center"/>
          </w:tcPr>
          <w:p w14:paraId="0CEF967C" w14:textId="5856D86C"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5E6CD954" w14:textId="77777777" w:rsidR="00813029" w:rsidRPr="00E4635F" w:rsidRDefault="00813029" w:rsidP="00556933">
            <w:pPr>
              <w:keepNext/>
              <w:jc w:val="center"/>
              <w:rPr>
                <w:rFonts w:ascii="Arial Narrow" w:hAnsi="Arial Narrow"/>
                <w:snapToGrid w:val="0"/>
                <w:sz w:val="20"/>
                <w:szCs w:val="24"/>
              </w:rPr>
            </w:pPr>
            <w:r w:rsidRPr="00E4635F">
              <w:rPr>
                <w:rFonts w:ascii="Arial Narrow" w:hAnsi="Arial Narrow"/>
                <w:snapToGrid w:val="0"/>
                <w:sz w:val="20"/>
                <w:szCs w:val="24"/>
              </w:rPr>
              <w:t>6,629</w:t>
            </w:r>
          </w:p>
        </w:tc>
        <w:tc>
          <w:tcPr>
            <w:tcW w:w="0" w:type="auto"/>
            <w:vAlign w:val="center"/>
          </w:tcPr>
          <w:p w14:paraId="10DA53E5" w14:textId="6922FED6"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842A03" w:rsidRPr="00FE79E6">
              <w:rPr>
                <w:rFonts w:ascii="Arial Narrow" w:hAnsi="Arial Narrow"/>
                <w:snapToGrid w:val="0"/>
                <w:sz w:val="20"/>
                <w:szCs w:val="24"/>
                <w:vertAlign w:val="superscript"/>
              </w:rPr>
              <w:t>3</w:t>
            </w:r>
          </w:p>
        </w:tc>
        <w:tc>
          <w:tcPr>
            <w:tcW w:w="0" w:type="auto"/>
            <w:vAlign w:val="center"/>
          </w:tcPr>
          <w:p w14:paraId="22D12CA5" w14:textId="45A39AFE" w:rsidR="00813029"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r w:rsidR="005B3B96" w:rsidRPr="00E4635F">
              <w:rPr>
                <w:rFonts w:ascii="Arial Narrow" w:hAnsi="Arial Narrow"/>
                <w:snapToGrid w:val="0"/>
                <w:sz w:val="20"/>
                <w:szCs w:val="24"/>
              </w:rPr>
              <w:br/>
            </w:r>
            <w:r w:rsidR="00813029" w:rsidRPr="00E4635F">
              <w:rPr>
                <w:rFonts w:ascii="Arial Narrow" w:hAnsi="Arial Narrow"/>
                <w:snapToGrid w:val="0"/>
                <w:sz w:val="20"/>
                <w:szCs w:val="24"/>
              </w:rPr>
              <w:t xml:space="preserve">inc </w:t>
            </w: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w:t>
            </w:r>
          </w:p>
        </w:tc>
      </w:tr>
      <w:tr w:rsidR="00813029" w:rsidRPr="00B06893" w14:paraId="49DE4F95" w14:textId="77777777" w:rsidTr="001227DF">
        <w:tc>
          <w:tcPr>
            <w:tcW w:w="0" w:type="auto"/>
            <w:vAlign w:val="center"/>
          </w:tcPr>
          <w:p w14:paraId="1E7575B7" w14:textId="77777777" w:rsidR="00813029" w:rsidRPr="00B06893" w:rsidRDefault="00813029" w:rsidP="00556933">
            <w:pPr>
              <w:keepNext/>
              <w:jc w:val="left"/>
              <w:rPr>
                <w:rFonts w:ascii="Arial Narrow" w:hAnsi="Arial Narrow"/>
                <w:snapToGrid w:val="0"/>
                <w:sz w:val="20"/>
                <w:szCs w:val="24"/>
              </w:rPr>
            </w:pPr>
            <w:r w:rsidRPr="00B06893">
              <w:rPr>
                <w:rFonts w:ascii="Arial Narrow" w:hAnsi="Arial Narrow"/>
                <w:snapToGrid w:val="0"/>
                <w:sz w:val="20"/>
                <w:szCs w:val="24"/>
              </w:rPr>
              <w:t>+ #8: Remove QALY decrements applied to infections or hospitalisations after acute phase</w:t>
            </w:r>
          </w:p>
        </w:tc>
        <w:tc>
          <w:tcPr>
            <w:tcW w:w="0" w:type="auto"/>
            <w:vAlign w:val="center"/>
          </w:tcPr>
          <w:p w14:paraId="1B31C094" w14:textId="6A1877AF"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vAlign w:val="center"/>
          </w:tcPr>
          <w:p w14:paraId="5EB5B219" w14:textId="77777777" w:rsidR="00813029" w:rsidRPr="00E4635F" w:rsidRDefault="00813029" w:rsidP="00556933">
            <w:pPr>
              <w:keepNext/>
              <w:jc w:val="center"/>
              <w:rPr>
                <w:rFonts w:ascii="Arial Narrow" w:hAnsi="Arial Narrow"/>
                <w:snapToGrid w:val="0"/>
                <w:sz w:val="20"/>
                <w:szCs w:val="24"/>
              </w:rPr>
            </w:pPr>
            <w:r w:rsidRPr="00E4635F">
              <w:rPr>
                <w:rFonts w:ascii="Arial Narrow" w:hAnsi="Arial Narrow"/>
                <w:snapToGrid w:val="0"/>
                <w:sz w:val="20"/>
                <w:szCs w:val="24"/>
              </w:rPr>
              <w:t>1,967</w:t>
            </w:r>
          </w:p>
        </w:tc>
        <w:tc>
          <w:tcPr>
            <w:tcW w:w="0" w:type="auto"/>
            <w:vAlign w:val="center"/>
          </w:tcPr>
          <w:p w14:paraId="7B7E5C18" w14:textId="6EDA2004" w:rsidR="00813029" w:rsidRPr="00FE79E6" w:rsidRDefault="00FE79E6" w:rsidP="00556933">
            <w:pPr>
              <w:keepNext/>
              <w:jc w:val="center"/>
              <w:rPr>
                <w:rFonts w:ascii="Arial Narrow" w:hAnsi="Arial Narrow"/>
                <w:snapToGrid w:val="0"/>
                <w:sz w:val="20"/>
                <w:szCs w:val="24"/>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045504" w:rsidRPr="00FE79E6">
              <w:rPr>
                <w:rFonts w:ascii="Arial Narrow" w:hAnsi="Arial Narrow"/>
                <w:snapToGrid w:val="0"/>
                <w:sz w:val="20"/>
                <w:szCs w:val="24"/>
                <w:vertAlign w:val="superscript"/>
              </w:rPr>
              <w:t>6</w:t>
            </w:r>
          </w:p>
        </w:tc>
        <w:tc>
          <w:tcPr>
            <w:tcW w:w="0" w:type="auto"/>
            <w:vAlign w:val="center"/>
          </w:tcPr>
          <w:p w14:paraId="7C79294A" w14:textId="6681B5D8" w:rsidR="005B3B96"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813029" w:rsidRPr="00E4635F">
              <w:rPr>
                <w:rFonts w:ascii="Arial Narrow" w:hAnsi="Arial Narrow"/>
                <w:snapToGrid w:val="0"/>
                <w:sz w:val="20"/>
                <w:szCs w:val="24"/>
              </w:rPr>
              <w:t xml:space="preserve">%: </w:t>
            </w:r>
          </w:p>
          <w:p w14:paraId="399FFDF4" w14:textId="7F6A0286" w:rsidR="00813029" w:rsidRPr="00E4635F" w:rsidRDefault="00813029" w:rsidP="00556933">
            <w:pPr>
              <w:keepNext/>
              <w:jc w:val="center"/>
              <w:rPr>
                <w:rFonts w:ascii="Arial Narrow" w:hAnsi="Arial Narrow"/>
                <w:snapToGrid w:val="0"/>
                <w:sz w:val="20"/>
                <w:szCs w:val="24"/>
              </w:rPr>
            </w:pPr>
            <w:r w:rsidRPr="00E4635F">
              <w:rPr>
                <w:rFonts w:ascii="Arial Narrow" w:hAnsi="Arial Narrow"/>
                <w:snapToGrid w:val="0"/>
                <w:sz w:val="20"/>
                <w:szCs w:val="24"/>
              </w:rPr>
              <w:t xml:space="preserve">inc </w:t>
            </w:r>
            <w:r w:rsidR="00FF3F29" w:rsidRPr="00FF3F29">
              <w:rPr>
                <w:rFonts w:ascii="Arial Narrow" w:hAnsi="Arial Narrow"/>
                <w:snapToGrid w:val="0"/>
                <w:sz w:val="2"/>
                <w:szCs w:val="24"/>
                <w:highlight w:val="black"/>
              </w:rPr>
              <w:t>redacted content</w:t>
            </w:r>
            <w:r w:rsidRPr="00E4635F">
              <w:rPr>
                <w:rFonts w:ascii="Arial Narrow" w:hAnsi="Arial Narrow"/>
                <w:snapToGrid w:val="0"/>
                <w:sz w:val="20"/>
                <w:szCs w:val="24"/>
              </w:rPr>
              <w:t>%</w:t>
            </w:r>
          </w:p>
        </w:tc>
      </w:tr>
      <w:tr w:rsidR="00813029" w:rsidRPr="00B06893" w14:paraId="6C59676D" w14:textId="77777777" w:rsidTr="001227DF">
        <w:tc>
          <w:tcPr>
            <w:tcW w:w="0" w:type="auto"/>
            <w:shd w:val="clear" w:color="auto" w:fill="D9D9D9" w:themeFill="background1" w:themeFillShade="D9"/>
            <w:vAlign w:val="center"/>
          </w:tcPr>
          <w:p w14:paraId="709FEE14" w14:textId="7342CB82" w:rsidR="00813029" w:rsidRPr="00B06893" w:rsidRDefault="00813029" w:rsidP="00556933">
            <w:pPr>
              <w:keepNext/>
              <w:jc w:val="left"/>
              <w:rPr>
                <w:rFonts w:ascii="Arial Narrow" w:hAnsi="Arial Narrow"/>
                <w:b/>
                <w:bCs/>
                <w:snapToGrid w:val="0"/>
                <w:sz w:val="20"/>
                <w:szCs w:val="24"/>
              </w:rPr>
            </w:pPr>
            <w:r w:rsidRPr="00B06893">
              <w:rPr>
                <w:rFonts w:ascii="Arial Narrow" w:hAnsi="Arial Narrow"/>
                <w:b/>
                <w:bCs/>
                <w:snapToGrid w:val="0"/>
                <w:sz w:val="20"/>
                <w:szCs w:val="24"/>
              </w:rPr>
              <w:t>RESPECIFIED BASE CASE</w:t>
            </w:r>
            <w:r w:rsidR="001F6A2E" w:rsidRPr="00B06893">
              <w:rPr>
                <w:rFonts w:ascii="Arial Narrow" w:hAnsi="Arial Narrow"/>
                <w:b/>
                <w:bCs/>
                <w:snapToGrid w:val="0"/>
                <w:sz w:val="20"/>
                <w:szCs w:val="24"/>
              </w:rPr>
              <w:t xml:space="preserve"> (RBC)</w:t>
            </w:r>
          </w:p>
        </w:tc>
        <w:tc>
          <w:tcPr>
            <w:tcW w:w="0" w:type="auto"/>
            <w:shd w:val="clear" w:color="auto" w:fill="D9D9D9" w:themeFill="background1" w:themeFillShade="D9"/>
            <w:vAlign w:val="center"/>
          </w:tcPr>
          <w:p w14:paraId="427D6522" w14:textId="2B845E67" w:rsidR="00813029" w:rsidRPr="00FE79E6" w:rsidRDefault="00FE79E6" w:rsidP="00556933">
            <w:pPr>
              <w:keepNext/>
              <w:jc w:val="center"/>
              <w:rPr>
                <w:rFonts w:ascii="Arial Narrow" w:hAnsi="Arial Narrow"/>
                <w:b/>
                <w:bCs/>
                <w:snapToGrid w:val="0"/>
                <w:sz w:val="20"/>
                <w:szCs w:val="24"/>
                <w:vertAlign w:val="superscript"/>
              </w:rPr>
            </w:pPr>
            <w:r w:rsidRPr="00FE79E6">
              <w:rPr>
                <w:rFonts w:ascii="Arial Narrow" w:hAnsi="Arial Narrow"/>
                <w:b/>
                <w:bCs/>
                <w:snapToGrid w:val="0"/>
                <w:sz w:val="20"/>
                <w:szCs w:val="24"/>
              </w:rPr>
              <w:t>$</w:t>
            </w:r>
            <w:r w:rsidR="00FF3F29" w:rsidRPr="00FF3F29">
              <w:rPr>
                <w:rFonts w:ascii="Arial Narrow" w:hAnsi="Arial Narrow"/>
                <w:b/>
                <w:bCs/>
                <w:snapToGrid w:val="0"/>
                <w:sz w:val="2"/>
                <w:szCs w:val="24"/>
                <w:highlight w:val="black"/>
              </w:rPr>
              <w:t>redacted content</w:t>
            </w:r>
          </w:p>
        </w:tc>
        <w:tc>
          <w:tcPr>
            <w:tcW w:w="0" w:type="auto"/>
            <w:shd w:val="clear" w:color="auto" w:fill="D9D9D9" w:themeFill="background1" w:themeFillShade="D9"/>
            <w:vAlign w:val="center"/>
          </w:tcPr>
          <w:p w14:paraId="5F9DAA88" w14:textId="77777777" w:rsidR="00813029" w:rsidRPr="00E4635F" w:rsidRDefault="00813029" w:rsidP="00556933">
            <w:pPr>
              <w:keepNext/>
              <w:jc w:val="center"/>
              <w:rPr>
                <w:rFonts w:ascii="Arial Narrow" w:hAnsi="Arial Narrow"/>
                <w:b/>
                <w:bCs/>
                <w:snapToGrid w:val="0"/>
                <w:sz w:val="20"/>
                <w:szCs w:val="24"/>
              </w:rPr>
            </w:pPr>
            <w:r w:rsidRPr="00E4635F">
              <w:rPr>
                <w:rFonts w:ascii="Arial Narrow" w:hAnsi="Arial Narrow"/>
                <w:b/>
                <w:bCs/>
                <w:snapToGrid w:val="0"/>
                <w:sz w:val="20"/>
                <w:szCs w:val="24"/>
              </w:rPr>
              <w:t>1,967</w:t>
            </w:r>
          </w:p>
        </w:tc>
        <w:tc>
          <w:tcPr>
            <w:tcW w:w="0" w:type="auto"/>
            <w:shd w:val="clear" w:color="auto" w:fill="D9D9D9" w:themeFill="background1" w:themeFillShade="D9"/>
            <w:vAlign w:val="center"/>
          </w:tcPr>
          <w:p w14:paraId="3EA413CD" w14:textId="2CC0B193" w:rsidR="00813029" w:rsidRPr="00FE79E6" w:rsidRDefault="00FE79E6" w:rsidP="00556933">
            <w:pPr>
              <w:keepNext/>
              <w:jc w:val="center"/>
              <w:rPr>
                <w:rFonts w:ascii="Arial Narrow" w:hAnsi="Arial Narrow"/>
                <w:b/>
                <w:bCs/>
                <w:snapToGrid w:val="0"/>
                <w:sz w:val="20"/>
                <w:szCs w:val="24"/>
                <w:vertAlign w:val="superscript"/>
              </w:rPr>
            </w:pPr>
            <w:r w:rsidRPr="00FE79E6">
              <w:rPr>
                <w:rFonts w:ascii="Arial Narrow" w:hAnsi="Arial Narrow"/>
                <w:b/>
                <w:bCs/>
                <w:snapToGrid w:val="0"/>
                <w:sz w:val="20"/>
                <w:szCs w:val="24"/>
              </w:rPr>
              <w:t>$</w:t>
            </w:r>
            <w:r w:rsidR="00FF3F29" w:rsidRPr="00FF3F29">
              <w:rPr>
                <w:rFonts w:ascii="Arial Narrow" w:hAnsi="Arial Narrow"/>
                <w:b/>
                <w:bCs/>
                <w:snapToGrid w:val="0"/>
                <w:sz w:val="2"/>
                <w:szCs w:val="24"/>
                <w:highlight w:val="black"/>
              </w:rPr>
              <w:t>redacted content</w:t>
            </w:r>
            <w:r w:rsidR="00045504" w:rsidRPr="00FE79E6">
              <w:rPr>
                <w:rFonts w:ascii="Arial Narrow" w:hAnsi="Arial Narrow"/>
                <w:b/>
                <w:bCs/>
                <w:snapToGrid w:val="0"/>
                <w:sz w:val="20"/>
                <w:szCs w:val="24"/>
                <w:vertAlign w:val="superscript"/>
              </w:rPr>
              <w:t>6</w:t>
            </w:r>
          </w:p>
        </w:tc>
        <w:tc>
          <w:tcPr>
            <w:tcW w:w="0" w:type="auto"/>
            <w:shd w:val="clear" w:color="auto" w:fill="D9D9D9" w:themeFill="background1" w:themeFillShade="D9"/>
            <w:vAlign w:val="center"/>
          </w:tcPr>
          <w:p w14:paraId="379864A2" w14:textId="77777777" w:rsidR="00813029" w:rsidRPr="00E4635F" w:rsidRDefault="00813029" w:rsidP="00556933">
            <w:pPr>
              <w:keepNext/>
              <w:jc w:val="center"/>
              <w:rPr>
                <w:rFonts w:ascii="Arial Narrow" w:hAnsi="Arial Narrow"/>
                <w:b/>
                <w:bCs/>
                <w:snapToGrid w:val="0"/>
                <w:sz w:val="20"/>
                <w:szCs w:val="24"/>
              </w:rPr>
            </w:pPr>
          </w:p>
        </w:tc>
      </w:tr>
      <w:tr w:rsidR="00061D7E" w:rsidRPr="00B06893" w14:paraId="57C98258" w14:textId="77777777" w:rsidTr="001227DF">
        <w:tc>
          <w:tcPr>
            <w:tcW w:w="0" w:type="auto"/>
            <w:vAlign w:val="center"/>
          </w:tcPr>
          <w:p w14:paraId="39D70615" w14:textId="2798E4EF" w:rsidR="00364FB7" w:rsidRPr="00B06893" w:rsidRDefault="00364FB7" w:rsidP="00556933">
            <w:pPr>
              <w:keepNext/>
              <w:jc w:val="left"/>
              <w:rPr>
                <w:rFonts w:ascii="Arial Narrow" w:hAnsi="Arial Narrow"/>
                <w:b/>
                <w:bCs/>
                <w:snapToGrid w:val="0"/>
                <w:sz w:val="20"/>
                <w:szCs w:val="24"/>
              </w:rPr>
            </w:pPr>
            <w:r w:rsidRPr="00B06893">
              <w:rPr>
                <w:rFonts w:ascii="Arial Narrow" w:hAnsi="Arial Narrow"/>
                <w:b/>
                <w:bCs/>
                <w:snapToGrid w:val="0"/>
                <w:sz w:val="20"/>
                <w:szCs w:val="24"/>
              </w:rPr>
              <w:t>Respecified base case AND removal of the effect of non</w:t>
            </w:r>
            <w:r w:rsidR="00193971">
              <w:rPr>
                <w:rFonts w:ascii="Arial Narrow" w:hAnsi="Arial Narrow"/>
                <w:b/>
                <w:bCs/>
                <w:snapToGrid w:val="0"/>
                <w:sz w:val="20"/>
                <w:szCs w:val="24"/>
              </w:rPr>
              <w:noBreakHyphen/>
            </w:r>
            <w:r w:rsidRPr="00B06893">
              <w:rPr>
                <w:rFonts w:ascii="Arial Narrow" w:hAnsi="Arial Narrow"/>
                <w:b/>
                <w:bCs/>
                <w:snapToGrid w:val="0"/>
                <w:sz w:val="20"/>
                <w:szCs w:val="24"/>
              </w:rPr>
              <w:t>hospitalised cases</w:t>
            </w:r>
          </w:p>
        </w:tc>
        <w:tc>
          <w:tcPr>
            <w:tcW w:w="0" w:type="auto"/>
          </w:tcPr>
          <w:p w14:paraId="09113929" w14:textId="15AD59E7" w:rsidR="00364FB7" w:rsidRPr="00FE79E6" w:rsidRDefault="00FE79E6" w:rsidP="00556933">
            <w:pPr>
              <w:keepNext/>
              <w:jc w:val="center"/>
              <w:rPr>
                <w:rFonts w:ascii="Arial Narrow" w:hAnsi="Arial Narrow"/>
                <w:snapToGrid w:val="0"/>
                <w:sz w:val="20"/>
                <w:szCs w:val="24"/>
                <w:highlight w:val="lightGray"/>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p>
        </w:tc>
        <w:tc>
          <w:tcPr>
            <w:tcW w:w="0" w:type="auto"/>
          </w:tcPr>
          <w:p w14:paraId="74CA9216" w14:textId="586F6CBB" w:rsidR="00364FB7" w:rsidRPr="00B06893" w:rsidRDefault="00364FB7" w:rsidP="00556933">
            <w:pPr>
              <w:keepNext/>
              <w:jc w:val="center"/>
              <w:rPr>
                <w:rFonts w:ascii="Arial Narrow" w:hAnsi="Arial Narrow"/>
                <w:snapToGrid w:val="0"/>
                <w:sz w:val="20"/>
                <w:szCs w:val="24"/>
              </w:rPr>
            </w:pPr>
            <w:r w:rsidRPr="00B06893">
              <w:rPr>
                <w:rFonts w:ascii="Arial Narrow" w:hAnsi="Arial Narrow"/>
                <w:snapToGrid w:val="0"/>
                <w:sz w:val="20"/>
                <w:szCs w:val="24"/>
              </w:rPr>
              <w:t>1,259</w:t>
            </w:r>
          </w:p>
        </w:tc>
        <w:tc>
          <w:tcPr>
            <w:tcW w:w="0" w:type="auto"/>
          </w:tcPr>
          <w:p w14:paraId="1A535F0A" w14:textId="67F4446E" w:rsidR="00364FB7" w:rsidRPr="00FE79E6" w:rsidRDefault="00FE79E6" w:rsidP="00556933">
            <w:pPr>
              <w:keepNext/>
              <w:jc w:val="center"/>
              <w:rPr>
                <w:rFonts w:ascii="Arial Narrow" w:hAnsi="Arial Narrow"/>
                <w:snapToGrid w:val="0"/>
                <w:sz w:val="20"/>
                <w:szCs w:val="24"/>
                <w:highlight w:val="lightGray"/>
                <w:vertAlign w:val="superscript"/>
              </w:rPr>
            </w:pPr>
            <w:r w:rsidRPr="00FE79E6">
              <w:rPr>
                <w:rFonts w:ascii="Arial Narrow" w:hAnsi="Arial Narrow"/>
                <w:snapToGrid w:val="0"/>
                <w:sz w:val="20"/>
                <w:szCs w:val="24"/>
              </w:rPr>
              <w:t>$</w:t>
            </w:r>
            <w:r w:rsidR="00FF3F29" w:rsidRPr="00FF3F29">
              <w:rPr>
                <w:rFonts w:ascii="Arial Narrow" w:hAnsi="Arial Narrow"/>
                <w:snapToGrid w:val="0"/>
                <w:sz w:val="2"/>
                <w:szCs w:val="24"/>
                <w:highlight w:val="black"/>
              </w:rPr>
              <w:t>redacted content</w:t>
            </w:r>
            <w:r w:rsidR="00BC7B9D" w:rsidRPr="00FE79E6">
              <w:rPr>
                <w:rFonts w:ascii="Arial Narrow" w:hAnsi="Arial Narrow"/>
                <w:snapToGrid w:val="0"/>
                <w:sz w:val="20"/>
                <w:szCs w:val="24"/>
                <w:vertAlign w:val="superscript"/>
              </w:rPr>
              <w:t>7</w:t>
            </w:r>
          </w:p>
        </w:tc>
        <w:tc>
          <w:tcPr>
            <w:tcW w:w="0" w:type="auto"/>
          </w:tcPr>
          <w:p w14:paraId="0B71BEA7" w14:textId="047F6055" w:rsidR="00364FB7" w:rsidRPr="00E4635F" w:rsidRDefault="00FF3F29" w:rsidP="00556933">
            <w:pPr>
              <w:keepNext/>
              <w:jc w:val="center"/>
              <w:rPr>
                <w:rFonts w:ascii="Arial Narrow" w:hAnsi="Arial Narrow"/>
                <w:snapToGrid w:val="0"/>
                <w:sz w:val="20"/>
                <w:szCs w:val="24"/>
              </w:rPr>
            </w:pPr>
            <w:r w:rsidRPr="00FF3F29">
              <w:rPr>
                <w:rFonts w:ascii="Arial Narrow" w:hAnsi="Arial Narrow"/>
                <w:snapToGrid w:val="0"/>
                <w:sz w:val="2"/>
                <w:szCs w:val="24"/>
                <w:highlight w:val="black"/>
              </w:rPr>
              <w:t>redacted content</w:t>
            </w:r>
            <w:r w:rsidR="00364FB7" w:rsidRPr="00E4635F">
              <w:rPr>
                <w:rFonts w:ascii="Arial Narrow" w:hAnsi="Arial Narrow"/>
                <w:snapToGrid w:val="0"/>
                <w:sz w:val="20"/>
                <w:szCs w:val="24"/>
              </w:rPr>
              <w:t>% increase over R</w:t>
            </w:r>
            <w:r w:rsidR="0051449D" w:rsidRPr="00E4635F">
              <w:rPr>
                <w:rFonts w:ascii="Arial Narrow" w:hAnsi="Arial Narrow"/>
                <w:snapToGrid w:val="0"/>
                <w:sz w:val="20"/>
                <w:szCs w:val="24"/>
              </w:rPr>
              <w:t>BC</w:t>
            </w:r>
          </w:p>
        </w:tc>
      </w:tr>
      <w:tr w:rsidR="002443DD" w:rsidRPr="00B06893" w14:paraId="5E4BD349" w14:textId="77777777" w:rsidTr="001227DF">
        <w:tc>
          <w:tcPr>
            <w:tcW w:w="0" w:type="auto"/>
            <w:shd w:val="clear" w:color="auto" w:fill="D9D9D9" w:themeFill="background1" w:themeFillShade="D9"/>
            <w:vAlign w:val="center"/>
          </w:tcPr>
          <w:p w14:paraId="03C07E43" w14:textId="0387FBDB" w:rsidR="002443DD" w:rsidRPr="00B06893" w:rsidRDefault="002443DD" w:rsidP="00556933">
            <w:pPr>
              <w:keepNext/>
              <w:jc w:val="left"/>
              <w:rPr>
                <w:rFonts w:ascii="Arial Narrow" w:hAnsi="Arial Narrow"/>
                <w:b/>
                <w:bCs/>
                <w:iCs/>
                <w:snapToGrid w:val="0"/>
                <w:sz w:val="20"/>
                <w:szCs w:val="24"/>
              </w:rPr>
            </w:pPr>
            <w:r w:rsidRPr="00B06893">
              <w:rPr>
                <w:rFonts w:ascii="Arial Narrow" w:hAnsi="Arial Narrow"/>
                <w:b/>
                <w:bCs/>
                <w:iCs/>
                <w:snapToGrid w:val="0"/>
                <w:sz w:val="20"/>
                <w:szCs w:val="24"/>
              </w:rPr>
              <w:t>ESC Scenarios</w:t>
            </w:r>
          </w:p>
        </w:tc>
        <w:tc>
          <w:tcPr>
            <w:tcW w:w="0" w:type="auto"/>
            <w:shd w:val="clear" w:color="auto" w:fill="D9D9D9" w:themeFill="background1" w:themeFillShade="D9"/>
          </w:tcPr>
          <w:p w14:paraId="0AB8902F" w14:textId="77777777" w:rsidR="002443DD" w:rsidRPr="00B06893" w:rsidRDefault="002443DD" w:rsidP="00556933">
            <w:pPr>
              <w:keepNext/>
              <w:jc w:val="center"/>
              <w:rPr>
                <w:rFonts w:ascii="Arial Narrow" w:hAnsi="Arial Narrow"/>
                <w:iCs/>
                <w:snapToGrid w:val="0"/>
                <w:sz w:val="20"/>
                <w:szCs w:val="24"/>
              </w:rPr>
            </w:pPr>
          </w:p>
        </w:tc>
        <w:tc>
          <w:tcPr>
            <w:tcW w:w="0" w:type="auto"/>
            <w:shd w:val="clear" w:color="auto" w:fill="D9D9D9" w:themeFill="background1" w:themeFillShade="D9"/>
          </w:tcPr>
          <w:p w14:paraId="65800542" w14:textId="77777777" w:rsidR="002443DD" w:rsidRPr="00B06893" w:rsidRDefault="002443DD" w:rsidP="00556933">
            <w:pPr>
              <w:keepNext/>
              <w:jc w:val="center"/>
              <w:rPr>
                <w:rFonts w:ascii="Arial Narrow" w:hAnsi="Arial Narrow"/>
                <w:iCs/>
                <w:snapToGrid w:val="0"/>
                <w:sz w:val="20"/>
                <w:szCs w:val="24"/>
              </w:rPr>
            </w:pPr>
          </w:p>
        </w:tc>
        <w:tc>
          <w:tcPr>
            <w:tcW w:w="0" w:type="auto"/>
            <w:shd w:val="clear" w:color="auto" w:fill="D9D9D9" w:themeFill="background1" w:themeFillShade="D9"/>
          </w:tcPr>
          <w:p w14:paraId="7B5698ED" w14:textId="77777777" w:rsidR="002443DD" w:rsidRPr="00B06893" w:rsidRDefault="002443DD" w:rsidP="00556933">
            <w:pPr>
              <w:keepNext/>
              <w:jc w:val="center"/>
              <w:rPr>
                <w:rFonts w:ascii="Arial Narrow" w:hAnsi="Arial Narrow"/>
                <w:iCs/>
                <w:snapToGrid w:val="0"/>
                <w:sz w:val="20"/>
                <w:szCs w:val="24"/>
              </w:rPr>
            </w:pPr>
          </w:p>
        </w:tc>
        <w:tc>
          <w:tcPr>
            <w:tcW w:w="0" w:type="auto"/>
            <w:shd w:val="clear" w:color="auto" w:fill="D9D9D9" w:themeFill="background1" w:themeFillShade="D9"/>
          </w:tcPr>
          <w:p w14:paraId="4435C824" w14:textId="77777777" w:rsidR="002443DD" w:rsidRPr="00E4635F" w:rsidRDefault="002443DD" w:rsidP="00556933">
            <w:pPr>
              <w:keepNext/>
              <w:jc w:val="center"/>
              <w:rPr>
                <w:rFonts w:ascii="Arial Narrow" w:hAnsi="Arial Narrow"/>
                <w:iCs/>
                <w:snapToGrid w:val="0"/>
                <w:sz w:val="20"/>
                <w:szCs w:val="24"/>
              </w:rPr>
            </w:pPr>
          </w:p>
        </w:tc>
      </w:tr>
      <w:tr w:rsidR="002774A5" w:rsidRPr="00B06893" w14:paraId="1CAEE3E8" w14:textId="77777777" w:rsidTr="001227DF">
        <w:tc>
          <w:tcPr>
            <w:tcW w:w="0" w:type="auto"/>
            <w:vAlign w:val="center"/>
          </w:tcPr>
          <w:p w14:paraId="6AB6C42A" w14:textId="2975E758" w:rsidR="002774A5" w:rsidRPr="00B06893" w:rsidRDefault="002774A5" w:rsidP="00556933">
            <w:pPr>
              <w:keepNext/>
              <w:jc w:val="left"/>
              <w:rPr>
                <w:rFonts w:ascii="Arial Narrow" w:hAnsi="Arial Narrow"/>
                <w:iCs/>
                <w:snapToGrid w:val="0"/>
                <w:sz w:val="20"/>
                <w:szCs w:val="24"/>
              </w:rPr>
            </w:pPr>
            <w:r w:rsidRPr="00B06893">
              <w:rPr>
                <w:rFonts w:ascii="Arial Narrow" w:hAnsi="Arial Narrow"/>
                <w:iCs/>
                <w:snapToGrid w:val="0"/>
                <w:sz w:val="20"/>
                <w:szCs w:val="24"/>
              </w:rPr>
              <w:t>ESC scenario 1</w:t>
            </w:r>
          </w:p>
          <w:p w14:paraId="00907726" w14:textId="17AC4D9E" w:rsidR="002774A5" w:rsidRPr="00B06893" w:rsidRDefault="002774A5" w:rsidP="00556933">
            <w:pPr>
              <w:keepNext/>
              <w:jc w:val="left"/>
              <w:rPr>
                <w:rFonts w:ascii="Arial Narrow" w:hAnsi="Arial Narrow"/>
                <w:iCs/>
                <w:snapToGrid w:val="0"/>
                <w:sz w:val="20"/>
                <w:szCs w:val="24"/>
              </w:rPr>
            </w:pPr>
            <w:r w:rsidRPr="00B06893">
              <w:rPr>
                <w:rFonts w:ascii="Arial Narrow" w:hAnsi="Arial Narrow"/>
                <w:iCs/>
                <w:snapToGrid w:val="0"/>
                <w:sz w:val="20"/>
                <w:szCs w:val="24"/>
              </w:rPr>
              <w:t>Applies all 13 changes identified in evaluation</w:t>
            </w:r>
          </w:p>
        </w:tc>
        <w:tc>
          <w:tcPr>
            <w:tcW w:w="0" w:type="auto"/>
          </w:tcPr>
          <w:p w14:paraId="413791E5" w14:textId="6C6FFE01" w:rsidR="002774A5" w:rsidRPr="00FE79E6" w:rsidRDefault="00FE79E6" w:rsidP="00556933">
            <w:pPr>
              <w:keepNext/>
              <w:jc w:val="center"/>
              <w:rPr>
                <w:rFonts w:ascii="Arial Narrow" w:hAnsi="Arial Narrow"/>
                <w:iCs/>
                <w:snapToGrid w:val="0"/>
                <w:sz w:val="20"/>
                <w:szCs w:val="24"/>
                <w:vertAlign w:val="superscript"/>
              </w:rPr>
            </w:pPr>
            <w:r w:rsidRPr="00FE79E6">
              <w:rPr>
                <w:rFonts w:ascii="Arial Narrow" w:hAnsi="Arial Narrow"/>
                <w:iCs/>
                <w:snapToGrid w:val="0"/>
                <w:sz w:val="20"/>
                <w:szCs w:val="24"/>
              </w:rPr>
              <w:t>$</w:t>
            </w:r>
            <w:r w:rsidR="00FF3F29" w:rsidRPr="00FF3F29">
              <w:rPr>
                <w:rFonts w:ascii="Arial Narrow" w:hAnsi="Arial Narrow"/>
                <w:iCs/>
                <w:snapToGrid w:val="0"/>
                <w:sz w:val="2"/>
                <w:szCs w:val="24"/>
                <w:highlight w:val="black"/>
              </w:rPr>
              <w:t>redacted content</w:t>
            </w:r>
          </w:p>
        </w:tc>
        <w:tc>
          <w:tcPr>
            <w:tcW w:w="0" w:type="auto"/>
          </w:tcPr>
          <w:p w14:paraId="0BE4D4AA" w14:textId="77777777" w:rsidR="002774A5" w:rsidRPr="00E4635F" w:rsidRDefault="002774A5" w:rsidP="00556933">
            <w:pPr>
              <w:keepNext/>
              <w:jc w:val="center"/>
              <w:rPr>
                <w:rFonts w:ascii="Arial Narrow" w:hAnsi="Arial Narrow"/>
                <w:iCs/>
                <w:snapToGrid w:val="0"/>
                <w:sz w:val="20"/>
                <w:szCs w:val="24"/>
              </w:rPr>
            </w:pPr>
            <w:r w:rsidRPr="00E4635F">
              <w:rPr>
                <w:rFonts w:ascii="Arial Narrow" w:hAnsi="Arial Narrow"/>
                <w:iCs/>
                <w:snapToGrid w:val="0"/>
                <w:sz w:val="20"/>
                <w:szCs w:val="24"/>
              </w:rPr>
              <w:t>1,200</w:t>
            </w:r>
          </w:p>
        </w:tc>
        <w:tc>
          <w:tcPr>
            <w:tcW w:w="0" w:type="auto"/>
          </w:tcPr>
          <w:p w14:paraId="64BF2DDC" w14:textId="33922FFF" w:rsidR="002774A5" w:rsidRPr="00FE79E6" w:rsidRDefault="00FE79E6" w:rsidP="00556933">
            <w:pPr>
              <w:keepNext/>
              <w:jc w:val="center"/>
              <w:rPr>
                <w:rFonts w:ascii="Arial Narrow" w:hAnsi="Arial Narrow"/>
                <w:iCs/>
                <w:snapToGrid w:val="0"/>
                <w:sz w:val="20"/>
                <w:szCs w:val="24"/>
                <w:vertAlign w:val="superscript"/>
              </w:rPr>
            </w:pPr>
            <w:bookmarkStart w:id="85" w:name="_Hlk221806874"/>
            <w:r w:rsidRPr="00FE79E6">
              <w:rPr>
                <w:rFonts w:ascii="Arial Narrow" w:hAnsi="Arial Narrow"/>
                <w:iCs/>
                <w:snapToGrid w:val="0"/>
                <w:sz w:val="20"/>
                <w:szCs w:val="24"/>
              </w:rPr>
              <w:t>$</w:t>
            </w:r>
            <w:r w:rsidR="00FF3F29" w:rsidRPr="00FF3F29">
              <w:rPr>
                <w:rFonts w:ascii="Arial Narrow" w:hAnsi="Arial Narrow"/>
                <w:iCs/>
                <w:snapToGrid w:val="0"/>
                <w:sz w:val="2"/>
                <w:szCs w:val="24"/>
                <w:highlight w:val="black"/>
              </w:rPr>
              <w:t>redacted content</w:t>
            </w:r>
            <w:bookmarkEnd w:id="85"/>
            <w:r w:rsidR="00BC7B9D" w:rsidRPr="00FE79E6">
              <w:rPr>
                <w:rFonts w:ascii="Arial Narrow" w:hAnsi="Arial Narrow"/>
                <w:iCs/>
                <w:snapToGrid w:val="0"/>
                <w:sz w:val="20"/>
                <w:szCs w:val="24"/>
                <w:vertAlign w:val="superscript"/>
              </w:rPr>
              <w:t>7</w:t>
            </w:r>
          </w:p>
        </w:tc>
        <w:tc>
          <w:tcPr>
            <w:tcW w:w="0" w:type="auto"/>
          </w:tcPr>
          <w:p w14:paraId="154F424B" w14:textId="0CC22E48" w:rsidR="002774A5" w:rsidRPr="00E4635F" w:rsidRDefault="00FF3F29" w:rsidP="00556933">
            <w:pPr>
              <w:keepNext/>
              <w:jc w:val="center"/>
              <w:rPr>
                <w:rFonts w:ascii="Arial Narrow" w:hAnsi="Arial Narrow"/>
                <w:iCs/>
                <w:snapToGrid w:val="0"/>
                <w:sz w:val="20"/>
                <w:szCs w:val="24"/>
              </w:rPr>
            </w:pPr>
            <w:r w:rsidRPr="00FF3F29">
              <w:rPr>
                <w:rFonts w:ascii="Arial Narrow" w:hAnsi="Arial Narrow"/>
                <w:iCs/>
                <w:snapToGrid w:val="0"/>
                <w:sz w:val="2"/>
                <w:szCs w:val="24"/>
                <w:highlight w:val="black"/>
              </w:rPr>
              <w:t>redacted content</w:t>
            </w:r>
            <w:r w:rsidR="002774A5" w:rsidRPr="00E4635F">
              <w:rPr>
                <w:rFonts w:ascii="Arial Narrow" w:hAnsi="Arial Narrow"/>
                <w:iCs/>
                <w:snapToGrid w:val="0"/>
                <w:sz w:val="20"/>
                <w:szCs w:val="24"/>
              </w:rPr>
              <w:t>% increase over RBC</w:t>
            </w:r>
          </w:p>
        </w:tc>
      </w:tr>
      <w:tr w:rsidR="0013613B" w:rsidRPr="00B06893" w14:paraId="2476AFFA" w14:textId="77777777" w:rsidTr="001227DF">
        <w:tc>
          <w:tcPr>
            <w:tcW w:w="0" w:type="auto"/>
            <w:vAlign w:val="center"/>
          </w:tcPr>
          <w:p w14:paraId="56C39A48" w14:textId="359367FF" w:rsidR="0013613B" w:rsidRPr="00B06893" w:rsidRDefault="0013613B" w:rsidP="00556933">
            <w:pPr>
              <w:keepNext/>
              <w:jc w:val="left"/>
              <w:rPr>
                <w:rFonts w:ascii="Arial Narrow" w:hAnsi="Arial Narrow"/>
                <w:iCs/>
                <w:snapToGrid w:val="0"/>
                <w:sz w:val="20"/>
                <w:szCs w:val="24"/>
              </w:rPr>
            </w:pPr>
            <w:r w:rsidRPr="00B06893">
              <w:rPr>
                <w:rFonts w:ascii="Arial Narrow" w:hAnsi="Arial Narrow"/>
                <w:iCs/>
                <w:snapToGrid w:val="0"/>
                <w:sz w:val="20"/>
                <w:szCs w:val="24"/>
              </w:rPr>
              <w:t>ESC scenario 2</w:t>
            </w:r>
          </w:p>
          <w:p w14:paraId="148E6B56" w14:textId="6690033A" w:rsidR="0013613B" w:rsidRPr="00B06893" w:rsidRDefault="0013613B" w:rsidP="00556933">
            <w:pPr>
              <w:keepNext/>
              <w:jc w:val="left"/>
              <w:rPr>
                <w:rFonts w:ascii="Arial Narrow" w:hAnsi="Arial Narrow"/>
                <w:iCs/>
                <w:snapToGrid w:val="0"/>
                <w:sz w:val="20"/>
                <w:szCs w:val="24"/>
              </w:rPr>
            </w:pPr>
            <w:r w:rsidRPr="00B06893">
              <w:rPr>
                <w:rFonts w:ascii="Arial Narrow" w:hAnsi="Arial Narrow"/>
                <w:iCs/>
                <w:snapToGrid w:val="0"/>
                <w:sz w:val="20"/>
                <w:szCs w:val="24"/>
              </w:rPr>
              <w:t>Applies all changes identified in evaluation except #7</w:t>
            </w:r>
          </w:p>
        </w:tc>
        <w:tc>
          <w:tcPr>
            <w:tcW w:w="0" w:type="auto"/>
          </w:tcPr>
          <w:p w14:paraId="36B88AD9" w14:textId="201DD13E" w:rsidR="0013613B" w:rsidRPr="00FE79E6" w:rsidRDefault="00FE79E6" w:rsidP="00556933">
            <w:pPr>
              <w:keepNext/>
              <w:jc w:val="center"/>
              <w:rPr>
                <w:rFonts w:ascii="Arial Narrow" w:hAnsi="Arial Narrow"/>
                <w:iCs/>
                <w:snapToGrid w:val="0"/>
                <w:sz w:val="20"/>
                <w:szCs w:val="24"/>
                <w:vertAlign w:val="superscript"/>
              </w:rPr>
            </w:pPr>
            <w:r w:rsidRPr="00FE79E6">
              <w:rPr>
                <w:rFonts w:ascii="Arial Narrow" w:hAnsi="Arial Narrow" w:cs="Arial"/>
                <w:color w:val="000000"/>
                <w:sz w:val="20"/>
              </w:rPr>
              <w:t>$</w:t>
            </w:r>
            <w:r w:rsidR="00FF3F29" w:rsidRPr="00FF3F29">
              <w:rPr>
                <w:rFonts w:ascii="Arial Narrow" w:hAnsi="Arial Narrow" w:cs="Arial"/>
                <w:color w:val="000000"/>
                <w:sz w:val="2"/>
                <w:highlight w:val="black"/>
              </w:rPr>
              <w:t>redacted content</w:t>
            </w:r>
          </w:p>
        </w:tc>
        <w:tc>
          <w:tcPr>
            <w:tcW w:w="0" w:type="auto"/>
          </w:tcPr>
          <w:p w14:paraId="60B3810B" w14:textId="29A16DD4" w:rsidR="0013613B" w:rsidRPr="00E4635F" w:rsidRDefault="0013613B" w:rsidP="00556933">
            <w:pPr>
              <w:keepNext/>
              <w:jc w:val="center"/>
              <w:rPr>
                <w:rFonts w:ascii="Arial Narrow" w:hAnsi="Arial Narrow"/>
                <w:iCs/>
                <w:snapToGrid w:val="0"/>
                <w:sz w:val="20"/>
                <w:szCs w:val="24"/>
                <w:highlight w:val="yellow"/>
              </w:rPr>
            </w:pPr>
            <w:r w:rsidRPr="00E4635F">
              <w:rPr>
                <w:rFonts w:ascii="Arial Narrow" w:hAnsi="Arial Narrow" w:cs="Arial"/>
                <w:color w:val="000000"/>
                <w:sz w:val="20"/>
              </w:rPr>
              <w:t>2,301</w:t>
            </w:r>
          </w:p>
        </w:tc>
        <w:tc>
          <w:tcPr>
            <w:tcW w:w="0" w:type="auto"/>
          </w:tcPr>
          <w:p w14:paraId="616A7782" w14:textId="6381E1FC" w:rsidR="0013613B" w:rsidRPr="00FE79E6" w:rsidRDefault="00FE79E6" w:rsidP="00556933">
            <w:pPr>
              <w:keepNext/>
              <w:jc w:val="center"/>
              <w:rPr>
                <w:rFonts w:ascii="Arial Narrow" w:hAnsi="Arial Narrow"/>
                <w:iCs/>
                <w:snapToGrid w:val="0"/>
                <w:sz w:val="20"/>
                <w:szCs w:val="24"/>
                <w:vertAlign w:val="superscript"/>
              </w:rPr>
            </w:pPr>
            <w:r w:rsidRPr="00FE79E6">
              <w:rPr>
                <w:rFonts w:ascii="Arial Narrow" w:hAnsi="Arial Narrow" w:cs="Arial"/>
                <w:color w:val="000000"/>
                <w:sz w:val="20"/>
              </w:rPr>
              <w:t>$</w:t>
            </w:r>
            <w:r w:rsidR="00FF3F29" w:rsidRPr="00FF3F29">
              <w:rPr>
                <w:rFonts w:ascii="Arial Narrow" w:hAnsi="Arial Narrow" w:cs="Arial"/>
                <w:color w:val="000000"/>
                <w:sz w:val="2"/>
                <w:highlight w:val="black"/>
              </w:rPr>
              <w:t>redacted content</w:t>
            </w:r>
            <w:r w:rsidR="00AB32E9" w:rsidRPr="00FE79E6">
              <w:rPr>
                <w:rFonts w:ascii="Arial Narrow" w:hAnsi="Arial Narrow" w:cs="Arial"/>
                <w:color w:val="000000"/>
                <w:sz w:val="20"/>
                <w:vertAlign w:val="superscript"/>
              </w:rPr>
              <w:t>5</w:t>
            </w:r>
          </w:p>
        </w:tc>
        <w:tc>
          <w:tcPr>
            <w:tcW w:w="0" w:type="auto"/>
          </w:tcPr>
          <w:p w14:paraId="4C77A160" w14:textId="6416EBCC" w:rsidR="0013613B" w:rsidRPr="00E4635F" w:rsidRDefault="00FF3F29" w:rsidP="00556933">
            <w:pPr>
              <w:keepNext/>
              <w:jc w:val="center"/>
              <w:rPr>
                <w:rFonts w:ascii="Arial Narrow" w:hAnsi="Arial Narrow"/>
                <w:iCs/>
                <w:snapToGrid w:val="0"/>
                <w:sz w:val="20"/>
                <w:szCs w:val="24"/>
              </w:rPr>
            </w:pPr>
            <w:r w:rsidRPr="00FF3F29">
              <w:rPr>
                <w:rFonts w:ascii="Arial Narrow" w:hAnsi="Arial Narrow"/>
                <w:iCs/>
                <w:snapToGrid w:val="0"/>
                <w:sz w:val="2"/>
                <w:szCs w:val="24"/>
                <w:highlight w:val="black"/>
              </w:rPr>
              <w:t>redacted content</w:t>
            </w:r>
            <w:r w:rsidR="0013613B" w:rsidRPr="00E4635F">
              <w:rPr>
                <w:rFonts w:ascii="Arial Narrow" w:hAnsi="Arial Narrow"/>
                <w:iCs/>
                <w:snapToGrid w:val="0"/>
                <w:sz w:val="20"/>
                <w:szCs w:val="24"/>
              </w:rPr>
              <w:t>% decrease from RBC</w:t>
            </w:r>
          </w:p>
        </w:tc>
      </w:tr>
      <w:tr w:rsidR="00CC7F2E" w:rsidRPr="00B06893" w14:paraId="1F833249" w14:textId="77777777" w:rsidTr="001227DF">
        <w:tc>
          <w:tcPr>
            <w:tcW w:w="0" w:type="auto"/>
            <w:vAlign w:val="center"/>
          </w:tcPr>
          <w:p w14:paraId="22CB33AE" w14:textId="635661D1" w:rsidR="00CC7F2E" w:rsidRPr="00B06893" w:rsidRDefault="00CC7F2E" w:rsidP="00556933">
            <w:pPr>
              <w:keepNext/>
              <w:jc w:val="left"/>
              <w:rPr>
                <w:rFonts w:ascii="Arial Narrow" w:hAnsi="Arial Narrow"/>
                <w:iCs/>
                <w:snapToGrid w:val="0"/>
                <w:sz w:val="20"/>
                <w:szCs w:val="24"/>
              </w:rPr>
            </w:pPr>
            <w:r w:rsidRPr="00B06893">
              <w:rPr>
                <w:rFonts w:ascii="Arial Narrow" w:hAnsi="Arial Narrow"/>
                <w:iCs/>
                <w:snapToGrid w:val="0"/>
                <w:sz w:val="20"/>
                <w:szCs w:val="24"/>
              </w:rPr>
              <w:t>ESC scenario 3</w:t>
            </w:r>
          </w:p>
          <w:p w14:paraId="1F2CCD7F" w14:textId="032BE32B" w:rsidR="00CC7F2E" w:rsidRPr="00B06893" w:rsidRDefault="00CC7F2E" w:rsidP="00556933">
            <w:pPr>
              <w:keepNext/>
              <w:jc w:val="left"/>
              <w:rPr>
                <w:rFonts w:ascii="Arial Narrow" w:hAnsi="Arial Narrow"/>
                <w:i/>
                <w:iCs/>
                <w:snapToGrid w:val="0"/>
                <w:sz w:val="20"/>
                <w:szCs w:val="24"/>
              </w:rPr>
            </w:pPr>
            <w:r w:rsidRPr="00B06893">
              <w:rPr>
                <w:rFonts w:ascii="Arial Narrow" w:hAnsi="Arial Narrow"/>
                <w:iCs/>
                <w:snapToGrid w:val="0"/>
                <w:sz w:val="20"/>
                <w:szCs w:val="24"/>
              </w:rPr>
              <w:t>Do not apply the changed hospitalisation costs (#10), but apply all other changes identified in evaluation</w:t>
            </w:r>
          </w:p>
        </w:tc>
        <w:tc>
          <w:tcPr>
            <w:tcW w:w="0" w:type="auto"/>
          </w:tcPr>
          <w:p w14:paraId="14D44EB1" w14:textId="452DDD3B" w:rsidR="00CC7F2E" w:rsidRPr="00FE79E6" w:rsidRDefault="00FE79E6" w:rsidP="00556933">
            <w:pPr>
              <w:keepNext/>
              <w:jc w:val="center"/>
              <w:rPr>
                <w:rFonts w:ascii="Arial Narrow" w:hAnsi="Arial Narrow" w:cs="Arial"/>
                <w:color w:val="000000"/>
                <w:sz w:val="20"/>
                <w:vertAlign w:val="superscript"/>
              </w:rPr>
            </w:pPr>
            <w:r w:rsidRPr="00FE79E6">
              <w:rPr>
                <w:rFonts w:ascii="Arial Narrow" w:hAnsi="Arial Narrow" w:cs="Arial"/>
                <w:color w:val="000000"/>
                <w:sz w:val="20"/>
              </w:rPr>
              <w:t>$</w:t>
            </w:r>
            <w:r w:rsidR="00FF3F29" w:rsidRPr="00FF3F29">
              <w:rPr>
                <w:rFonts w:ascii="Arial Narrow" w:hAnsi="Arial Narrow" w:cs="Arial"/>
                <w:color w:val="000000"/>
                <w:sz w:val="2"/>
                <w:highlight w:val="black"/>
              </w:rPr>
              <w:t>redacted content</w:t>
            </w:r>
          </w:p>
        </w:tc>
        <w:tc>
          <w:tcPr>
            <w:tcW w:w="0" w:type="auto"/>
          </w:tcPr>
          <w:p w14:paraId="2FDB8FB4" w14:textId="1AC2EF39" w:rsidR="00CC7F2E" w:rsidRPr="00B06893" w:rsidRDefault="00CC7F2E" w:rsidP="00556933">
            <w:pPr>
              <w:keepNext/>
              <w:jc w:val="center"/>
              <w:rPr>
                <w:rFonts w:ascii="Arial Narrow" w:hAnsi="Arial Narrow" w:cs="Arial"/>
                <w:color w:val="000000"/>
                <w:sz w:val="20"/>
              </w:rPr>
            </w:pPr>
            <w:r w:rsidRPr="00B06893">
              <w:rPr>
                <w:rFonts w:ascii="Arial Narrow" w:hAnsi="Arial Narrow" w:cs="Arial"/>
                <w:color w:val="000000"/>
                <w:sz w:val="20"/>
              </w:rPr>
              <w:t>1,200</w:t>
            </w:r>
          </w:p>
        </w:tc>
        <w:tc>
          <w:tcPr>
            <w:tcW w:w="0" w:type="auto"/>
          </w:tcPr>
          <w:p w14:paraId="1524B719" w14:textId="39534DA6" w:rsidR="00CC7F2E" w:rsidRPr="00FE79E6" w:rsidRDefault="00FE79E6" w:rsidP="00556933">
            <w:pPr>
              <w:keepNext/>
              <w:jc w:val="center"/>
              <w:rPr>
                <w:rFonts w:ascii="Arial Narrow" w:hAnsi="Arial Narrow" w:cs="Arial"/>
                <w:color w:val="000000"/>
                <w:sz w:val="20"/>
                <w:vertAlign w:val="superscript"/>
              </w:rPr>
            </w:pPr>
            <w:r w:rsidRPr="00FE79E6">
              <w:rPr>
                <w:rFonts w:ascii="Arial Narrow" w:hAnsi="Arial Narrow" w:cs="Arial"/>
                <w:color w:val="000000"/>
                <w:sz w:val="20"/>
              </w:rPr>
              <w:t>$</w:t>
            </w:r>
            <w:r w:rsidR="00FF3F29" w:rsidRPr="00FF3F29">
              <w:rPr>
                <w:rFonts w:ascii="Arial Narrow" w:hAnsi="Arial Narrow" w:cs="Arial"/>
                <w:color w:val="000000"/>
                <w:sz w:val="2"/>
                <w:highlight w:val="black"/>
              </w:rPr>
              <w:t>redacted content</w:t>
            </w:r>
            <w:r w:rsidR="00BC7B9D" w:rsidRPr="00FE79E6">
              <w:rPr>
                <w:rFonts w:ascii="Arial Narrow" w:hAnsi="Arial Narrow" w:cs="Arial"/>
                <w:color w:val="000000"/>
                <w:sz w:val="20"/>
                <w:vertAlign w:val="superscript"/>
              </w:rPr>
              <w:t>7</w:t>
            </w:r>
          </w:p>
        </w:tc>
        <w:tc>
          <w:tcPr>
            <w:tcW w:w="0" w:type="auto"/>
          </w:tcPr>
          <w:p w14:paraId="3C90F13B" w14:textId="033C6B4E" w:rsidR="00CC7F2E" w:rsidRPr="00E4635F" w:rsidRDefault="00FF3F29" w:rsidP="00556933">
            <w:pPr>
              <w:keepNext/>
              <w:jc w:val="center"/>
              <w:rPr>
                <w:rFonts w:ascii="Arial Narrow" w:hAnsi="Arial Narrow" w:cs="Arial"/>
                <w:color w:val="000000"/>
                <w:sz w:val="20"/>
              </w:rPr>
            </w:pPr>
            <w:r w:rsidRPr="00FF3F29">
              <w:rPr>
                <w:rFonts w:ascii="Arial Narrow" w:hAnsi="Arial Narrow" w:cs="Arial"/>
                <w:color w:val="000000"/>
                <w:sz w:val="2"/>
                <w:highlight w:val="black"/>
              </w:rPr>
              <w:t>redacted content</w:t>
            </w:r>
            <w:r w:rsidR="00CC7F2E" w:rsidRPr="00E4635F">
              <w:rPr>
                <w:rFonts w:ascii="Arial Narrow" w:hAnsi="Arial Narrow" w:cs="Arial"/>
                <w:color w:val="000000"/>
                <w:sz w:val="20"/>
              </w:rPr>
              <w:t>% increase over RBC</w:t>
            </w:r>
          </w:p>
        </w:tc>
      </w:tr>
      <w:tr w:rsidR="002774A5" w:rsidRPr="00B06893" w14:paraId="73CE0749" w14:textId="77777777" w:rsidTr="001227DF">
        <w:tc>
          <w:tcPr>
            <w:tcW w:w="0" w:type="auto"/>
            <w:vAlign w:val="center"/>
          </w:tcPr>
          <w:p w14:paraId="73C0E46C" w14:textId="1ED42A9A" w:rsidR="002774A5" w:rsidRPr="00B06893" w:rsidRDefault="002774A5" w:rsidP="00556933">
            <w:pPr>
              <w:keepNext/>
              <w:jc w:val="left"/>
              <w:rPr>
                <w:rFonts w:ascii="Arial Narrow" w:hAnsi="Arial Narrow"/>
                <w:iCs/>
                <w:snapToGrid w:val="0"/>
                <w:sz w:val="20"/>
                <w:szCs w:val="24"/>
              </w:rPr>
            </w:pPr>
            <w:r w:rsidRPr="00B06893">
              <w:rPr>
                <w:rFonts w:ascii="Arial Narrow" w:hAnsi="Arial Narrow"/>
                <w:iCs/>
                <w:snapToGrid w:val="0"/>
                <w:sz w:val="20"/>
                <w:szCs w:val="24"/>
              </w:rPr>
              <w:t>ESC scenario 4</w:t>
            </w:r>
          </w:p>
          <w:p w14:paraId="73608846" w14:textId="48814B9F" w:rsidR="0013613B" w:rsidRPr="00B06893" w:rsidRDefault="0013613B" w:rsidP="00556933">
            <w:pPr>
              <w:keepNext/>
              <w:jc w:val="left"/>
              <w:rPr>
                <w:rFonts w:ascii="Arial Narrow" w:hAnsi="Arial Narrow"/>
                <w:i/>
                <w:iCs/>
                <w:snapToGrid w:val="0"/>
                <w:sz w:val="20"/>
                <w:szCs w:val="24"/>
              </w:rPr>
            </w:pPr>
            <w:r w:rsidRPr="00B06893">
              <w:rPr>
                <w:rFonts w:ascii="Arial Narrow" w:hAnsi="Arial Narrow"/>
                <w:iCs/>
                <w:snapToGrid w:val="0"/>
                <w:sz w:val="20"/>
                <w:szCs w:val="24"/>
              </w:rPr>
              <w:t>Do not apply #7, a</w:t>
            </w:r>
            <w:r w:rsidR="00CC7F2E" w:rsidRPr="00B06893">
              <w:rPr>
                <w:rFonts w:ascii="Arial Narrow" w:hAnsi="Arial Narrow"/>
                <w:iCs/>
                <w:snapToGrid w:val="0"/>
                <w:sz w:val="20"/>
                <w:szCs w:val="24"/>
              </w:rPr>
              <w:t>nd do not apply the changed hospitalisation costs (#10), but apply all other changes identified in evaluation</w:t>
            </w:r>
          </w:p>
        </w:tc>
        <w:tc>
          <w:tcPr>
            <w:tcW w:w="0" w:type="auto"/>
          </w:tcPr>
          <w:p w14:paraId="5958D55F" w14:textId="097FB5E4" w:rsidR="002774A5" w:rsidRPr="00FE79E6" w:rsidRDefault="00FE79E6" w:rsidP="00556933">
            <w:pPr>
              <w:keepNext/>
              <w:jc w:val="center"/>
              <w:rPr>
                <w:rFonts w:ascii="Arial Narrow" w:hAnsi="Arial Narrow" w:cs="Arial"/>
                <w:color w:val="000000"/>
                <w:sz w:val="20"/>
                <w:vertAlign w:val="superscript"/>
              </w:rPr>
            </w:pPr>
            <w:r w:rsidRPr="00FE79E6">
              <w:rPr>
                <w:rFonts w:ascii="Arial Narrow" w:hAnsi="Arial Narrow" w:cs="Arial"/>
                <w:color w:val="000000"/>
                <w:sz w:val="20"/>
              </w:rPr>
              <w:t>$</w:t>
            </w:r>
            <w:r w:rsidR="00FF3F29" w:rsidRPr="00FF3F29">
              <w:rPr>
                <w:rFonts w:ascii="Arial Narrow" w:hAnsi="Arial Narrow" w:cs="Arial"/>
                <w:color w:val="000000"/>
                <w:sz w:val="2"/>
                <w:highlight w:val="black"/>
              </w:rPr>
              <w:t>redacted content</w:t>
            </w:r>
          </w:p>
        </w:tc>
        <w:tc>
          <w:tcPr>
            <w:tcW w:w="0" w:type="auto"/>
          </w:tcPr>
          <w:p w14:paraId="3FFE85BD" w14:textId="469C1B9B" w:rsidR="002774A5" w:rsidRPr="00B06893" w:rsidRDefault="002774A5" w:rsidP="00556933">
            <w:pPr>
              <w:keepNext/>
              <w:jc w:val="center"/>
              <w:rPr>
                <w:rFonts w:ascii="Arial Narrow" w:hAnsi="Arial Narrow" w:cs="Arial"/>
                <w:color w:val="000000"/>
                <w:sz w:val="20"/>
              </w:rPr>
            </w:pPr>
            <w:r w:rsidRPr="00B06893">
              <w:rPr>
                <w:rFonts w:ascii="Arial Narrow" w:hAnsi="Arial Narrow" w:cs="Arial"/>
                <w:color w:val="000000"/>
                <w:sz w:val="20"/>
              </w:rPr>
              <w:t>2,301</w:t>
            </w:r>
          </w:p>
        </w:tc>
        <w:tc>
          <w:tcPr>
            <w:tcW w:w="0" w:type="auto"/>
          </w:tcPr>
          <w:p w14:paraId="225D708A" w14:textId="393E41E8" w:rsidR="002774A5" w:rsidRPr="00FE79E6" w:rsidRDefault="00FE79E6" w:rsidP="00556933">
            <w:pPr>
              <w:keepNext/>
              <w:jc w:val="center"/>
              <w:rPr>
                <w:rFonts w:ascii="Arial Narrow" w:hAnsi="Arial Narrow" w:cs="Arial"/>
                <w:color w:val="000000"/>
                <w:sz w:val="20"/>
                <w:vertAlign w:val="superscript"/>
              </w:rPr>
            </w:pPr>
            <w:r w:rsidRPr="00FE79E6">
              <w:rPr>
                <w:rFonts w:ascii="Arial Narrow" w:hAnsi="Arial Narrow" w:cs="Arial"/>
                <w:color w:val="000000"/>
                <w:sz w:val="20"/>
              </w:rPr>
              <w:t>$</w:t>
            </w:r>
            <w:r w:rsidR="00FF3F29" w:rsidRPr="00FF3F29">
              <w:rPr>
                <w:rFonts w:ascii="Arial Narrow" w:hAnsi="Arial Narrow" w:cs="Arial"/>
                <w:color w:val="000000"/>
                <w:sz w:val="2"/>
                <w:highlight w:val="black"/>
              </w:rPr>
              <w:t>redacted content</w:t>
            </w:r>
            <w:r w:rsidR="00207C2B" w:rsidRPr="00FE79E6">
              <w:rPr>
                <w:rFonts w:ascii="Arial Narrow" w:hAnsi="Arial Narrow" w:cs="Arial"/>
                <w:color w:val="000000"/>
                <w:sz w:val="20"/>
                <w:vertAlign w:val="superscript"/>
              </w:rPr>
              <w:t>6</w:t>
            </w:r>
          </w:p>
        </w:tc>
        <w:tc>
          <w:tcPr>
            <w:tcW w:w="0" w:type="auto"/>
          </w:tcPr>
          <w:p w14:paraId="75B31F8B" w14:textId="704BCCFD" w:rsidR="002774A5" w:rsidRPr="00E4635F" w:rsidRDefault="00FF3F29" w:rsidP="00556933">
            <w:pPr>
              <w:keepNext/>
              <w:jc w:val="center"/>
              <w:rPr>
                <w:rFonts w:ascii="Arial Narrow" w:hAnsi="Arial Narrow" w:cs="Arial"/>
                <w:color w:val="000000"/>
                <w:sz w:val="20"/>
              </w:rPr>
            </w:pPr>
            <w:r w:rsidRPr="00FF3F29">
              <w:rPr>
                <w:rFonts w:ascii="Arial Narrow" w:hAnsi="Arial Narrow" w:cs="Arial"/>
                <w:color w:val="000000"/>
                <w:sz w:val="2"/>
                <w:highlight w:val="black"/>
              </w:rPr>
              <w:t>redacted content</w:t>
            </w:r>
            <w:r w:rsidR="002774A5" w:rsidRPr="00E4635F">
              <w:rPr>
                <w:rFonts w:ascii="Arial Narrow" w:hAnsi="Arial Narrow" w:cs="Arial"/>
                <w:color w:val="000000"/>
                <w:sz w:val="20"/>
              </w:rPr>
              <w:t>% increase over RBC</w:t>
            </w:r>
          </w:p>
        </w:tc>
      </w:tr>
    </w:tbl>
    <w:p w14:paraId="3CE1B2DD" w14:textId="77777777" w:rsidR="00813029" w:rsidRPr="00B06893" w:rsidRDefault="00813029" w:rsidP="00556933">
      <w:pPr>
        <w:keepNext/>
        <w:keepLines/>
        <w:spacing w:after="120"/>
        <w:contextualSpacing/>
        <w:jc w:val="left"/>
        <w:rPr>
          <w:rFonts w:ascii="Arial Narrow" w:hAnsi="Arial Narrow" w:cs="Arial"/>
          <w:iCs/>
          <w:snapToGrid w:val="0"/>
          <w:sz w:val="18"/>
          <w:szCs w:val="22"/>
        </w:rPr>
      </w:pPr>
      <w:r w:rsidRPr="00B06893">
        <w:rPr>
          <w:rFonts w:ascii="Arial Narrow" w:hAnsi="Arial Narrow" w:cs="Arial"/>
          <w:iCs/>
          <w:snapToGrid w:val="0"/>
          <w:sz w:val="18"/>
          <w:szCs w:val="22"/>
        </w:rPr>
        <w:t>Source: generated during the evaluation.</w:t>
      </w:r>
    </w:p>
    <w:p w14:paraId="652AB140" w14:textId="77777777" w:rsidR="00D534E1" w:rsidRDefault="00813029" w:rsidP="00D534E1">
      <w:pPr>
        <w:keepNext/>
        <w:keepLines/>
        <w:spacing w:after="120"/>
        <w:contextualSpacing/>
        <w:jc w:val="left"/>
        <w:rPr>
          <w:rFonts w:ascii="Arial Narrow" w:hAnsi="Arial Narrow" w:cs="Arial"/>
          <w:iCs/>
          <w:snapToGrid w:val="0"/>
          <w:sz w:val="18"/>
          <w:szCs w:val="22"/>
        </w:rPr>
      </w:pPr>
      <w:r w:rsidRPr="00B06893">
        <w:rPr>
          <w:rFonts w:ascii="Arial Narrow" w:hAnsi="Arial Narrow" w:cs="Arial"/>
          <w:iCs/>
          <w:snapToGrid w:val="0"/>
          <w:sz w:val="18"/>
          <w:szCs w:val="22"/>
        </w:rPr>
        <w:t>ABS = Australian Bureau of Statistics; AE = Adverse Event; AIHW = Australian Institute of Health and Welfare; AR = Adverse reaction; GP = General practitioner; ICER = Incremental cost</w:t>
      </w:r>
      <w:r w:rsidR="00193971">
        <w:rPr>
          <w:rFonts w:ascii="Arial Narrow" w:hAnsi="Arial Narrow" w:cs="Arial"/>
          <w:iCs/>
          <w:snapToGrid w:val="0"/>
          <w:sz w:val="18"/>
          <w:szCs w:val="22"/>
        </w:rPr>
        <w:noBreakHyphen/>
      </w:r>
      <w:r w:rsidRPr="00B06893">
        <w:rPr>
          <w:rFonts w:ascii="Arial Narrow" w:hAnsi="Arial Narrow" w:cs="Arial"/>
          <w:iCs/>
          <w:snapToGrid w:val="0"/>
          <w:sz w:val="18"/>
          <w:szCs w:val="22"/>
        </w:rPr>
        <w:t>effectiveness ratio; ICU = Intensive Care Unit; LOS = Length of Stay; QALY = Quality</w:t>
      </w:r>
      <w:r w:rsidR="00193971">
        <w:rPr>
          <w:rFonts w:ascii="Arial Narrow" w:hAnsi="Arial Narrow" w:cs="Arial"/>
          <w:iCs/>
          <w:snapToGrid w:val="0"/>
          <w:sz w:val="18"/>
          <w:szCs w:val="22"/>
        </w:rPr>
        <w:noBreakHyphen/>
      </w:r>
      <w:r w:rsidRPr="00B06893">
        <w:rPr>
          <w:rFonts w:ascii="Arial Narrow" w:hAnsi="Arial Narrow" w:cs="Arial"/>
          <w:iCs/>
          <w:snapToGrid w:val="0"/>
          <w:sz w:val="18"/>
          <w:szCs w:val="22"/>
        </w:rPr>
        <w:t>Adjusted Life Year</w:t>
      </w:r>
      <w:r w:rsidR="0051449D" w:rsidRPr="00B06893">
        <w:rPr>
          <w:rFonts w:ascii="Arial Narrow" w:hAnsi="Arial Narrow" w:cs="Arial"/>
          <w:iCs/>
          <w:snapToGrid w:val="0"/>
          <w:sz w:val="18"/>
          <w:szCs w:val="22"/>
        </w:rPr>
        <w:t>; RBC = respecified base case</w:t>
      </w:r>
      <w:r w:rsidRPr="00B06893">
        <w:rPr>
          <w:rFonts w:ascii="Arial Narrow" w:hAnsi="Arial Narrow" w:cs="Arial"/>
          <w:iCs/>
          <w:snapToGrid w:val="0"/>
          <w:sz w:val="18"/>
          <w:szCs w:val="22"/>
        </w:rPr>
        <w:t>.</w:t>
      </w:r>
      <w:r w:rsidR="00D534E1">
        <w:rPr>
          <w:rFonts w:ascii="Arial Narrow" w:hAnsi="Arial Narrow" w:cs="Arial"/>
          <w:iCs/>
          <w:snapToGrid w:val="0"/>
          <w:sz w:val="18"/>
          <w:szCs w:val="22"/>
        </w:rPr>
        <w:t xml:space="preserve"> </w:t>
      </w:r>
    </w:p>
    <w:p w14:paraId="71DB1E2B" w14:textId="4AA63421" w:rsidR="00D534E1" w:rsidRPr="00E72239" w:rsidRDefault="00D534E1" w:rsidP="00D534E1">
      <w:pPr>
        <w:keepNext/>
        <w:keepLines/>
        <w:spacing w:after="120"/>
        <w:contextualSpacing/>
        <w:jc w:val="left"/>
        <w:rPr>
          <w:rFonts w:ascii="Arial Narrow" w:hAnsi="Arial Narrow" w:cs="Arial"/>
          <w:i/>
          <w:snapToGrid w:val="0"/>
          <w:sz w:val="18"/>
          <w:szCs w:val="22"/>
        </w:rPr>
      </w:pPr>
      <w:r w:rsidRPr="00E72239">
        <w:rPr>
          <w:rFonts w:ascii="Arial Narrow" w:hAnsi="Arial Narrow" w:cs="Arial"/>
          <w:i/>
          <w:snapToGrid w:val="0"/>
          <w:sz w:val="18"/>
          <w:szCs w:val="22"/>
        </w:rPr>
        <w:t xml:space="preserve">The redacted values correspond to the following ranges: </w:t>
      </w:r>
    </w:p>
    <w:p w14:paraId="6119010D" w14:textId="0CBF8866" w:rsidR="00D534E1" w:rsidRPr="00E72239" w:rsidRDefault="00032FA0" w:rsidP="00D534E1">
      <w:pPr>
        <w:keepNext/>
        <w:keepLines/>
        <w:spacing w:after="120"/>
        <w:contextualSpacing/>
        <w:jc w:val="left"/>
        <w:rPr>
          <w:rFonts w:ascii="Arial Narrow" w:hAnsi="Arial Narrow" w:cs="Arial"/>
          <w:i/>
          <w:snapToGrid w:val="0"/>
          <w:sz w:val="18"/>
          <w:szCs w:val="22"/>
        </w:rPr>
      </w:pPr>
      <w:r w:rsidRPr="00E72239">
        <w:rPr>
          <w:rFonts w:ascii="Arial Narrow" w:hAnsi="Arial Narrow" w:cs="Arial"/>
          <w:i/>
          <w:snapToGrid w:val="0"/>
          <w:sz w:val="18"/>
          <w:szCs w:val="22"/>
          <w:vertAlign w:val="superscript"/>
        </w:rPr>
        <w:t>1</w:t>
      </w:r>
      <w:r w:rsidR="00D534E1" w:rsidRPr="00E72239">
        <w:rPr>
          <w:rFonts w:ascii="Arial Narrow" w:hAnsi="Arial Narrow" w:cs="Arial"/>
          <w:i/>
          <w:snapToGrid w:val="0"/>
          <w:sz w:val="18"/>
          <w:szCs w:val="22"/>
        </w:rPr>
        <w:t xml:space="preserve"> $25,000 to &lt; $35,000 </w:t>
      </w:r>
    </w:p>
    <w:p w14:paraId="2E0781A7" w14:textId="2FB10EB8" w:rsidR="00237072" w:rsidRPr="00E72239" w:rsidRDefault="00237072" w:rsidP="00D534E1">
      <w:pPr>
        <w:keepNext/>
        <w:keepLines/>
        <w:spacing w:after="120"/>
        <w:contextualSpacing/>
        <w:jc w:val="left"/>
        <w:rPr>
          <w:rFonts w:ascii="Arial Narrow" w:hAnsi="Arial Narrow" w:cs="Arial"/>
          <w:i/>
          <w:snapToGrid w:val="0"/>
          <w:sz w:val="18"/>
          <w:szCs w:val="22"/>
        </w:rPr>
      </w:pPr>
      <w:r w:rsidRPr="00E72239">
        <w:rPr>
          <w:rFonts w:ascii="Arial Narrow" w:hAnsi="Arial Narrow" w:cs="Arial"/>
          <w:i/>
          <w:snapToGrid w:val="0"/>
          <w:sz w:val="18"/>
          <w:szCs w:val="22"/>
          <w:vertAlign w:val="superscript"/>
        </w:rPr>
        <w:t>2</w:t>
      </w:r>
      <w:r w:rsidRPr="00E72239">
        <w:rPr>
          <w:rFonts w:ascii="Arial Narrow" w:hAnsi="Arial Narrow" w:cs="Arial"/>
          <w:i/>
          <w:snapToGrid w:val="0"/>
          <w:sz w:val="18"/>
          <w:szCs w:val="22"/>
        </w:rPr>
        <w:t xml:space="preserve"> </w:t>
      </w:r>
      <w:r w:rsidR="00430715" w:rsidRPr="00E72239">
        <w:rPr>
          <w:rFonts w:ascii="Arial Narrow" w:hAnsi="Arial Narrow" w:cs="Arial"/>
          <w:i/>
          <w:snapToGrid w:val="0"/>
          <w:sz w:val="18"/>
          <w:szCs w:val="22"/>
        </w:rPr>
        <w:t>$35,000 to &lt; $45,000</w:t>
      </w:r>
    </w:p>
    <w:p w14:paraId="174A3FBE" w14:textId="77777777" w:rsidR="00D534E1" w:rsidRPr="00E72239" w:rsidRDefault="00D534E1" w:rsidP="00D534E1">
      <w:pPr>
        <w:keepNext/>
        <w:keepLines/>
        <w:spacing w:after="120"/>
        <w:contextualSpacing/>
        <w:jc w:val="left"/>
        <w:rPr>
          <w:rFonts w:ascii="Arial Narrow" w:hAnsi="Arial Narrow" w:cs="Arial"/>
          <w:i/>
          <w:snapToGrid w:val="0"/>
          <w:sz w:val="18"/>
          <w:szCs w:val="22"/>
        </w:rPr>
      </w:pPr>
      <w:r w:rsidRPr="00E72239">
        <w:rPr>
          <w:rFonts w:ascii="Arial Narrow" w:hAnsi="Arial Narrow" w:cs="Arial"/>
          <w:i/>
          <w:snapToGrid w:val="0"/>
          <w:sz w:val="18"/>
          <w:szCs w:val="22"/>
          <w:vertAlign w:val="superscript"/>
        </w:rPr>
        <w:t>3</w:t>
      </w:r>
      <w:r w:rsidRPr="00E72239">
        <w:rPr>
          <w:rFonts w:ascii="Arial Narrow" w:hAnsi="Arial Narrow" w:cs="Arial"/>
          <w:i/>
          <w:snapToGrid w:val="0"/>
          <w:sz w:val="18"/>
          <w:szCs w:val="22"/>
        </w:rPr>
        <w:t xml:space="preserve"> $45,000 to &lt; $55,000 </w:t>
      </w:r>
    </w:p>
    <w:p w14:paraId="5D70ADAA" w14:textId="4A28F7FC" w:rsidR="00842A03" w:rsidRPr="00E72239" w:rsidRDefault="00842A03" w:rsidP="00D534E1">
      <w:pPr>
        <w:keepNext/>
        <w:keepLines/>
        <w:spacing w:after="120"/>
        <w:contextualSpacing/>
        <w:jc w:val="left"/>
        <w:rPr>
          <w:rFonts w:ascii="Arial Narrow" w:hAnsi="Arial Narrow" w:cs="Arial"/>
          <w:i/>
          <w:snapToGrid w:val="0"/>
          <w:sz w:val="18"/>
          <w:szCs w:val="22"/>
        </w:rPr>
      </w:pPr>
      <w:r w:rsidRPr="00E72239">
        <w:rPr>
          <w:rFonts w:ascii="Arial Narrow" w:hAnsi="Arial Narrow" w:cs="Arial"/>
          <w:i/>
          <w:snapToGrid w:val="0"/>
          <w:sz w:val="18"/>
          <w:szCs w:val="22"/>
          <w:vertAlign w:val="superscript"/>
        </w:rPr>
        <w:t>4</w:t>
      </w:r>
      <w:r w:rsidRPr="00E72239">
        <w:rPr>
          <w:rFonts w:ascii="Arial Narrow" w:hAnsi="Arial Narrow" w:cs="Arial"/>
          <w:i/>
          <w:snapToGrid w:val="0"/>
          <w:sz w:val="18"/>
          <w:szCs w:val="22"/>
        </w:rPr>
        <w:t xml:space="preserve"> </w:t>
      </w:r>
      <w:r w:rsidR="00C74D9E" w:rsidRPr="00E72239">
        <w:rPr>
          <w:rFonts w:ascii="Arial Narrow" w:hAnsi="Arial Narrow" w:cs="Arial"/>
          <w:i/>
          <w:snapToGrid w:val="0"/>
          <w:sz w:val="18"/>
          <w:szCs w:val="22"/>
        </w:rPr>
        <w:t>$55,000 to &lt; $75,000</w:t>
      </w:r>
    </w:p>
    <w:p w14:paraId="78D17935" w14:textId="77777777" w:rsidR="00045504" w:rsidRPr="00E72239" w:rsidRDefault="0061767A" w:rsidP="00D534E1">
      <w:pPr>
        <w:keepNext/>
        <w:keepLines/>
        <w:spacing w:after="120"/>
        <w:contextualSpacing/>
        <w:jc w:val="left"/>
        <w:rPr>
          <w:rFonts w:ascii="Arial Narrow" w:hAnsi="Arial Narrow" w:cs="Arial"/>
          <w:i/>
          <w:snapToGrid w:val="0"/>
          <w:sz w:val="18"/>
          <w:szCs w:val="22"/>
        </w:rPr>
      </w:pPr>
      <w:r w:rsidRPr="00E72239">
        <w:rPr>
          <w:rFonts w:ascii="Arial Narrow" w:hAnsi="Arial Narrow" w:cs="Arial"/>
          <w:i/>
          <w:snapToGrid w:val="0"/>
          <w:sz w:val="18"/>
          <w:szCs w:val="22"/>
          <w:vertAlign w:val="superscript"/>
        </w:rPr>
        <w:t>5</w:t>
      </w:r>
      <w:r w:rsidRPr="00E72239">
        <w:rPr>
          <w:rFonts w:ascii="Arial Narrow" w:hAnsi="Arial Narrow" w:cs="Arial"/>
          <w:i/>
          <w:snapToGrid w:val="0"/>
          <w:sz w:val="18"/>
          <w:szCs w:val="22"/>
        </w:rPr>
        <w:t xml:space="preserve"> $135,000 to &lt; $155,000</w:t>
      </w:r>
      <w:r w:rsidR="00045504" w:rsidRPr="00E72239">
        <w:rPr>
          <w:rFonts w:ascii="Arial Narrow" w:hAnsi="Arial Narrow" w:cs="Arial"/>
          <w:i/>
          <w:snapToGrid w:val="0"/>
          <w:sz w:val="18"/>
          <w:szCs w:val="22"/>
        </w:rPr>
        <w:t xml:space="preserve"> </w:t>
      </w:r>
    </w:p>
    <w:p w14:paraId="50FCF2EB" w14:textId="77777777" w:rsidR="00BC7B9D" w:rsidRPr="00E72239" w:rsidRDefault="00045504" w:rsidP="00D534E1">
      <w:pPr>
        <w:keepNext/>
        <w:keepLines/>
        <w:spacing w:after="120"/>
        <w:contextualSpacing/>
        <w:jc w:val="left"/>
        <w:rPr>
          <w:rFonts w:ascii="Arial Narrow" w:hAnsi="Arial Narrow" w:cs="Arial"/>
          <w:i/>
          <w:snapToGrid w:val="0"/>
          <w:sz w:val="18"/>
          <w:szCs w:val="22"/>
        </w:rPr>
      </w:pPr>
      <w:r w:rsidRPr="003763CE">
        <w:rPr>
          <w:rFonts w:ascii="Arial Narrow" w:hAnsi="Arial Narrow" w:cs="Arial"/>
          <w:i/>
          <w:snapToGrid w:val="0"/>
          <w:sz w:val="18"/>
          <w:szCs w:val="22"/>
          <w:vertAlign w:val="superscript"/>
        </w:rPr>
        <w:t>6</w:t>
      </w:r>
      <w:r w:rsidRPr="00E72239">
        <w:rPr>
          <w:rFonts w:ascii="Arial Narrow" w:hAnsi="Arial Narrow" w:cs="Arial"/>
          <w:i/>
          <w:snapToGrid w:val="0"/>
          <w:sz w:val="18"/>
          <w:szCs w:val="22"/>
        </w:rPr>
        <w:t xml:space="preserve"> $155,000 to &lt; $255,000</w:t>
      </w:r>
      <w:r w:rsidR="00BC7B9D" w:rsidRPr="00E72239">
        <w:rPr>
          <w:rFonts w:ascii="Arial Narrow" w:hAnsi="Arial Narrow" w:cs="Arial"/>
          <w:i/>
          <w:snapToGrid w:val="0"/>
          <w:sz w:val="18"/>
          <w:szCs w:val="22"/>
        </w:rPr>
        <w:t xml:space="preserve"> </w:t>
      </w:r>
    </w:p>
    <w:p w14:paraId="7B7710E0" w14:textId="25ABF5AF" w:rsidR="0061767A" w:rsidRPr="00E72239" w:rsidRDefault="00BC7B9D" w:rsidP="00D534E1">
      <w:pPr>
        <w:keepNext/>
        <w:keepLines/>
        <w:spacing w:after="120"/>
        <w:contextualSpacing/>
        <w:jc w:val="left"/>
        <w:rPr>
          <w:rFonts w:ascii="Arial Narrow" w:hAnsi="Arial Narrow" w:cs="Arial"/>
          <w:i/>
          <w:snapToGrid w:val="0"/>
          <w:sz w:val="18"/>
          <w:szCs w:val="22"/>
        </w:rPr>
      </w:pPr>
      <w:r w:rsidRPr="003763CE">
        <w:rPr>
          <w:rFonts w:ascii="Arial Narrow" w:hAnsi="Arial Narrow" w:cs="Arial"/>
          <w:i/>
          <w:snapToGrid w:val="0"/>
          <w:sz w:val="18"/>
          <w:szCs w:val="22"/>
          <w:vertAlign w:val="superscript"/>
        </w:rPr>
        <w:t>7</w:t>
      </w:r>
      <w:r w:rsidRPr="00E72239">
        <w:rPr>
          <w:rFonts w:ascii="Arial Narrow" w:hAnsi="Arial Narrow" w:cs="Arial"/>
          <w:i/>
          <w:snapToGrid w:val="0"/>
          <w:sz w:val="18"/>
          <w:szCs w:val="22"/>
        </w:rPr>
        <w:t xml:space="preserve"> $255,000 to &lt; $355,000</w:t>
      </w:r>
    </w:p>
    <w:p w14:paraId="650737A4" w14:textId="7AC73E3A" w:rsidR="00813029" w:rsidRPr="00B06893" w:rsidRDefault="00813029" w:rsidP="00813029">
      <w:pPr>
        <w:pStyle w:val="3-BodyText"/>
      </w:pPr>
      <w:bookmarkStart w:id="86" w:name="_Ref225355592"/>
      <w:r w:rsidRPr="00B06893">
        <w:lastRenderedPageBreak/>
        <w:t xml:space="preserve">The respecified base case resulted in an ICER of </w:t>
      </w:r>
      <w:r w:rsidR="00F076BE" w:rsidRPr="00F076BE">
        <w:t>$155,000 to &lt; $255,000</w:t>
      </w:r>
      <w:r w:rsidR="00F076BE">
        <w:t xml:space="preserve"> </w:t>
      </w:r>
      <w:r w:rsidRPr="00B06893">
        <w:t>per additional QALY. There are several changes to the base case that reduce the ICER (such as reintroducing 30% mortality and increasing hospitalisation costs), and several changes that increase the ICER (such as correcting readmissions, correcting the application of post</w:t>
      </w:r>
      <w:r w:rsidR="00193971">
        <w:noBreakHyphen/>
      </w:r>
      <w:r w:rsidRPr="00B06893">
        <w:t>discharge mortality, using more recent mortality rates and adjusting for health status when calculating LY and QALY losses due to COVID</w:t>
      </w:r>
      <w:r w:rsidR="00193971">
        <w:noBreakHyphen/>
      </w:r>
      <w:r w:rsidRPr="00B06893">
        <w:t>19 deaths). The step with the largest</w:t>
      </w:r>
      <w:r w:rsidRPr="00B06893">
        <w:rPr>
          <w:iCs/>
        </w:rPr>
        <w:t xml:space="preserve"> </w:t>
      </w:r>
      <w:r w:rsidRPr="00B06893">
        <w:t>impact on the model results is the removal of long</w:t>
      </w:r>
      <w:r w:rsidR="00193971">
        <w:noBreakHyphen/>
      </w:r>
      <w:r w:rsidRPr="00B06893">
        <w:t>term QALY decrements applied to all infections and hospitalisations.</w:t>
      </w:r>
      <w:bookmarkEnd w:id="86"/>
    </w:p>
    <w:p w14:paraId="5B1EBD21" w14:textId="79ACF15E" w:rsidR="0041502D" w:rsidRPr="00B06893" w:rsidRDefault="00813029" w:rsidP="005F4C71">
      <w:pPr>
        <w:numPr>
          <w:ilvl w:val="0"/>
          <w:numId w:val="29"/>
        </w:numPr>
        <w:rPr>
          <w:rFonts w:ascii="Arial Narrow" w:hAnsi="Arial Narrow" w:cs="Arial"/>
          <w:sz w:val="18"/>
          <w:szCs w:val="24"/>
        </w:rPr>
      </w:pPr>
      <w:bookmarkStart w:id="87" w:name="_Ref221750571"/>
      <w:r w:rsidRPr="00B06893">
        <w:t>Outstanding areas of uncertainty include the emphasis that the model places on infections rather than hospitalisations. In the re</w:t>
      </w:r>
      <w:r w:rsidR="00193971">
        <w:noBreakHyphen/>
      </w:r>
      <w:r w:rsidRPr="00B06893">
        <w:t>specified base case, nearly 40% of all QALY losses are associated with outpatient cases or no formal treatment cases. Excluding QALYs lost to mortality, more than 80% of QALY losses are associated with non</w:t>
      </w:r>
      <w:r w:rsidR="00193971">
        <w:noBreakHyphen/>
      </w:r>
      <w:r w:rsidRPr="00B06893">
        <w:t>hospitalised COVID</w:t>
      </w:r>
      <w:r w:rsidR="00193971">
        <w:noBreakHyphen/>
      </w:r>
      <w:r w:rsidRPr="00B06893">
        <w:t>19 infections. Excluding non</w:t>
      </w:r>
      <w:r w:rsidR="00193971">
        <w:noBreakHyphen/>
      </w:r>
      <w:r w:rsidRPr="00B06893">
        <w:t>hospitalised infections from the model entirely would increase the re</w:t>
      </w:r>
      <w:r w:rsidR="00193971">
        <w:noBreakHyphen/>
      </w:r>
      <w:r w:rsidRPr="00B06893">
        <w:t>specified base case ICER from $</w:t>
      </w:r>
      <w:r w:rsidR="003F36FA" w:rsidRPr="003F36FA">
        <w:t>155,000 to &lt; $255,000</w:t>
      </w:r>
      <w:r w:rsidR="003F36FA">
        <w:t xml:space="preserve"> </w:t>
      </w:r>
      <w:r w:rsidRPr="00B06893">
        <w:t>to $</w:t>
      </w:r>
      <w:r w:rsidR="000A67BF" w:rsidRPr="000A67BF">
        <w:t>255,000 to &lt; $355,000</w:t>
      </w:r>
      <w:r w:rsidR="00431812" w:rsidRPr="00B06893">
        <w:t>, primarily driven by a reduction in the incremental QALYs</w:t>
      </w:r>
      <w:r w:rsidRPr="00B06893">
        <w:t>.</w:t>
      </w:r>
      <w:r w:rsidR="00580BAD">
        <w:t xml:space="preserve"> </w:t>
      </w:r>
      <w:r w:rsidR="00595DBA" w:rsidRPr="00B06893">
        <w:rPr>
          <w:iCs/>
        </w:rPr>
        <w:t xml:space="preserve">The PSCR </w:t>
      </w:r>
      <w:r w:rsidR="00F2536B" w:rsidRPr="00B06893">
        <w:rPr>
          <w:iCs/>
        </w:rPr>
        <w:t xml:space="preserve">acknowledged that reducing severe disease is the primary public health objective, </w:t>
      </w:r>
      <w:proofErr w:type="gramStart"/>
      <w:r w:rsidR="00F2536B" w:rsidRPr="00B06893">
        <w:rPr>
          <w:iCs/>
        </w:rPr>
        <w:t>however</w:t>
      </w:r>
      <w:proofErr w:type="gramEnd"/>
      <w:r w:rsidR="00F2536B" w:rsidRPr="00B06893">
        <w:rPr>
          <w:iCs/>
        </w:rPr>
        <w:t xml:space="preserve"> </w:t>
      </w:r>
      <w:r w:rsidR="00595DBA" w:rsidRPr="00B06893">
        <w:rPr>
          <w:iCs/>
        </w:rPr>
        <w:t>did not agree with the removal of non</w:t>
      </w:r>
      <w:r w:rsidR="00193971">
        <w:rPr>
          <w:iCs/>
        </w:rPr>
        <w:noBreakHyphen/>
      </w:r>
      <w:r w:rsidR="00595DBA" w:rsidRPr="00B06893">
        <w:rPr>
          <w:iCs/>
        </w:rPr>
        <w:t>hospitalised cases in the model</w:t>
      </w:r>
      <w:r w:rsidR="00F2536B" w:rsidRPr="00B06893">
        <w:rPr>
          <w:iCs/>
        </w:rPr>
        <w:t>.</w:t>
      </w:r>
      <w:r w:rsidR="00580BAD">
        <w:rPr>
          <w:iCs/>
        </w:rPr>
        <w:t xml:space="preserve"> </w:t>
      </w:r>
      <w:r w:rsidR="007F6E2D" w:rsidRPr="00B06893">
        <w:rPr>
          <w:iCs/>
        </w:rPr>
        <w:t>The ESC agreed with the evaluation that non</w:t>
      </w:r>
      <w:r w:rsidR="00193971">
        <w:rPr>
          <w:iCs/>
        </w:rPr>
        <w:noBreakHyphen/>
      </w:r>
      <w:r w:rsidR="007F6E2D" w:rsidRPr="00B06893">
        <w:rPr>
          <w:iCs/>
        </w:rPr>
        <w:t>hospitalised infections were overestimated by the submission model, e.g. there were 485,833 reported cases of COVID</w:t>
      </w:r>
      <w:r w:rsidR="00193971">
        <w:rPr>
          <w:iCs/>
        </w:rPr>
        <w:noBreakHyphen/>
      </w:r>
      <w:r w:rsidR="007F6E2D" w:rsidRPr="00B06893">
        <w:rPr>
          <w:iCs/>
        </w:rPr>
        <w:t>19 in people aged 75+ in 2022 and the model estimated 1,356,427 cases. This is about 3 fold higher than the highest reported number of cases for this age group.</w:t>
      </w:r>
      <w:r w:rsidR="00580BAD">
        <w:rPr>
          <w:iCs/>
        </w:rPr>
        <w:t xml:space="preserve"> </w:t>
      </w:r>
      <w:r w:rsidR="007F6E2D" w:rsidRPr="00B06893">
        <w:rPr>
          <w:iCs/>
        </w:rPr>
        <w:t xml:space="preserve">The ESC noted that a very large proportion of the incremental QALYs accrued in the model </w:t>
      </w:r>
      <w:r w:rsidR="006C247E" w:rsidRPr="00B06893">
        <w:rPr>
          <w:iCs/>
        </w:rPr>
        <w:t xml:space="preserve">were </w:t>
      </w:r>
      <w:r w:rsidR="007F6E2D" w:rsidRPr="00B06893">
        <w:rPr>
          <w:iCs/>
        </w:rPr>
        <w:t>derived from patients infected but not hospitalised (#12). Removing the effect of non</w:t>
      </w:r>
      <w:r w:rsidR="00193971">
        <w:rPr>
          <w:iCs/>
        </w:rPr>
        <w:noBreakHyphen/>
      </w:r>
      <w:r w:rsidR="007F6E2D" w:rsidRPr="00B06893">
        <w:rPr>
          <w:iCs/>
        </w:rPr>
        <w:t xml:space="preserve">hospitalised cases will remove GP and ED costs, </w:t>
      </w:r>
      <w:proofErr w:type="gramStart"/>
      <w:r w:rsidR="007F6E2D" w:rsidRPr="00B06893">
        <w:rPr>
          <w:iCs/>
        </w:rPr>
        <w:t>and also</w:t>
      </w:r>
      <w:proofErr w:type="gramEnd"/>
      <w:r w:rsidR="007F6E2D" w:rsidRPr="00B06893">
        <w:rPr>
          <w:iCs/>
        </w:rPr>
        <w:t xml:space="preserve"> remove the QALY decrements that are applied in step #8</w:t>
      </w:r>
      <w:r w:rsidR="00EC10B4" w:rsidRPr="00B06893">
        <w:rPr>
          <w:iCs/>
        </w:rPr>
        <w:t xml:space="preserve"> (see </w:t>
      </w:r>
      <w:r w:rsidR="00EC10B4" w:rsidRPr="00B06893">
        <w:rPr>
          <w:iCs/>
        </w:rPr>
        <w:fldChar w:fldCharType="begin"/>
      </w:r>
      <w:r w:rsidR="00EC10B4" w:rsidRPr="00B06893">
        <w:rPr>
          <w:iCs/>
        </w:rPr>
        <w:instrText xml:space="preserve"> REF _Ref221748141 \h </w:instrText>
      </w:r>
      <w:r w:rsidR="00A43D4C" w:rsidRPr="00B06893">
        <w:rPr>
          <w:iCs/>
        </w:rPr>
        <w:instrText xml:space="preserve"> \* MERGEFORMAT </w:instrText>
      </w:r>
      <w:r w:rsidR="00EC10B4" w:rsidRPr="00B06893">
        <w:rPr>
          <w:iCs/>
        </w:rPr>
      </w:r>
      <w:r w:rsidR="00EC10B4" w:rsidRPr="00B06893">
        <w:rPr>
          <w:iCs/>
        </w:rPr>
        <w:fldChar w:fldCharType="separate"/>
      </w:r>
      <w:r w:rsidR="00810177" w:rsidRPr="00B06893">
        <w:rPr>
          <w:iCs/>
        </w:rPr>
        <w:t>Table 30</w:t>
      </w:r>
      <w:r w:rsidR="00EC10B4" w:rsidRPr="00B06893">
        <w:rPr>
          <w:iCs/>
        </w:rPr>
        <w:fldChar w:fldCharType="end"/>
      </w:r>
      <w:r w:rsidR="00EC10B4" w:rsidRPr="00B06893">
        <w:rPr>
          <w:iCs/>
        </w:rPr>
        <w:t>)</w:t>
      </w:r>
      <w:r w:rsidR="007F6E2D" w:rsidRPr="00B06893">
        <w:rPr>
          <w:iCs/>
        </w:rPr>
        <w:t>.</w:t>
      </w:r>
      <w:bookmarkEnd w:id="87"/>
      <w:r w:rsidR="00580BAD">
        <w:rPr>
          <w:iCs/>
        </w:rPr>
        <w:t xml:space="preserve"> </w:t>
      </w:r>
      <w:r w:rsidR="00C42DA6" w:rsidRPr="00B06893">
        <w:rPr>
          <w:iCs/>
        </w:rPr>
        <w:t>The ESC agreed with the ATAGI that modelling symptomatic COVID</w:t>
      </w:r>
      <w:r w:rsidR="00193971">
        <w:rPr>
          <w:iCs/>
        </w:rPr>
        <w:noBreakHyphen/>
      </w:r>
      <w:r w:rsidR="00C42DA6" w:rsidRPr="00B06893">
        <w:rPr>
          <w:iCs/>
        </w:rPr>
        <w:t xml:space="preserve">19 cases was not appropriate for the purposes of the economic evaluation given the high degree of uncertainty it introduced, and that the relevant clinical outcomes for the model were hospitalisations, ICU admissions and deaths (see paragraph </w:t>
      </w:r>
      <w:r w:rsidR="00C42DA6" w:rsidRPr="00B06893">
        <w:rPr>
          <w:iCs/>
        </w:rPr>
        <w:fldChar w:fldCharType="begin"/>
      </w:r>
      <w:r w:rsidR="00C42DA6" w:rsidRPr="00B06893">
        <w:rPr>
          <w:iCs/>
        </w:rPr>
        <w:instrText xml:space="preserve"> REF _Ref221802165 \r \h </w:instrText>
      </w:r>
      <w:r w:rsidR="00C42DA6" w:rsidRPr="00B06893">
        <w:rPr>
          <w:iCs/>
        </w:rPr>
      </w:r>
      <w:r w:rsidR="00C42DA6" w:rsidRPr="00B06893">
        <w:rPr>
          <w:iCs/>
        </w:rPr>
        <w:fldChar w:fldCharType="separate"/>
      </w:r>
      <w:r w:rsidR="00810177" w:rsidRPr="00B06893">
        <w:rPr>
          <w:iCs/>
        </w:rPr>
        <w:t>1.4</w:t>
      </w:r>
      <w:r w:rsidR="00C42DA6" w:rsidRPr="00B06893">
        <w:rPr>
          <w:iCs/>
        </w:rPr>
        <w:fldChar w:fldCharType="end"/>
      </w:r>
      <w:r w:rsidR="00C42DA6" w:rsidRPr="00B06893">
        <w:rPr>
          <w:iCs/>
        </w:rPr>
        <w:t>).</w:t>
      </w:r>
      <w:r w:rsidR="00580BAD">
        <w:rPr>
          <w:iCs/>
        </w:rPr>
        <w:t xml:space="preserve"> </w:t>
      </w:r>
      <w:r w:rsidR="00DB4491" w:rsidRPr="00B06893">
        <w:rPr>
          <w:rFonts w:cs="Arial"/>
          <w:iCs/>
          <w:snapToGrid w:val="0"/>
          <w:szCs w:val="24"/>
        </w:rPr>
        <w:t xml:space="preserve">The ESC noted that </w:t>
      </w:r>
      <w:r w:rsidR="00DB4491" w:rsidRPr="00B06893">
        <w:rPr>
          <w:rFonts w:cs="Arial"/>
          <w:snapToGrid w:val="0"/>
          <w:szCs w:val="24"/>
        </w:rPr>
        <w:t>the incremental QALYs in the model are substantially driven by non</w:t>
      </w:r>
      <w:r w:rsidR="00193971">
        <w:rPr>
          <w:rFonts w:cs="Arial"/>
          <w:snapToGrid w:val="0"/>
          <w:szCs w:val="24"/>
        </w:rPr>
        <w:noBreakHyphen/>
      </w:r>
      <w:r w:rsidR="00DB4491" w:rsidRPr="00B06893">
        <w:rPr>
          <w:rFonts w:cs="Arial"/>
          <w:snapToGrid w:val="0"/>
          <w:szCs w:val="24"/>
        </w:rPr>
        <w:t>hospitalised COVID</w:t>
      </w:r>
      <w:r w:rsidR="00193971">
        <w:rPr>
          <w:rFonts w:cs="Arial"/>
          <w:snapToGrid w:val="0"/>
          <w:szCs w:val="24"/>
        </w:rPr>
        <w:noBreakHyphen/>
      </w:r>
      <w:r w:rsidR="00DB4491" w:rsidRPr="00B06893">
        <w:rPr>
          <w:rFonts w:cs="Arial"/>
          <w:snapToGrid w:val="0"/>
          <w:szCs w:val="24"/>
        </w:rPr>
        <w:t xml:space="preserve">19 infections. </w:t>
      </w:r>
      <w:r w:rsidR="00DB4491" w:rsidRPr="00B06893">
        <w:rPr>
          <w:iCs/>
        </w:rPr>
        <w:t>The ESC advised that modelling symptomatic COVID</w:t>
      </w:r>
      <w:r w:rsidR="00193971">
        <w:rPr>
          <w:iCs/>
        </w:rPr>
        <w:noBreakHyphen/>
      </w:r>
      <w:r w:rsidR="00DB4491" w:rsidRPr="00B06893">
        <w:rPr>
          <w:iCs/>
        </w:rPr>
        <w:t>19 cases was not appropriate given the high degree of uncertainty it introduced, noting that definitions varied between studies.</w:t>
      </w:r>
      <w:r w:rsidR="00580BAD">
        <w:rPr>
          <w:iCs/>
        </w:rPr>
        <w:t xml:space="preserve"> </w:t>
      </w:r>
      <w:r w:rsidR="00DB4491" w:rsidRPr="00B06893">
        <w:rPr>
          <w:iCs/>
        </w:rPr>
        <w:t>The ESC advised it may be appropriate to remove all influence of COVID</w:t>
      </w:r>
      <w:r w:rsidR="00193971">
        <w:rPr>
          <w:iCs/>
        </w:rPr>
        <w:noBreakHyphen/>
      </w:r>
      <w:r w:rsidR="00DB4491" w:rsidRPr="00B06893">
        <w:rPr>
          <w:iCs/>
        </w:rPr>
        <w:t xml:space="preserve">19 cases that are not hospitalised, as proposed in the evaluation, which would be more conservative than the sponsor’s base case. </w:t>
      </w:r>
    </w:p>
    <w:p w14:paraId="401DA431" w14:textId="482C0A7A" w:rsidR="00560DFE" w:rsidRPr="00B06893" w:rsidRDefault="0020253C" w:rsidP="00501A02">
      <w:pPr>
        <w:pStyle w:val="3-BodyText"/>
        <w:rPr>
          <w:iCs/>
        </w:rPr>
      </w:pPr>
      <w:bookmarkStart w:id="88" w:name="_Ref221888452"/>
      <w:bookmarkStart w:id="89" w:name="_Ref222838977"/>
      <w:bookmarkStart w:id="90" w:name="_Ref221750429"/>
      <w:r w:rsidRPr="00B06893">
        <w:rPr>
          <w:iCs/>
        </w:rPr>
        <w:t xml:space="preserve">The PSCR presented a revised base case with </w:t>
      </w:r>
      <w:r w:rsidRPr="00B06893">
        <w:rPr>
          <w:iCs/>
          <w:snapToGrid w:val="0"/>
        </w:rPr>
        <w:t>an aggregate ICER of $</w:t>
      </w:r>
      <w:r w:rsidR="003E19CB" w:rsidRPr="003E19CB">
        <w:rPr>
          <w:iCs/>
          <w:snapToGrid w:val="0"/>
        </w:rPr>
        <w:t>35,000 to &lt; $45,000</w:t>
      </w:r>
      <w:r w:rsidRPr="00B06893">
        <w:rPr>
          <w:iCs/>
          <w:snapToGrid w:val="0"/>
        </w:rPr>
        <w:t>/QALY.</w:t>
      </w:r>
      <w:r w:rsidR="00580BAD">
        <w:rPr>
          <w:iCs/>
          <w:snapToGrid w:val="0"/>
        </w:rPr>
        <w:t xml:space="preserve"> </w:t>
      </w:r>
      <w:r w:rsidR="007A1DDD" w:rsidRPr="00B06893">
        <w:rPr>
          <w:iCs/>
          <w:snapToGrid w:val="0"/>
        </w:rPr>
        <w:t>The revised base case accepted only 7 of the 13 changes</w:t>
      </w:r>
      <w:r w:rsidR="00995DF9" w:rsidRPr="00B06893">
        <w:rPr>
          <w:iCs/>
          <w:snapToGrid w:val="0"/>
        </w:rPr>
        <w:t xml:space="preserve"> </w:t>
      </w:r>
      <w:r w:rsidR="007A1DDD" w:rsidRPr="00B06893">
        <w:rPr>
          <w:iCs/>
          <w:snapToGrid w:val="0"/>
        </w:rPr>
        <w:t xml:space="preserve">proposed in the evaluation’s respecified base case </w:t>
      </w:r>
      <w:r w:rsidR="00995DF9" w:rsidRPr="00B06893">
        <w:rPr>
          <w:iCs/>
          <w:snapToGrid w:val="0"/>
        </w:rPr>
        <w:t xml:space="preserve">(including 2 changes that were only partially accepted) </w:t>
      </w:r>
      <w:r w:rsidR="007A1DDD" w:rsidRPr="00B06893">
        <w:rPr>
          <w:iCs/>
          <w:snapToGrid w:val="0"/>
        </w:rPr>
        <w:t xml:space="preserve">as noted in </w:t>
      </w:r>
      <w:r w:rsidR="007A1DDD" w:rsidRPr="00B06893">
        <w:rPr>
          <w:iCs/>
          <w:snapToGrid w:val="0"/>
        </w:rPr>
        <w:fldChar w:fldCharType="begin"/>
      </w:r>
      <w:r w:rsidR="007A1DDD" w:rsidRPr="00B06893">
        <w:rPr>
          <w:iCs/>
          <w:snapToGrid w:val="0"/>
        </w:rPr>
        <w:instrText xml:space="preserve"> REF _Ref221742334 \h </w:instrText>
      </w:r>
      <w:r w:rsidR="004535C1" w:rsidRPr="00B06893">
        <w:rPr>
          <w:iCs/>
          <w:snapToGrid w:val="0"/>
        </w:rPr>
        <w:instrText xml:space="preserve"> \* MERGEFORMAT </w:instrText>
      </w:r>
      <w:r w:rsidR="007A1DDD" w:rsidRPr="00B06893">
        <w:rPr>
          <w:iCs/>
          <w:snapToGrid w:val="0"/>
        </w:rPr>
      </w:r>
      <w:r w:rsidR="007A1DDD" w:rsidRPr="00B06893">
        <w:rPr>
          <w:iCs/>
          <w:snapToGrid w:val="0"/>
        </w:rPr>
        <w:fldChar w:fldCharType="separate"/>
      </w:r>
      <w:r w:rsidR="00810177" w:rsidRPr="00B06893">
        <w:rPr>
          <w:iCs/>
        </w:rPr>
        <w:t>Table 29</w:t>
      </w:r>
      <w:r w:rsidR="007A1DDD" w:rsidRPr="00B06893">
        <w:rPr>
          <w:iCs/>
          <w:snapToGrid w:val="0"/>
        </w:rPr>
        <w:fldChar w:fldCharType="end"/>
      </w:r>
      <w:r w:rsidR="007A1DDD" w:rsidRPr="00B06893">
        <w:rPr>
          <w:iCs/>
          <w:snapToGrid w:val="0"/>
        </w:rPr>
        <w:t>.</w:t>
      </w:r>
      <w:r w:rsidR="00580BAD">
        <w:rPr>
          <w:iCs/>
          <w:snapToGrid w:val="0"/>
        </w:rPr>
        <w:t xml:space="preserve"> </w:t>
      </w:r>
      <w:r w:rsidR="00363C05" w:rsidRPr="00B06893">
        <w:rPr>
          <w:iCs/>
        </w:rPr>
        <w:t xml:space="preserve">The </w:t>
      </w:r>
      <w:r w:rsidR="00425050" w:rsidRPr="00B06893">
        <w:rPr>
          <w:iCs/>
        </w:rPr>
        <w:t xml:space="preserve">PSCR </w:t>
      </w:r>
      <w:r w:rsidR="00363C05" w:rsidRPr="00B06893">
        <w:rPr>
          <w:iCs/>
        </w:rPr>
        <w:t xml:space="preserve">reported ICERs for the individual populations </w:t>
      </w:r>
      <w:r w:rsidR="00425050" w:rsidRPr="00B06893">
        <w:rPr>
          <w:iCs/>
        </w:rPr>
        <w:t xml:space="preserve">of </w:t>
      </w:r>
      <w:r w:rsidR="00363C05" w:rsidRPr="00B06893">
        <w:rPr>
          <w:iCs/>
        </w:rPr>
        <w:t>$</w:t>
      </w:r>
      <w:r w:rsidR="0055737E" w:rsidRPr="0055737E">
        <w:rPr>
          <w:iCs/>
        </w:rPr>
        <w:t>15,000 to &lt; $25,000</w:t>
      </w:r>
      <w:r w:rsidR="00363C05" w:rsidRPr="00B06893">
        <w:rPr>
          <w:iCs/>
        </w:rPr>
        <w:t xml:space="preserve">/QALY in the 75+ population, </w:t>
      </w:r>
      <w:r w:rsidR="006F394E" w:rsidRPr="006F394E">
        <w:rPr>
          <w:rFonts w:eastAsia="Aptos"/>
          <w:iCs/>
        </w:rPr>
        <w:t xml:space="preserve">$55,000 to &lt; $75,000 </w:t>
      </w:r>
      <w:r w:rsidR="00363C05" w:rsidRPr="00B06893">
        <w:rPr>
          <w:rFonts w:eastAsia="Aptos"/>
          <w:iCs/>
        </w:rPr>
        <w:t>/QALY in the 65</w:t>
      </w:r>
      <w:r w:rsidR="00193971">
        <w:rPr>
          <w:rFonts w:eastAsia="Aptos"/>
          <w:iCs/>
        </w:rPr>
        <w:noBreakHyphen/>
      </w:r>
      <w:r w:rsidR="00363C05" w:rsidRPr="00B06893">
        <w:rPr>
          <w:rFonts w:eastAsia="Aptos"/>
          <w:iCs/>
        </w:rPr>
        <w:t>74 year population, and $</w:t>
      </w:r>
      <w:r w:rsidR="006B6157" w:rsidRPr="006B6157">
        <w:rPr>
          <w:rFonts w:eastAsia="Aptos"/>
          <w:iCs/>
        </w:rPr>
        <w:t xml:space="preserve">95,000 to &lt; $115,000 </w:t>
      </w:r>
      <w:r w:rsidR="00363C05" w:rsidRPr="00B06893">
        <w:rPr>
          <w:rFonts w:eastAsia="Aptos"/>
          <w:iCs/>
        </w:rPr>
        <w:t xml:space="preserve">/QALY in the </w:t>
      </w:r>
      <w:r w:rsidR="00363C05" w:rsidRPr="00B06893">
        <w:rPr>
          <w:iCs/>
        </w:rPr>
        <w:t>18</w:t>
      </w:r>
      <w:r w:rsidR="00193971">
        <w:rPr>
          <w:iCs/>
        </w:rPr>
        <w:noBreakHyphen/>
      </w:r>
      <w:r w:rsidR="00363C05" w:rsidRPr="00B06893">
        <w:rPr>
          <w:iCs/>
        </w:rPr>
        <w:t>64 severe IC and 50</w:t>
      </w:r>
      <w:r w:rsidR="00193971">
        <w:rPr>
          <w:iCs/>
        </w:rPr>
        <w:noBreakHyphen/>
      </w:r>
      <w:r w:rsidR="00363C05" w:rsidRPr="00B06893">
        <w:rPr>
          <w:iCs/>
        </w:rPr>
        <w:t>64 ATSI population.</w:t>
      </w:r>
      <w:bookmarkEnd w:id="88"/>
      <w:bookmarkEnd w:id="89"/>
    </w:p>
    <w:p w14:paraId="689610E4" w14:textId="3F95D019" w:rsidR="002940FC" w:rsidRPr="00B06893" w:rsidRDefault="00C96B67" w:rsidP="00501A02">
      <w:pPr>
        <w:pStyle w:val="3-BodyText"/>
        <w:rPr>
          <w:iCs/>
        </w:rPr>
      </w:pPr>
      <w:bookmarkStart w:id="91" w:name="_Ref221888807"/>
      <w:bookmarkEnd w:id="90"/>
      <w:r w:rsidRPr="00B06893">
        <w:lastRenderedPageBreak/>
        <w:t>The evaluation provided a respecified base case with an ICER of $</w:t>
      </w:r>
      <w:r w:rsidR="00EF1747" w:rsidRPr="00EF1747">
        <w:t>155,000 to &lt; $255,000</w:t>
      </w:r>
      <w:r w:rsidRPr="00B06893">
        <w:t>/QALY, and an analysis excluding the impact of non</w:t>
      </w:r>
      <w:r w:rsidR="00193971">
        <w:noBreakHyphen/>
      </w:r>
      <w:r w:rsidRPr="00B06893">
        <w:t>hospitalised infections entirely from the respecified base case results in an ICER of $</w:t>
      </w:r>
      <w:r w:rsidR="00A4342E" w:rsidRPr="00A4342E">
        <w:t>255,000 to &lt; $355,000</w:t>
      </w:r>
      <w:r w:rsidR="00EF348B" w:rsidRPr="00B06893">
        <w:t>/QALY</w:t>
      </w:r>
      <w:r w:rsidRPr="00B06893">
        <w:t>,</w:t>
      </w:r>
      <w:r w:rsidRPr="00B06893">
        <w:rPr>
          <w:iCs/>
        </w:rPr>
        <w:t xml:space="preserve"> which the ESC believed to be more reliable than the submission base case of $</w:t>
      </w:r>
      <w:r w:rsidR="00A077C2" w:rsidRPr="00A077C2">
        <w:rPr>
          <w:iCs/>
        </w:rPr>
        <w:t>25,000 to &lt; $35,000</w:t>
      </w:r>
      <w:r w:rsidRPr="00B06893">
        <w:rPr>
          <w:iCs/>
        </w:rPr>
        <w:t xml:space="preserve">/QALY. </w:t>
      </w:r>
      <w:r w:rsidR="006B2DA2" w:rsidRPr="00B06893">
        <w:rPr>
          <w:iCs/>
        </w:rPr>
        <w:t>The ESC noted that the PSCR had provided a respecified base case with an ICER of $</w:t>
      </w:r>
      <w:r w:rsidR="00F518EC" w:rsidRPr="00F518EC">
        <w:rPr>
          <w:iCs/>
        </w:rPr>
        <w:t>35,000 to &lt; $45,000</w:t>
      </w:r>
      <w:r w:rsidR="006B2DA2" w:rsidRPr="00B06893">
        <w:rPr>
          <w:iCs/>
        </w:rPr>
        <w:t xml:space="preserve">/QALY. </w:t>
      </w:r>
      <w:r w:rsidR="003C5154" w:rsidRPr="00B06893">
        <w:rPr>
          <w:rFonts w:cs="Arial"/>
          <w:iCs/>
          <w:snapToGrid w:val="0"/>
          <w:szCs w:val="24"/>
        </w:rPr>
        <w:t xml:space="preserve">The ESC considered that while this updated figure accepted </w:t>
      </w:r>
      <w:r w:rsidR="00D15BF0" w:rsidRPr="00B06893">
        <w:rPr>
          <w:rFonts w:cs="Arial"/>
          <w:iCs/>
          <w:snapToGrid w:val="0"/>
          <w:szCs w:val="24"/>
        </w:rPr>
        <w:t>some of the</w:t>
      </w:r>
      <w:r w:rsidR="003C5154" w:rsidRPr="00B06893">
        <w:rPr>
          <w:rFonts w:cs="Arial"/>
          <w:iCs/>
          <w:snapToGrid w:val="0"/>
          <w:szCs w:val="24"/>
        </w:rPr>
        <w:t xml:space="preserve"> 13 changes proposed during the evaluation, it still contained key limitations which meant the ICER remained under</w:t>
      </w:r>
      <w:r w:rsidR="00193971">
        <w:rPr>
          <w:rFonts w:cs="Arial"/>
          <w:iCs/>
          <w:snapToGrid w:val="0"/>
          <w:szCs w:val="24"/>
        </w:rPr>
        <w:noBreakHyphen/>
      </w:r>
      <w:r w:rsidR="003C5154" w:rsidRPr="00B06893">
        <w:rPr>
          <w:rFonts w:cs="Arial"/>
          <w:iCs/>
          <w:snapToGrid w:val="0"/>
          <w:szCs w:val="24"/>
        </w:rPr>
        <w:t>estimated and uncertain, and it introduced new uncertainties due to extensive changes made in the PSCR model.</w:t>
      </w:r>
      <w:r w:rsidR="00580BAD">
        <w:rPr>
          <w:rFonts w:cs="Arial"/>
          <w:iCs/>
          <w:snapToGrid w:val="0"/>
          <w:szCs w:val="24"/>
        </w:rPr>
        <w:t xml:space="preserve"> </w:t>
      </w:r>
      <w:r w:rsidR="006B2DA2" w:rsidRPr="00B06893">
        <w:rPr>
          <w:iCs/>
        </w:rPr>
        <w:t xml:space="preserve">Given these uncertainties and </w:t>
      </w:r>
      <w:proofErr w:type="gramStart"/>
      <w:r w:rsidR="006B2DA2" w:rsidRPr="00B06893">
        <w:rPr>
          <w:iCs/>
        </w:rPr>
        <w:t>in light of</w:t>
      </w:r>
      <w:proofErr w:type="gramEnd"/>
      <w:r w:rsidR="006B2DA2" w:rsidRPr="00B06893">
        <w:rPr>
          <w:iCs/>
        </w:rPr>
        <w:t xml:space="preserve"> the extensive changes in the PSCR that had not been evaluated, the ESC advised that the PSCR model was not reliable for decision making.</w:t>
      </w:r>
      <w:bookmarkEnd w:id="91"/>
    </w:p>
    <w:p w14:paraId="7C19AA2A" w14:textId="4B323C95" w:rsidR="00B616F8" w:rsidRPr="00B06893" w:rsidRDefault="006B2DA2" w:rsidP="00501A02">
      <w:pPr>
        <w:pStyle w:val="3-BodyText"/>
        <w:rPr>
          <w:iCs/>
        </w:rPr>
      </w:pPr>
      <w:r w:rsidRPr="00B06893">
        <w:rPr>
          <w:iCs/>
        </w:rPr>
        <w:t xml:space="preserve">The ESC advised that </w:t>
      </w:r>
      <w:r w:rsidR="008A071F" w:rsidRPr="00B06893">
        <w:rPr>
          <w:iCs/>
        </w:rPr>
        <w:t xml:space="preserve">the evaluation’s respecified base case </w:t>
      </w:r>
      <w:r w:rsidR="0025674F" w:rsidRPr="00B06893">
        <w:rPr>
          <w:iCs/>
        </w:rPr>
        <w:t>together with</w:t>
      </w:r>
      <w:r w:rsidR="008A071F" w:rsidRPr="00B06893">
        <w:rPr>
          <w:iCs/>
        </w:rPr>
        <w:t xml:space="preserve"> removal of the effect of non</w:t>
      </w:r>
      <w:r w:rsidR="00193971">
        <w:rPr>
          <w:iCs/>
        </w:rPr>
        <w:noBreakHyphen/>
      </w:r>
      <w:r w:rsidR="008A071F" w:rsidRPr="00B06893">
        <w:rPr>
          <w:iCs/>
        </w:rPr>
        <w:t>hospitalised cases</w:t>
      </w:r>
      <w:r w:rsidR="00FA3F38" w:rsidRPr="00B06893">
        <w:rPr>
          <w:iCs/>
        </w:rPr>
        <w:t xml:space="preserve"> ($</w:t>
      </w:r>
      <w:r w:rsidR="00165A4E" w:rsidRPr="00165A4E">
        <w:rPr>
          <w:iCs/>
        </w:rPr>
        <w:t>255,000 to &lt; $355,000</w:t>
      </w:r>
      <w:r w:rsidR="00FA3F38" w:rsidRPr="00B06893">
        <w:rPr>
          <w:iCs/>
        </w:rPr>
        <w:t>/QALY</w:t>
      </w:r>
      <w:r w:rsidR="00FC3367" w:rsidRPr="00B06893">
        <w:rPr>
          <w:iCs/>
        </w:rPr>
        <w:t>)</w:t>
      </w:r>
      <w:r w:rsidR="008A071F" w:rsidRPr="00B06893">
        <w:rPr>
          <w:iCs/>
        </w:rPr>
        <w:t xml:space="preserve"> </w:t>
      </w:r>
      <w:r w:rsidR="00620CE2" w:rsidRPr="00B06893">
        <w:rPr>
          <w:iCs/>
        </w:rPr>
        <w:t>would be informative for PBAC decision</w:t>
      </w:r>
      <w:r w:rsidR="00193971">
        <w:rPr>
          <w:iCs/>
        </w:rPr>
        <w:noBreakHyphen/>
      </w:r>
      <w:r w:rsidR="00620CE2" w:rsidRPr="00B06893">
        <w:rPr>
          <w:iCs/>
        </w:rPr>
        <w:t xml:space="preserve">making, </w:t>
      </w:r>
      <w:r w:rsidR="00780CE8" w:rsidRPr="00B06893">
        <w:rPr>
          <w:iCs/>
        </w:rPr>
        <w:t>although</w:t>
      </w:r>
      <w:r w:rsidR="00620CE2" w:rsidRPr="00B06893">
        <w:rPr>
          <w:iCs/>
        </w:rPr>
        <w:t xml:space="preserve"> </w:t>
      </w:r>
      <w:r w:rsidR="000B64C2" w:rsidRPr="00B06893">
        <w:rPr>
          <w:iCs/>
        </w:rPr>
        <w:t xml:space="preserve">noted that </w:t>
      </w:r>
      <w:r w:rsidR="00620CE2" w:rsidRPr="00B06893">
        <w:rPr>
          <w:iCs/>
        </w:rPr>
        <w:t xml:space="preserve">there were remaining concerns to be considered by the PBAC and </w:t>
      </w:r>
      <w:r w:rsidR="00780CE8" w:rsidRPr="00B06893">
        <w:rPr>
          <w:iCs/>
        </w:rPr>
        <w:t>suggested</w:t>
      </w:r>
      <w:r w:rsidR="00DE3A39" w:rsidRPr="00B06893">
        <w:rPr>
          <w:iCs/>
        </w:rPr>
        <w:t xml:space="preserve"> the </w:t>
      </w:r>
      <w:r w:rsidR="00CD6BB7" w:rsidRPr="00B06893">
        <w:rPr>
          <w:iCs/>
        </w:rPr>
        <w:t xml:space="preserve">additional </w:t>
      </w:r>
      <w:r w:rsidR="00DE3A39" w:rsidRPr="00B06893">
        <w:rPr>
          <w:iCs/>
        </w:rPr>
        <w:t xml:space="preserve">model </w:t>
      </w:r>
      <w:r w:rsidR="00CD6BB7" w:rsidRPr="00B06893">
        <w:rPr>
          <w:iCs/>
        </w:rPr>
        <w:t xml:space="preserve">scenarios </w:t>
      </w:r>
      <w:r w:rsidR="00DE3A39" w:rsidRPr="00B06893">
        <w:rPr>
          <w:iCs/>
        </w:rPr>
        <w:t>presented</w:t>
      </w:r>
      <w:r w:rsidR="00620CE2" w:rsidRPr="00B06893">
        <w:rPr>
          <w:iCs/>
        </w:rPr>
        <w:t xml:space="preserve"> in </w:t>
      </w:r>
      <w:r w:rsidR="00620CE2" w:rsidRPr="00B06893">
        <w:rPr>
          <w:iCs/>
        </w:rPr>
        <w:fldChar w:fldCharType="begin"/>
      </w:r>
      <w:r w:rsidR="00620CE2" w:rsidRPr="00B06893">
        <w:rPr>
          <w:iCs/>
        </w:rPr>
        <w:instrText xml:space="preserve"> REF _Ref221807110 \h  \* MERGEFORMAT </w:instrText>
      </w:r>
      <w:r w:rsidR="00620CE2" w:rsidRPr="00B06893">
        <w:rPr>
          <w:iCs/>
        </w:rPr>
      </w:r>
      <w:r w:rsidR="00620CE2" w:rsidRPr="00B06893">
        <w:rPr>
          <w:iCs/>
        </w:rPr>
        <w:fldChar w:fldCharType="separate"/>
      </w:r>
      <w:r w:rsidR="00810177" w:rsidRPr="00B06893">
        <w:rPr>
          <w:iCs/>
        </w:rPr>
        <w:t>Table 31</w:t>
      </w:r>
      <w:r w:rsidR="00620CE2" w:rsidRPr="00B06893">
        <w:rPr>
          <w:iCs/>
        </w:rPr>
        <w:fldChar w:fldCharType="end"/>
      </w:r>
      <w:r w:rsidR="008F7B3D" w:rsidRPr="00B06893">
        <w:rPr>
          <w:iCs/>
        </w:rPr>
        <w:t>.</w:t>
      </w:r>
    </w:p>
    <w:p w14:paraId="6D6BBBBF" w14:textId="19521AEF" w:rsidR="006B2DA2" w:rsidRPr="00B06893" w:rsidRDefault="00B616F8" w:rsidP="00B616F8">
      <w:pPr>
        <w:pStyle w:val="3-BodyText"/>
      </w:pPr>
      <w:bookmarkStart w:id="92" w:name="_Ref221808643"/>
      <w:r w:rsidRPr="00B06893">
        <w:rPr>
          <w:iCs/>
        </w:rPr>
        <w:t xml:space="preserve">Despite the range of amendments proposed by the evaluation, the ESC considered that major uncertainties remained including: 1) ongoing uncertainty relating to future </w:t>
      </w:r>
      <w:r w:rsidR="000948F8" w:rsidRPr="00B06893">
        <w:rPr>
          <w:iCs/>
        </w:rPr>
        <w:t>VE</w:t>
      </w:r>
      <w:r w:rsidRPr="00B06893">
        <w:rPr>
          <w:iCs/>
        </w:rPr>
        <w:t xml:space="preserve"> and vaccine waning in each population; </w:t>
      </w:r>
      <w:r w:rsidR="00D15BF0" w:rsidRPr="00B06893">
        <w:rPr>
          <w:iCs/>
        </w:rPr>
        <w:t xml:space="preserve">and </w:t>
      </w:r>
      <w:r w:rsidRPr="00B06893">
        <w:rPr>
          <w:iCs/>
        </w:rPr>
        <w:t>2) vaccine utilisation assumptions across populations which impact the overall ICER.</w:t>
      </w:r>
      <w:bookmarkEnd w:id="92"/>
    </w:p>
    <w:p w14:paraId="437A11E6" w14:textId="72E4717E" w:rsidR="00DB4491" w:rsidRPr="00B06893" w:rsidRDefault="00DB4491" w:rsidP="00501A02">
      <w:pPr>
        <w:pStyle w:val="3-BodyText"/>
      </w:pPr>
      <w:bookmarkStart w:id="93" w:name="_Ref225886979"/>
      <w:r w:rsidRPr="00B06893">
        <w:t>The ESC considered that the submission’s approach to modelling was reasonable in principle (although unnecessarily complex), however noted that serious concerns had been raised in the evaluation regarding the inputs applied in the model. The ESC advised that the revisions presented by the evaluators increased the reliability of the model, however there were uncertainties that could not be tested and revised given the model structure, including the parameters used for VE and waning.</w:t>
      </w:r>
      <w:r w:rsidR="00580BAD">
        <w:t xml:space="preserve"> </w:t>
      </w:r>
      <w:r w:rsidRPr="00B06893">
        <w:t>The ESC advised the issues/options raised in paragraphs 6.119 to 6.123 relating to the model inputs/parameters should be explored further and would likely require re</w:t>
      </w:r>
      <w:r w:rsidR="00193971">
        <w:noBreakHyphen/>
      </w:r>
      <w:r w:rsidRPr="00B06893">
        <w:t>evaluation.</w:t>
      </w:r>
      <w:bookmarkEnd w:id="93"/>
      <w:r w:rsidRPr="00B06893">
        <w:t xml:space="preserve"> </w:t>
      </w:r>
    </w:p>
    <w:p w14:paraId="7A0906C6" w14:textId="55A0F992" w:rsidR="00856069" w:rsidRPr="00B06893" w:rsidRDefault="00856069" w:rsidP="00501A02">
      <w:pPr>
        <w:pStyle w:val="3-BodyText"/>
      </w:pPr>
      <w:r w:rsidRPr="00B06893">
        <w:rPr>
          <w:rFonts w:eastAsia="Times New Roman" w:cs="Arial"/>
          <w:snapToGrid w:val="0"/>
          <w:szCs w:val="20"/>
        </w:rPr>
        <w:t>The ESC noted the</w:t>
      </w:r>
      <w:r w:rsidRPr="00B06893">
        <w:t xml:space="preserve"> model did not include estimates of uptake or effectiveness in the Aboriginal and Torres Strait Islander population aged 50</w:t>
      </w:r>
      <w:r w:rsidR="00193971">
        <w:noBreakHyphen/>
      </w:r>
      <w:r w:rsidRPr="00B06893">
        <w:t>64 years and was therefore inconsistent with the proposed NIP listing.</w:t>
      </w:r>
    </w:p>
    <w:p w14:paraId="1218276E" w14:textId="2EE43F46" w:rsidR="006C64DF" w:rsidRPr="00B06893" w:rsidRDefault="009B07C3" w:rsidP="00501A02">
      <w:pPr>
        <w:pStyle w:val="3-BodyText"/>
      </w:pPr>
      <w:r w:rsidRPr="00B06893">
        <w:t xml:space="preserve">Comirnaty is a near market comparator. </w:t>
      </w:r>
      <w:r w:rsidR="006C64DF" w:rsidRPr="00B06893">
        <w:t>The ESC considered there was no rationale to support more favourable assumptions for Spikevax in the economic evaluation compared with the assumptions accepted for the Comirnaty economic evaluation in December 2025.</w:t>
      </w:r>
      <w:r w:rsidR="00580BAD">
        <w:t xml:space="preserve"> </w:t>
      </w:r>
      <w:r w:rsidR="00E34290" w:rsidRPr="00B06893">
        <w:rPr>
          <w:iCs/>
        </w:rPr>
        <w:t>The ESC considered the current submission had overestimated VE and did not sufficiently consider uncertainty of future VE given the platform approach.</w:t>
      </w:r>
      <w:r w:rsidR="00580BAD">
        <w:rPr>
          <w:iCs/>
        </w:rPr>
        <w:t xml:space="preserve"> </w:t>
      </w:r>
      <w:r w:rsidR="00E34290" w:rsidRPr="00B06893">
        <w:rPr>
          <w:iCs/>
        </w:rPr>
        <w:t>The ESC recalled the PBAC advised in its May 2025 consideration of Comirnaty, that for a platform approval, the economic evaluation would need to provide confidence that the platform will be cost</w:t>
      </w:r>
      <w:r w:rsidR="00193971">
        <w:rPr>
          <w:iCs/>
        </w:rPr>
        <w:noBreakHyphen/>
      </w:r>
      <w:r w:rsidR="00E34290" w:rsidRPr="00B06893">
        <w:rPr>
          <w:iCs/>
        </w:rPr>
        <w:t>effective and likely to remain cost</w:t>
      </w:r>
      <w:r w:rsidR="00193971">
        <w:rPr>
          <w:iCs/>
        </w:rPr>
        <w:noBreakHyphen/>
      </w:r>
      <w:r w:rsidR="00E34290" w:rsidRPr="00B06893">
        <w:rPr>
          <w:iCs/>
        </w:rPr>
        <w:t>effective in most future years, including if considered across a cycle of many years.</w:t>
      </w:r>
      <w:r w:rsidR="00580BAD">
        <w:rPr>
          <w:iCs/>
        </w:rPr>
        <w:t xml:space="preserve"> </w:t>
      </w:r>
      <w:r w:rsidR="00E34290" w:rsidRPr="00B06893">
        <w:rPr>
          <w:iCs/>
        </w:rPr>
        <w:t>As such, the ESC advised that more conservative estimates of VE would be required.</w:t>
      </w:r>
    </w:p>
    <w:p w14:paraId="38E93A92" w14:textId="7443A277" w:rsidR="00560DFE" w:rsidRPr="00B06893" w:rsidRDefault="00A9247A" w:rsidP="00501A02">
      <w:pPr>
        <w:pStyle w:val="3-BodyText"/>
      </w:pPr>
      <w:bookmarkStart w:id="94" w:name="_Ref225355601"/>
      <w:bookmarkStart w:id="95" w:name="_Ref221888828"/>
      <w:r w:rsidRPr="00B06893">
        <w:rPr>
          <w:iCs/>
        </w:rPr>
        <w:lastRenderedPageBreak/>
        <w:t>The ESC agreed with the evaluation,</w:t>
      </w:r>
      <w:r w:rsidRPr="00B06893">
        <w:t xml:space="preserve"> that a</w:t>
      </w:r>
      <w:r w:rsidR="009B07C3" w:rsidRPr="00B06893">
        <w:t xml:space="preserve"> cost</w:t>
      </w:r>
      <w:r w:rsidR="00193971">
        <w:noBreakHyphen/>
      </w:r>
      <w:r w:rsidR="009B07C3" w:rsidRPr="00B06893">
        <w:t>minimisation approach of Spikevax and Comirnaty may be a reasonable approach if non</w:t>
      </w:r>
      <w:r w:rsidR="00193971">
        <w:noBreakHyphen/>
      </w:r>
      <w:r w:rsidR="009B07C3" w:rsidRPr="00B06893">
        <w:t>inferiority is established.</w:t>
      </w:r>
      <w:bookmarkEnd w:id="94"/>
    </w:p>
    <w:bookmarkEnd w:id="95"/>
    <w:p w14:paraId="5ABE7600" w14:textId="61EF96B5" w:rsidR="008B59B9" w:rsidRPr="00B06893" w:rsidRDefault="003E5C57" w:rsidP="008B59B9">
      <w:pPr>
        <w:pStyle w:val="3-BodyText"/>
      </w:pPr>
      <w:r w:rsidRPr="00B06893">
        <w:t>The pre</w:t>
      </w:r>
      <w:r w:rsidR="00193971">
        <w:noBreakHyphen/>
      </w:r>
      <w:r w:rsidRPr="00B06893">
        <w:t xml:space="preserve">PBAC response </w:t>
      </w:r>
      <w:r w:rsidR="008B59B9" w:rsidRPr="00B06893">
        <w:t>provided a discussion</w:t>
      </w:r>
      <w:r w:rsidR="00580BAD">
        <w:t xml:space="preserve"> </w:t>
      </w:r>
      <w:r w:rsidR="008B59B9" w:rsidRPr="00B06893">
        <w:t xml:space="preserve">about model issues including </w:t>
      </w:r>
      <w:r w:rsidR="000948F8" w:rsidRPr="00B06893">
        <w:t>VE</w:t>
      </w:r>
      <w:r w:rsidR="008B59B9" w:rsidRPr="00B06893">
        <w:t xml:space="preserve"> and waning; vaccination coverage; Long COVID; Post</w:t>
      </w:r>
      <w:r w:rsidR="00193971">
        <w:noBreakHyphen/>
      </w:r>
      <w:r w:rsidR="008B59B9" w:rsidRPr="00B06893">
        <w:t>Discharge Mortality and Symptomatic infection.</w:t>
      </w:r>
      <w:r w:rsidR="00580BAD">
        <w:t xml:space="preserve"> </w:t>
      </w:r>
      <w:r w:rsidR="008B59B9" w:rsidRPr="00B06893">
        <w:t>The response defended the inputs in the sponsor’s economic model and did not effectively address the concerns raised by the ESC about the need for more conservative inputs in a model for a platform approval.</w:t>
      </w:r>
    </w:p>
    <w:p w14:paraId="0BEDDC07" w14:textId="1369C3D5" w:rsidR="00DB4491" w:rsidRPr="00B06893" w:rsidRDefault="008B59B9" w:rsidP="00501A02">
      <w:pPr>
        <w:pStyle w:val="3-BodyText"/>
      </w:pPr>
      <w:r w:rsidRPr="00B06893">
        <w:t>The pre</w:t>
      </w:r>
      <w:r w:rsidR="00193971">
        <w:noBreakHyphen/>
      </w:r>
      <w:r w:rsidRPr="00B06893">
        <w:t>PBAC response stated that a</w:t>
      </w:r>
      <w:r w:rsidR="003E5C57" w:rsidRPr="00B06893">
        <w:t xml:space="preserve"> nationally cost</w:t>
      </w:r>
      <w:r w:rsidR="00193971">
        <w:noBreakHyphen/>
      </w:r>
      <w:r w:rsidR="003E5C57" w:rsidRPr="00B06893">
        <w:t>effective price is expected to be determined from the resolution of the inputs and options raised from Moderna’s economic model or through a cost</w:t>
      </w:r>
      <w:r w:rsidR="00193971">
        <w:noBreakHyphen/>
      </w:r>
      <w:r w:rsidR="003E5C57" w:rsidRPr="00B06893">
        <w:t xml:space="preserve">minimisation to Comirnaty on a dose equivalence basis. </w:t>
      </w:r>
    </w:p>
    <w:p w14:paraId="1A584828" w14:textId="77777777" w:rsidR="0086026C" w:rsidRPr="00B06893" w:rsidRDefault="0086026C" w:rsidP="007F6A1E">
      <w:pPr>
        <w:pStyle w:val="4-SubsectionHeading"/>
        <w:rPr>
          <w:iCs/>
        </w:rPr>
      </w:pPr>
      <w:bookmarkStart w:id="96" w:name="_Toc22897646"/>
      <w:bookmarkStart w:id="97" w:name="_Toc216287504"/>
      <w:bookmarkStart w:id="98" w:name="_Toc219898341"/>
      <w:r w:rsidRPr="00B06893">
        <w:t>Vaccine cost/patient</w:t>
      </w:r>
      <w:bookmarkEnd w:id="96"/>
      <w:bookmarkEnd w:id="97"/>
      <w:bookmarkEnd w:id="98"/>
    </w:p>
    <w:p w14:paraId="47D4E8C5" w14:textId="5D23FE0B" w:rsidR="0086026C" w:rsidRPr="00B06893" w:rsidRDefault="0086026C" w:rsidP="0086026C">
      <w:pPr>
        <w:pStyle w:val="3-BodyText"/>
      </w:pPr>
      <w:bookmarkStart w:id="99" w:name="_Ref104805102"/>
      <w:r w:rsidRPr="00B06893">
        <w:t xml:space="preserve">The price of Spikevax </w:t>
      </w:r>
      <w:r w:rsidR="00687FBB" w:rsidRPr="00B06893">
        <w:t xml:space="preserve">proposed in the submission was </w:t>
      </w:r>
      <w:r w:rsidRPr="00B06893">
        <w:t>$</w:t>
      </w:r>
      <w:r w:rsidR="00FF3F29" w:rsidRPr="00FF3F29">
        <w:rPr>
          <w:sz w:val="2"/>
          <w:highlight w:val="black"/>
        </w:rPr>
        <w:t>redacted content</w:t>
      </w:r>
      <w:r w:rsidRPr="00B06893">
        <w:t xml:space="preserve"> per dose. </w:t>
      </w:r>
      <w:r w:rsidR="00687FBB" w:rsidRPr="00B06893">
        <w:t xml:space="preserve">Under the proposed NIP listing, patients </w:t>
      </w:r>
      <w:r w:rsidRPr="00B06893">
        <w:t xml:space="preserve">&lt;75 years of age </w:t>
      </w:r>
      <w:r w:rsidR="00687FBB" w:rsidRPr="00B06893">
        <w:t>would be eligible</w:t>
      </w:r>
      <w:r w:rsidR="00580BAD">
        <w:t xml:space="preserve"> </w:t>
      </w:r>
      <w:r w:rsidR="00687FBB" w:rsidRPr="00B06893">
        <w:t>for</w:t>
      </w:r>
      <w:r w:rsidRPr="00B06893">
        <w:t xml:space="preserve"> one annual dose, and patients ≥75 years of age </w:t>
      </w:r>
      <w:r w:rsidR="00687FBB" w:rsidRPr="00B06893">
        <w:t xml:space="preserve">would be eligible for </w:t>
      </w:r>
      <w:r w:rsidRPr="00B06893">
        <w:t>two annual doses</w:t>
      </w:r>
      <w:r w:rsidR="00210916" w:rsidRPr="00B06893">
        <w:t xml:space="preserve"> (the </w:t>
      </w:r>
      <w:r w:rsidR="009E0908" w:rsidRPr="00B06893">
        <w:t xml:space="preserve">economic </w:t>
      </w:r>
      <w:r w:rsidR="00210916" w:rsidRPr="00B06893">
        <w:t xml:space="preserve">model </w:t>
      </w:r>
      <w:r w:rsidR="00687FBB" w:rsidRPr="00B06893">
        <w:t xml:space="preserve">assumed </w:t>
      </w:r>
      <w:r w:rsidR="00210916" w:rsidRPr="00B06893">
        <w:t>43.3% of those that receive a first annual dose will receive a second dose</w:t>
      </w:r>
      <w:r w:rsidR="009E0908" w:rsidRPr="00B06893">
        <w:t xml:space="preserve">, however the utilisation model </w:t>
      </w:r>
      <w:r w:rsidR="00687FBB" w:rsidRPr="00B06893">
        <w:t xml:space="preserve">assumed </w:t>
      </w:r>
      <w:r w:rsidR="009E0908" w:rsidRPr="00B06893">
        <w:t xml:space="preserve">100% would receive a second dose: this discrepancy </w:t>
      </w:r>
      <w:r w:rsidR="00687FBB" w:rsidRPr="00B06893">
        <w:t>was</w:t>
      </w:r>
      <w:r w:rsidR="009E0908" w:rsidRPr="00B06893">
        <w:t xml:space="preserve"> not justified</w:t>
      </w:r>
      <w:r w:rsidR="00210916" w:rsidRPr="00B06893">
        <w:t>)</w:t>
      </w:r>
      <w:r w:rsidRPr="00B06893">
        <w:t>.</w:t>
      </w:r>
    </w:p>
    <w:p w14:paraId="46373820" w14:textId="2971B695" w:rsidR="000505F0" w:rsidRPr="00B06893" w:rsidRDefault="00B60939" w:rsidP="007F6A1E">
      <w:pPr>
        <w:pStyle w:val="4-SubsectionHeading"/>
        <w:rPr>
          <w:iCs/>
        </w:rPr>
      </w:pPr>
      <w:bookmarkStart w:id="100" w:name="_Toc22897647"/>
      <w:bookmarkStart w:id="101" w:name="_Toc219898342"/>
      <w:bookmarkEnd w:id="99"/>
      <w:r w:rsidRPr="00B06893">
        <w:t xml:space="preserve">Estimated </w:t>
      </w:r>
      <w:r w:rsidR="000505F0" w:rsidRPr="00B06893">
        <w:t>NIP usage</w:t>
      </w:r>
      <w:r w:rsidRPr="00B06893">
        <w:t xml:space="preserve"> &amp; financial implications</w:t>
      </w:r>
      <w:bookmarkEnd w:id="100"/>
      <w:bookmarkEnd w:id="101"/>
    </w:p>
    <w:p w14:paraId="533D35CD" w14:textId="4A5DFA3D" w:rsidR="000505F0" w:rsidRPr="00B06893" w:rsidRDefault="006026DD" w:rsidP="002B05A1">
      <w:pPr>
        <w:pStyle w:val="3-BodyText"/>
      </w:pPr>
      <w:r w:rsidRPr="00B06893">
        <w:t xml:space="preserve">This submission </w:t>
      </w:r>
      <w:r w:rsidR="003261E2" w:rsidRPr="00B06893">
        <w:t xml:space="preserve">was </w:t>
      </w:r>
      <w:r w:rsidRPr="00B06893">
        <w:t>not considered by DUSC.</w:t>
      </w:r>
    </w:p>
    <w:p w14:paraId="2D34F775" w14:textId="6B567307" w:rsidR="000505F0" w:rsidRPr="00B06893" w:rsidRDefault="000505F0" w:rsidP="00501A02">
      <w:pPr>
        <w:pStyle w:val="3-BodyText"/>
      </w:pPr>
      <w:r w:rsidRPr="00B06893">
        <w:t xml:space="preserve">The submission used an epidemiological approach to estimate the number of incident patients who would be eligible for </w:t>
      </w:r>
      <w:r w:rsidR="00715C42" w:rsidRPr="00B06893">
        <w:t>Spikevax</w:t>
      </w:r>
      <w:r w:rsidRPr="00B06893">
        <w:t xml:space="preserve">. A summary of the data sources and parameter values used to estimate the utilisation and financial impacts associated with the proposed listing of </w:t>
      </w:r>
      <w:r w:rsidR="00715C42" w:rsidRPr="00B06893">
        <w:t>Spikevax</w:t>
      </w:r>
      <w:r w:rsidRPr="00B06893">
        <w:t xml:space="preserve"> for the prevention of COVID</w:t>
      </w:r>
      <w:r w:rsidR="00193971">
        <w:noBreakHyphen/>
      </w:r>
      <w:r w:rsidRPr="00B06893">
        <w:t xml:space="preserve">19 is shown in </w:t>
      </w:r>
      <w:r w:rsidR="00210916" w:rsidRPr="00B06893">
        <w:fldChar w:fldCharType="begin"/>
      </w:r>
      <w:r w:rsidR="00210916" w:rsidRPr="00B06893">
        <w:instrText xml:space="preserve"> REF _Ref219386790 \h </w:instrText>
      </w:r>
      <w:r w:rsidR="009E0908" w:rsidRPr="00B06893">
        <w:instrText xml:space="preserve"> \* MERGEFORMAT </w:instrText>
      </w:r>
      <w:r w:rsidR="00210916" w:rsidRPr="00B06893">
        <w:fldChar w:fldCharType="separate"/>
      </w:r>
      <w:r w:rsidR="00810177" w:rsidRPr="00B06893">
        <w:t>Table 32</w:t>
      </w:r>
      <w:r w:rsidR="00210916" w:rsidRPr="00B06893">
        <w:fldChar w:fldCharType="end"/>
      </w:r>
      <w:r w:rsidRPr="00B06893">
        <w:t>.</w:t>
      </w:r>
      <w:r w:rsidR="00580BAD">
        <w:t xml:space="preserve"> </w:t>
      </w:r>
      <w:r w:rsidR="004937D2" w:rsidRPr="00B06893">
        <w:t>The submission did not consider the near market comparator, Comirnaty in the utilisation and financial estimates.</w:t>
      </w:r>
    </w:p>
    <w:p w14:paraId="640617CC" w14:textId="77777777" w:rsidR="000505F0" w:rsidRPr="00B06893" w:rsidRDefault="000505F0" w:rsidP="000505F0">
      <w:pPr>
        <w:rPr>
          <w:rFonts w:ascii="Calibri" w:hAnsi="Calibri" w:cs="Arial"/>
          <w:szCs w:val="24"/>
        </w:rPr>
      </w:pPr>
    </w:p>
    <w:p w14:paraId="58CBD436" w14:textId="27414B14" w:rsidR="000505F0" w:rsidRPr="00B06893" w:rsidRDefault="000505F0" w:rsidP="00182C84">
      <w:pPr>
        <w:keepNext/>
        <w:jc w:val="left"/>
        <w:rPr>
          <w:rFonts w:ascii="Arial Narrow" w:eastAsiaTheme="majorEastAsia" w:hAnsi="Arial Narrow" w:cstheme="majorBidi"/>
          <w:b/>
          <w:bCs/>
          <w:sz w:val="20"/>
          <w:szCs w:val="24"/>
        </w:rPr>
      </w:pPr>
      <w:bookmarkStart w:id="102" w:name="_Ref219386790"/>
      <w:r w:rsidRPr="00B06893">
        <w:rPr>
          <w:rFonts w:ascii="Arial Narrow" w:eastAsiaTheme="majorEastAsia" w:hAnsi="Arial Narrow" w:cstheme="majorBidi"/>
          <w:b/>
          <w:bCs/>
          <w:sz w:val="20"/>
          <w:szCs w:val="24"/>
        </w:rPr>
        <w:lastRenderedPageBreak/>
        <w:t xml:space="preserve">Table </w:t>
      </w:r>
      <w:r w:rsidR="00B531BD" w:rsidRPr="00B06893">
        <w:rPr>
          <w:rFonts w:ascii="Arial Narrow" w:eastAsiaTheme="majorEastAsia" w:hAnsi="Arial Narrow" w:cstheme="majorBidi"/>
          <w:b/>
          <w:bCs/>
          <w:sz w:val="20"/>
          <w:szCs w:val="24"/>
        </w:rPr>
        <w:fldChar w:fldCharType="begin"/>
      </w:r>
      <w:r w:rsidR="00B531BD" w:rsidRPr="00B06893">
        <w:rPr>
          <w:rFonts w:ascii="Arial Narrow" w:eastAsiaTheme="majorEastAsia" w:hAnsi="Arial Narrow" w:cstheme="majorBidi"/>
          <w:b/>
          <w:bCs/>
          <w:sz w:val="20"/>
          <w:szCs w:val="24"/>
        </w:rPr>
        <w:instrText xml:space="preserve"> SEQ Table \* ARABIC </w:instrText>
      </w:r>
      <w:r w:rsidR="00B531BD" w:rsidRPr="00B06893">
        <w:rPr>
          <w:rFonts w:ascii="Arial Narrow" w:eastAsiaTheme="majorEastAsia" w:hAnsi="Arial Narrow" w:cstheme="majorBidi"/>
          <w:b/>
          <w:bCs/>
          <w:sz w:val="20"/>
          <w:szCs w:val="24"/>
        </w:rPr>
        <w:fldChar w:fldCharType="separate"/>
      </w:r>
      <w:r w:rsidR="00810177" w:rsidRPr="00B06893">
        <w:rPr>
          <w:rFonts w:ascii="Arial Narrow" w:eastAsiaTheme="majorEastAsia" w:hAnsi="Arial Narrow" w:cstheme="majorBidi"/>
          <w:b/>
          <w:bCs/>
          <w:sz w:val="20"/>
          <w:szCs w:val="24"/>
        </w:rPr>
        <w:t>32</w:t>
      </w:r>
      <w:r w:rsidR="00B531BD" w:rsidRPr="00B06893">
        <w:rPr>
          <w:rFonts w:ascii="Arial Narrow" w:eastAsiaTheme="majorEastAsia" w:hAnsi="Arial Narrow" w:cstheme="majorBidi"/>
          <w:b/>
          <w:bCs/>
          <w:sz w:val="20"/>
          <w:szCs w:val="24"/>
        </w:rPr>
        <w:fldChar w:fldCharType="end"/>
      </w:r>
      <w:bookmarkEnd w:id="102"/>
      <w:r w:rsidRPr="00B06893">
        <w:rPr>
          <w:rFonts w:ascii="Arial Narrow" w:eastAsiaTheme="majorEastAsia" w:hAnsi="Arial Narrow" w:cstheme="majorBidi"/>
          <w:b/>
          <w:bCs/>
          <w:sz w:val="20"/>
          <w:szCs w:val="24"/>
        </w:rPr>
        <w:t>: Key inputs for financial estimates</w:t>
      </w:r>
    </w:p>
    <w:tbl>
      <w:tblPr>
        <w:tblStyle w:val="TableGrid"/>
        <w:tblW w:w="5000" w:type="pct"/>
        <w:tblLayout w:type="fixed"/>
        <w:tblCellMar>
          <w:top w:w="28" w:type="dxa"/>
          <w:left w:w="57" w:type="dxa"/>
          <w:bottom w:w="28" w:type="dxa"/>
          <w:right w:w="57" w:type="dxa"/>
        </w:tblCellMar>
        <w:tblLook w:val="04A0" w:firstRow="1" w:lastRow="0" w:firstColumn="1" w:lastColumn="0" w:noHBand="0" w:noVBand="1"/>
        <w:tblCaption w:val="Table 32: Key inputs for financial estimates"/>
      </w:tblPr>
      <w:tblGrid>
        <w:gridCol w:w="1760"/>
        <w:gridCol w:w="1209"/>
        <w:gridCol w:w="1210"/>
        <w:gridCol w:w="1209"/>
        <w:gridCol w:w="1210"/>
        <w:gridCol w:w="1209"/>
        <w:gridCol w:w="1210"/>
      </w:tblGrid>
      <w:tr w:rsidR="000505F0" w:rsidRPr="00B06893" w14:paraId="6CB15F50" w14:textId="77777777" w:rsidTr="00FD4113">
        <w:trPr>
          <w:cantSplit/>
        </w:trPr>
        <w:tc>
          <w:tcPr>
            <w:tcW w:w="9017" w:type="dxa"/>
            <w:gridSpan w:val="7"/>
            <w:hideMark/>
          </w:tcPr>
          <w:p w14:paraId="1E98F310" w14:textId="7AA25AF5"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Incident 1: Population aged 65</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74: People (2025</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2030)</w:t>
            </w:r>
          </w:p>
        </w:tc>
      </w:tr>
      <w:tr w:rsidR="000505F0" w:rsidRPr="00926BCD" w14:paraId="579A848B" w14:textId="77777777" w:rsidTr="00FD4113">
        <w:trPr>
          <w:cantSplit/>
        </w:trPr>
        <w:tc>
          <w:tcPr>
            <w:tcW w:w="1760" w:type="dxa"/>
            <w:hideMark/>
          </w:tcPr>
          <w:p w14:paraId="6BA26A3C"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Eligible patients</w:t>
            </w:r>
          </w:p>
        </w:tc>
        <w:tc>
          <w:tcPr>
            <w:tcW w:w="1209" w:type="dxa"/>
            <w:noWrap/>
            <w:hideMark/>
          </w:tcPr>
          <w:p w14:paraId="50D26879" w14:textId="48D2FDA5" w:rsidR="000505F0" w:rsidRPr="00926BCD" w:rsidRDefault="000505F0" w:rsidP="00182C84">
            <w:pPr>
              <w:keepNext/>
              <w:jc w:val="right"/>
              <w:rPr>
                <w:rFonts w:ascii="Arial Narrow" w:hAnsi="Arial Narrow" w:cs="Calibri"/>
                <w:color w:val="000000"/>
                <w:sz w:val="20"/>
                <w:szCs w:val="18"/>
                <w:vertAlign w:val="superscript"/>
              </w:rPr>
            </w:pPr>
            <w:r w:rsidRPr="00926BCD">
              <w:rPr>
                <w:rFonts w:ascii="Arial Narrow" w:hAnsi="Arial Narrow" w:cs="Calibri"/>
                <w:color w:val="000000"/>
                <w:sz w:val="20"/>
                <w:szCs w:val="18"/>
              </w:rPr>
              <w:t>2,632,258</w:t>
            </w:r>
          </w:p>
        </w:tc>
        <w:tc>
          <w:tcPr>
            <w:tcW w:w="1210" w:type="dxa"/>
            <w:noWrap/>
            <w:hideMark/>
          </w:tcPr>
          <w:p w14:paraId="32FEBA5B" w14:textId="693DE06E"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2,703,641</w:t>
            </w:r>
          </w:p>
        </w:tc>
        <w:tc>
          <w:tcPr>
            <w:tcW w:w="1209" w:type="dxa"/>
            <w:noWrap/>
            <w:hideMark/>
          </w:tcPr>
          <w:p w14:paraId="71400B13" w14:textId="5A81AF44"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2,775,585</w:t>
            </w:r>
          </w:p>
        </w:tc>
        <w:tc>
          <w:tcPr>
            <w:tcW w:w="1210" w:type="dxa"/>
            <w:noWrap/>
            <w:hideMark/>
          </w:tcPr>
          <w:p w14:paraId="40F5C5D3" w14:textId="5E082DCE"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2,843,186</w:t>
            </w:r>
          </w:p>
        </w:tc>
        <w:tc>
          <w:tcPr>
            <w:tcW w:w="1209" w:type="dxa"/>
            <w:noWrap/>
            <w:hideMark/>
          </w:tcPr>
          <w:p w14:paraId="2FB2F51D" w14:textId="454EC7CA"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2,904,151</w:t>
            </w:r>
          </w:p>
        </w:tc>
        <w:tc>
          <w:tcPr>
            <w:tcW w:w="1210" w:type="dxa"/>
            <w:noWrap/>
            <w:hideMark/>
          </w:tcPr>
          <w:p w14:paraId="7F721B9E" w14:textId="32318968"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2,949,269</w:t>
            </w:r>
          </w:p>
        </w:tc>
      </w:tr>
      <w:tr w:rsidR="000505F0" w:rsidRPr="00B06893" w14:paraId="3EFE8540" w14:textId="77777777" w:rsidTr="00FD4113">
        <w:trPr>
          <w:cantSplit/>
        </w:trPr>
        <w:tc>
          <w:tcPr>
            <w:tcW w:w="1760" w:type="dxa"/>
            <w:hideMark/>
          </w:tcPr>
          <w:p w14:paraId="5DDBA3FB" w14:textId="26DD4329"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 xml:space="preserve">Uptake </w:t>
            </w:r>
            <w:r w:rsidR="00193971">
              <w:rPr>
                <w:rFonts w:ascii="Arial Narrow" w:hAnsi="Arial Narrow" w:cs="Calibri"/>
                <w:color w:val="000000"/>
                <w:sz w:val="20"/>
                <w:szCs w:val="18"/>
              </w:rPr>
              <w:noBreakHyphen/>
            </w:r>
            <w:r w:rsidRPr="00B06893">
              <w:rPr>
                <w:rFonts w:ascii="Arial Narrow" w:hAnsi="Arial Narrow" w:cs="Calibri"/>
                <w:color w:val="000000"/>
                <w:sz w:val="20"/>
                <w:szCs w:val="18"/>
              </w:rPr>
              <w:t xml:space="preserve"> all treatment</w:t>
            </w:r>
          </w:p>
        </w:tc>
        <w:tc>
          <w:tcPr>
            <w:tcW w:w="1209" w:type="dxa"/>
            <w:noWrap/>
            <w:hideMark/>
          </w:tcPr>
          <w:p w14:paraId="4E2ECC11" w14:textId="4F29F0D9"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745799FD" w14:textId="6745708A"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5FBB7BBD" w14:textId="5BDB2364"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3686F32D" w14:textId="1E6013B0"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722BE64D" w14:textId="3B12009C"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192F19D3" w14:textId="041E58B9"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r>
      <w:tr w:rsidR="000505F0" w:rsidRPr="00B06893" w14:paraId="4E6752E8" w14:textId="77777777" w:rsidTr="00FD4113">
        <w:trPr>
          <w:cantSplit/>
        </w:trPr>
        <w:tc>
          <w:tcPr>
            <w:tcW w:w="1760" w:type="dxa"/>
            <w:hideMark/>
          </w:tcPr>
          <w:p w14:paraId="454ABAAC"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Treated patients</w:t>
            </w:r>
          </w:p>
        </w:tc>
        <w:tc>
          <w:tcPr>
            <w:tcW w:w="1209" w:type="dxa"/>
            <w:noWrap/>
            <w:hideMark/>
          </w:tcPr>
          <w:p w14:paraId="5EE82AD4" w14:textId="412E1BD4"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AB70BB" w:rsidRPr="00965225">
              <w:rPr>
                <w:rFonts w:ascii="Arial Narrow" w:hAnsi="Arial Narrow" w:cs="Calibri"/>
                <w:color w:val="000000"/>
                <w:sz w:val="20"/>
                <w:szCs w:val="18"/>
                <w:vertAlign w:val="superscript"/>
              </w:rPr>
              <w:t>9</w:t>
            </w:r>
          </w:p>
        </w:tc>
        <w:tc>
          <w:tcPr>
            <w:tcW w:w="1210" w:type="dxa"/>
            <w:noWrap/>
            <w:hideMark/>
          </w:tcPr>
          <w:p w14:paraId="0BBFF8C3" w14:textId="7469AE34"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C65030" w:rsidRPr="00965225">
              <w:rPr>
                <w:rFonts w:ascii="Arial Narrow" w:hAnsi="Arial Narrow" w:cs="Calibri"/>
                <w:color w:val="000000"/>
                <w:sz w:val="20"/>
                <w:szCs w:val="18"/>
                <w:vertAlign w:val="superscript"/>
              </w:rPr>
              <w:t>10</w:t>
            </w:r>
          </w:p>
        </w:tc>
        <w:tc>
          <w:tcPr>
            <w:tcW w:w="1209" w:type="dxa"/>
            <w:noWrap/>
            <w:hideMark/>
          </w:tcPr>
          <w:p w14:paraId="5EB6F9F9" w14:textId="45B9ECD8"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C65030" w:rsidRPr="00965225">
              <w:rPr>
                <w:rFonts w:ascii="Arial Narrow" w:hAnsi="Arial Narrow" w:cs="Calibri"/>
                <w:color w:val="000000"/>
                <w:sz w:val="20"/>
                <w:szCs w:val="18"/>
                <w:vertAlign w:val="superscript"/>
              </w:rPr>
              <w:t>10</w:t>
            </w:r>
          </w:p>
        </w:tc>
        <w:tc>
          <w:tcPr>
            <w:tcW w:w="1210" w:type="dxa"/>
            <w:noWrap/>
            <w:hideMark/>
          </w:tcPr>
          <w:p w14:paraId="2CA0BAF2" w14:textId="45A4FC89"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C65030" w:rsidRPr="00965225">
              <w:rPr>
                <w:rFonts w:ascii="Arial Narrow" w:hAnsi="Arial Narrow" w:cs="Calibri"/>
                <w:color w:val="000000"/>
                <w:sz w:val="20"/>
                <w:szCs w:val="18"/>
                <w:vertAlign w:val="superscript"/>
              </w:rPr>
              <w:t>10</w:t>
            </w:r>
          </w:p>
        </w:tc>
        <w:tc>
          <w:tcPr>
            <w:tcW w:w="1209" w:type="dxa"/>
            <w:noWrap/>
            <w:hideMark/>
          </w:tcPr>
          <w:p w14:paraId="2D30A890" w14:textId="6DA48FCB"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C65030" w:rsidRPr="00965225">
              <w:rPr>
                <w:rFonts w:ascii="Arial Narrow" w:hAnsi="Arial Narrow" w:cs="Calibri"/>
                <w:color w:val="000000"/>
                <w:sz w:val="20"/>
                <w:szCs w:val="18"/>
                <w:vertAlign w:val="superscript"/>
              </w:rPr>
              <w:t>10</w:t>
            </w:r>
          </w:p>
        </w:tc>
        <w:tc>
          <w:tcPr>
            <w:tcW w:w="1210" w:type="dxa"/>
            <w:noWrap/>
            <w:hideMark/>
          </w:tcPr>
          <w:p w14:paraId="3EBF5D33" w14:textId="313E7AFD"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C65030" w:rsidRPr="00965225">
              <w:rPr>
                <w:rFonts w:ascii="Arial Narrow" w:hAnsi="Arial Narrow" w:cs="Calibri"/>
                <w:color w:val="000000"/>
                <w:sz w:val="20"/>
                <w:szCs w:val="18"/>
                <w:vertAlign w:val="superscript"/>
              </w:rPr>
              <w:t>10</w:t>
            </w:r>
          </w:p>
        </w:tc>
      </w:tr>
      <w:tr w:rsidR="000505F0" w:rsidRPr="00B06893" w14:paraId="1019AED8" w14:textId="77777777" w:rsidTr="00FD4113">
        <w:trPr>
          <w:cantSplit/>
        </w:trPr>
        <w:tc>
          <w:tcPr>
            <w:tcW w:w="9017" w:type="dxa"/>
            <w:gridSpan w:val="7"/>
            <w:hideMark/>
          </w:tcPr>
          <w:p w14:paraId="6CE45EE7" w14:textId="1C6450F3"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Incident 2: Population aged 75 years + (summer booster): People (2025</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2030)</w:t>
            </w:r>
          </w:p>
        </w:tc>
      </w:tr>
      <w:tr w:rsidR="000505F0" w:rsidRPr="00926BCD" w14:paraId="7F810242" w14:textId="77777777" w:rsidTr="00FD4113">
        <w:trPr>
          <w:cantSplit/>
        </w:trPr>
        <w:tc>
          <w:tcPr>
            <w:tcW w:w="1760" w:type="dxa"/>
            <w:hideMark/>
          </w:tcPr>
          <w:p w14:paraId="44554FBD" w14:textId="77777777" w:rsidR="000505F0" w:rsidRPr="00926BCD" w:rsidRDefault="000505F0" w:rsidP="00182C84">
            <w:pPr>
              <w:keepNext/>
              <w:jc w:val="left"/>
              <w:rPr>
                <w:rFonts w:ascii="Arial Narrow" w:hAnsi="Arial Narrow" w:cs="Calibri"/>
                <w:color w:val="000000"/>
                <w:sz w:val="20"/>
                <w:szCs w:val="18"/>
              </w:rPr>
            </w:pPr>
            <w:r w:rsidRPr="00926BCD">
              <w:rPr>
                <w:rFonts w:ascii="Arial Narrow" w:hAnsi="Arial Narrow" w:cs="Calibri"/>
                <w:color w:val="000000"/>
                <w:sz w:val="20"/>
                <w:szCs w:val="18"/>
              </w:rPr>
              <w:t>Eligible patients</w:t>
            </w:r>
          </w:p>
        </w:tc>
        <w:tc>
          <w:tcPr>
            <w:tcW w:w="1209" w:type="dxa"/>
            <w:noWrap/>
            <w:hideMark/>
          </w:tcPr>
          <w:p w14:paraId="17E0D324" w14:textId="787A00A6"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2,277,688</w:t>
            </w:r>
          </w:p>
        </w:tc>
        <w:tc>
          <w:tcPr>
            <w:tcW w:w="1210" w:type="dxa"/>
            <w:noWrap/>
            <w:hideMark/>
          </w:tcPr>
          <w:p w14:paraId="2710B883" w14:textId="657D6DF9"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2,375,494</w:t>
            </w:r>
          </w:p>
        </w:tc>
        <w:tc>
          <w:tcPr>
            <w:tcW w:w="1209" w:type="dxa"/>
            <w:noWrap/>
            <w:hideMark/>
          </w:tcPr>
          <w:p w14:paraId="4783486A" w14:textId="6E97CA47"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2,470,901</w:t>
            </w:r>
          </w:p>
        </w:tc>
        <w:tc>
          <w:tcPr>
            <w:tcW w:w="1210" w:type="dxa"/>
            <w:noWrap/>
            <w:hideMark/>
          </w:tcPr>
          <w:p w14:paraId="127DE7A6" w14:textId="18572F93"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2,568,077</w:t>
            </w:r>
          </w:p>
        </w:tc>
        <w:tc>
          <w:tcPr>
            <w:tcW w:w="1209" w:type="dxa"/>
            <w:noWrap/>
            <w:hideMark/>
          </w:tcPr>
          <w:p w14:paraId="032C7651" w14:textId="1C1C407E"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2,662,861</w:t>
            </w:r>
          </w:p>
        </w:tc>
        <w:tc>
          <w:tcPr>
            <w:tcW w:w="1210" w:type="dxa"/>
            <w:noWrap/>
            <w:hideMark/>
          </w:tcPr>
          <w:p w14:paraId="5BC3BEF1" w14:textId="4EBFAD3F" w:rsidR="000505F0" w:rsidRPr="00926BCD" w:rsidRDefault="000505F0" w:rsidP="00182C84">
            <w:pPr>
              <w:keepNext/>
              <w:jc w:val="right"/>
              <w:rPr>
                <w:rFonts w:ascii="Arial Narrow" w:hAnsi="Arial Narrow" w:cs="Calibri"/>
                <w:color w:val="000000"/>
                <w:sz w:val="20"/>
                <w:szCs w:val="18"/>
              </w:rPr>
            </w:pPr>
            <w:r w:rsidRPr="00926BCD">
              <w:rPr>
                <w:rFonts w:ascii="Arial Narrow" w:hAnsi="Arial Narrow" w:cs="Calibri"/>
                <w:color w:val="000000"/>
                <w:sz w:val="20"/>
                <w:szCs w:val="18"/>
              </w:rPr>
              <w:t>2,759,426</w:t>
            </w:r>
          </w:p>
        </w:tc>
      </w:tr>
      <w:tr w:rsidR="000505F0" w:rsidRPr="00B06893" w14:paraId="5146B8E0" w14:textId="77777777" w:rsidTr="00FD4113">
        <w:trPr>
          <w:cantSplit/>
        </w:trPr>
        <w:tc>
          <w:tcPr>
            <w:tcW w:w="1760" w:type="dxa"/>
            <w:hideMark/>
          </w:tcPr>
          <w:p w14:paraId="1340A59A" w14:textId="4FAC3C16"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 xml:space="preserve">Uptake </w:t>
            </w:r>
            <w:r w:rsidR="00193971">
              <w:rPr>
                <w:rFonts w:ascii="Arial Narrow" w:hAnsi="Arial Narrow" w:cs="Calibri"/>
                <w:color w:val="000000"/>
                <w:sz w:val="20"/>
                <w:szCs w:val="18"/>
              </w:rPr>
              <w:noBreakHyphen/>
            </w:r>
            <w:r w:rsidRPr="00B06893">
              <w:rPr>
                <w:rFonts w:ascii="Arial Narrow" w:hAnsi="Arial Narrow" w:cs="Calibri"/>
                <w:color w:val="000000"/>
                <w:sz w:val="20"/>
                <w:szCs w:val="18"/>
              </w:rPr>
              <w:t xml:space="preserve"> all treatment</w:t>
            </w:r>
          </w:p>
        </w:tc>
        <w:tc>
          <w:tcPr>
            <w:tcW w:w="1209" w:type="dxa"/>
            <w:noWrap/>
            <w:hideMark/>
          </w:tcPr>
          <w:p w14:paraId="321DAFBB" w14:textId="5278FD47"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37EB67E9" w14:textId="497B5E90"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5CFE1A5A" w14:textId="79FD9B6A"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1B45DE31" w14:textId="6849B312"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6269BC10" w14:textId="181D4FF0"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0D60AFD8" w14:textId="38BC508D"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r>
      <w:tr w:rsidR="000505F0" w:rsidRPr="00B06893" w14:paraId="1D4D76FF" w14:textId="77777777" w:rsidTr="00FD4113">
        <w:trPr>
          <w:cantSplit/>
        </w:trPr>
        <w:tc>
          <w:tcPr>
            <w:tcW w:w="1760" w:type="dxa"/>
            <w:hideMark/>
          </w:tcPr>
          <w:p w14:paraId="212F4730"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Treated patients</w:t>
            </w:r>
          </w:p>
        </w:tc>
        <w:tc>
          <w:tcPr>
            <w:tcW w:w="1209" w:type="dxa"/>
            <w:noWrap/>
            <w:hideMark/>
          </w:tcPr>
          <w:p w14:paraId="2DCABFCD" w14:textId="433B4601"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10" w:type="dxa"/>
            <w:noWrap/>
            <w:hideMark/>
          </w:tcPr>
          <w:p w14:paraId="562CDA43" w14:textId="22535A95"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09" w:type="dxa"/>
            <w:noWrap/>
            <w:hideMark/>
          </w:tcPr>
          <w:p w14:paraId="11BE1E6D" w14:textId="5085960B"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10" w:type="dxa"/>
            <w:noWrap/>
            <w:hideMark/>
          </w:tcPr>
          <w:p w14:paraId="45A1E628" w14:textId="5ACEB6B0"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780297" w:rsidRPr="00965225">
              <w:rPr>
                <w:rFonts w:ascii="Arial Narrow" w:hAnsi="Arial Narrow" w:cs="Calibri"/>
                <w:color w:val="000000"/>
                <w:sz w:val="20"/>
                <w:szCs w:val="18"/>
                <w:vertAlign w:val="superscript"/>
              </w:rPr>
              <w:t>4</w:t>
            </w:r>
          </w:p>
        </w:tc>
        <w:tc>
          <w:tcPr>
            <w:tcW w:w="1209" w:type="dxa"/>
            <w:noWrap/>
            <w:hideMark/>
          </w:tcPr>
          <w:p w14:paraId="6F076CF6" w14:textId="7D3502D7"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780297" w:rsidRPr="00965225">
              <w:rPr>
                <w:rFonts w:ascii="Arial Narrow" w:hAnsi="Arial Narrow" w:cs="Calibri"/>
                <w:color w:val="000000"/>
                <w:sz w:val="20"/>
                <w:szCs w:val="18"/>
                <w:vertAlign w:val="superscript"/>
              </w:rPr>
              <w:t>4</w:t>
            </w:r>
          </w:p>
        </w:tc>
        <w:tc>
          <w:tcPr>
            <w:tcW w:w="1210" w:type="dxa"/>
            <w:noWrap/>
            <w:hideMark/>
          </w:tcPr>
          <w:p w14:paraId="0AEC10CE" w14:textId="2125047B"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780297" w:rsidRPr="00965225">
              <w:rPr>
                <w:rFonts w:ascii="Arial Narrow" w:hAnsi="Arial Narrow" w:cs="Calibri"/>
                <w:color w:val="000000"/>
                <w:sz w:val="20"/>
                <w:szCs w:val="18"/>
                <w:vertAlign w:val="superscript"/>
              </w:rPr>
              <w:t>4</w:t>
            </w:r>
          </w:p>
        </w:tc>
      </w:tr>
      <w:tr w:rsidR="000505F0" w:rsidRPr="00B06893" w14:paraId="46C5F782" w14:textId="77777777" w:rsidTr="00FD4113">
        <w:trPr>
          <w:cantSplit/>
        </w:trPr>
        <w:tc>
          <w:tcPr>
            <w:tcW w:w="9017" w:type="dxa"/>
            <w:gridSpan w:val="7"/>
            <w:hideMark/>
          </w:tcPr>
          <w:p w14:paraId="3FDAC50A" w14:textId="14475585"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Incident 3: Population aged 18</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64 years severely immunocompromised: People (2025</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2030)</w:t>
            </w:r>
          </w:p>
        </w:tc>
      </w:tr>
      <w:tr w:rsidR="000505F0" w:rsidRPr="00940072" w14:paraId="5545E9AB" w14:textId="77777777" w:rsidTr="00FD4113">
        <w:trPr>
          <w:cantSplit/>
        </w:trPr>
        <w:tc>
          <w:tcPr>
            <w:tcW w:w="1760" w:type="dxa"/>
            <w:hideMark/>
          </w:tcPr>
          <w:p w14:paraId="33B51F21"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Eligible patients</w:t>
            </w:r>
          </w:p>
        </w:tc>
        <w:tc>
          <w:tcPr>
            <w:tcW w:w="1209" w:type="dxa"/>
            <w:noWrap/>
            <w:hideMark/>
          </w:tcPr>
          <w:p w14:paraId="4677F3DA" w14:textId="0E416988" w:rsidR="000505F0" w:rsidRPr="00940072" w:rsidRDefault="000505F0" w:rsidP="00182C84">
            <w:pPr>
              <w:keepNext/>
              <w:jc w:val="right"/>
              <w:rPr>
                <w:rFonts w:ascii="Arial Narrow" w:hAnsi="Arial Narrow" w:cs="Calibri"/>
                <w:color w:val="000000"/>
                <w:sz w:val="20"/>
                <w:szCs w:val="18"/>
                <w:vertAlign w:val="superscript"/>
              </w:rPr>
            </w:pPr>
            <w:r w:rsidRPr="00940072">
              <w:rPr>
                <w:rFonts w:ascii="Arial Narrow" w:hAnsi="Arial Narrow" w:cs="Calibri"/>
                <w:color w:val="000000"/>
                <w:sz w:val="20"/>
                <w:szCs w:val="18"/>
              </w:rPr>
              <w:t>621,321</w:t>
            </w:r>
          </w:p>
        </w:tc>
        <w:tc>
          <w:tcPr>
            <w:tcW w:w="1210" w:type="dxa"/>
            <w:noWrap/>
            <w:hideMark/>
          </w:tcPr>
          <w:p w14:paraId="02D2DB40" w14:textId="28DFEF10" w:rsidR="000505F0" w:rsidRPr="00940072" w:rsidRDefault="000505F0" w:rsidP="00182C84">
            <w:pPr>
              <w:keepNext/>
              <w:jc w:val="right"/>
              <w:rPr>
                <w:rFonts w:ascii="Arial Narrow" w:hAnsi="Arial Narrow" w:cs="Calibri"/>
                <w:color w:val="000000"/>
                <w:sz w:val="20"/>
                <w:szCs w:val="18"/>
              </w:rPr>
            </w:pPr>
            <w:r w:rsidRPr="00940072">
              <w:rPr>
                <w:rFonts w:ascii="Arial Narrow" w:hAnsi="Arial Narrow" w:cs="Calibri"/>
                <w:color w:val="000000"/>
                <w:sz w:val="20"/>
                <w:szCs w:val="18"/>
              </w:rPr>
              <w:t>629,312</w:t>
            </w:r>
          </w:p>
        </w:tc>
        <w:tc>
          <w:tcPr>
            <w:tcW w:w="1209" w:type="dxa"/>
            <w:noWrap/>
            <w:hideMark/>
          </w:tcPr>
          <w:p w14:paraId="6E31CCB0" w14:textId="484C1358" w:rsidR="000505F0" w:rsidRPr="00940072" w:rsidRDefault="000505F0" w:rsidP="00182C84">
            <w:pPr>
              <w:keepNext/>
              <w:jc w:val="right"/>
              <w:rPr>
                <w:rFonts w:ascii="Arial Narrow" w:hAnsi="Arial Narrow" w:cs="Calibri"/>
                <w:color w:val="000000"/>
                <w:sz w:val="20"/>
                <w:szCs w:val="18"/>
              </w:rPr>
            </w:pPr>
            <w:r w:rsidRPr="00940072">
              <w:rPr>
                <w:rFonts w:ascii="Arial Narrow" w:hAnsi="Arial Narrow" w:cs="Calibri"/>
                <w:color w:val="000000"/>
                <w:sz w:val="20"/>
                <w:szCs w:val="18"/>
              </w:rPr>
              <w:t>636,965</w:t>
            </w:r>
          </w:p>
        </w:tc>
        <w:tc>
          <w:tcPr>
            <w:tcW w:w="1210" w:type="dxa"/>
            <w:noWrap/>
            <w:hideMark/>
          </w:tcPr>
          <w:p w14:paraId="07865CC0" w14:textId="18A20B6E" w:rsidR="000505F0" w:rsidRPr="00940072" w:rsidRDefault="000505F0" w:rsidP="00182C84">
            <w:pPr>
              <w:keepNext/>
              <w:jc w:val="right"/>
              <w:rPr>
                <w:rFonts w:ascii="Arial Narrow" w:hAnsi="Arial Narrow" w:cs="Calibri"/>
                <w:color w:val="000000"/>
                <w:sz w:val="20"/>
                <w:szCs w:val="18"/>
              </w:rPr>
            </w:pPr>
            <w:r w:rsidRPr="00940072">
              <w:rPr>
                <w:rFonts w:ascii="Arial Narrow" w:hAnsi="Arial Narrow" w:cs="Calibri"/>
                <w:color w:val="000000"/>
                <w:sz w:val="20"/>
                <w:szCs w:val="18"/>
              </w:rPr>
              <w:t>644,406</w:t>
            </w:r>
          </w:p>
        </w:tc>
        <w:tc>
          <w:tcPr>
            <w:tcW w:w="1209" w:type="dxa"/>
            <w:noWrap/>
            <w:hideMark/>
          </w:tcPr>
          <w:p w14:paraId="48A0F004" w14:textId="1FB5844C" w:rsidR="000505F0" w:rsidRPr="00940072" w:rsidRDefault="000505F0" w:rsidP="00182C84">
            <w:pPr>
              <w:keepNext/>
              <w:jc w:val="right"/>
              <w:rPr>
                <w:rFonts w:ascii="Arial Narrow" w:hAnsi="Arial Narrow" w:cs="Calibri"/>
                <w:color w:val="000000"/>
                <w:sz w:val="20"/>
                <w:szCs w:val="18"/>
              </w:rPr>
            </w:pPr>
            <w:r w:rsidRPr="00940072">
              <w:rPr>
                <w:rFonts w:ascii="Arial Narrow" w:hAnsi="Arial Narrow" w:cs="Calibri"/>
                <w:color w:val="000000"/>
                <w:sz w:val="20"/>
                <w:szCs w:val="18"/>
              </w:rPr>
              <w:t>651,612</w:t>
            </w:r>
          </w:p>
        </w:tc>
        <w:tc>
          <w:tcPr>
            <w:tcW w:w="1210" w:type="dxa"/>
            <w:noWrap/>
            <w:hideMark/>
          </w:tcPr>
          <w:p w14:paraId="6124A11E" w14:textId="259EE05B" w:rsidR="000505F0" w:rsidRPr="00940072" w:rsidRDefault="000505F0" w:rsidP="00182C84">
            <w:pPr>
              <w:keepNext/>
              <w:jc w:val="right"/>
              <w:rPr>
                <w:rFonts w:ascii="Arial Narrow" w:hAnsi="Arial Narrow" w:cs="Calibri"/>
                <w:color w:val="000000"/>
                <w:sz w:val="20"/>
                <w:szCs w:val="18"/>
              </w:rPr>
            </w:pPr>
            <w:r w:rsidRPr="00940072">
              <w:rPr>
                <w:rFonts w:ascii="Arial Narrow" w:hAnsi="Arial Narrow" w:cs="Calibri"/>
                <w:color w:val="000000"/>
                <w:sz w:val="20"/>
                <w:szCs w:val="18"/>
              </w:rPr>
              <w:t>658,953</w:t>
            </w:r>
          </w:p>
        </w:tc>
      </w:tr>
      <w:tr w:rsidR="000505F0" w:rsidRPr="00B06893" w14:paraId="45EFB16B" w14:textId="77777777" w:rsidTr="00FD4113">
        <w:trPr>
          <w:cantSplit/>
        </w:trPr>
        <w:tc>
          <w:tcPr>
            <w:tcW w:w="1760" w:type="dxa"/>
            <w:hideMark/>
          </w:tcPr>
          <w:p w14:paraId="762222EE" w14:textId="4FB9CB64"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 xml:space="preserve">Uptake </w:t>
            </w:r>
            <w:r w:rsidR="00193971">
              <w:rPr>
                <w:rFonts w:ascii="Arial Narrow" w:hAnsi="Arial Narrow" w:cs="Calibri"/>
                <w:color w:val="000000"/>
                <w:sz w:val="20"/>
                <w:szCs w:val="18"/>
              </w:rPr>
              <w:noBreakHyphen/>
            </w:r>
            <w:r w:rsidRPr="00B06893">
              <w:rPr>
                <w:rFonts w:ascii="Arial Narrow" w:hAnsi="Arial Narrow" w:cs="Calibri"/>
                <w:color w:val="000000"/>
                <w:sz w:val="20"/>
                <w:szCs w:val="18"/>
              </w:rPr>
              <w:t xml:space="preserve"> all treatment</w:t>
            </w:r>
          </w:p>
        </w:tc>
        <w:tc>
          <w:tcPr>
            <w:tcW w:w="1209" w:type="dxa"/>
            <w:noWrap/>
            <w:hideMark/>
          </w:tcPr>
          <w:p w14:paraId="16A2EE30" w14:textId="6DB9CECD"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0398664E" w14:textId="7B23ADAE"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08998107" w14:textId="5DEACF88"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03F78FFC" w14:textId="70B23AAE"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4B5B70FE" w14:textId="1CE1F9AC"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0E0A8DD4" w14:textId="79D8B437"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r>
      <w:tr w:rsidR="000505F0" w:rsidRPr="00B06893" w14:paraId="05FCCEDF" w14:textId="77777777" w:rsidTr="00FD4113">
        <w:trPr>
          <w:cantSplit/>
        </w:trPr>
        <w:tc>
          <w:tcPr>
            <w:tcW w:w="1760" w:type="dxa"/>
            <w:hideMark/>
          </w:tcPr>
          <w:p w14:paraId="17762094"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Treated patients</w:t>
            </w:r>
          </w:p>
        </w:tc>
        <w:tc>
          <w:tcPr>
            <w:tcW w:w="1209" w:type="dxa"/>
            <w:noWrap/>
            <w:hideMark/>
          </w:tcPr>
          <w:p w14:paraId="29CC84EA" w14:textId="0C243112"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10" w:type="dxa"/>
            <w:noWrap/>
            <w:hideMark/>
          </w:tcPr>
          <w:p w14:paraId="2613D2DC" w14:textId="06306B59"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09" w:type="dxa"/>
            <w:noWrap/>
            <w:hideMark/>
          </w:tcPr>
          <w:p w14:paraId="618D1132" w14:textId="409B4324"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10" w:type="dxa"/>
            <w:noWrap/>
            <w:hideMark/>
          </w:tcPr>
          <w:p w14:paraId="7BD98BBE" w14:textId="7AB428F3"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09" w:type="dxa"/>
            <w:noWrap/>
            <w:hideMark/>
          </w:tcPr>
          <w:p w14:paraId="63D2FD65" w14:textId="00D8E0E2"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c>
          <w:tcPr>
            <w:tcW w:w="1210" w:type="dxa"/>
            <w:noWrap/>
            <w:hideMark/>
          </w:tcPr>
          <w:p w14:paraId="304FF1D2" w14:textId="4BDF9094"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4F6D4F" w:rsidRPr="00965225">
              <w:rPr>
                <w:rFonts w:ascii="Arial Narrow" w:hAnsi="Arial Narrow" w:cs="Calibri"/>
                <w:color w:val="000000"/>
                <w:sz w:val="20"/>
                <w:szCs w:val="18"/>
                <w:vertAlign w:val="superscript"/>
              </w:rPr>
              <w:t>4</w:t>
            </w:r>
          </w:p>
        </w:tc>
      </w:tr>
      <w:tr w:rsidR="000505F0" w:rsidRPr="00B06893" w14:paraId="5F0A5882" w14:textId="77777777" w:rsidTr="00FD4113">
        <w:trPr>
          <w:cantSplit/>
        </w:trPr>
        <w:tc>
          <w:tcPr>
            <w:tcW w:w="9017" w:type="dxa"/>
            <w:gridSpan w:val="7"/>
            <w:hideMark/>
          </w:tcPr>
          <w:p w14:paraId="4E9902B9" w14:textId="4EB0846C"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Incident 4: Population aged 75 years + (winter booster): People (2025</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2030)</w:t>
            </w:r>
          </w:p>
        </w:tc>
      </w:tr>
      <w:tr w:rsidR="000505F0" w:rsidRPr="00B06893" w14:paraId="3138B01D" w14:textId="77777777" w:rsidTr="00FD4113">
        <w:trPr>
          <w:cantSplit/>
        </w:trPr>
        <w:tc>
          <w:tcPr>
            <w:tcW w:w="1760" w:type="dxa"/>
            <w:hideMark/>
          </w:tcPr>
          <w:p w14:paraId="2AF2633F"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Eligible patients</w:t>
            </w:r>
          </w:p>
        </w:tc>
        <w:tc>
          <w:tcPr>
            <w:tcW w:w="1209" w:type="dxa"/>
            <w:noWrap/>
            <w:hideMark/>
          </w:tcPr>
          <w:p w14:paraId="2FD63092" w14:textId="17A103D4"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2,277,688</w:t>
            </w:r>
          </w:p>
        </w:tc>
        <w:tc>
          <w:tcPr>
            <w:tcW w:w="1210" w:type="dxa"/>
            <w:noWrap/>
            <w:hideMark/>
          </w:tcPr>
          <w:p w14:paraId="47120BDC" w14:textId="3223AAA0"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2,375,494</w:t>
            </w:r>
          </w:p>
        </w:tc>
        <w:tc>
          <w:tcPr>
            <w:tcW w:w="1209" w:type="dxa"/>
            <w:noWrap/>
            <w:hideMark/>
          </w:tcPr>
          <w:p w14:paraId="1A5DC0F4" w14:textId="5ADC8369"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2,470,901</w:t>
            </w:r>
          </w:p>
        </w:tc>
        <w:tc>
          <w:tcPr>
            <w:tcW w:w="1210" w:type="dxa"/>
            <w:noWrap/>
            <w:hideMark/>
          </w:tcPr>
          <w:p w14:paraId="19C015CD" w14:textId="4690FBA7"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2,568,077</w:t>
            </w:r>
          </w:p>
        </w:tc>
        <w:tc>
          <w:tcPr>
            <w:tcW w:w="1209" w:type="dxa"/>
            <w:noWrap/>
            <w:hideMark/>
          </w:tcPr>
          <w:p w14:paraId="7911260C" w14:textId="6375D5EE"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2,662,861</w:t>
            </w:r>
          </w:p>
        </w:tc>
        <w:tc>
          <w:tcPr>
            <w:tcW w:w="1210" w:type="dxa"/>
            <w:noWrap/>
            <w:hideMark/>
          </w:tcPr>
          <w:p w14:paraId="21ED8CA1" w14:textId="55E8452E"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2,759,426</w:t>
            </w:r>
          </w:p>
        </w:tc>
      </w:tr>
      <w:tr w:rsidR="000505F0" w:rsidRPr="00B06893" w14:paraId="7DC5823A" w14:textId="77777777" w:rsidTr="00FD4113">
        <w:trPr>
          <w:cantSplit/>
        </w:trPr>
        <w:tc>
          <w:tcPr>
            <w:tcW w:w="1760" w:type="dxa"/>
            <w:hideMark/>
          </w:tcPr>
          <w:p w14:paraId="66C92824" w14:textId="5A8A6D3C"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 xml:space="preserve">Uptake </w:t>
            </w:r>
            <w:r w:rsidR="00193971">
              <w:rPr>
                <w:rFonts w:ascii="Arial Narrow" w:hAnsi="Arial Narrow" w:cs="Calibri"/>
                <w:color w:val="000000"/>
                <w:sz w:val="20"/>
                <w:szCs w:val="18"/>
              </w:rPr>
              <w:noBreakHyphen/>
            </w:r>
            <w:r w:rsidRPr="00B06893">
              <w:rPr>
                <w:rFonts w:ascii="Arial Narrow" w:hAnsi="Arial Narrow" w:cs="Calibri"/>
                <w:color w:val="000000"/>
                <w:sz w:val="20"/>
                <w:szCs w:val="18"/>
              </w:rPr>
              <w:t xml:space="preserve"> all treatment</w:t>
            </w:r>
          </w:p>
        </w:tc>
        <w:tc>
          <w:tcPr>
            <w:tcW w:w="1209" w:type="dxa"/>
            <w:noWrap/>
            <w:hideMark/>
          </w:tcPr>
          <w:p w14:paraId="4E15E497" w14:textId="382BC930"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38EF43D5" w14:textId="50C43A15"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4E0A0716" w14:textId="61BFADD5"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71BEC67C" w14:textId="76A326EF"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3ED167AD" w14:textId="2AF723BF"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02832F98" w14:textId="6D1B0877"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r>
      <w:tr w:rsidR="000505F0" w:rsidRPr="00B06893" w14:paraId="121629B9" w14:textId="77777777" w:rsidTr="00FD4113">
        <w:trPr>
          <w:cantSplit/>
        </w:trPr>
        <w:tc>
          <w:tcPr>
            <w:tcW w:w="1760" w:type="dxa"/>
            <w:hideMark/>
          </w:tcPr>
          <w:p w14:paraId="1D21EB21"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Treated patients</w:t>
            </w:r>
          </w:p>
        </w:tc>
        <w:tc>
          <w:tcPr>
            <w:tcW w:w="1209" w:type="dxa"/>
            <w:noWrap/>
            <w:hideMark/>
          </w:tcPr>
          <w:p w14:paraId="3946055D" w14:textId="2043DABF"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6</w:t>
            </w:r>
          </w:p>
        </w:tc>
        <w:tc>
          <w:tcPr>
            <w:tcW w:w="1210" w:type="dxa"/>
            <w:noWrap/>
            <w:hideMark/>
          </w:tcPr>
          <w:p w14:paraId="4E48995A" w14:textId="2FF0B44F"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09" w:type="dxa"/>
            <w:noWrap/>
            <w:hideMark/>
          </w:tcPr>
          <w:p w14:paraId="522FDFFF" w14:textId="420C6474"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10" w:type="dxa"/>
            <w:noWrap/>
            <w:hideMark/>
          </w:tcPr>
          <w:p w14:paraId="11B10C5C" w14:textId="0CC3E149"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09" w:type="dxa"/>
            <w:noWrap/>
            <w:hideMark/>
          </w:tcPr>
          <w:p w14:paraId="5033ED47" w14:textId="776DE219"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10" w:type="dxa"/>
            <w:noWrap/>
            <w:hideMark/>
          </w:tcPr>
          <w:p w14:paraId="73229E0C" w14:textId="6EB06263"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r>
      <w:tr w:rsidR="000505F0" w:rsidRPr="00B06893" w14:paraId="2194A0B6" w14:textId="77777777" w:rsidTr="00FD4113">
        <w:trPr>
          <w:cantSplit/>
        </w:trPr>
        <w:tc>
          <w:tcPr>
            <w:tcW w:w="9017" w:type="dxa"/>
            <w:gridSpan w:val="7"/>
            <w:hideMark/>
          </w:tcPr>
          <w:p w14:paraId="774B5F51" w14:textId="51E10202"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Incident 5: First nations individuals aged 50</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64: People (2025</w:t>
            </w:r>
            <w:r w:rsidR="00193971">
              <w:rPr>
                <w:rFonts w:ascii="Arial Narrow" w:hAnsi="Arial Narrow" w:cs="Calibri"/>
                <w:b/>
                <w:bCs/>
                <w:color w:val="000000"/>
                <w:sz w:val="20"/>
                <w:szCs w:val="18"/>
              </w:rPr>
              <w:noBreakHyphen/>
            </w:r>
            <w:r w:rsidRPr="00B06893">
              <w:rPr>
                <w:rFonts w:ascii="Arial Narrow" w:hAnsi="Arial Narrow" w:cs="Calibri"/>
                <w:b/>
                <w:bCs/>
                <w:color w:val="000000"/>
                <w:sz w:val="20"/>
                <w:szCs w:val="18"/>
              </w:rPr>
              <w:t>2030)</w:t>
            </w:r>
          </w:p>
        </w:tc>
      </w:tr>
      <w:tr w:rsidR="000505F0" w:rsidRPr="00B06893" w14:paraId="616D7DA6" w14:textId="77777777" w:rsidTr="00FD4113">
        <w:trPr>
          <w:cantSplit/>
        </w:trPr>
        <w:tc>
          <w:tcPr>
            <w:tcW w:w="1760" w:type="dxa"/>
            <w:hideMark/>
          </w:tcPr>
          <w:p w14:paraId="5DE62A60" w14:textId="77777777" w:rsidR="000505F0" w:rsidRPr="00610519" w:rsidRDefault="000505F0" w:rsidP="00182C84">
            <w:pPr>
              <w:keepNext/>
              <w:jc w:val="left"/>
              <w:rPr>
                <w:rFonts w:ascii="Arial Narrow" w:hAnsi="Arial Narrow" w:cs="Calibri"/>
                <w:color w:val="000000"/>
                <w:sz w:val="20"/>
                <w:szCs w:val="18"/>
              </w:rPr>
            </w:pPr>
            <w:r w:rsidRPr="00610519">
              <w:rPr>
                <w:rFonts w:ascii="Arial Narrow" w:hAnsi="Arial Narrow" w:cs="Calibri"/>
                <w:color w:val="000000"/>
                <w:sz w:val="20"/>
                <w:szCs w:val="18"/>
              </w:rPr>
              <w:t>Eligible patients</w:t>
            </w:r>
          </w:p>
        </w:tc>
        <w:tc>
          <w:tcPr>
            <w:tcW w:w="1209" w:type="dxa"/>
            <w:noWrap/>
            <w:hideMark/>
          </w:tcPr>
          <w:p w14:paraId="61F490EB" w14:textId="1B526B8D" w:rsidR="000505F0" w:rsidRPr="00610519" w:rsidRDefault="000505F0" w:rsidP="00182C84">
            <w:pPr>
              <w:keepNext/>
              <w:jc w:val="right"/>
              <w:rPr>
                <w:rFonts w:ascii="Arial Narrow" w:hAnsi="Arial Narrow" w:cs="Calibri"/>
                <w:color w:val="000000"/>
                <w:sz w:val="20"/>
                <w:szCs w:val="18"/>
                <w:vertAlign w:val="superscript"/>
              </w:rPr>
            </w:pPr>
            <w:r w:rsidRPr="00610519">
              <w:rPr>
                <w:rFonts w:ascii="Arial Narrow" w:hAnsi="Arial Narrow" w:cs="Calibri"/>
                <w:color w:val="000000"/>
                <w:sz w:val="20"/>
                <w:szCs w:val="18"/>
              </w:rPr>
              <w:t>130,885</w:t>
            </w:r>
          </w:p>
        </w:tc>
        <w:tc>
          <w:tcPr>
            <w:tcW w:w="1210" w:type="dxa"/>
            <w:noWrap/>
            <w:hideMark/>
          </w:tcPr>
          <w:p w14:paraId="7E6884B9" w14:textId="3C0D5DA2"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131,926</w:t>
            </w:r>
          </w:p>
        </w:tc>
        <w:tc>
          <w:tcPr>
            <w:tcW w:w="1209" w:type="dxa"/>
            <w:noWrap/>
            <w:hideMark/>
          </w:tcPr>
          <w:p w14:paraId="0AB8A8FE" w14:textId="3F5E2FDC"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132,684</w:t>
            </w:r>
          </w:p>
        </w:tc>
        <w:tc>
          <w:tcPr>
            <w:tcW w:w="1210" w:type="dxa"/>
            <w:noWrap/>
            <w:hideMark/>
          </w:tcPr>
          <w:p w14:paraId="6937CE72" w14:textId="070EB067"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133,295</w:t>
            </w:r>
          </w:p>
        </w:tc>
        <w:tc>
          <w:tcPr>
            <w:tcW w:w="1209" w:type="dxa"/>
            <w:noWrap/>
            <w:hideMark/>
          </w:tcPr>
          <w:p w14:paraId="1CF7D1C5" w14:textId="443A9594"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134,141</w:t>
            </w:r>
          </w:p>
        </w:tc>
        <w:tc>
          <w:tcPr>
            <w:tcW w:w="1210" w:type="dxa"/>
            <w:noWrap/>
            <w:hideMark/>
          </w:tcPr>
          <w:p w14:paraId="6A372AAF" w14:textId="1E5B7DE7" w:rsidR="000505F0" w:rsidRPr="00610519" w:rsidRDefault="000505F0" w:rsidP="00182C84">
            <w:pPr>
              <w:keepNext/>
              <w:jc w:val="right"/>
              <w:rPr>
                <w:rFonts w:ascii="Arial Narrow" w:hAnsi="Arial Narrow" w:cs="Calibri"/>
                <w:color w:val="000000"/>
                <w:sz w:val="20"/>
                <w:szCs w:val="18"/>
              </w:rPr>
            </w:pPr>
            <w:r w:rsidRPr="00610519">
              <w:rPr>
                <w:rFonts w:ascii="Arial Narrow" w:hAnsi="Arial Narrow" w:cs="Calibri"/>
                <w:color w:val="000000"/>
                <w:sz w:val="20"/>
                <w:szCs w:val="18"/>
              </w:rPr>
              <w:t>134,891</w:t>
            </w:r>
          </w:p>
        </w:tc>
      </w:tr>
      <w:tr w:rsidR="000505F0" w:rsidRPr="00B06893" w14:paraId="1696F586" w14:textId="77777777" w:rsidTr="00FD4113">
        <w:trPr>
          <w:cantSplit/>
        </w:trPr>
        <w:tc>
          <w:tcPr>
            <w:tcW w:w="1760" w:type="dxa"/>
            <w:hideMark/>
          </w:tcPr>
          <w:p w14:paraId="407A2FBB" w14:textId="4C01E632"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 xml:space="preserve">Uptake </w:t>
            </w:r>
            <w:r w:rsidR="00193971">
              <w:rPr>
                <w:rFonts w:ascii="Arial Narrow" w:hAnsi="Arial Narrow" w:cs="Calibri"/>
                <w:color w:val="000000"/>
                <w:sz w:val="20"/>
                <w:szCs w:val="18"/>
              </w:rPr>
              <w:noBreakHyphen/>
            </w:r>
            <w:r w:rsidRPr="00B06893">
              <w:rPr>
                <w:rFonts w:ascii="Arial Narrow" w:hAnsi="Arial Narrow" w:cs="Calibri"/>
                <w:color w:val="000000"/>
                <w:sz w:val="20"/>
                <w:szCs w:val="18"/>
              </w:rPr>
              <w:t xml:space="preserve"> all treatment</w:t>
            </w:r>
          </w:p>
        </w:tc>
        <w:tc>
          <w:tcPr>
            <w:tcW w:w="1209" w:type="dxa"/>
            <w:noWrap/>
            <w:hideMark/>
          </w:tcPr>
          <w:p w14:paraId="2A85FE63" w14:textId="56A05DA6"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717CF38E" w14:textId="5D343144"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61987563" w14:textId="26BB97C9"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30DC38E6" w14:textId="69254A33"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09" w:type="dxa"/>
            <w:noWrap/>
            <w:hideMark/>
          </w:tcPr>
          <w:p w14:paraId="0B7F928B" w14:textId="49A536C0"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c>
          <w:tcPr>
            <w:tcW w:w="1210" w:type="dxa"/>
            <w:noWrap/>
            <w:hideMark/>
          </w:tcPr>
          <w:p w14:paraId="3825A0CF" w14:textId="3B57E834"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965225" w:rsidRPr="00965225">
              <w:rPr>
                <w:rFonts w:ascii="Arial Narrow" w:hAnsi="Arial Narrow" w:cs="Calibri"/>
                <w:color w:val="000000"/>
                <w:sz w:val="20"/>
                <w:szCs w:val="18"/>
              </w:rPr>
              <w:t>%</w:t>
            </w:r>
          </w:p>
        </w:tc>
      </w:tr>
      <w:tr w:rsidR="000505F0" w:rsidRPr="00B06893" w14:paraId="54959977" w14:textId="77777777" w:rsidTr="00FD4113">
        <w:trPr>
          <w:cantSplit/>
        </w:trPr>
        <w:tc>
          <w:tcPr>
            <w:tcW w:w="1760" w:type="dxa"/>
            <w:hideMark/>
          </w:tcPr>
          <w:p w14:paraId="3855E4BB"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Treated patients</w:t>
            </w:r>
          </w:p>
        </w:tc>
        <w:tc>
          <w:tcPr>
            <w:tcW w:w="1209" w:type="dxa"/>
            <w:noWrap/>
            <w:hideMark/>
          </w:tcPr>
          <w:p w14:paraId="5234A59C" w14:textId="1584B3AE"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A75D43" w:rsidRPr="00965225">
              <w:rPr>
                <w:rFonts w:ascii="Arial Narrow" w:hAnsi="Arial Narrow" w:cs="Calibri"/>
                <w:color w:val="000000"/>
                <w:sz w:val="20"/>
                <w:szCs w:val="18"/>
                <w:vertAlign w:val="superscript"/>
              </w:rPr>
              <w:t>1</w:t>
            </w:r>
          </w:p>
        </w:tc>
        <w:tc>
          <w:tcPr>
            <w:tcW w:w="1210" w:type="dxa"/>
            <w:noWrap/>
            <w:hideMark/>
          </w:tcPr>
          <w:p w14:paraId="48C23D0B" w14:textId="279640F8"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A75D43" w:rsidRPr="00965225">
              <w:rPr>
                <w:rFonts w:ascii="Arial Narrow" w:hAnsi="Arial Narrow" w:cs="Calibri"/>
                <w:color w:val="000000"/>
                <w:sz w:val="20"/>
                <w:szCs w:val="18"/>
                <w:vertAlign w:val="superscript"/>
              </w:rPr>
              <w:t>1</w:t>
            </w:r>
          </w:p>
        </w:tc>
        <w:tc>
          <w:tcPr>
            <w:tcW w:w="1209" w:type="dxa"/>
            <w:noWrap/>
            <w:hideMark/>
          </w:tcPr>
          <w:p w14:paraId="5EACB3FF" w14:textId="2790A155"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c>
          <w:tcPr>
            <w:tcW w:w="1210" w:type="dxa"/>
            <w:noWrap/>
            <w:hideMark/>
          </w:tcPr>
          <w:p w14:paraId="22823826" w14:textId="30D0C8D1"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c>
          <w:tcPr>
            <w:tcW w:w="1209" w:type="dxa"/>
            <w:noWrap/>
            <w:hideMark/>
          </w:tcPr>
          <w:p w14:paraId="78B0BC9A" w14:textId="37A2DE15"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c>
          <w:tcPr>
            <w:tcW w:w="1210" w:type="dxa"/>
            <w:noWrap/>
            <w:hideMark/>
          </w:tcPr>
          <w:p w14:paraId="2F4065FE" w14:textId="5F6374B2"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r>
      <w:tr w:rsidR="000505F0" w:rsidRPr="00B06893" w14:paraId="0465A60D" w14:textId="77777777" w:rsidTr="00FD4113">
        <w:trPr>
          <w:cantSplit/>
        </w:trPr>
        <w:tc>
          <w:tcPr>
            <w:tcW w:w="9017" w:type="dxa"/>
            <w:gridSpan w:val="7"/>
            <w:hideMark/>
          </w:tcPr>
          <w:p w14:paraId="0A2D3C0E" w14:textId="26845240" w:rsidR="000505F0" w:rsidRPr="00B06893" w:rsidRDefault="004937D2"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 xml:space="preserve">Doses </w:t>
            </w:r>
            <w:r w:rsidR="00193971">
              <w:rPr>
                <w:rFonts w:ascii="Arial Narrow" w:hAnsi="Arial Narrow" w:cs="Calibri"/>
                <w:b/>
                <w:bCs/>
                <w:color w:val="000000"/>
                <w:sz w:val="20"/>
                <w:szCs w:val="18"/>
              </w:rPr>
              <w:noBreakHyphen/>
            </w:r>
            <w:r w:rsidR="000505F0" w:rsidRPr="00B06893">
              <w:rPr>
                <w:rFonts w:ascii="Arial Narrow" w:hAnsi="Arial Narrow" w:cs="Calibri"/>
                <w:b/>
                <w:bCs/>
                <w:color w:val="000000"/>
                <w:sz w:val="20"/>
                <w:szCs w:val="18"/>
              </w:rPr>
              <w:t xml:space="preserve"> proposed </w:t>
            </w:r>
            <w:r w:rsidRPr="00B06893">
              <w:rPr>
                <w:rFonts w:ascii="Arial Narrow" w:hAnsi="Arial Narrow" w:cs="Calibri"/>
                <w:b/>
                <w:bCs/>
                <w:color w:val="000000"/>
                <w:sz w:val="20"/>
                <w:szCs w:val="18"/>
              </w:rPr>
              <w:t>vaccine</w:t>
            </w:r>
          </w:p>
        </w:tc>
      </w:tr>
      <w:tr w:rsidR="000505F0" w:rsidRPr="00B06893" w14:paraId="060ACA9A" w14:textId="77777777" w:rsidTr="00FD4113">
        <w:trPr>
          <w:cantSplit/>
        </w:trPr>
        <w:tc>
          <w:tcPr>
            <w:tcW w:w="1760" w:type="dxa"/>
            <w:noWrap/>
            <w:hideMark/>
          </w:tcPr>
          <w:p w14:paraId="4AA006B5"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 </w:t>
            </w:r>
          </w:p>
        </w:tc>
        <w:tc>
          <w:tcPr>
            <w:tcW w:w="1209" w:type="dxa"/>
            <w:hideMark/>
          </w:tcPr>
          <w:p w14:paraId="782E1A41" w14:textId="77777777" w:rsidR="000505F0" w:rsidRPr="00B06893" w:rsidRDefault="000505F0" w:rsidP="00182C84">
            <w:pPr>
              <w:keepNext/>
              <w:jc w:val="center"/>
              <w:rPr>
                <w:rFonts w:ascii="Arial Narrow" w:hAnsi="Arial Narrow" w:cs="Calibri"/>
                <w:b/>
                <w:bCs/>
                <w:color w:val="000000"/>
                <w:sz w:val="20"/>
                <w:szCs w:val="18"/>
              </w:rPr>
            </w:pPr>
            <w:r w:rsidRPr="00B06893">
              <w:rPr>
                <w:rFonts w:ascii="Arial Narrow" w:hAnsi="Arial Narrow" w:cs="Calibri"/>
                <w:b/>
                <w:bCs/>
                <w:color w:val="000000"/>
                <w:sz w:val="20"/>
                <w:szCs w:val="18"/>
              </w:rPr>
              <w:t>Year 1</w:t>
            </w:r>
          </w:p>
        </w:tc>
        <w:tc>
          <w:tcPr>
            <w:tcW w:w="1210" w:type="dxa"/>
            <w:hideMark/>
          </w:tcPr>
          <w:p w14:paraId="1BB21AEA" w14:textId="77777777" w:rsidR="000505F0" w:rsidRPr="00B06893" w:rsidRDefault="000505F0" w:rsidP="00182C84">
            <w:pPr>
              <w:keepNext/>
              <w:jc w:val="center"/>
              <w:rPr>
                <w:rFonts w:ascii="Arial Narrow" w:hAnsi="Arial Narrow" w:cs="Calibri"/>
                <w:b/>
                <w:bCs/>
                <w:color w:val="000000"/>
                <w:sz w:val="20"/>
                <w:szCs w:val="18"/>
              </w:rPr>
            </w:pPr>
            <w:r w:rsidRPr="00B06893">
              <w:rPr>
                <w:rFonts w:ascii="Arial Narrow" w:hAnsi="Arial Narrow" w:cs="Calibri"/>
                <w:b/>
                <w:bCs/>
                <w:color w:val="000000"/>
                <w:sz w:val="20"/>
                <w:szCs w:val="18"/>
              </w:rPr>
              <w:t>Year 2</w:t>
            </w:r>
          </w:p>
        </w:tc>
        <w:tc>
          <w:tcPr>
            <w:tcW w:w="1209" w:type="dxa"/>
            <w:hideMark/>
          </w:tcPr>
          <w:p w14:paraId="1ABF3AAF" w14:textId="77777777" w:rsidR="000505F0" w:rsidRPr="00B06893" w:rsidRDefault="000505F0" w:rsidP="00182C84">
            <w:pPr>
              <w:keepNext/>
              <w:jc w:val="center"/>
              <w:rPr>
                <w:rFonts w:ascii="Arial Narrow" w:hAnsi="Arial Narrow" w:cs="Calibri"/>
                <w:b/>
                <w:bCs/>
                <w:color w:val="000000"/>
                <w:sz w:val="20"/>
                <w:szCs w:val="18"/>
              </w:rPr>
            </w:pPr>
            <w:r w:rsidRPr="00B06893">
              <w:rPr>
                <w:rFonts w:ascii="Arial Narrow" w:hAnsi="Arial Narrow" w:cs="Calibri"/>
                <w:b/>
                <w:bCs/>
                <w:color w:val="000000"/>
                <w:sz w:val="20"/>
                <w:szCs w:val="18"/>
              </w:rPr>
              <w:t>Year 3</w:t>
            </w:r>
          </w:p>
        </w:tc>
        <w:tc>
          <w:tcPr>
            <w:tcW w:w="1210" w:type="dxa"/>
            <w:hideMark/>
          </w:tcPr>
          <w:p w14:paraId="353AFD7A" w14:textId="77777777" w:rsidR="000505F0" w:rsidRPr="00B06893" w:rsidRDefault="000505F0" w:rsidP="00182C84">
            <w:pPr>
              <w:keepNext/>
              <w:jc w:val="center"/>
              <w:rPr>
                <w:rFonts w:ascii="Arial Narrow" w:hAnsi="Arial Narrow" w:cs="Calibri"/>
                <w:b/>
                <w:bCs/>
                <w:color w:val="000000"/>
                <w:sz w:val="20"/>
                <w:szCs w:val="18"/>
              </w:rPr>
            </w:pPr>
            <w:r w:rsidRPr="00B06893">
              <w:rPr>
                <w:rFonts w:ascii="Arial Narrow" w:hAnsi="Arial Narrow" w:cs="Calibri"/>
                <w:b/>
                <w:bCs/>
                <w:color w:val="000000"/>
                <w:sz w:val="20"/>
                <w:szCs w:val="18"/>
              </w:rPr>
              <w:t>Year 4</w:t>
            </w:r>
          </w:p>
        </w:tc>
        <w:tc>
          <w:tcPr>
            <w:tcW w:w="1209" w:type="dxa"/>
            <w:hideMark/>
          </w:tcPr>
          <w:p w14:paraId="331B0A1D" w14:textId="77777777" w:rsidR="000505F0" w:rsidRPr="00B06893" w:rsidRDefault="000505F0" w:rsidP="00182C84">
            <w:pPr>
              <w:keepNext/>
              <w:jc w:val="center"/>
              <w:rPr>
                <w:rFonts w:ascii="Arial Narrow" w:hAnsi="Arial Narrow" w:cs="Calibri"/>
                <w:b/>
                <w:bCs/>
                <w:color w:val="000000"/>
                <w:sz w:val="20"/>
                <w:szCs w:val="18"/>
              </w:rPr>
            </w:pPr>
            <w:r w:rsidRPr="00B06893">
              <w:rPr>
                <w:rFonts w:ascii="Arial Narrow" w:hAnsi="Arial Narrow" w:cs="Calibri"/>
                <w:b/>
                <w:bCs/>
                <w:color w:val="000000"/>
                <w:sz w:val="20"/>
                <w:szCs w:val="18"/>
              </w:rPr>
              <w:t>Year 5</w:t>
            </w:r>
          </w:p>
        </w:tc>
        <w:tc>
          <w:tcPr>
            <w:tcW w:w="1210" w:type="dxa"/>
            <w:hideMark/>
          </w:tcPr>
          <w:p w14:paraId="2F5FB761" w14:textId="77777777" w:rsidR="000505F0" w:rsidRPr="00B06893" w:rsidRDefault="000505F0" w:rsidP="00182C84">
            <w:pPr>
              <w:keepNext/>
              <w:jc w:val="center"/>
              <w:rPr>
                <w:rFonts w:ascii="Arial Narrow" w:hAnsi="Arial Narrow" w:cs="Calibri"/>
                <w:b/>
                <w:bCs/>
                <w:color w:val="000000"/>
                <w:sz w:val="20"/>
                <w:szCs w:val="18"/>
              </w:rPr>
            </w:pPr>
            <w:r w:rsidRPr="00B06893">
              <w:rPr>
                <w:rFonts w:ascii="Arial Narrow" w:hAnsi="Arial Narrow" w:cs="Calibri"/>
                <w:b/>
                <w:bCs/>
                <w:color w:val="000000"/>
                <w:sz w:val="20"/>
                <w:szCs w:val="18"/>
              </w:rPr>
              <w:t>Year 6</w:t>
            </w:r>
          </w:p>
        </w:tc>
      </w:tr>
      <w:tr w:rsidR="000505F0" w:rsidRPr="00B06893" w14:paraId="48DECB70" w14:textId="77777777" w:rsidTr="00FD4113">
        <w:trPr>
          <w:cantSplit/>
        </w:trPr>
        <w:tc>
          <w:tcPr>
            <w:tcW w:w="1760" w:type="dxa"/>
            <w:hideMark/>
          </w:tcPr>
          <w:p w14:paraId="670B188F"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Spikevax – Incident 1</w:t>
            </w:r>
          </w:p>
        </w:tc>
        <w:tc>
          <w:tcPr>
            <w:tcW w:w="1209" w:type="dxa"/>
            <w:noWrap/>
            <w:hideMark/>
          </w:tcPr>
          <w:p w14:paraId="2FBA2301" w14:textId="345365F3"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AB70BB" w:rsidRPr="00965225">
              <w:rPr>
                <w:rFonts w:ascii="Arial Narrow" w:hAnsi="Arial Narrow" w:cs="Calibri"/>
                <w:color w:val="000000"/>
                <w:sz w:val="20"/>
                <w:szCs w:val="18"/>
                <w:vertAlign w:val="superscript"/>
              </w:rPr>
              <w:t>9</w:t>
            </w:r>
          </w:p>
        </w:tc>
        <w:tc>
          <w:tcPr>
            <w:tcW w:w="1210" w:type="dxa"/>
            <w:noWrap/>
            <w:hideMark/>
          </w:tcPr>
          <w:p w14:paraId="12DDBD46" w14:textId="4D2E9C2D"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220C90" w:rsidRPr="00965225">
              <w:rPr>
                <w:rFonts w:ascii="Arial Narrow" w:hAnsi="Arial Narrow" w:cs="Calibri"/>
                <w:color w:val="000000"/>
                <w:sz w:val="20"/>
                <w:szCs w:val="18"/>
                <w:vertAlign w:val="superscript"/>
              </w:rPr>
              <w:t>10</w:t>
            </w:r>
          </w:p>
        </w:tc>
        <w:tc>
          <w:tcPr>
            <w:tcW w:w="1209" w:type="dxa"/>
            <w:noWrap/>
            <w:hideMark/>
          </w:tcPr>
          <w:p w14:paraId="5FB2ED16" w14:textId="3F5BC48F"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220C90" w:rsidRPr="00965225">
              <w:rPr>
                <w:rFonts w:ascii="Arial Narrow" w:hAnsi="Arial Narrow" w:cs="Calibri"/>
                <w:color w:val="000000"/>
                <w:sz w:val="20"/>
                <w:szCs w:val="18"/>
                <w:vertAlign w:val="superscript"/>
              </w:rPr>
              <w:t>10</w:t>
            </w:r>
          </w:p>
        </w:tc>
        <w:tc>
          <w:tcPr>
            <w:tcW w:w="1210" w:type="dxa"/>
            <w:noWrap/>
            <w:hideMark/>
          </w:tcPr>
          <w:p w14:paraId="6E3E49D8" w14:textId="48D57B73"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220C90" w:rsidRPr="00965225">
              <w:rPr>
                <w:rFonts w:ascii="Arial Narrow" w:hAnsi="Arial Narrow" w:cs="Calibri"/>
                <w:color w:val="000000"/>
                <w:sz w:val="20"/>
                <w:szCs w:val="18"/>
                <w:vertAlign w:val="superscript"/>
              </w:rPr>
              <w:t>10</w:t>
            </w:r>
          </w:p>
        </w:tc>
        <w:tc>
          <w:tcPr>
            <w:tcW w:w="1209" w:type="dxa"/>
            <w:noWrap/>
            <w:hideMark/>
          </w:tcPr>
          <w:p w14:paraId="66A3D00A" w14:textId="7DA5272B"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220C90" w:rsidRPr="00965225">
              <w:rPr>
                <w:rFonts w:ascii="Arial Narrow" w:hAnsi="Arial Narrow" w:cs="Calibri"/>
                <w:color w:val="000000"/>
                <w:sz w:val="20"/>
                <w:szCs w:val="18"/>
                <w:vertAlign w:val="superscript"/>
              </w:rPr>
              <w:t>10</w:t>
            </w:r>
          </w:p>
        </w:tc>
        <w:tc>
          <w:tcPr>
            <w:tcW w:w="1210" w:type="dxa"/>
            <w:noWrap/>
            <w:hideMark/>
          </w:tcPr>
          <w:p w14:paraId="3570F11E" w14:textId="0214556B"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220C90" w:rsidRPr="00965225">
              <w:rPr>
                <w:rFonts w:ascii="Arial Narrow" w:hAnsi="Arial Narrow" w:cs="Calibri"/>
                <w:color w:val="000000"/>
                <w:sz w:val="20"/>
                <w:szCs w:val="18"/>
                <w:vertAlign w:val="superscript"/>
              </w:rPr>
              <w:t>10</w:t>
            </w:r>
          </w:p>
        </w:tc>
      </w:tr>
      <w:tr w:rsidR="000505F0" w:rsidRPr="00B06893" w14:paraId="22EAD380" w14:textId="77777777" w:rsidTr="00FD4113">
        <w:trPr>
          <w:cantSplit/>
        </w:trPr>
        <w:tc>
          <w:tcPr>
            <w:tcW w:w="1760" w:type="dxa"/>
            <w:hideMark/>
          </w:tcPr>
          <w:p w14:paraId="262F62BA"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Spikevax – Incident 2</w:t>
            </w:r>
          </w:p>
        </w:tc>
        <w:tc>
          <w:tcPr>
            <w:tcW w:w="1209" w:type="dxa"/>
            <w:noWrap/>
            <w:hideMark/>
          </w:tcPr>
          <w:p w14:paraId="02EB47A6" w14:textId="4A497890"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10" w:type="dxa"/>
            <w:noWrap/>
            <w:hideMark/>
          </w:tcPr>
          <w:p w14:paraId="17286920" w14:textId="2DD384F6"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09" w:type="dxa"/>
            <w:noWrap/>
            <w:hideMark/>
          </w:tcPr>
          <w:p w14:paraId="04559E7D" w14:textId="78D58FF6"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10" w:type="dxa"/>
            <w:noWrap/>
            <w:hideMark/>
          </w:tcPr>
          <w:p w14:paraId="63ADCBD1" w14:textId="1FA17387" w:rsidR="000505F0" w:rsidRPr="003A3788" w:rsidRDefault="00FF3F29" w:rsidP="00182C84">
            <w:pPr>
              <w:keepNext/>
              <w:jc w:val="right"/>
              <w:rPr>
                <w:rFonts w:ascii="Arial Narrow" w:hAnsi="Arial Narrow" w:cs="Calibri"/>
                <w:color w:val="000000"/>
                <w:sz w:val="20"/>
                <w:szCs w:val="18"/>
                <w:highlight w:val="lightGray"/>
                <w:vertAlign w:val="superscript"/>
              </w:rPr>
            </w:pPr>
            <w:r w:rsidRPr="00FF3F29">
              <w:rPr>
                <w:rFonts w:ascii="Arial Narrow" w:hAnsi="Arial Narrow" w:cs="Calibri"/>
                <w:color w:val="000000"/>
                <w:sz w:val="2"/>
                <w:szCs w:val="18"/>
                <w:highlight w:val="black"/>
              </w:rPr>
              <w:t>redacted content</w:t>
            </w:r>
            <w:r w:rsidR="003A3788" w:rsidRPr="003A3788">
              <w:rPr>
                <w:rFonts w:ascii="Arial Narrow" w:hAnsi="Arial Narrow" w:cs="Calibri"/>
                <w:color w:val="000000"/>
                <w:sz w:val="20"/>
                <w:szCs w:val="18"/>
                <w:vertAlign w:val="superscript"/>
              </w:rPr>
              <w:t>5</w:t>
            </w:r>
          </w:p>
        </w:tc>
        <w:tc>
          <w:tcPr>
            <w:tcW w:w="1209" w:type="dxa"/>
            <w:noWrap/>
            <w:hideMark/>
          </w:tcPr>
          <w:p w14:paraId="1D7109CA" w14:textId="30ECC045"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5</w:t>
            </w:r>
          </w:p>
        </w:tc>
        <w:tc>
          <w:tcPr>
            <w:tcW w:w="1210" w:type="dxa"/>
            <w:noWrap/>
            <w:hideMark/>
          </w:tcPr>
          <w:p w14:paraId="14913D56" w14:textId="5647F27F"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5</w:t>
            </w:r>
          </w:p>
        </w:tc>
      </w:tr>
      <w:tr w:rsidR="000505F0" w:rsidRPr="00B06893" w14:paraId="75C84C03" w14:textId="77777777" w:rsidTr="00FD4113">
        <w:trPr>
          <w:cantSplit/>
        </w:trPr>
        <w:tc>
          <w:tcPr>
            <w:tcW w:w="1760" w:type="dxa"/>
            <w:hideMark/>
          </w:tcPr>
          <w:p w14:paraId="25C0A560"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Spikevax – Incident 3</w:t>
            </w:r>
          </w:p>
        </w:tc>
        <w:tc>
          <w:tcPr>
            <w:tcW w:w="1209" w:type="dxa"/>
            <w:noWrap/>
            <w:hideMark/>
          </w:tcPr>
          <w:p w14:paraId="6A951F7A" w14:textId="1DACCC77"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10" w:type="dxa"/>
            <w:noWrap/>
            <w:hideMark/>
          </w:tcPr>
          <w:p w14:paraId="75E56FB9" w14:textId="13CE01DD"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09" w:type="dxa"/>
            <w:noWrap/>
            <w:hideMark/>
          </w:tcPr>
          <w:p w14:paraId="7DFBF554" w14:textId="2CE302E6"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10" w:type="dxa"/>
            <w:noWrap/>
            <w:hideMark/>
          </w:tcPr>
          <w:p w14:paraId="45FF91B9" w14:textId="52853BD7"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09" w:type="dxa"/>
            <w:noWrap/>
            <w:hideMark/>
          </w:tcPr>
          <w:p w14:paraId="788649EF" w14:textId="5AC44D1B"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c>
          <w:tcPr>
            <w:tcW w:w="1210" w:type="dxa"/>
            <w:noWrap/>
            <w:hideMark/>
          </w:tcPr>
          <w:p w14:paraId="52CF4CF6" w14:textId="1859DFCC"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3D518F" w:rsidRPr="00965225">
              <w:rPr>
                <w:rFonts w:ascii="Arial Narrow" w:hAnsi="Arial Narrow" w:cs="Calibri"/>
                <w:color w:val="000000"/>
                <w:sz w:val="20"/>
                <w:szCs w:val="18"/>
                <w:vertAlign w:val="superscript"/>
              </w:rPr>
              <w:t>4</w:t>
            </w:r>
          </w:p>
        </w:tc>
      </w:tr>
      <w:tr w:rsidR="000505F0" w:rsidRPr="00B06893" w14:paraId="438A236A" w14:textId="77777777" w:rsidTr="00FD4113">
        <w:trPr>
          <w:cantSplit/>
        </w:trPr>
        <w:tc>
          <w:tcPr>
            <w:tcW w:w="1760" w:type="dxa"/>
            <w:hideMark/>
          </w:tcPr>
          <w:p w14:paraId="2018F658"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Spikevax – Incident 4</w:t>
            </w:r>
          </w:p>
        </w:tc>
        <w:tc>
          <w:tcPr>
            <w:tcW w:w="1209" w:type="dxa"/>
            <w:noWrap/>
            <w:hideMark/>
          </w:tcPr>
          <w:p w14:paraId="78AF4D21" w14:textId="3EB9DAC3"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6</w:t>
            </w:r>
          </w:p>
        </w:tc>
        <w:tc>
          <w:tcPr>
            <w:tcW w:w="1210" w:type="dxa"/>
            <w:noWrap/>
            <w:hideMark/>
          </w:tcPr>
          <w:p w14:paraId="782EEFE8" w14:textId="50E8DC30"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09" w:type="dxa"/>
            <w:noWrap/>
            <w:hideMark/>
          </w:tcPr>
          <w:p w14:paraId="3BB6A07A" w14:textId="0213DB85"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10" w:type="dxa"/>
            <w:noWrap/>
            <w:hideMark/>
          </w:tcPr>
          <w:p w14:paraId="68373246" w14:textId="7AD048D6"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09" w:type="dxa"/>
            <w:noWrap/>
            <w:hideMark/>
          </w:tcPr>
          <w:p w14:paraId="28908BFC" w14:textId="121AD4E1"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781DDE" w:rsidRPr="00965225">
              <w:rPr>
                <w:rFonts w:ascii="Arial Narrow" w:hAnsi="Arial Narrow" w:cs="Calibri"/>
                <w:color w:val="000000"/>
                <w:sz w:val="20"/>
                <w:szCs w:val="18"/>
                <w:vertAlign w:val="superscript"/>
              </w:rPr>
              <w:t>7</w:t>
            </w:r>
          </w:p>
        </w:tc>
        <w:tc>
          <w:tcPr>
            <w:tcW w:w="1210" w:type="dxa"/>
            <w:noWrap/>
            <w:hideMark/>
          </w:tcPr>
          <w:p w14:paraId="4C57133F" w14:textId="1111FB06"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BC0433" w:rsidRPr="00965225">
              <w:rPr>
                <w:rFonts w:ascii="Arial Narrow" w:hAnsi="Arial Narrow" w:cs="Calibri"/>
                <w:color w:val="000000"/>
                <w:sz w:val="20"/>
                <w:szCs w:val="18"/>
                <w:vertAlign w:val="superscript"/>
              </w:rPr>
              <w:t>8</w:t>
            </w:r>
          </w:p>
        </w:tc>
      </w:tr>
      <w:tr w:rsidR="000505F0" w:rsidRPr="00B06893" w14:paraId="1289F0E9" w14:textId="77777777" w:rsidTr="00FD4113">
        <w:trPr>
          <w:cantSplit/>
        </w:trPr>
        <w:tc>
          <w:tcPr>
            <w:tcW w:w="1760" w:type="dxa"/>
            <w:hideMark/>
          </w:tcPr>
          <w:p w14:paraId="257D76F2"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Spikevax – Incident 5</w:t>
            </w:r>
          </w:p>
        </w:tc>
        <w:tc>
          <w:tcPr>
            <w:tcW w:w="1209" w:type="dxa"/>
            <w:noWrap/>
            <w:hideMark/>
          </w:tcPr>
          <w:p w14:paraId="5948E8CC" w14:textId="69F6DBA3"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1</w:t>
            </w:r>
          </w:p>
        </w:tc>
        <w:tc>
          <w:tcPr>
            <w:tcW w:w="1210" w:type="dxa"/>
            <w:noWrap/>
            <w:hideMark/>
          </w:tcPr>
          <w:p w14:paraId="5D17AD81" w14:textId="58E69A46" w:rsidR="000505F0" w:rsidRPr="00965225" w:rsidRDefault="00FF3F29" w:rsidP="00182C84">
            <w:pPr>
              <w:keepNext/>
              <w:jc w:val="right"/>
              <w:rPr>
                <w:rFonts w:ascii="Arial Narrow" w:hAnsi="Arial Narrow" w:cs="Calibri"/>
                <w:color w:val="000000"/>
                <w:sz w:val="20"/>
                <w:szCs w:val="18"/>
                <w:vertAlign w:val="superscript"/>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1</w:t>
            </w:r>
          </w:p>
        </w:tc>
        <w:tc>
          <w:tcPr>
            <w:tcW w:w="1209" w:type="dxa"/>
            <w:noWrap/>
            <w:hideMark/>
          </w:tcPr>
          <w:p w14:paraId="70680E12" w14:textId="5BFD7095"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c>
          <w:tcPr>
            <w:tcW w:w="1210" w:type="dxa"/>
            <w:noWrap/>
            <w:hideMark/>
          </w:tcPr>
          <w:p w14:paraId="62F0AB11" w14:textId="1759AD7D"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c>
          <w:tcPr>
            <w:tcW w:w="1209" w:type="dxa"/>
            <w:noWrap/>
            <w:hideMark/>
          </w:tcPr>
          <w:p w14:paraId="45DFA5FC" w14:textId="40CFB5F1"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c>
          <w:tcPr>
            <w:tcW w:w="1210" w:type="dxa"/>
            <w:noWrap/>
            <w:hideMark/>
          </w:tcPr>
          <w:p w14:paraId="2FEF8339" w14:textId="07E69EC3"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B97EF9" w:rsidRPr="00965225">
              <w:rPr>
                <w:rFonts w:ascii="Arial Narrow" w:hAnsi="Arial Narrow" w:cs="Calibri"/>
                <w:color w:val="000000"/>
                <w:sz w:val="20"/>
                <w:szCs w:val="18"/>
                <w:vertAlign w:val="superscript"/>
              </w:rPr>
              <w:t>2</w:t>
            </w:r>
          </w:p>
        </w:tc>
      </w:tr>
      <w:tr w:rsidR="000505F0" w:rsidRPr="00B06893" w14:paraId="5899EC40" w14:textId="77777777" w:rsidTr="00FD4113">
        <w:trPr>
          <w:cantSplit/>
        </w:trPr>
        <w:tc>
          <w:tcPr>
            <w:tcW w:w="1760" w:type="dxa"/>
            <w:hideMark/>
          </w:tcPr>
          <w:p w14:paraId="50EBCDE5"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Total scripts</w:t>
            </w:r>
          </w:p>
        </w:tc>
        <w:tc>
          <w:tcPr>
            <w:tcW w:w="1209" w:type="dxa"/>
            <w:noWrap/>
            <w:hideMark/>
          </w:tcPr>
          <w:p w14:paraId="0146AD53" w14:textId="0AF140A7"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EF4AA3" w:rsidRPr="00965225">
              <w:rPr>
                <w:rFonts w:ascii="Arial Narrow" w:hAnsi="Arial Narrow" w:cs="Calibri"/>
                <w:color w:val="000000"/>
                <w:sz w:val="20"/>
                <w:szCs w:val="18"/>
                <w:vertAlign w:val="superscript"/>
              </w:rPr>
              <w:t>11</w:t>
            </w:r>
          </w:p>
        </w:tc>
        <w:tc>
          <w:tcPr>
            <w:tcW w:w="1210" w:type="dxa"/>
            <w:noWrap/>
            <w:hideMark/>
          </w:tcPr>
          <w:p w14:paraId="0F74088C" w14:textId="06A65CC1"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EF4AA3" w:rsidRPr="00965225">
              <w:rPr>
                <w:rFonts w:ascii="Arial Narrow" w:hAnsi="Arial Narrow" w:cs="Calibri"/>
                <w:color w:val="000000"/>
                <w:sz w:val="20"/>
                <w:szCs w:val="18"/>
                <w:vertAlign w:val="superscript"/>
              </w:rPr>
              <w:t>11</w:t>
            </w:r>
          </w:p>
        </w:tc>
        <w:tc>
          <w:tcPr>
            <w:tcW w:w="1209" w:type="dxa"/>
            <w:noWrap/>
            <w:hideMark/>
          </w:tcPr>
          <w:p w14:paraId="71788999" w14:textId="53DF831D"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EF4AA3" w:rsidRPr="00965225">
              <w:rPr>
                <w:rFonts w:ascii="Arial Narrow" w:hAnsi="Arial Narrow" w:cs="Calibri"/>
                <w:color w:val="000000"/>
                <w:sz w:val="20"/>
                <w:szCs w:val="18"/>
                <w:vertAlign w:val="superscript"/>
              </w:rPr>
              <w:t>11</w:t>
            </w:r>
          </w:p>
        </w:tc>
        <w:tc>
          <w:tcPr>
            <w:tcW w:w="1210" w:type="dxa"/>
            <w:noWrap/>
            <w:hideMark/>
          </w:tcPr>
          <w:p w14:paraId="38439467" w14:textId="1C6AD1FA"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EF4AA3" w:rsidRPr="00965225">
              <w:rPr>
                <w:rFonts w:ascii="Arial Narrow" w:hAnsi="Arial Narrow" w:cs="Calibri"/>
                <w:color w:val="000000"/>
                <w:sz w:val="20"/>
                <w:szCs w:val="18"/>
                <w:vertAlign w:val="superscript"/>
              </w:rPr>
              <w:t>11</w:t>
            </w:r>
          </w:p>
        </w:tc>
        <w:tc>
          <w:tcPr>
            <w:tcW w:w="1209" w:type="dxa"/>
            <w:noWrap/>
            <w:hideMark/>
          </w:tcPr>
          <w:p w14:paraId="13A0FF2C" w14:textId="0A650886"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EF4AA3" w:rsidRPr="00965225">
              <w:rPr>
                <w:rFonts w:ascii="Arial Narrow" w:hAnsi="Arial Narrow" w:cs="Calibri"/>
                <w:color w:val="000000"/>
                <w:sz w:val="20"/>
                <w:szCs w:val="18"/>
                <w:vertAlign w:val="superscript"/>
              </w:rPr>
              <w:t>11</w:t>
            </w:r>
          </w:p>
        </w:tc>
        <w:tc>
          <w:tcPr>
            <w:tcW w:w="1210" w:type="dxa"/>
            <w:noWrap/>
            <w:hideMark/>
          </w:tcPr>
          <w:p w14:paraId="226A06F7" w14:textId="0F05DC41" w:rsidR="000505F0" w:rsidRPr="00363296" w:rsidRDefault="00FF3F29" w:rsidP="00182C84">
            <w:pPr>
              <w:keepNext/>
              <w:jc w:val="right"/>
              <w:rPr>
                <w:rFonts w:ascii="Arial Narrow" w:hAnsi="Arial Narrow" w:cs="Calibri"/>
                <w:color w:val="000000"/>
                <w:sz w:val="20"/>
                <w:szCs w:val="18"/>
                <w:highlight w:val="lightGray"/>
              </w:rPr>
            </w:pPr>
            <w:r w:rsidRPr="00FF3F29">
              <w:rPr>
                <w:rFonts w:ascii="Arial Narrow" w:hAnsi="Arial Narrow" w:cs="Calibri"/>
                <w:color w:val="000000"/>
                <w:sz w:val="2"/>
                <w:szCs w:val="18"/>
                <w:highlight w:val="black"/>
              </w:rPr>
              <w:t>redacted content</w:t>
            </w:r>
            <w:r w:rsidR="00EF4AA3" w:rsidRPr="00965225">
              <w:rPr>
                <w:rFonts w:ascii="Arial Narrow" w:hAnsi="Arial Narrow" w:cs="Calibri"/>
                <w:color w:val="000000"/>
                <w:sz w:val="20"/>
                <w:szCs w:val="18"/>
                <w:vertAlign w:val="superscript"/>
              </w:rPr>
              <w:t>11</w:t>
            </w:r>
          </w:p>
        </w:tc>
      </w:tr>
      <w:tr w:rsidR="000505F0" w:rsidRPr="00B06893" w14:paraId="0E478636" w14:textId="77777777" w:rsidTr="00FD4113">
        <w:trPr>
          <w:cantSplit/>
        </w:trPr>
        <w:tc>
          <w:tcPr>
            <w:tcW w:w="9017" w:type="dxa"/>
            <w:gridSpan w:val="7"/>
            <w:hideMark/>
          </w:tcPr>
          <w:p w14:paraId="240927C5" w14:textId="4C747ECA"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 xml:space="preserve">Net financial impact of </w:t>
            </w:r>
            <w:r w:rsidR="00715C42" w:rsidRPr="00B06893">
              <w:rPr>
                <w:rFonts w:ascii="Arial Narrow" w:hAnsi="Arial Narrow" w:cs="Calibri"/>
                <w:b/>
                <w:bCs/>
                <w:color w:val="000000"/>
                <w:sz w:val="20"/>
                <w:szCs w:val="18"/>
              </w:rPr>
              <w:t>Spikevax</w:t>
            </w:r>
          </w:p>
        </w:tc>
      </w:tr>
      <w:tr w:rsidR="000505F0" w:rsidRPr="00B06893" w14:paraId="27A64B27" w14:textId="77777777" w:rsidTr="00FD4113">
        <w:trPr>
          <w:cantSplit/>
        </w:trPr>
        <w:tc>
          <w:tcPr>
            <w:tcW w:w="1760" w:type="dxa"/>
            <w:hideMark/>
          </w:tcPr>
          <w:p w14:paraId="68F490B1"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NIP</w:t>
            </w:r>
          </w:p>
        </w:tc>
        <w:tc>
          <w:tcPr>
            <w:tcW w:w="1209" w:type="dxa"/>
            <w:noWrap/>
            <w:hideMark/>
          </w:tcPr>
          <w:p w14:paraId="095FD6A8" w14:textId="0ABB04C1" w:rsidR="000505F0" w:rsidRPr="00965225" w:rsidRDefault="00965225" w:rsidP="00182C84">
            <w:pPr>
              <w:keepNext/>
              <w:jc w:val="right"/>
              <w:rPr>
                <w:rFonts w:ascii="Arial Narrow" w:hAnsi="Arial Narrow" w:cs="Calibri"/>
                <w:color w:val="000000"/>
                <w:sz w:val="19"/>
                <w:szCs w:val="19"/>
                <w:vertAlign w:val="superscript"/>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DF6994" w:rsidRPr="00965225">
              <w:rPr>
                <w:rFonts w:ascii="Arial Narrow" w:hAnsi="Arial Narrow" w:cs="Calibri"/>
                <w:color w:val="000000"/>
                <w:sz w:val="19"/>
                <w:szCs w:val="19"/>
                <w:vertAlign w:val="superscript"/>
              </w:rPr>
              <w:t>13</w:t>
            </w:r>
          </w:p>
        </w:tc>
        <w:tc>
          <w:tcPr>
            <w:tcW w:w="1210" w:type="dxa"/>
            <w:noWrap/>
            <w:hideMark/>
          </w:tcPr>
          <w:p w14:paraId="3CBAA447" w14:textId="2252D1C5"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DF6994" w:rsidRPr="00965225">
              <w:rPr>
                <w:rFonts w:ascii="Arial Narrow" w:hAnsi="Arial Narrow" w:cs="Calibri"/>
                <w:color w:val="000000"/>
                <w:sz w:val="19"/>
                <w:szCs w:val="19"/>
                <w:vertAlign w:val="superscript"/>
              </w:rPr>
              <w:t>13</w:t>
            </w:r>
          </w:p>
        </w:tc>
        <w:tc>
          <w:tcPr>
            <w:tcW w:w="1209" w:type="dxa"/>
            <w:noWrap/>
            <w:hideMark/>
          </w:tcPr>
          <w:p w14:paraId="5F3D08F0" w14:textId="474D61B7"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DF6994" w:rsidRPr="00965225">
              <w:rPr>
                <w:rFonts w:ascii="Arial Narrow" w:hAnsi="Arial Narrow" w:cs="Calibri"/>
                <w:color w:val="000000"/>
                <w:sz w:val="19"/>
                <w:szCs w:val="19"/>
                <w:vertAlign w:val="superscript"/>
              </w:rPr>
              <w:t>13</w:t>
            </w:r>
          </w:p>
        </w:tc>
        <w:tc>
          <w:tcPr>
            <w:tcW w:w="1210" w:type="dxa"/>
            <w:noWrap/>
            <w:hideMark/>
          </w:tcPr>
          <w:p w14:paraId="438CD486" w14:textId="6F34AA2E"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09" w:type="dxa"/>
            <w:noWrap/>
            <w:hideMark/>
          </w:tcPr>
          <w:p w14:paraId="0CC203C1" w14:textId="6DC9A8FE"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10" w:type="dxa"/>
            <w:noWrap/>
            <w:hideMark/>
          </w:tcPr>
          <w:p w14:paraId="0A16CC3F" w14:textId="7BD38460"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r>
      <w:tr w:rsidR="000505F0" w:rsidRPr="00B06893" w14:paraId="12E04F27" w14:textId="77777777" w:rsidTr="00FD4113">
        <w:trPr>
          <w:cantSplit/>
        </w:trPr>
        <w:tc>
          <w:tcPr>
            <w:tcW w:w="9017" w:type="dxa"/>
            <w:gridSpan w:val="7"/>
            <w:hideMark/>
          </w:tcPr>
          <w:p w14:paraId="319DEED6" w14:textId="77777777"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szCs w:val="18"/>
              </w:rPr>
              <w:t>Net financial impact</w:t>
            </w:r>
          </w:p>
        </w:tc>
      </w:tr>
      <w:tr w:rsidR="000505F0" w:rsidRPr="00B06893" w14:paraId="2E060904" w14:textId="77777777" w:rsidTr="00FD4113">
        <w:trPr>
          <w:cantSplit/>
        </w:trPr>
        <w:tc>
          <w:tcPr>
            <w:tcW w:w="1760" w:type="dxa"/>
            <w:hideMark/>
          </w:tcPr>
          <w:p w14:paraId="4249429D"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NIP impact</w:t>
            </w:r>
          </w:p>
        </w:tc>
        <w:tc>
          <w:tcPr>
            <w:tcW w:w="1209" w:type="dxa"/>
            <w:noWrap/>
            <w:hideMark/>
          </w:tcPr>
          <w:p w14:paraId="0F8D6AC3" w14:textId="5F5B8D1E"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DF6994" w:rsidRPr="00965225">
              <w:rPr>
                <w:rFonts w:ascii="Arial Narrow" w:hAnsi="Arial Narrow" w:cs="Calibri"/>
                <w:color w:val="000000"/>
                <w:sz w:val="19"/>
                <w:szCs w:val="19"/>
                <w:vertAlign w:val="superscript"/>
              </w:rPr>
              <w:t>13</w:t>
            </w:r>
          </w:p>
        </w:tc>
        <w:tc>
          <w:tcPr>
            <w:tcW w:w="1210" w:type="dxa"/>
            <w:noWrap/>
            <w:hideMark/>
          </w:tcPr>
          <w:p w14:paraId="3F4579A1" w14:textId="305DA4D8"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DF6994" w:rsidRPr="00965225">
              <w:rPr>
                <w:rFonts w:ascii="Arial Narrow" w:hAnsi="Arial Narrow" w:cs="Calibri"/>
                <w:color w:val="000000"/>
                <w:sz w:val="19"/>
                <w:szCs w:val="19"/>
                <w:vertAlign w:val="superscript"/>
              </w:rPr>
              <w:t>13</w:t>
            </w:r>
          </w:p>
        </w:tc>
        <w:tc>
          <w:tcPr>
            <w:tcW w:w="1209" w:type="dxa"/>
            <w:noWrap/>
            <w:hideMark/>
          </w:tcPr>
          <w:p w14:paraId="6757F791" w14:textId="28A3820C"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DF6994" w:rsidRPr="00965225">
              <w:rPr>
                <w:rFonts w:ascii="Arial Narrow" w:hAnsi="Arial Narrow" w:cs="Calibri"/>
                <w:color w:val="000000"/>
                <w:sz w:val="19"/>
                <w:szCs w:val="19"/>
                <w:vertAlign w:val="superscript"/>
              </w:rPr>
              <w:t>13</w:t>
            </w:r>
          </w:p>
        </w:tc>
        <w:tc>
          <w:tcPr>
            <w:tcW w:w="1210" w:type="dxa"/>
            <w:noWrap/>
            <w:hideMark/>
          </w:tcPr>
          <w:p w14:paraId="34C16CF6" w14:textId="33F694CB" w:rsidR="000505F0" w:rsidRPr="00965225" w:rsidRDefault="00965225" w:rsidP="00182C84">
            <w:pPr>
              <w:keepNext/>
              <w:jc w:val="right"/>
              <w:rPr>
                <w:rFonts w:ascii="Arial Narrow" w:hAnsi="Arial Narrow" w:cs="Calibri"/>
                <w:color w:val="000000"/>
                <w:sz w:val="19"/>
                <w:szCs w:val="19"/>
                <w:vertAlign w:val="superscript"/>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09" w:type="dxa"/>
            <w:noWrap/>
            <w:hideMark/>
          </w:tcPr>
          <w:p w14:paraId="7B7DF9CC" w14:textId="29DAD275"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10" w:type="dxa"/>
            <w:noWrap/>
            <w:hideMark/>
          </w:tcPr>
          <w:p w14:paraId="2AE4FE8C" w14:textId="0FE47981"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r>
      <w:tr w:rsidR="000505F0" w:rsidRPr="00B06893" w14:paraId="05FFBEB7" w14:textId="77777777" w:rsidTr="00FD4113">
        <w:trPr>
          <w:cantSplit/>
        </w:trPr>
        <w:tc>
          <w:tcPr>
            <w:tcW w:w="1760" w:type="dxa"/>
            <w:hideMark/>
          </w:tcPr>
          <w:p w14:paraId="3894B539" w14:textId="77777777" w:rsidR="000505F0" w:rsidRPr="00B06893" w:rsidRDefault="000505F0" w:rsidP="00182C84">
            <w:pPr>
              <w:keepNext/>
              <w:jc w:val="left"/>
              <w:rPr>
                <w:rFonts w:ascii="Arial Narrow" w:hAnsi="Arial Narrow" w:cs="Calibri"/>
                <w:color w:val="000000"/>
                <w:sz w:val="20"/>
                <w:szCs w:val="18"/>
              </w:rPr>
            </w:pPr>
            <w:r w:rsidRPr="00B06893">
              <w:rPr>
                <w:rFonts w:ascii="Arial Narrow" w:hAnsi="Arial Narrow" w:cs="Calibri"/>
                <w:color w:val="000000"/>
                <w:sz w:val="20"/>
                <w:szCs w:val="18"/>
              </w:rPr>
              <w:t>MBS impact</w:t>
            </w:r>
          </w:p>
        </w:tc>
        <w:tc>
          <w:tcPr>
            <w:tcW w:w="1209" w:type="dxa"/>
            <w:noWrap/>
            <w:hideMark/>
          </w:tcPr>
          <w:p w14:paraId="3BF90C39" w14:textId="28CF5FCF" w:rsidR="000505F0" w:rsidRPr="00965225" w:rsidRDefault="00965225" w:rsidP="00182C84">
            <w:pPr>
              <w:keepNext/>
              <w:jc w:val="right"/>
              <w:rPr>
                <w:rFonts w:ascii="Arial Narrow" w:hAnsi="Arial Narrow" w:cs="Calibri"/>
                <w:color w:val="000000"/>
                <w:sz w:val="19"/>
                <w:szCs w:val="19"/>
                <w:vertAlign w:val="superscript"/>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3448B1" w:rsidRPr="00965225">
              <w:rPr>
                <w:rFonts w:ascii="Arial Narrow" w:hAnsi="Arial Narrow" w:cs="Calibri"/>
                <w:color w:val="000000"/>
                <w:sz w:val="19"/>
                <w:szCs w:val="19"/>
                <w:vertAlign w:val="superscript"/>
              </w:rPr>
              <w:t>12</w:t>
            </w:r>
          </w:p>
        </w:tc>
        <w:tc>
          <w:tcPr>
            <w:tcW w:w="1210" w:type="dxa"/>
            <w:noWrap/>
            <w:hideMark/>
          </w:tcPr>
          <w:p w14:paraId="5C56A93E" w14:textId="004C7F7C"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3448B1" w:rsidRPr="00965225">
              <w:rPr>
                <w:rFonts w:ascii="Arial Narrow" w:hAnsi="Arial Narrow" w:cs="Calibri"/>
                <w:color w:val="000000"/>
                <w:sz w:val="19"/>
                <w:szCs w:val="19"/>
                <w:vertAlign w:val="superscript"/>
              </w:rPr>
              <w:t>12</w:t>
            </w:r>
          </w:p>
        </w:tc>
        <w:tc>
          <w:tcPr>
            <w:tcW w:w="1209" w:type="dxa"/>
            <w:noWrap/>
            <w:hideMark/>
          </w:tcPr>
          <w:p w14:paraId="03A794C1" w14:textId="0F8B162B"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3448B1" w:rsidRPr="00965225">
              <w:rPr>
                <w:rFonts w:ascii="Arial Narrow" w:hAnsi="Arial Narrow" w:cs="Calibri"/>
                <w:color w:val="000000"/>
                <w:sz w:val="19"/>
                <w:szCs w:val="19"/>
                <w:vertAlign w:val="superscript"/>
              </w:rPr>
              <w:t>12</w:t>
            </w:r>
          </w:p>
        </w:tc>
        <w:tc>
          <w:tcPr>
            <w:tcW w:w="1210" w:type="dxa"/>
            <w:noWrap/>
            <w:hideMark/>
          </w:tcPr>
          <w:p w14:paraId="4F0272CD" w14:textId="17D77A10"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3448B1" w:rsidRPr="00965225">
              <w:rPr>
                <w:rFonts w:ascii="Arial Narrow" w:hAnsi="Arial Narrow" w:cs="Calibri"/>
                <w:color w:val="000000"/>
                <w:sz w:val="19"/>
                <w:szCs w:val="19"/>
                <w:vertAlign w:val="superscript"/>
              </w:rPr>
              <w:t>12</w:t>
            </w:r>
          </w:p>
        </w:tc>
        <w:tc>
          <w:tcPr>
            <w:tcW w:w="1209" w:type="dxa"/>
            <w:noWrap/>
            <w:hideMark/>
          </w:tcPr>
          <w:p w14:paraId="2BFAEF47" w14:textId="01CCB913"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3448B1" w:rsidRPr="00965225">
              <w:rPr>
                <w:rFonts w:ascii="Arial Narrow" w:hAnsi="Arial Narrow" w:cs="Calibri"/>
                <w:color w:val="000000"/>
                <w:sz w:val="19"/>
                <w:szCs w:val="19"/>
                <w:vertAlign w:val="superscript"/>
              </w:rPr>
              <w:t>12</w:t>
            </w:r>
          </w:p>
        </w:tc>
        <w:tc>
          <w:tcPr>
            <w:tcW w:w="1210" w:type="dxa"/>
            <w:noWrap/>
            <w:hideMark/>
          </w:tcPr>
          <w:p w14:paraId="54BA313C" w14:textId="539C3AC2" w:rsidR="000505F0" w:rsidRPr="00363296" w:rsidRDefault="00965225" w:rsidP="00182C84">
            <w:pPr>
              <w:keepNext/>
              <w:jc w:val="right"/>
              <w:rPr>
                <w:rFonts w:ascii="Arial Narrow" w:hAnsi="Arial Narrow" w:cs="Calibri"/>
                <w:color w:val="000000"/>
                <w:sz w:val="19"/>
                <w:szCs w:val="19"/>
                <w:highlight w:val="lightGray"/>
              </w:rPr>
            </w:pPr>
            <w:r w:rsidRPr="00965225">
              <w:rPr>
                <w:rFonts w:ascii="Arial Narrow" w:hAnsi="Arial Narrow" w:cs="Calibri"/>
                <w:color w:val="000000"/>
                <w:sz w:val="19"/>
                <w:szCs w:val="19"/>
              </w:rPr>
              <w:t>$</w:t>
            </w:r>
            <w:r w:rsidR="00FF3F29" w:rsidRPr="00FF3F29">
              <w:rPr>
                <w:rFonts w:ascii="Arial Narrow" w:hAnsi="Arial Narrow" w:cs="Calibri"/>
                <w:color w:val="000000"/>
                <w:sz w:val="2"/>
                <w:szCs w:val="19"/>
                <w:highlight w:val="black"/>
              </w:rPr>
              <w:t>redacted content</w:t>
            </w:r>
            <w:r w:rsidR="003448B1" w:rsidRPr="00965225">
              <w:rPr>
                <w:rFonts w:ascii="Arial Narrow" w:hAnsi="Arial Narrow" w:cs="Calibri"/>
                <w:color w:val="000000"/>
                <w:sz w:val="19"/>
                <w:szCs w:val="19"/>
                <w:vertAlign w:val="superscript"/>
              </w:rPr>
              <w:t>12</w:t>
            </w:r>
          </w:p>
        </w:tc>
      </w:tr>
      <w:tr w:rsidR="000505F0" w:rsidRPr="00B06893" w14:paraId="01FA88CA" w14:textId="77777777" w:rsidTr="00FD4113">
        <w:trPr>
          <w:cantSplit/>
        </w:trPr>
        <w:tc>
          <w:tcPr>
            <w:tcW w:w="1760" w:type="dxa"/>
          </w:tcPr>
          <w:p w14:paraId="3F4425E2" w14:textId="77777777" w:rsidR="000505F0" w:rsidRPr="00B06893" w:rsidRDefault="000505F0" w:rsidP="00182C84">
            <w:pPr>
              <w:keepNext/>
              <w:jc w:val="left"/>
              <w:rPr>
                <w:rFonts w:ascii="Arial Narrow" w:hAnsi="Arial Narrow" w:cs="Calibri"/>
                <w:b/>
                <w:bCs/>
                <w:color w:val="000000"/>
                <w:sz w:val="20"/>
                <w:szCs w:val="18"/>
              </w:rPr>
            </w:pPr>
            <w:r w:rsidRPr="00B06893">
              <w:rPr>
                <w:rFonts w:ascii="Arial Narrow" w:hAnsi="Arial Narrow" w:cs="Calibri"/>
                <w:b/>
                <w:bCs/>
                <w:color w:val="000000"/>
                <w:sz w:val="20"/>
              </w:rPr>
              <w:t>NIP/MBS impact</w:t>
            </w:r>
          </w:p>
        </w:tc>
        <w:tc>
          <w:tcPr>
            <w:tcW w:w="1209" w:type="dxa"/>
            <w:noWrap/>
          </w:tcPr>
          <w:p w14:paraId="346E19CE" w14:textId="748F5E54" w:rsidR="000505F0" w:rsidRPr="00363296" w:rsidRDefault="00965225" w:rsidP="00182C84">
            <w:pPr>
              <w:keepNext/>
              <w:jc w:val="right"/>
              <w:rPr>
                <w:rFonts w:ascii="Arial Narrow" w:hAnsi="Arial Narrow" w:cs="Calibri"/>
                <w:b/>
                <w:bCs/>
                <w:color w:val="000000"/>
                <w:sz w:val="19"/>
                <w:szCs w:val="19"/>
                <w:highlight w:val="lightGray"/>
              </w:rPr>
            </w:pPr>
            <w:r w:rsidRPr="00965225">
              <w:rPr>
                <w:rFonts w:ascii="Arial Narrow" w:hAnsi="Arial Narrow" w:cs="Calibri"/>
                <w:b/>
                <w:bCs/>
                <w:color w:val="000000"/>
                <w:sz w:val="19"/>
                <w:szCs w:val="19"/>
              </w:rPr>
              <w:t>$</w:t>
            </w:r>
            <w:r w:rsidR="00FF3F29" w:rsidRPr="00FF3F29">
              <w:rPr>
                <w:rFonts w:ascii="Arial Narrow" w:hAnsi="Arial Narrow" w:cs="Calibri"/>
                <w:b/>
                <w:bCs/>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10" w:type="dxa"/>
            <w:noWrap/>
          </w:tcPr>
          <w:p w14:paraId="7EE0D158" w14:textId="3CCEA61D" w:rsidR="000505F0" w:rsidRPr="00363296" w:rsidRDefault="00965225" w:rsidP="00182C84">
            <w:pPr>
              <w:keepNext/>
              <w:jc w:val="right"/>
              <w:rPr>
                <w:rFonts w:ascii="Arial Narrow" w:hAnsi="Arial Narrow" w:cs="Calibri"/>
                <w:b/>
                <w:bCs/>
                <w:color w:val="000000"/>
                <w:sz w:val="19"/>
                <w:szCs w:val="19"/>
                <w:highlight w:val="lightGray"/>
              </w:rPr>
            </w:pPr>
            <w:r w:rsidRPr="00965225">
              <w:rPr>
                <w:rFonts w:ascii="Arial Narrow" w:hAnsi="Arial Narrow" w:cs="Calibri"/>
                <w:b/>
                <w:bCs/>
                <w:color w:val="000000"/>
                <w:sz w:val="19"/>
                <w:szCs w:val="19"/>
              </w:rPr>
              <w:t>$</w:t>
            </w:r>
            <w:r w:rsidR="00FF3F29" w:rsidRPr="00FF3F29">
              <w:rPr>
                <w:rFonts w:ascii="Arial Narrow" w:hAnsi="Arial Narrow" w:cs="Calibri"/>
                <w:b/>
                <w:bCs/>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09" w:type="dxa"/>
            <w:noWrap/>
          </w:tcPr>
          <w:p w14:paraId="11CC1130" w14:textId="262A5955" w:rsidR="000505F0" w:rsidRPr="00363296" w:rsidRDefault="00965225" w:rsidP="00182C84">
            <w:pPr>
              <w:keepNext/>
              <w:jc w:val="right"/>
              <w:rPr>
                <w:rFonts w:ascii="Arial Narrow" w:hAnsi="Arial Narrow" w:cs="Calibri"/>
                <w:b/>
                <w:bCs/>
                <w:color w:val="000000"/>
                <w:sz w:val="19"/>
                <w:szCs w:val="19"/>
                <w:highlight w:val="lightGray"/>
              </w:rPr>
            </w:pPr>
            <w:r w:rsidRPr="00965225">
              <w:rPr>
                <w:rFonts w:ascii="Arial Narrow" w:hAnsi="Arial Narrow" w:cs="Calibri"/>
                <w:b/>
                <w:bCs/>
                <w:color w:val="000000"/>
                <w:sz w:val="19"/>
                <w:szCs w:val="19"/>
              </w:rPr>
              <w:t>$</w:t>
            </w:r>
            <w:r w:rsidR="00FF3F29" w:rsidRPr="00FF3F29">
              <w:rPr>
                <w:rFonts w:ascii="Arial Narrow" w:hAnsi="Arial Narrow" w:cs="Calibri"/>
                <w:b/>
                <w:bCs/>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10" w:type="dxa"/>
            <w:noWrap/>
          </w:tcPr>
          <w:p w14:paraId="5CBC076C" w14:textId="617625F9" w:rsidR="000505F0" w:rsidRPr="00363296" w:rsidRDefault="00965225" w:rsidP="00182C84">
            <w:pPr>
              <w:keepNext/>
              <w:jc w:val="right"/>
              <w:rPr>
                <w:rFonts w:ascii="Arial Narrow" w:hAnsi="Arial Narrow" w:cs="Calibri"/>
                <w:b/>
                <w:bCs/>
                <w:color w:val="000000"/>
                <w:sz w:val="19"/>
                <w:szCs w:val="19"/>
                <w:highlight w:val="lightGray"/>
              </w:rPr>
            </w:pPr>
            <w:r w:rsidRPr="00965225">
              <w:rPr>
                <w:rFonts w:ascii="Arial Narrow" w:hAnsi="Arial Narrow" w:cs="Calibri"/>
                <w:b/>
                <w:bCs/>
                <w:color w:val="000000"/>
                <w:sz w:val="19"/>
                <w:szCs w:val="19"/>
              </w:rPr>
              <w:t>$</w:t>
            </w:r>
            <w:r w:rsidR="00FF3F29" w:rsidRPr="00FF3F29">
              <w:rPr>
                <w:rFonts w:ascii="Arial Narrow" w:hAnsi="Arial Narrow" w:cs="Calibri"/>
                <w:b/>
                <w:bCs/>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09" w:type="dxa"/>
            <w:noWrap/>
          </w:tcPr>
          <w:p w14:paraId="3475A1C9" w14:textId="48CCA257" w:rsidR="000505F0" w:rsidRPr="00363296" w:rsidRDefault="00965225" w:rsidP="00182C84">
            <w:pPr>
              <w:keepNext/>
              <w:jc w:val="right"/>
              <w:rPr>
                <w:rFonts w:ascii="Arial Narrow" w:hAnsi="Arial Narrow" w:cs="Calibri"/>
                <w:b/>
                <w:bCs/>
                <w:color w:val="000000"/>
                <w:sz w:val="19"/>
                <w:szCs w:val="19"/>
                <w:highlight w:val="lightGray"/>
              </w:rPr>
            </w:pPr>
            <w:r w:rsidRPr="00965225">
              <w:rPr>
                <w:rFonts w:ascii="Arial Narrow" w:hAnsi="Arial Narrow" w:cs="Calibri"/>
                <w:b/>
                <w:bCs/>
                <w:color w:val="000000"/>
                <w:sz w:val="19"/>
                <w:szCs w:val="19"/>
              </w:rPr>
              <w:t>$</w:t>
            </w:r>
            <w:r w:rsidR="00FF3F29" w:rsidRPr="00FF3F29">
              <w:rPr>
                <w:rFonts w:ascii="Arial Narrow" w:hAnsi="Arial Narrow" w:cs="Calibri"/>
                <w:b/>
                <w:bCs/>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c>
          <w:tcPr>
            <w:tcW w:w="1210" w:type="dxa"/>
            <w:noWrap/>
          </w:tcPr>
          <w:p w14:paraId="1FCC76E9" w14:textId="67A75720" w:rsidR="000505F0" w:rsidRPr="00363296" w:rsidRDefault="00965225" w:rsidP="00182C84">
            <w:pPr>
              <w:keepNext/>
              <w:jc w:val="right"/>
              <w:rPr>
                <w:rFonts w:ascii="Arial Narrow" w:hAnsi="Arial Narrow" w:cs="Calibri"/>
                <w:b/>
                <w:bCs/>
                <w:color w:val="000000"/>
                <w:sz w:val="19"/>
                <w:szCs w:val="19"/>
                <w:highlight w:val="lightGray"/>
              </w:rPr>
            </w:pPr>
            <w:r w:rsidRPr="00965225">
              <w:rPr>
                <w:rFonts w:ascii="Arial Narrow" w:hAnsi="Arial Narrow" w:cs="Calibri"/>
                <w:b/>
                <w:bCs/>
                <w:color w:val="000000"/>
                <w:sz w:val="19"/>
                <w:szCs w:val="19"/>
              </w:rPr>
              <w:t>$</w:t>
            </w:r>
            <w:r w:rsidR="00FF3F29" w:rsidRPr="00FF3F29">
              <w:rPr>
                <w:rFonts w:ascii="Arial Narrow" w:hAnsi="Arial Narrow" w:cs="Calibri"/>
                <w:b/>
                <w:bCs/>
                <w:color w:val="000000"/>
                <w:sz w:val="2"/>
                <w:szCs w:val="19"/>
                <w:highlight w:val="black"/>
              </w:rPr>
              <w:t>redacted content</w:t>
            </w:r>
            <w:r w:rsidR="00FD4113" w:rsidRPr="00965225">
              <w:rPr>
                <w:rFonts w:ascii="Arial Narrow" w:hAnsi="Arial Narrow" w:cs="Calibri"/>
                <w:color w:val="000000"/>
                <w:sz w:val="19"/>
                <w:szCs w:val="19"/>
                <w:vertAlign w:val="superscript"/>
              </w:rPr>
              <w:t>14</w:t>
            </w:r>
          </w:p>
        </w:tc>
      </w:tr>
    </w:tbl>
    <w:p w14:paraId="035E4D15" w14:textId="3BFBF1D6" w:rsidR="000505F0" w:rsidRPr="00B06893" w:rsidRDefault="000505F0" w:rsidP="00182C84">
      <w:pPr>
        <w:keepNext/>
        <w:keepLines/>
        <w:spacing w:after="120"/>
        <w:contextualSpacing/>
        <w:jc w:val="left"/>
        <w:rPr>
          <w:rFonts w:ascii="Arial Narrow" w:hAnsi="Arial Narrow" w:cs="Arial"/>
          <w:snapToGrid w:val="0"/>
          <w:sz w:val="18"/>
          <w:szCs w:val="22"/>
        </w:rPr>
      </w:pPr>
      <w:r w:rsidRPr="00B06893">
        <w:rPr>
          <w:rFonts w:ascii="Arial Narrow" w:hAnsi="Arial Narrow" w:cs="Arial"/>
          <w:snapToGrid w:val="0"/>
          <w:sz w:val="18"/>
          <w:szCs w:val="22"/>
        </w:rPr>
        <w:t xml:space="preserve">Source: The financial estimates from the submission: 2a. Patients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incident; 2d. Patients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DTG; 3a. Scripts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proposed; 3b. Impact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proposed (pub); 4a. Scripts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affected; 4b. Impact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affected (pub); 5. Impact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net; 7. Net changes </w:t>
      </w:r>
      <w:r w:rsidR="00193971">
        <w:rPr>
          <w:rFonts w:ascii="Arial Narrow" w:hAnsi="Arial Narrow" w:cs="Arial"/>
          <w:snapToGrid w:val="0"/>
          <w:sz w:val="18"/>
          <w:szCs w:val="22"/>
        </w:rPr>
        <w:noBreakHyphen/>
      </w:r>
      <w:r w:rsidRPr="00B06893">
        <w:rPr>
          <w:rFonts w:ascii="Arial Narrow" w:hAnsi="Arial Narrow" w:cs="Arial"/>
          <w:snapToGrid w:val="0"/>
          <w:sz w:val="18"/>
          <w:szCs w:val="22"/>
        </w:rPr>
        <w:t xml:space="preserve"> MBS.</w:t>
      </w:r>
    </w:p>
    <w:p w14:paraId="741242D7" w14:textId="77777777" w:rsidR="00FF5E14" w:rsidRDefault="000505F0" w:rsidP="00FF5E14">
      <w:pPr>
        <w:keepNext/>
        <w:keepLines/>
        <w:spacing w:after="120"/>
        <w:contextualSpacing/>
        <w:jc w:val="left"/>
        <w:rPr>
          <w:rFonts w:ascii="Arial Narrow" w:hAnsi="Arial Narrow" w:cs="Arial"/>
          <w:snapToGrid w:val="0"/>
          <w:sz w:val="18"/>
          <w:szCs w:val="22"/>
        </w:rPr>
      </w:pPr>
      <w:r w:rsidRPr="00B06893">
        <w:rPr>
          <w:rFonts w:ascii="Arial Narrow" w:hAnsi="Arial Narrow" w:cs="Arial"/>
          <w:snapToGrid w:val="0"/>
          <w:sz w:val="18"/>
          <w:szCs w:val="22"/>
        </w:rPr>
        <w:t>MBS = Medicare Benefits Schedule; NIP = National Immunisation Program.</w:t>
      </w:r>
      <w:r w:rsidR="00FF5E14">
        <w:rPr>
          <w:rFonts w:ascii="Arial Narrow" w:hAnsi="Arial Narrow" w:cs="Arial"/>
          <w:snapToGrid w:val="0"/>
          <w:sz w:val="18"/>
          <w:szCs w:val="22"/>
        </w:rPr>
        <w:t xml:space="preserve"> </w:t>
      </w:r>
    </w:p>
    <w:p w14:paraId="60543A7A" w14:textId="45193BA7" w:rsidR="00FF5E14" w:rsidRPr="00FF5E14" w:rsidRDefault="00FF5E14" w:rsidP="00FF5E14">
      <w:pPr>
        <w:keepNext/>
        <w:keepLines/>
        <w:spacing w:after="120"/>
        <w:contextualSpacing/>
        <w:jc w:val="left"/>
        <w:rPr>
          <w:rFonts w:ascii="Arial Narrow" w:hAnsi="Arial Narrow" w:cs="Arial"/>
          <w:i/>
          <w:iCs/>
          <w:snapToGrid w:val="0"/>
          <w:sz w:val="18"/>
          <w:szCs w:val="22"/>
        </w:rPr>
      </w:pPr>
      <w:r w:rsidRPr="00FF5E14">
        <w:rPr>
          <w:rFonts w:ascii="Arial Narrow" w:hAnsi="Arial Narrow" w:cs="Arial"/>
          <w:i/>
          <w:iCs/>
          <w:snapToGrid w:val="0"/>
          <w:sz w:val="18"/>
          <w:szCs w:val="22"/>
        </w:rPr>
        <w:t xml:space="preserve">The redacted values correspond to the following ranges: </w:t>
      </w:r>
    </w:p>
    <w:p w14:paraId="49FDD36C" w14:textId="77777777" w:rsidR="00B97EF9" w:rsidRDefault="00FF5E14" w:rsidP="00FF5E14">
      <w:pPr>
        <w:keepNext/>
        <w:keepLines/>
        <w:spacing w:after="120"/>
        <w:contextualSpacing/>
        <w:jc w:val="left"/>
        <w:rPr>
          <w:rFonts w:ascii="Arial Narrow" w:hAnsi="Arial Narrow" w:cs="Arial"/>
          <w:i/>
          <w:iCs/>
          <w:snapToGrid w:val="0"/>
          <w:sz w:val="18"/>
          <w:szCs w:val="22"/>
        </w:rPr>
      </w:pPr>
      <w:r w:rsidRPr="00C748F6">
        <w:rPr>
          <w:rFonts w:ascii="Arial Narrow" w:hAnsi="Arial Narrow" w:cs="Arial"/>
          <w:i/>
          <w:iCs/>
          <w:snapToGrid w:val="0"/>
          <w:sz w:val="18"/>
          <w:szCs w:val="22"/>
          <w:vertAlign w:val="superscript"/>
        </w:rPr>
        <w:t xml:space="preserve">1 </w:t>
      </w:r>
      <w:r w:rsidR="00DB1E2E" w:rsidRPr="00DB1E2E">
        <w:rPr>
          <w:rFonts w:ascii="Arial Narrow" w:hAnsi="Arial Narrow" w:cs="Arial"/>
          <w:i/>
          <w:iCs/>
          <w:snapToGrid w:val="0"/>
          <w:sz w:val="18"/>
          <w:szCs w:val="22"/>
        </w:rPr>
        <w:t>40,000 to &lt; 50,000</w:t>
      </w:r>
      <w:r w:rsidR="00B97EF9">
        <w:rPr>
          <w:rFonts w:ascii="Arial Narrow" w:hAnsi="Arial Narrow" w:cs="Arial"/>
          <w:i/>
          <w:iCs/>
          <w:snapToGrid w:val="0"/>
          <w:sz w:val="18"/>
          <w:szCs w:val="22"/>
        </w:rPr>
        <w:t xml:space="preserve"> </w:t>
      </w:r>
    </w:p>
    <w:p w14:paraId="53734816" w14:textId="77777777" w:rsidR="00DE3DDE" w:rsidRDefault="00B97EF9" w:rsidP="00FF5E14">
      <w:pPr>
        <w:keepNext/>
        <w:keepLines/>
        <w:spacing w:after="120"/>
        <w:contextualSpacing/>
        <w:jc w:val="left"/>
        <w:rPr>
          <w:rFonts w:ascii="Arial Narrow" w:hAnsi="Arial Narrow" w:cs="Arial"/>
          <w:i/>
          <w:iCs/>
          <w:snapToGrid w:val="0"/>
          <w:sz w:val="18"/>
          <w:szCs w:val="22"/>
        </w:rPr>
      </w:pPr>
      <w:r w:rsidRPr="00C748F6">
        <w:rPr>
          <w:rFonts w:ascii="Arial Narrow" w:hAnsi="Arial Narrow" w:cs="Arial"/>
          <w:i/>
          <w:iCs/>
          <w:snapToGrid w:val="0"/>
          <w:sz w:val="18"/>
          <w:szCs w:val="22"/>
          <w:vertAlign w:val="superscript"/>
        </w:rPr>
        <w:t>2</w:t>
      </w:r>
      <w:r>
        <w:rPr>
          <w:rFonts w:ascii="Arial Narrow" w:hAnsi="Arial Narrow" w:cs="Arial"/>
          <w:i/>
          <w:iCs/>
          <w:snapToGrid w:val="0"/>
          <w:sz w:val="18"/>
          <w:szCs w:val="22"/>
        </w:rPr>
        <w:t xml:space="preserve"> </w:t>
      </w:r>
      <w:r w:rsidRPr="00B97EF9">
        <w:rPr>
          <w:rFonts w:ascii="Arial Narrow" w:hAnsi="Arial Narrow" w:cs="Arial"/>
          <w:i/>
          <w:iCs/>
          <w:snapToGrid w:val="0"/>
          <w:sz w:val="18"/>
          <w:szCs w:val="22"/>
        </w:rPr>
        <w:t>50,000 to &lt; 60,000</w:t>
      </w:r>
      <w:r w:rsidR="00DE3DDE">
        <w:rPr>
          <w:rFonts w:ascii="Arial Narrow" w:hAnsi="Arial Narrow" w:cs="Arial"/>
          <w:i/>
          <w:iCs/>
          <w:snapToGrid w:val="0"/>
          <w:sz w:val="18"/>
          <w:szCs w:val="22"/>
        </w:rPr>
        <w:t xml:space="preserve"> </w:t>
      </w:r>
    </w:p>
    <w:p w14:paraId="53BFCBBD" w14:textId="2F4DE152" w:rsidR="000505F0" w:rsidRDefault="006E5DFB" w:rsidP="00FF5E14">
      <w:pPr>
        <w:keepNext/>
        <w:keepLines/>
        <w:spacing w:after="120"/>
        <w:contextualSpacing/>
        <w:jc w:val="left"/>
        <w:rPr>
          <w:rFonts w:ascii="Arial Narrow" w:hAnsi="Arial Narrow" w:cs="Arial"/>
          <w:i/>
          <w:iCs/>
          <w:snapToGrid w:val="0"/>
          <w:sz w:val="18"/>
          <w:szCs w:val="22"/>
        </w:rPr>
      </w:pPr>
      <w:r w:rsidRPr="00C748F6">
        <w:rPr>
          <w:rFonts w:ascii="Arial Narrow" w:hAnsi="Arial Narrow" w:cs="Arial"/>
          <w:i/>
          <w:iCs/>
          <w:snapToGrid w:val="0"/>
          <w:sz w:val="18"/>
          <w:szCs w:val="22"/>
          <w:vertAlign w:val="superscript"/>
        </w:rPr>
        <w:t>4</w:t>
      </w:r>
      <w:r>
        <w:rPr>
          <w:rFonts w:ascii="Arial Narrow" w:hAnsi="Arial Narrow" w:cs="Arial"/>
          <w:i/>
          <w:iCs/>
          <w:snapToGrid w:val="0"/>
          <w:sz w:val="18"/>
          <w:szCs w:val="22"/>
        </w:rPr>
        <w:t xml:space="preserve"> </w:t>
      </w:r>
      <w:r w:rsidRPr="006E5DFB">
        <w:rPr>
          <w:rFonts w:ascii="Arial Narrow" w:hAnsi="Arial Narrow" w:cs="Arial"/>
          <w:i/>
          <w:iCs/>
          <w:snapToGrid w:val="0"/>
          <w:sz w:val="18"/>
          <w:szCs w:val="22"/>
        </w:rPr>
        <w:t>200,000 to &lt; 300,000</w:t>
      </w:r>
    </w:p>
    <w:p w14:paraId="0490F959" w14:textId="77777777" w:rsidR="001903CC" w:rsidRDefault="00E06BDB" w:rsidP="00FF5E14">
      <w:pPr>
        <w:keepNext/>
        <w:keepLines/>
        <w:spacing w:after="120"/>
        <w:contextualSpacing/>
        <w:jc w:val="left"/>
        <w:rPr>
          <w:rFonts w:ascii="Arial Narrow" w:hAnsi="Arial Narrow" w:cs="Arial"/>
          <w:i/>
          <w:iCs/>
          <w:snapToGrid w:val="0"/>
          <w:sz w:val="18"/>
          <w:szCs w:val="22"/>
        </w:rPr>
      </w:pPr>
      <w:r w:rsidRPr="00C748F6">
        <w:rPr>
          <w:rFonts w:ascii="Arial Narrow" w:hAnsi="Arial Narrow" w:cs="Arial"/>
          <w:i/>
          <w:iCs/>
          <w:snapToGrid w:val="0"/>
          <w:sz w:val="18"/>
          <w:szCs w:val="22"/>
          <w:vertAlign w:val="superscript"/>
        </w:rPr>
        <w:t xml:space="preserve">5 </w:t>
      </w:r>
      <w:r w:rsidRPr="00E06BDB">
        <w:rPr>
          <w:rFonts w:ascii="Arial Narrow" w:hAnsi="Arial Narrow" w:cs="Arial"/>
          <w:i/>
          <w:iCs/>
          <w:snapToGrid w:val="0"/>
          <w:sz w:val="18"/>
          <w:szCs w:val="22"/>
        </w:rPr>
        <w:t>300,000 to &lt; 400,000</w:t>
      </w:r>
      <w:r w:rsidR="001903CC">
        <w:rPr>
          <w:rFonts w:ascii="Arial Narrow" w:hAnsi="Arial Narrow" w:cs="Arial"/>
          <w:i/>
          <w:iCs/>
          <w:snapToGrid w:val="0"/>
          <w:sz w:val="18"/>
          <w:szCs w:val="22"/>
        </w:rPr>
        <w:t xml:space="preserve"> </w:t>
      </w:r>
    </w:p>
    <w:p w14:paraId="751A2260" w14:textId="77777777" w:rsidR="00781DDE" w:rsidRDefault="001903CC" w:rsidP="00FF5E14">
      <w:pPr>
        <w:keepNext/>
        <w:keepLines/>
        <w:spacing w:after="120"/>
        <w:contextualSpacing/>
        <w:jc w:val="left"/>
        <w:rPr>
          <w:rFonts w:ascii="Arial Narrow" w:hAnsi="Arial Narrow" w:cs="Arial"/>
          <w:i/>
          <w:iCs/>
          <w:snapToGrid w:val="0"/>
          <w:sz w:val="18"/>
          <w:szCs w:val="22"/>
        </w:rPr>
      </w:pPr>
      <w:r w:rsidRPr="00C748F6">
        <w:rPr>
          <w:rFonts w:ascii="Arial Narrow" w:hAnsi="Arial Narrow" w:cs="Arial"/>
          <w:i/>
          <w:iCs/>
          <w:snapToGrid w:val="0"/>
          <w:sz w:val="18"/>
          <w:szCs w:val="22"/>
          <w:vertAlign w:val="superscript"/>
        </w:rPr>
        <w:t>6</w:t>
      </w:r>
      <w:r>
        <w:rPr>
          <w:rFonts w:ascii="Arial Narrow" w:hAnsi="Arial Narrow" w:cs="Arial"/>
          <w:i/>
          <w:iCs/>
          <w:snapToGrid w:val="0"/>
          <w:sz w:val="18"/>
          <w:szCs w:val="22"/>
        </w:rPr>
        <w:t xml:space="preserve"> </w:t>
      </w:r>
      <w:r w:rsidRPr="001903CC">
        <w:rPr>
          <w:rFonts w:ascii="Arial Narrow" w:hAnsi="Arial Narrow" w:cs="Arial"/>
          <w:i/>
          <w:iCs/>
          <w:snapToGrid w:val="0"/>
          <w:sz w:val="18"/>
          <w:szCs w:val="22"/>
        </w:rPr>
        <w:t>500,000 to &lt; 600,000</w:t>
      </w:r>
      <w:r w:rsidR="00781DDE">
        <w:rPr>
          <w:rFonts w:ascii="Arial Narrow" w:hAnsi="Arial Narrow" w:cs="Arial"/>
          <w:i/>
          <w:iCs/>
          <w:snapToGrid w:val="0"/>
          <w:sz w:val="18"/>
          <w:szCs w:val="22"/>
        </w:rPr>
        <w:t xml:space="preserve"> </w:t>
      </w:r>
    </w:p>
    <w:p w14:paraId="4EC68DE7" w14:textId="77777777" w:rsidR="00B56702" w:rsidRDefault="00781DDE" w:rsidP="00FF5E14">
      <w:pPr>
        <w:keepNext/>
        <w:keepLines/>
        <w:spacing w:after="120"/>
        <w:contextualSpacing/>
        <w:jc w:val="left"/>
        <w:rPr>
          <w:rFonts w:ascii="Arial Narrow" w:hAnsi="Arial Narrow" w:cs="Arial"/>
          <w:i/>
          <w:iCs/>
          <w:snapToGrid w:val="0"/>
          <w:sz w:val="18"/>
          <w:szCs w:val="22"/>
        </w:rPr>
      </w:pPr>
      <w:r w:rsidRPr="00C748F6">
        <w:rPr>
          <w:rFonts w:ascii="Arial Narrow" w:hAnsi="Arial Narrow" w:cs="Arial"/>
          <w:i/>
          <w:iCs/>
          <w:snapToGrid w:val="0"/>
          <w:sz w:val="18"/>
          <w:szCs w:val="22"/>
          <w:vertAlign w:val="superscript"/>
        </w:rPr>
        <w:t>7</w:t>
      </w:r>
      <w:r>
        <w:rPr>
          <w:rFonts w:ascii="Arial Narrow" w:hAnsi="Arial Narrow" w:cs="Arial"/>
          <w:i/>
          <w:iCs/>
          <w:snapToGrid w:val="0"/>
          <w:sz w:val="18"/>
          <w:szCs w:val="22"/>
        </w:rPr>
        <w:t xml:space="preserve"> </w:t>
      </w:r>
      <w:r w:rsidRPr="00781DDE">
        <w:rPr>
          <w:rFonts w:ascii="Arial Narrow" w:hAnsi="Arial Narrow" w:cs="Arial"/>
          <w:i/>
          <w:iCs/>
          <w:snapToGrid w:val="0"/>
          <w:sz w:val="18"/>
          <w:szCs w:val="22"/>
        </w:rPr>
        <w:t>600,000 to &lt; 700,000</w:t>
      </w:r>
      <w:r w:rsidR="00B56702">
        <w:rPr>
          <w:rFonts w:ascii="Arial Narrow" w:hAnsi="Arial Narrow" w:cs="Arial"/>
          <w:i/>
          <w:iCs/>
          <w:snapToGrid w:val="0"/>
          <w:sz w:val="18"/>
          <w:szCs w:val="22"/>
        </w:rPr>
        <w:t xml:space="preserve"> </w:t>
      </w:r>
    </w:p>
    <w:p w14:paraId="19D00916" w14:textId="77777777" w:rsidR="00AB70BB" w:rsidRDefault="00B56702" w:rsidP="00FF5E14">
      <w:pPr>
        <w:keepNext/>
        <w:keepLines/>
        <w:spacing w:after="120"/>
        <w:contextualSpacing/>
        <w:jc w:val="left"/>
        <w:rPr>
          <w:rFonts w:ascii="Arial Narrow" w:hAnsi="Arial Narrow" w:cs="Arial"/>
          <w:i/>
          <w:iCs/>
          <w:snapToGrid w:val="0"/>
          <w:sz w:val="18"/>
          <w:szCs w:val="22"/>
        </w:rPr>
      </w:pPr>
      <w:r w:rsidRPr="00281DB0">
        <w:rPr>
          <w:rFonts w:ascii="Arial Narrow" w:hAnsi="Arial Narrow" w:cs="Arial"/>
          <w:i/>
          <w:iCs/>
          <w:snapToGrid w:val="0"/>
          <w:sz w:val="18"/>
          <w:szCs w:val="22"/>
          <w:vertAlign w:val="superscript"/>
        </w:rPr>
        <w:t>8</w:t>
      </w:r>
      <w:r>
        <w:rPr>
          <w:rFonts w:ascii="Arial Narrow" w:hAnsi="Arial Narrow" w:cs="Arial"/>
          <w:i/>
          <w:iCs/>
          <w:snapToGrid w:val="0"/>
          <w:sz w:val="18"/>
          <w:szCs w:val="22"/>
        </w:rPr>
        <w:t xml:space="preserve"> </w:t>
      </w:r>
      <w:r w:rsidRPr="00B56702">
        <w:rPr>
          <w:rFonts w:ascii="Arial Narrow" w:hAnsi="Arial Narrow" w:cs="Arial"/>
          <w:i/>
          <w:iCs/>
          <w:snapToGrid w:val="0"/>
          <w:sz w:val="18"/>
          <w:szCs w:val="22"/>
        </w:rPr>
        <w:t>700,000 to &lt; 800,000</w:t>
      </w:r>
      <w:r w:rsidR="00AB70BB">
        <w:rPr>
          <w:rFonts w:ascii="Arial Narrow" w:hAnsi="Arial Narrow" w:cs="Arial"/>
          <w:i/>
          <w:iCs/>
          <w:snapToGrid w:val="0"/>
          <w:sz w:val="18"/>
          <w:szCs w:val="22"/>
        </w:rPr>
        <w:t xml:space="preserve"> </w:t>
      </w:r>
    </w:p>
    <w:p w14:paraId="7F5E8ADB" w14:textId="77777777" w:rsidR="00C65030" w:rsidRDefault="00AB70BB" w:rsidP="00FF5E14">
      <w:pPr>
        <w:keepNext/>
        <w:keepLines/>
        <w:spacing w:after="120"/>
        <w:contextualSpacing/>
        <w:jc w:val="left"/>
        <w:rPr>
          <w:rFonts w:ascii="Arial Narrow" w:hAnsi="Arial Narrow" w:cs="Arial"/>
          <w:i/>
          <w:iCs/>
          <w:snapToGrid w:val="0"/>
          <w:sz w:val="18"/>
          <w:szCs w:val="22"/>
        </w:rPr>
      </w:pPr>
      <w:r w:rsidRPr="00281DB0">
        <w:rPr>
          <w:rFonts w:ascii="Arial Narrow" w:hAnsi="Arial Narrow" w:cs="Arial"/>
          <w:i/>
          <w:iCs/>
          <w:snapToGrid w:val="0"/>
          <w:sz w:val="18"/>
          <w:szCs w:val="22"/>
          <w:vertAlign w:val="superscript"/>
        </w:rPr>
        <w:t xml:space="preserve">9 </w:t>
      </w:r>
      <w:r w:rsidRPr="00AB70BB">
        <w:rPr>
          <w:rFonts w:ascii="Arial Narrow" w:hAnsi="Arial Narrow" w:cs="Arial"/>
          <w:i/>
          <w:iCs/>
          <w:snapToGrid w:val="0"/>
          <w:sz w:val="18"/>
          <w:szCs w:val="22"/>
        </w:rPr>
        <w:t>900,000 to &lt; 1,000,000</w:t>
      </w:r>
      <w:r w:rsidR="00C65030">
        <w:rPr>
          <w:rFonts w:ascii="Arial Narrow" w:hAnsi="Arial Narrow" w:cs="Arial"/>
          <w:i/>
          <w:iCs/>
          <w:snapToGrid w:val="0"/>
          <w:sz w:val="18"/>
          <w:szCs w:val="22"/>
        </w:rPr>
        <w:t xml:space="preserve"> </w:t>
      </w:r>
    </w:p>
    <w:p w14:paraId="5298692E" w14:textId="77777777" w:rsidR="009779CA" w:rsidRDefault="00C65030" w:rsidP="00FF5E14">
      <w:pPr>
        <w:keepNext/>
        <w:keepLines/>
        <w:spacing w:after="120"/>
        <w:contextualSpacing/>
        <w:jc w:val="left"/>
        <w:rPr>
          <w:rFonts w:ascii="Arial Narrow" w:hAnsi="Arial Narrow" w:cs="Arial"/>
          <w:i/>
          <w:iCs/>
          <w:snapToGrid w:val="0"/>
          <w:sz w:val="18"/>
          <w:szCs w:val="22"/>
        </w:rPr>
      </w:pPr>
      <w:r w:rsidRPr="00281DB0">
        <w:rPr>
          <w:rFonts w:ascii="Arial Narrow" w:hAnsi="Arial Narrow" w:cs="Arial"/>
          <w:i/>
          <w:iCs/>
          <w:snapToGrid w:val="0"/>
          <w:sz w:val="18"/>
          <w:szCs w:val="22"/>
          <w:vertAlign w:val="superscript"/>
        </w:rPr>
        <w:lastRenderedPageBreak/>
        <w:t>10</w:t>
      </w:r>
      <w:r>
        <w:rPr>
          <w:rFonts w:ascii="Arial Narrow" w:hAnsi="Arial Narrow" w:cs="Arial"/>
          <w:i/>
          <w:iCs/>
          <w:snapToGrid w:val="0"/>
          <w:sz w:val="18"/>
          <w:szCs w:val="22"/>
        </w:rPr>
        <w:t xml:space="preserve"> </w:t>
      </w:r>
      <w:r w:rsidRPr="00C65030">
        <w:rPr>
          <w:rFonts w:ascii="Arial Narrow" w:hAnsi="Arial Narrow" w:cs="Arial"/>
          <w:i/>
          <w:iCs/>
          <w:snapToGrid w:val="0"/>
          <w:sz w:val="18"/>
          <w:szCs w:val="22"/>
        </w:rPr>
        <w:t>1,000,000 to &lt; 2,000,000</w:t>
      </w:r>
      <w:r w:rsidR="009779CA">
        <w:rPr>
          <w:rFonts w:ascii="Arial Narrow" w:hAnsi="Arial Narrow" w:cs="Arial"/>
          <w:i/>
          <w:iCs/>
          <w:snapToGrid w:val="0"/>
          <w:sz w:val="18"/>
          <w:szCs w:val="22"/>
        </w:rPr>
        <w:t xml:space="preserve"> </w:t>
      </w:r>
    </w:p>
    <w:p w14:paraId="48B0A4D6" w14:textId="77777777" w:rsidR="003448B1" w:rsidRDefault="009779CA" w:rsidP="00FF5E14">
      <w:pPr>
        <w:keepNext/>
        <w:keepLines/>
        <w:spacing w:after="120"/>
        <w:contextualSpacing/>
        <w:jc w:val="left"/>
        <w:rPr>
          <w:rFonts w:ascii="Arial Narrow" w:hAnsi="Arial Narrow" w:cs="Arial"/>
          <w:i/>
          <w:iCs/>
          <w:snapToGrid w:val="0"/>
          <w:sz w:val="18"/>
          <w:szCs w:val="22"/>
        </w:rPr>
      </w:pPr>
      <w:r w:rsidRPr="00281DB0">
        <w:rPr>
          <w:rFonts w:ascii="Arial Narrow" w:hAnsi="Arial Narrow" w:cs="Arial"/>
          <w:i/>
          <w:iCs/>
          <w:snapToGrid w:val="0"/>
          <w:sz w:val="18"/>
          <w:szCs w:val="22"/>
          <w:vertAlign w:val="superscript"/>
        </w:rPr>
        <w:t>11</w:t>
      </w:r>
      <w:r>
        <w:rPr>
          <w:rFonts w:ascii="Arial Narrow" w:hAnsi="Arial Narrow" w:cs="Arial"/>
          <w:i/>
          <w:iCs/>
          <w:snapToGrid w:val="0"/>
          <w:sz w:val="18"/>
          <w:szCs w:val="22"/>
        </w:rPr>
        <w:t xml:space="preserve"> </w:t>
      </w:r>
      <w:r w:rsidRPr="009779CA">
        <w:rPr>
          <w:rFonts w:ascii="Arial Narrow" w:hAnsi="Arial Narrow" w:cs="Arial"/>
          <w:i/>
          <w:iCs/>
          <w:snapToGrid w:val="0"/>
          <w:sz w:val="18"/>
          <w:szCs w:val="22"/>
        </w:rPr>
        <w:t>2,000,000 to &lt; 3,000,000</w:t>
      </w:r>
      <w:r w:rsidR="003448B1">
        <w:rPr>
          <w:rFonts w:ascii="Arial Narrow" w:hAnsi="Arial Narrow" w:cs="Arial"/>
          <w:i/>
          <w:iCs/>
          <w:snapToGrid w:val="0"/>
          <w:sz w:val="18"/>
          <w:szCs w:val="22"/>
        </w:rPr>
        <w:t xml:space="preserve"> </w:t>
      </w:r>
    </w:p>
    <w:p w14:paraId="364E59FC" w14:textId="77777777" w:rsidR="00DF6994" w:rsidRDefault="003448B1" w:rsidP="00FF5E14">
      <w:pPr>
        <w:keepNext/>
        <w:keepLines/>
        <w:spacing w:after="120"/>
        <w:contextualSpacing/>
        <w:jc w:val="left"/>
        <w:rPr>
          <w:rFonts w:ascii="Arial Narrow" w:hAnsi="Arial Narrow" w:cs="Arial"/>
          <w:i/>
          <w:iCs/>
          <w:snapToGrid w:val="0"/>
          <w:sz w:val="18"/>
          <w:szCs w:val="22"/>
        </w:rPr>
      </w:pPr>
      <w:r w:rsidRPr="00281DB0">
        <w:rPr>
          <w:rFonts w:ascii="Arial Narrow" w:hAnsi="Arial Narrow" w:cs="Arial"/>
          <w:i/>
          <w:iCs/>
          <w:snapToGrid w:val="0"/>
          <w:sz w:val="18"/>
          <w:szCs w:val="22"/>
          <w:vertAlign w:val="superscript"/>
        </w:rPr>
        <w:t>12</w:t>
      </w:r>
      <w:r>
        <w:rPr>
          <w:rFonts w:ascii="Arial Narrow" w:hAnsi="Arial Narrow" w:cs="Arial"/>
          <w:i/>
          <w:iCs/>
          <w:snapToGrid w:val="0"/>
          <w:sz w:val="18"/>
          <w:szCs w:val="22"/>
        </w:rPr>
        <w:t xml:space="preserve"> </w:t>
      </w:r>
      <w:r w:rsidRPr="003448B1">
        <w:rPr>
          <w:rFonts w:ascii="Arial Narrow" w:hAnsi="Arial Narrow" w:cs="Arial"/>
          <w:i/>
          <w:iCs/>
          <w:snapToGrid w:val="0"/>
          <w:sz w:val="18"/>
          <w:szCs w:val="22"/>
        </w:rPr>
        <w:t>$50 million to &lt; $60 million</w:t>
      </w:r>
      <w:r w:rsidR="00DF6994">
        <w:rPr>
          <w:rFonts w:ascii="Arial Narrow" w:hAnsi="Arial Narrow" w:cs="Arial"/>
          <w:i/>
          <w:iCs/>
          <w:snapToGrid w:val="0"/>
          <w:sz w:val="18"/>
          <w:szCs w:val="22"/>
        </w:rPr>
        <w:t xml:space="preserve"> </w:t>
      </w:r>
    </w:p>
    <w:p w14:paraId="5AECDA33" w14:textId="77777777" w:rsidR="00FD4113" w:rsidRDefault="00DF6994" w:rsidP="00FF5E14">
      <w:pPr>
        <w:keepNext/>
        <w:keepLines/>
        <w:spacing w:after="120"/>
        <w:contextualSpacing/>
        <w:jc w:val="left"/>
        <w:rPr>
          <w:rFonts w:ascii="Arial Narrow" w:hAnsi="Arial Narrow" w:cs="Arial"/>
          <w:i/>
          <w:iCs/>
          <w:snapToGrid w:val="0"/>
          <w:sz w:val="18"/>
          <w:szCs w:val="22"/>
        </w:rPr>
      </w:pPr>
      <w:r w:rsidRPr="00281DB0">
        <w:rPr>
          <w:rFonts w:ascii="Arial Narrow" w:hAnsi="Arial Narrow" w:cs="Arial"/>
          <w:i/>
          <w:iCs/>
          <w:snapToGrid w:val="0"/>
          <w:sz w:val="18"/>
          <w:szCs w:val="22"/>
          <w:vertAlign w:val="superscript"/>
        </w:rPr>
        <w:t>13</w:t>
      </w:r>
      <w:r>
        <w:rPr>
          <w:rFonts w:ascii="Arial Narrow" w:hAnsi="Arial Narrow" w:cs="Arial"/>
          <w:i/>
          <w:iCs/>
          <w:snapToGrid w:val="0"/>
          <w:sz w:val="18"/>
          <w:szCs w:val="22"/>
        </w:rPr>
        <w:t xml:space="preserve"> </w:t>
      </w:r>
      <w:r w:rsidRPr="00DF6994">
        <w:rPr>
          <w:rFonts w:ascii="Arial Narrow" w:hAnsi="Arial Narrow" w:cs="Arial"/>
          <w:i/>
          <w:iCs/>
          <w:snapToGrid w:val="0"/>
          <w:sz w:val="18"/>
          <w:szCs w:val="22"/>
        </w:rPr>
        <w:t>$400 million to &lt; $500 million</w:t>
      </w:r>
      <w:r w:rsidR="00FD4113">
        <w:rPr>
          <w:rFonts w:ascii="Arial Narrow" w:hAnsi="Arial Narrow" w:cs="Arial"/>
          <w:i/>
          <w:iCs/>
          <w:snapToGrid w:val="0"/>
          <w:sz w:val="18"/>
          <w:szCs w:val="22"/>
        </w:rPr>
        <w:t xml:space="preserve"> </w:t>
      </w:r>
    </w:p>
    <w:p w14:paraId="1B834A8E" w14:textId="2A56B1B9" w:rsidR="003D518F" w:rsidRDefault="00FD4113" w:rsidP="00FF5E14">
      <w:pPr>
        <w:keepNext/>
        <w:keepLines/>
        <w:spacing w:after="120"/>
        <w:contextualSpacing/>
        <w:jc w:val="left"/>
        <w:rPr>
          <w:rFonts w:ascii="Arial Narrow" w:hAnsi="Arial Narrow" w:cs="Arial"/>
          <w:i/>
          <w:iCs/>
          <w:snapToGrid w:val="0"/>
          <w:sz w:val="18"/>
          <w:szCs w:val="22"/>
        </w:rPr>
      </w:pPr>
      <w:r w:rsidRPr="00281DB0">
        <w:rPr>
          <w:rFonts w:ascii="Arial Narrow" w:hAnsi="Arial Narrow" w:cs="Arial"/>
          <w:i/>
          <w:iCs/>
          <w:snapToGrid w:val="0"/>
          <w:sz w:val="18"/>
          <w:szCs w:val="22"/>
          <w:vertAlign w:val="superscript"/>
        </w:rPr>
        <w:t xml:space="preserve">14 </w:t>
      </w:r>
      <w:r w:rsidRPr="00FD4113">
        <w:rPr>
          <w:rFonts w:ascii="Arial Narrow" w:hAnsi="Arial Narrow" w:cs="Arial"/>
          <w:i/>
          <w:iCs/>
          <w:snapToGrid w:val="0"/>
          <w:sz w:val="18"/>
          <w:szCs w:val="22"/>
        </w:rPr>
        <w:t>$500 million to &lt; $600 million</w:t>
      </w:r>
    </w:p>
    <w:p w14:paraId="031E5C2B" w14:textId="77777777" w:rsidR="00B56702" w:rsidRPr="00FF5E14" w:rsidRDefault="00B56702" w:rsidP="00FF5E14">
      <w:pPr>
        <w:keepNext/>
        <w:keepLines/>
        <w:spacing w:after="120"/>
        <w:contextualSpacing/>
        <w:jc w:val="left"/>
        <w:rPr>
          <w:rFonts w:ascii="Arial Narrow" w:hAnsi="Arial Narrow" w:cs="Arial"/>
          <w:i/>
          <w:iCs/>
          <w:snapToGrid w:val="0"/>
          <w:sz w:val="18"/>
          <w:szCs w:val="22"/>
        </w:rPr>
      </w:pPr>
    </w:p>
    <w:p w14:paraId="7FF7E977" w14:textId="47DDB206" w:rsidR="000505F0" w:rsidRPr="00B06893" w:rsidRDefault="000505F0" w:rsidP="006026DD">
      <w:pPr>
        <w:pStyle w:val="3-BodyText"/>
      </w:pPr>
      <w:r w:rsidRPr="00B06893">
        <w:t xml:space="preserve">The total NIP impact of listing </w:t>
      </w:r>
      <w:r w:rsidR="00715C42" w:rsidRPr="00B06893">
        <w:t>Spikevax</w:t>
      </w:r>
      <w:r w:rsidRPr="00B06893">
        <w:t xml:space="preserve"> was estimated to be $</w:t>
      </w:r>
      <w:r w:rsidR="004950EC" w:rsidRPr="004950EC">
        <w:t>500 million to &lt; $600 million</w:t>
      </w:r>
      <w:r w:rsidR="004950EC">
        <w:t xml:space="preserve"> </w:t>
      </w:r>
      <w:r w:rsidRPr="00B06893">
        <w:t xml:space="preserve">in Year 6, and a total of </w:t>
      </w:r>
      <w:r w:rsidR="006861C4" w:rsidRPr="006861C4">
        <w:t>&gt; $1 billion</w:t>
      </w:r>
      <w:r w:rsidR="006861C4">
        <w:t xml:space="preserve"> </w:t>
      </w:r>
      <w:r w:rsidRPr="00B06893">
        <w:t>in the first 6 years of listing</w:t>
      </w:r>
      <w:r w:rsidR="00820862" w:rsidRPr="00B06893">
        <w:t xml:space="preserve"> based on the requested price</w:t>
      </w:r>
      <w:r w:rsidRPr="00B06893">
        <w:rPr>
          <w:color w:val="3366FF"/>
        </w:rPr>
        <w:t>.</w:t>
      </w:r>
      <w:r w:rsidR="00580BAD">
        <w:rPr>
          <w:color w:val="3366FF"/>
        </w:rPr>
        <w:t xml:space="preserve"> </w:t>
      </w:r>
      <w:r w:rsidR="00820862" w:rsidRPr="00B06893">
        <w:t>The ESC noted this was based on the populations and dosing regimens requested in the submission, which are more restrictive than current arrangements under the NCVP.</w:t>
      </w:r>
    </w:p>
    <w:p w14:paraId="64C466A6" w14:textId="77777777" w:rsidR="000505F0" w:rsidRPr="00B06893" w:rsidRDefault="000505F0" w:rsidP="006026DD">
      <w:pPr>
        <w:pStyle w:val="3-BodyText"/>
      </w:pPr>
      <w:r w:rsidRPr="00B06893">
        <w:t>The submission used an epidemiological approach to estimate the utilisation of vaccination in each of the NIP populations. The populations included were:</w:t>
      </w:r>
    </w:p>
    <w:p w14:paraId="5DA2E836" w14:textId="0B0E8098" w:rsidR="000505F0" w:rsidRPr="00B06893" w:rsidRDefault="000505F0" w:rsidP="000505F0">
      <w:pPr>
        <w:keepNext/>
        <w:numPr>
          <w:ilvl w:val="0"/>
          <w:numId w:val="2"/>
        </w:numPr>
        <w:spacing w:after="120"/>
        <w:ind w:left="1080"/>
        <w:contextualSpacing/>
        <w:jc w:val="left"/>
        <w:rPr>
          <w:rFonts w:cs="Arial"/>
          <w:snapToGrid w:val="0"/>
          <w:szCs w:val="24"/>
        </w:rPr>
      </w:pPr>
      <w:r w:rsidRPr="00B06893">
        <w:rPr>
          <w:rFonts w:cs="Arial"/>
          <w:snapToGrid w:val="0"/>
          <w:szCs w:val="24"/>
        </w:rPr>
        <w:t>People aged 65</w:t>
      </w:r>
      <w:r w:rsidR="00193971">
        <w:rPr>
          <w:rFonts w:cs="Arial"/>
          <w:snapToGrid w:val="0"/>
          <w:szCs w:val="24"/>
        </w:rPr>
        <w:noBreakHyphen/>
      </w:r>
      <w:r w:rsidRPr="00B06893">
        <w:rPr>
          <w:rFonts w:cs="Arial"/>
          <w:snapToGrid w:val="0"/>
          <w:szCs w:val="24"/>
        </w:rPr>
        <w:t>74</w:t>
      </w:r>
    </w:p>
    <w:p w14:paraId="4DB34DC3" w14:textId="77777777" w:rsidR="000505F0" w:rsidRPr="00B06893" w:rsidRDefault="000505F0" w:rsidP="000505F0">
      <w:pPr>
        <w:numPr>
          <w:ilvl w:val="0"/>
          <w:numId w:val="2"/>
        </w:numPr>
        <w:spacing w:after="120"/>
        <w:ind w:left="1080"/>
        <w:contextualSpacing/>
        <w:jc w:val="left"/>
        <w:rPr>
          <w:rFonts w:cs="Arial"/>
          <w:snapToGrid w:val="0"/>
          <w:szCs w:val="24"/>
        </w:rPr>
      </w:pPr>
      <w:r w:rsidRPr="00B06893">
        <w:rPr>
          <w:rFonts w:cs="Arial"/>
          <w:snapToGrid w:val="0"/>
          <w:szCs w:val="24"/>
        </w:rPr>
        <w:t>People aged 75 years +</w:t>
      </w:r>
    </w:p>
    <w:p w14:paraId="72BB0C20" w14:textId="1D5FB7F8" w:rsidR="000505F0" w:rsidRPr="00B06893" w:rsidRDefault="000505F0" w:rsidP="000505F0">
      <w:pPr>
        <w:numPr>
          <w:ilvl w:val="0"/>
          <w:numId w:val="2"/>
        </w:numPr>
        <w:spacing w:after="120"/>
        <w:ind w:left="1080"/>
        <w:contextualSpacing/>
        <w:jc w:val="left"/>
        <w:rPr>
          <w:rFonts w:cs="Arial"/>
          <w:snapToGrid w:val="0"/>
          <w:szCs w:val="24"/>
        </w:rPr>
      </w:pPr>
      <w:r w:rsidRPr="00B06893">
        <w:rPr>
          <w:rFonts w:cs="Arial"/>
          <w:snapToGrid w:val="0"/>
          <w:szCs w:val="24"/>
        </w:rPr>
        <w:t>People aged 18</w:t>
      </w:r>
      <w:r w:rsidR="00193971">
        <w:rPr>
          <w:rFonts w:cs="Arial"/>
          <w:snapToGrid w:val="0"/>
          <w:szCs w:val="24"/>
        </w:rPr>
        <w:noBreakHyphen/>
      </w:r>
      <w:r w:rsidRPr="00B06893">
        <w:rPr>
          <w:rFonts w:cs="Arial"/>
          <w:snapToGrid w:val="0"/>
          <w:szCs w:val="24"/>
        </w:rPr>
        <w:t>64 years severely immunocompromised</w:t>
      </w:r>
    </w:p>
    <w:p w14:paraId="0CCD231C" w14:textId="282FB51E" w:rsidR="000505F0" w:rsidRPr="00B06893" w:rsidRDefault="000505F0" w:rsidP="000505F0">
      <w:pPr>
        <w:numPr>
          <w:ilvl w:val="0"/>
          <w:numId w:val="2"/>
        </w:numPr>
        <w:spacing w:after="120"/>
        <w:ind w:left="1080"/>
        <w:contextualSpacing/>
        <w:jc w:val="left"/>
        <w:rPr>
          <w:rFonts w:cs="Arial"/>
          <w:snapToGrid w:val="0"/>
          <w:szCs w:val="24"/>
        </w:rPr>
      </w:pPr>
      <w:r w:rsidRPr="00B06893">
        <w:rPr>
          <w:rFonts w:cs="Arial"/>
          <w:snapToGrid w:val="0"/>
          <w:szCs w:val="24"/>
        </w:rPr>
        <w:t>First Nations people aged 50</w:t>
      </w:r>
      <w:r w:rsidR="00193971">
        <w:rPr>
          <w:rFonts w:cs="Arial"/>
          <w:snapToGrid w:val="0"/>
          <w:szCs w:val="24"/>
        </w:rPr>
        <w:noBreakHyphen/>
      </w:r>
      <w:r w:rsidRPr="00B06893">
        <w:rPr>
          <w:rFonts w:cs="Arial"/>
          <w:snapToGrid w:val="0"/>
          <w:szCs w:val="24"/>
        </w:rPr>
        <w:t>64</w:t>
      </w:r>
    </w:p>
    <w:p w14:paraId="11284738" w14:textId="4F27382F" w:rsidR="000505F0" w:rsidRPr="00B06893" w:rsidRDefault="000505F0" w:rsidP="006026DD">
      <w:pPr>
        <w:pStyle w:val="3-BodyText"/>
      </w:pPr>
      <w:r w:rsidRPr="00B06893">
        <w:t>All patients were drawn from the current ABS Population Projections, Australia 2022</w:t>
      </w:r>
      <w:r w:rsidR="00193971">
        <w:noBreakHyphen/>
      </w:r>
      <w:r w:rsidRPr="00B06893">
        <w:t>2071, except the Aboriginal and Torres Strait Islander population that was drawn from the ABS Projected population, Aboriginal and Torres Strait Islander peoples, States and Territories, 2021 to 2031 PSNS using the medium fertility, paternity and expectancy assumptions. This was appropriate</w:t>
      </w:r>
      <w:r w:rsidR="00820862" w:rsidRPr="00B06893">
        <w:t xml:space="preserve"> however as noted in the evaluation, </w:t>
      </w:r>
      <w:r w:rsidRPr="00B06893">
        <w:t xml:space="preserve">the populations </w:t>
      </w:r>
      <w:r w:rsidR="00820862" w:rsidRPr="00B06893">
        <w:t xml:space="preserve">were </w:t>
      </w:r>
      <w:r w:rsidRPr="00B06893">
        <w:t xml:space="preserve">drawn from different sources, </w:t>
      </w:r>
      <w:r w:rsidR="00820862" w:rsidRPr="00B06893">
        <w:t xml:space="preserve">and </w:t>
      </w:r>
      <w:r w:rsidRPr="00B06893">
        <w:t xml:space="preserve">there </w:t>
      </w:r>
      <w:r w:rsidR="00820862" w:rsidRPr="00B06893">
        <w:t xml:space="preserve">may be </w:t>
      </w:r>
      <w:r w:rsidRPr="00B06893">
        <w:t xml:space="preserve">an overlap between the severe immunocompromised patients and the First Nations patients. </w:t>
      </w:r>
    </w:p>
    <w:p w14:paraId="5140E5F7" w14:textId="49BAB629" w:rsidR="000505F0" w:rsidRPr="00B06893" w:rsidRDefault="000505F0" w:rsidP="006026DD">
      <w:pPr>
        <w:pStyle w:val="3-BodyText"/>
      </w:pPr>
      <w:r w:rsidRPr="00B06893">
        <w:t xml:space="preserve">The population sources were appropriate; however, the financial model </w:t>
      </w:r>
      <w:r w:rsidR="00820862" w:rsidRPr="00B06893">
        <w:t xml:space="preserve">estimates commenced </w:t>
      </w:r>
      <w:r w:rsidRPr="00B06893">
        <w:t xml:space="preserve">in 2025 which </w:t>
      </w:r>
      <w:r w:rsidR="00820862" w:rsidRPr="00B06893">
        <w:t xml:space="preserve">was </w:t>
      </w:r>
      <w:r w:rsidRPr="00B06893">
        <w:t xml:space="preserve">inappropriate as the submission will not be presented to </w:t>
      </w:r>
      <w:r w:rsidR="00820862" w:rsidRPr="00B06893">
        <w:t xml:space="preserve">the </w:t>
      </w:r>
      <w:r w:rsidRPr="00B06893">
        <w:t xml:space="preserve">PBAC until 2026. The populations </w:t>
      </w:r>
      <w:r w:rsidR="00820862" w:rsidRPr="00B06893">
        <w:t xml:space="preserve">in the model </w:t>
      </w:r>
      <w:r w:rsidRPr="00B06893">
        <w:t>should be updated to cover 2026 to 2031.</w:t>
      </w:r>
    </w:p>
    <w:p w14:paraId="636B26B9" w14:textId="3DA19073" w:rsidR="00820862" w:rsidRPr="00B06893" w:rsidRDefault="000505F0" w:rsidP="00501A02">
      <w:pPr>
        <w:pStyle w:val="3-BodyText"/>
      </w:pPr>
      <w:r w:rsidRPr="00B06893">
        <w:t xml:space="preserve">The submission indicated that the uptake rates applied in each population </w:t>
      </w:r>
      <w:r w:rsidR="00820862" w:rsidRPr="00B06893">
        <w:t xml:space="preserve">were </w:t>
      </w:r>
      <w:r w:rsidRPr="00B06893">
        <w:t>derived from the COVID</w:t>
      </w:r>
      <w:r w:rsidR="00193971">
        <w:noBreakHyphen/>
      </w:r>
      <w:r w:rsidRPr="00B06893">
        <w:t>19 vaccination data published by the Department (October 2025). The</w:t>
      </w:r>
      <w:r w:rsidR="00820862" w:rsidRPr="00B06893">
        <w:t>se</w:t>
      </w:r>
      <w:r w:rsidRPr="00B06893">
        <w:t xml:space="preserve"> data provide details of the number of vaccinations by age cohort in a rolling 12 months. The financial model </w:t>
      </w:r>
      <w:r w:rsidR="00820862" w:rsidRPr="00B06893">
        <w:t xml:space="preserve">assumed </w:t>
      </w:r>
      <w:r w:rsidRPr="00B06893">
        <w:t xml:space="preserve">that the rate of vaccination </w:t>
      </w:r>
      <w:r w:rsidR="00820862" w:rsidRPr="00B06893">
        <w:t>would not be</w:t>
      </w:r>
      <w:r w:rsidR="00580BAD">
        <w:t xml:space="preserve"> </w:t>
      </w:r>
      <w:r w:rsidRPr="00B06893">
        <w:t xml:space="preserve">impacted by the listing of </w:t>
      </w:r>
      <w:r w:rsidR="00715C42" w:rsidRPr="00B06893">
        <w:t>Spikevax</w:t>
      </w:r>
      <w:r w:rsidRPr="00B06893">
        <w:t xml:space="preserve">. The </w:t>
      </w:r>
      <w:r w:rsidR="00820862" w:rsidRPr="00B06893">
        <w:t xml:space="preserve">evaluation considered that </w:t>
      </w:r>
      <w:r w:rsidRPr="00B06893">
        <w:t xml:space="preserve">uptake rates are affected by two opposing changes; firstly, vaccination rates are continuing to decline, and distinct “seasons” are becoming less obvious in the data. Secondly, </w:t>
      </w:r>
      <w:r w:rsidR="00BB18D0" w:rsidRPr="00B06893">
        <w:t xml:space="preserve">as noted by the evaluation, </w:t>
      </w:r>
      <w:r w:rsidRPr="00B06893">
        <w:t>it is uncertain if the introduction of a new vaccine will increase the uptake of COVID</w:t>
      </w:r>
      <w:r w:rsidR="00193971">
        <w:noBreakHyphen/>
      </w:r>
      <w:r w:rsidRPr="00B06893">
        <w:t xml:space="preserve">19 vaccines. While the uptake rate </w:t>
      </w:r>
      <w:r w:rsidR="00820862" w:rsidRPr="00B06893">
        <w:t xml:space="preserve">was </w:t>
      </w:r>
      <w:r w:rsidRPr="00B06893">
        <w:t xml:space="preserve">drawn from an appropriate source, it </w:t>
      </w:r>
      <w:r w:rsidR="00820862" w:rsidRPr="00B06893">
        <w:t xml:space="preserve">was </w:t>
      </w:r>
      <w:r w:rsidRPr="00B06893">
        <w:t>likely to be overestimated.</w:t>
      </w:r>
      <w:r w:rsidR="00580BAD">
        <w:t xml:space="preserve"> </w:t>
      </w:r>
      <w:r w:rsidR="00820862" w:rsidRPr="00B06893">
        <w:t>The dosing regimen for 75+ years patients assumes that all patients will receive both annual vaccinations. This is unlikely to occur in clinical practice and so overestimates the number of vaccinations provided</w:t>
      </w:r>
    </w:p>
    <w:p w14:paraId="75770D29" w14:textId="19DA979D" w:rsidR="000505F0" w:rsidRPr="00B06893" w:rsidRDefault="000505F0" w:rsidP="006026DD">
      <w:pPr>
        <w:pStyle w:val="3-BodyText"/>
      </w:pPr>
      <w:r w:rsidRPr="00B06893">
        <w:t xml:space="preserve">The submission’s uptake rates are significantly higher </w:t>
      </w:r>
      <w:r w:rsidR="00820862" w:rsidRPr="00B06893">
        <w:t xml:space="preserve">than </w:t>
      </w:r>
      <w:r w:rsidRPr="00B06893">
        <w:t xml:space="preserve">the </w:t>
      </w:r>
      <w:r w:rsidR="00820862" w:rsidRPr="00B06893">
        <w:t xml:space="preserve">current </w:t>
      </w:r>
      <w:r w:rsidRPr="00B06893">
        <w:t xml:space="preserve">coverage information reported in the National Centre for Immunisation Research and </w:t>
      </w:r>
      <w:r w:rsidRPr="00B06893">
        <w:lastRenderedPageBreak/>
        <w:t xml:space="preserve">Surveillance (NCIRS) Annual Vaccination Coverage Report 2024 for comparable age cohorts. </w:t>
      </w:r>
    </w:p>
    <w:p w14:paraId="1B334FCB" w14:textId="04355449" w:rsidR="000505F0" w:rsidRPr="00B06893" w:rsidRDefault="000505F0" w:rsidP="000E2068">
      <w:pPr>
        <w:pStyle w:val="3-BodyText"/>
      </w:pPr>
      <w:r w:rsidRPr="00B06893">
        <w:t>The submission applied a rate of 3.76% from MacIntyre et al (2018) to the number of people 18</w:t>
      </w:r>
      <w:r w:rsidR="00193971">
        <w:noBreakHyphen/>
      </w:r>
      <w:r w:rsidRPr="00B06893">
        <w:t xml:space="preserve">64 years who were immunocompromised. </w:t>
      </w:r>
      <w:r w:rsidR="00BB18D0" w:rsidRPr="00B06893">
        <w:t xml:space="preserve">The evaluation considered it was </w:t>
      </w:r>
      <w:r w:rsidRPr="00B06893">
        <w:t>uncertain if this rate can be generalised to the whole Australian population (geographically) due to the method and assumptions used to construct it. It is also unlikely that a single rate would apply across all age cohorts.</w:t>
      </w:r>
    </w:p>
    <w:p w14:paraId="1A88E34F" w14:textId="3FB4D179" w:rsidR="000505F0" w:rsidRPr="00B06893" w:rsidRDefault="000505F0" w:rsidP="00820862">
      <w:pPr>
        <w:pStyle w:val="3-BodyText"/>
        <w:numPr>
          <w:ilvl w:val="0"/>
          <w:numId w:val="0"/>
        </w:numPr>
      </w:pPr>
    </w:p>
    <w:p w14:paraId="108508E5" w14:textId="77777777" w:rsidR="000505F0" w:rsidRPr="00B06893" w:rsidRDefault="000505F0" w:rsidP="000505F0">
      <w:pPr>
        <w:keepNext/>
        <w:spacing w:before="120" w:after="120"/>
        <w:outlineLvl w:val="1"/>
        <w:rPr>
          <w:rFonts w:eastAsiaTheme="majorEastAsia" w:cstheme="majorBidi"/>
          <w:b/>
          <w:i/>
          <w:color w:val="000000" w:themeColor="text1"/>
          <w:spacing w:val="5"/>
          <w:kern w:val="28"/>
          <w:sz w:val="28"/>
          <w:szCs w:val="36"/>
          <w:lang w:eastAsia="en-US"/>
        </w:rPr>
      </w:pPr>
      <w:bookmarkStart w:id="103" w:name="_Toc216394646"/>
      <w:r w:rsidRPr="00B06893">
        <w:rPr>
          <w:rFonts w:eastAsiaTheme="majorEastAsia" w:cstheme="majorBidi"/>
          <w:b/>
          <w:i/>
          <w:color w:val="000000" w:themeColor="text1"/>
          <w:spacing w:val="5"/>
          <w:kern w:val="28"/>
          <w:sz w:val="28"/>
          <w:szCs w:val="36"/>
          <w:lang w:eastAsia="en-US"/>
        </w:rPr>
        <w:t>Quality Use of Medicines</w:t>
      </w:r>
      <w:bookmarkEnd w:id="103"/>
    </w:p>
    <w:p w14:paraId="5AB2FFB3" w14:textId="4B9274AE" w:rsidR="000505F0" w:rsidRPr="00B06893" w:rsidRDefault="000505F0" w:rsidP="000505F0">
      <w:pPr>
        <w:pStyle w:val="3-BodyText"/>
      </w:pPr>
      <w:r w:rsidRPr="00B06893">
        <w:t xml:space="preserve">The submission indicated that the sponsor’s support of healthcare professionals that was commenced during the pandemic will continue with the listing of </w:t>
      </w:r>
      <w:r w:rsidR="00715C42" w:rsidRPr="00B06893">
        <w:t>S</w:t>
      </w:r>
      <w:r w:rsidRPr="00B06893">
        <w:t>pikevax on the NIP.</w:t>
      </w:r>
    </w:p>
    <w:p w14:paraId="70D4A717" w14:textId="4E45AEA7" w:rsidR="0016276A" w:rsidRPr="00B06893" w:rsidRDefault="000505F0" w:rsidP="00931C45">
      <w:pPr>
        <w:pStyle w:val="3-BodyText"/>
      </w:pPr>
      <w:r w:rsidRPr="00B06893">
        <w:rPr>
          <w:rFonts w:ascii="Calibri" w:eastAsia="Times New Roman" w:hAnsi="Calibri" w:cs="Arial"/>
          <w:szCs w:val="24"/>
        </w:rPr>
        <w:t>The post marketing surveillance currently provided by AusVaxSafety for all NIP</w:t>
      </w:r>
      <w:r w:rsidR="00193971">
        <w:rPr>
          <w:rFonts w:ascii="Calibri" w:eastAsia="Times New Roman" w:hAnsi="Calibri" w:cs="Arial"/>
          <w:szCs w:val="24"/>
        </w:rPr>
        <w:noBreakHyphen/>
      </w:r>
      <w:r w:rsidRPr="00B06893">
        <w:rPr>
          <w:rFonts w:ascii="Calibri" w:eastAsia="Times New Roman" w:hAnsi="Calibri" w:cs="Arial"/>
          <w:szCs w:val="24"/>
        </w:rPr>
        <w:t>listed vaccines will continue. The submission did not identify any additional post marketing surveillance that the sponsor would undertake.</w:t>
      </w:r>
      <w:bookmarkStart w:id="104" w:name="_Toc219898344"/>
    </w:p>
    <w:p w14:paraId="4DA3950A" w14:textId="77777777" w:rsidR="00840883" w:rsidRPr="00B06893" w:rsidRDefault="00840883" w:rsidP="00840883">
      <w:pPr>
        <w:ind w:firstLine="720"/>
        <w:rPr>
          <w:szCs w:val="24"/>
        </w:rPr>
      </w:pPr>
      <w:r w:rsidRPr="00B06893">
        <w:rPr>
          <w:i/>
        </w:rPr>
        <w:t>For more detail on PBAC’s view, see section 7 PBAC outcome.</w:t>
      </w:r>
    </w:p>
    <w:p w14:paraId="4BC26751" w14:textId="77777777" w:rsidR="007A6E02" w:rsidRPr="00B06893" w:rsidRDefault="007A6E02" w:rsidP="007A6E02">
      <w:pPr>
        <w:pStyle w:val="2-SectionHeading"/>
        <w:numPr>
          <w:ilvl w:val="0"/>
          <w:numId w:val="1"/>
        </w:numPr>
      </w:pPr>
      <w:bookmarkStart w:id="105" w:name="_Hlk76381249"/>
      <w:bookmarkStart w:id="106" w:name="_Hlk76377955"/>
      <w:bookmarkEnd w:id="104"/>
      <w:r w:rsidRPr="00B06893">
        <w:t>PBAC Outcome</w:t>
      </w:r>
    </w:p>
    <w:p w14:paraId="1A384E1E" w14:textId="096052B3" w:rsidR="00351215" w:rsidRPr="00B06893" w:rsidRDefault="00351215" w:rsidP="00501A02">
      <w:pPr>
        <w:pStyle w:val="3-BodyText"/>
        <w:spacing w:before="120" w:after="120"/>
        <w:rPr>
          <w:rFonts w:eastAsia="Times New Roman" w:cs="Arial"/>
          <w:snapToGrid w:val="0"/>
          <w:szCs w:val="20"/>
        </w:rPr>
      </w:pPr>
      <w:bookmarkStart w:id="107" w:name="_Hlk111543188"/>
      <w:r w:rsidRPr="00B06893">
        <w:rPr>
          <w:rFonts w:eastAsia="Times New Roman" w:cs="Arial"/>
          <w:snapToGrid w:val="0"/>
          <w:szCs w:val="20"/>
        </w:rPr>
        <w:t>The PBAC deferred making a recommendation for the National Immunisation Program (NIP) listing of the mRNA</w:t>
      </w:r>
      <w:r w:rsidR="00193971">
        <w:rPr>
          <w:rFonts w:eastAsia="Times New Roman" w:cs="Arial"/>
          <w:snapToGrid w:val="0"/>
          <w:szCs w:val="20"/>
        </w:rPr>
        <w:noBreakHyphen/>
      </w:r>
      <w:r w:rsidRPr="00B06893">
        <w:rPr>
          <w:rFonts w:eastAsia="Times New Roman" w:cs="Arial"/>
          <w:snapToGrid w:val="0"/>
          <w:szCs w:val="20"/>
        </w:rPr>
        <w:t>1273 platform (Spikevax®) vaccines, for prevention of coronavirus disease 2019 (COVID</w:t>
      </w:r>
      <w:r w:rsidR="00193971">
        <w:rPr>
          <w:rFonts w:eastAsia="Times New Roman" w:cs="Arial"/>
          <w:snapToGrid w:val="0"/>
          <w:szCs w:val="20"/>
        </w:rPr>
        <w:noBreakHyphen/>
      </w:r>
      <w:r w:rsidRPr="00B06893">
        <w:rPr>
          <w:rFonts w:eastAsia="Times New Roman" w:cs="Arial"/>
          <w:snapToGrid w:val="0"/>
          <w:szCs w:val="20"/>
        </w:rPr>
        <w:t>19) caused by SARS CoV</w:t>
      </w:r>
      <w:r w:rsidR="00193971">
        <w:rPr>
          <w:rFonts w:eastAsia="Times New Roman" w:cs="Arial"/>
          <w:snapToGrid w:val="0"/>
          <w:szCs w:val="20"/>
        </w:rPr>
        <w:noBreakHyphen/>
      </w:r>
      <w:r w:rsidRPr="00B06893">
        <w:rPr>
          <w:rFonts w:eastAsia="Times New Roman" w:cs="Arial"/>
          <w:snapToGrid w:val="0"/>
          <w:szCs w:val="20"/>
        </w:rPr>
        <w:t>2 virus in four populations of adults as requested by the sponsor.</w:t>
      </w:r>
      <w:r w:rsidR="00580BAD">
        <w:rPr>
          <w:rFonts w:eastAsia="Times New Roman" w:cs="Arial"/>
          <w:snapToGrid w:val="0"/>
          <w:szCs w:val="20"/>
        </w:rPr>
        <w:t xml:space="preserve"> </w:t>
      </w:r>
      <w:r w:rsidRPr="00B06893">
        <w:rPr>
          <w:rFonts w:eastAsia="Times New Roman" w:cs="Arial"/>
          <w:snapToGrid w:val="0"/>
          <w:szCs w:val="20"/>
        </w:rPr>
        <w:t>The PBAC deferred making a recommendation due to the TGA evaluation of Spikevax LP.8.1. being delayed and the TGA Delegate’s Overview not being available.</w:t>
      </w:r>
      <w:r w:rsidR="00580BAD">
        <w:rPr>
          <w:rFonts w:eastAsia="Times New Roman" w:cs="Arial"/>
          <w:snapToGrid w:val="0"/>
          <w:szCs w:val="20"/>
        </w:rPr>
        <w:t xml:space="preserve"> </w:t>
      </w:r>
      <w:r w:rsidRPr="00B06893">
        <w:rPr>
          <w:rFonts w:eastAsia="Times New Roman" w:cs="Arial"/>
          <w:snapToGrid w:val="0"/>
          <w:szCs w:val="20"/>
        </w:rPr>
        <w:t>The submission requested NIP listing for: 1) Adults aged 75 years or more (2 doses per year); 2) Adults aged 65</w:t>
      </w:r>
      <w:r w:rsidR="00193971">
        <w:rPr>
          <w:rFonts w:eastAsia="Times New Roman" w:cs="Arial"/>
          <w:snapToGrid w:val="0"/>
          <w:szCs w:val="20"/>
        </w:rPr>
        <w:noBreakHyphen/>
      </w:r>
      <w:r w:rsidRPr="00B06893">
        <w:rPr>
          <w:rFonts w:eastAsia="Times New Roman" w:cs="Arial"/>
          <w:snapToGrid w:val="0"/>
          <w:szCs w:val="20"/>
        </w:rPr>
        <w:t>74 years (1 dose per year); 3) Adults aged 18</w:t>
      </w:r>
      <w:r w:rsidR="00193971">
        <w:rPr>
          <w:rFonts w:eastAsia="Times New Roman" w:cs="Arial"/>
          <w:snapToGrid w:val="0"/>
          <w:szCs w:val="20"/>
        </w:rPr>
        <w:noBreakHyphen/>
      </w:r>
      <w:r w:rsidRPr="00B06893">
        <w:rPr>
          <w:rFonts w:eastAsia="Times New Roman" w:cs="Arial"/>
          <w:snapToGrid w:val="0"/>
          <w:szCs w:val="20"/>
        </w:rPr>
        <w:t>64 years with severe immunocompromise (1 dose per year); and 4) Aboriginal and Torres Strait Islander adults aged 50 to 74 years (1 dose per year). This represents a restricted group in comparison to current arrangements under the National COVID</w:t>
      </w:r>
      <w:r w:rsidR="00193971">
        <w:rPr>
          <w:rFonts w:eastAsia="Times New Roman" w:cs="Arial"/>
          <w:snapToGrid w:val="0"/>
          <w:szCs w:val="20"/>
        </w:rPr>
        <w:noBreakHyphen/>
      </w:r>
      <w:r w:rsidRPr="00B06893">
        <w:rPr>
          <w:rFonts w:eastAsia="Times New Roman" w:cs="Arial"/>
          <w:snapToGrid w:val="0"/>
          <w:szCs w:val="20"/>
        </w:rPr>
        <w:t>19 Vaccination Program (NCVP).</w:t>
      </w:r>
      <w:r w:rsidR="00580BAD">
        <w:rPr>
          <w:rFonts w:eastAsia="Times New Roman" w:cs="Arial"/>
          <w:snapToGrid w:val="0"/>
          <w:szCs w:val="20"/>
        </w:rPr>
        <w:t xml:space="preserve"> </w:t>
      </w:r>
      <w:r w:rsidRPr="00B06893">
        <w:rPr>
          <w:snapToGrid w:val="0"/>
        </w:rPr>
        <w:t xml:space="preserve">The PBAC considered that Spikevax was superior to no vaccine in terms of effectiveness with an acceptable safety profile, </w:t>
      </w:r>
      <w:r w:rsidRPr="00B06893">
        <w:t>although the magnitude and duration of benefit were uncertain.</w:t>
      </w:r>
      <w:r w:rsidR="00580BAD">
        <w:t xml:space="preserve"> </w:t>
      </w:r>
      <w:r w:rsidRPr="00B06893">
        <w:t>The PBAC noted the limitations of the evidence, but overall concluded that it would be reasonable to consider the Spikevax mRNA</w:t>
      </w:r>
      <w:r w:rsidR="00193971">
        <w:noBreakHyphen/>
      </w:r>
      <w:r w:rsidRPr="00B06893">
        <w:t>1273 vaccine platform non</w:t>
      </w:r>
      <w:r w:rsidR="00193971">
        <w:noBreakHyphen/>
      </w:r>
      <w:r w:rsidRPr="00B06893">
        <w:t>inferior to the Comirnaty BNT162b2 vaccine platform with respect to effectiveness and safety, when corresponding versions of the vaccines are compared, e.g. Spikevax LP.8.1 compared with Comirnaty LP.8.1.</w:t>
      </w:r>
      <w:r w:rsidR="00580BAD">
        <w:t xml:space="preserve"> </w:t>
      </w:r>
      <w:r w:rsidRPr="00B06893">
        <w:rPr>
          <w:iCs/>
        </w:rPr>
        <w:t xml:space="preserve">The PBAC </w:t>
      </w:r>
      <w:r w:rsidRPr="00B06893">
        <w:rPr>
          <w:rFonts w:eastAsia="Times New Roman" w:cs="Arial"/>
          <w:snapToGrid w:val="0"/>
          <w:szCs w:val="20"/>
        </w:rPr>
        <w:t xml:space="preserve">considered that the </w:t>
      </w:r>
      <w:r w:rsidR="003D6D22" w:rsidRPr="00B06893">
        <w:rPr>
          <w:rFonts w:eastAsia="Times New Roman" w:cs="Arial"/>
          <w:snapToGrid w:val="0"/>
          <w:szCs w:val="20"/>
        </w:rPr>
        <w:t>submission</w:t>
      </w:r>
      <w:r w:rsidRPr="00B06893">
        <w:rPr>
          <w:rFonts w:eastAsia="Times New Roman" w:cs="Arial"/>
          <w:snapToGrid w:val="0"/>
          <w:szCs w:val="20"/>
        </w:rPr>
        <w:t xml:space="preserve"> did not provide a reliable estimate of </w:t>
      </w:r>
      <w:r w:rsidR="00E8668B" w:rsidRPr="00B06893">
        <w:rPr>
          <w:rFonts w:eastAsia="Times New Roman" w:cs="Arial"/>
          <w:snapToGrid w:val="0"/>
          <w:szCs w:val="20"/>
        </w:rPr>
        <w:t xml:space="preserve">the </w:t>
      </w:r>
      <w:r w:rsidRPr="00B06893">
        <w:rPr>
          <w:rFonts w:eastAsia="Times New Roman" w:cs="Arial"/>
          <w:snapToGrid w:val="0"/>
          <w:szCs w:val="20"/>
        </w:rPr>
        <w:t>cost</w:t>
      </w:r>
      <w:r w:rsidR="00193971">
        <w:rPr>
          <w:rFonts w:eastAsia="Times New Roman" w:cs="Arial"/>
          <w:snapToGrid w:val="0"/>
          <w:szCs w:val="20"/>
        </w:rPr>
        <w:noBreakHyphen/>
      </w:r>
      <w:r w:rsidRPr="00B06893">
        <w:rPr>
          <w:rFonts w:eastAsia="Times New Roman" w:cs="Arial"/>
          <w:snapToGrid w:val="0"/>
          <w:szCs w:val="20"/>
        </w:rPr>
        <w:t xml:space="preserve">effectiveness </w:t>
      </w:r>
      <w:r w:rsidR="007E1430" w:rsidRPr="00B06893">
        <w:rPr>
          <w:rFonts w:eastAsia="Times New Roman" w:cs="Arial"/>
          <w:snapToGrid w:val="0"/>
          <w:szCs w:val="20"/>
        </w:rPr>
        <w:t>of Spikevax versus no vaccination</w:t>
      </w:r>
      <w:r w:rsidRPr="00B06893">
        <w:rPr>
          <w:rFonts w:eastAsia="Times New Roman" w:cs="Arial"/>
          <w:snapToGrid w:val="0"/>
          <w:szCs w:val="20"/>
        </w:rPr>
        <w:t>.</w:t>
      </w:r>
      <w:r w:rsidR="00580BAD">
        <w:rPr>
          <w:rFonts w:eastAsia="Times New Roman" w:cs="Arial"/>
          <w:snapToGrid w:val="0"/>
          <w:szCs w:val="20"/>
        </w:rPr>
        <w:t xml:space="preserve"> </w:t>
      </w:r>
      <w:r w:rsidRPr="00B06893">
        <w:rPr>
          <w:rFonts w:eastAsia="Times New Roman" w:cs="Arial"/>
          <w:snapToGrid w:val="0"/>
          <w:szCs w:val="20"/>
        </w:rPr>
        <w:t>However, the PBAC advised that if the near market comparator</w:t>
      </w:r>
      <w:r w:rsidR="00447C43" w:rsidRPr="00B06893">
        <w:rPr>
          <w:rFonts w:eastAsia="Times New Roman" w:cs="Arial"/>
          <w:snapToGrid w:val="0"/>
          <w:szCs w:val="20"/>
        </w:rPr>
        <w:t xml:space="preserve">, </w:t>
      </w:r>
      <w:r w:rsidRPr="00B06893">
        <w:rPr>
          <w:rFonts w:eastAsia="Times New Roman" w:cs="Arial"/>
          <w:snapToGrid w:val="0"/>
          <w:szCs w:val="20"/>
        </w:rPr>
        <w:t>Comirnaty</w:t>
      </w:r>
      <w:r w:rsidR="00447C43" w:rsidRPr="00B06893">
        <w:rPr>
          <w:rFonts w:eastAsia="Times New Roman" w:cs="Arial"/>
          <w:snapToGrid w:val="0"/>
          <w:szCs w:val="20"/>
        </w:rPr>
        <w:t>,</w:t>
      </w:r>
      <w:r w:rsidRPr="00B06893">
        <w:rPr>
          <w:rFonts w:eastAsia="Times New Roman" w:cs="Arial"/>
          <w:snapToGrid w:val="0"/>
          <w:szCs w:val="20"/>
        </w:rPr>
        <w:t xml:space="preserve"> is listed on the NIP, and </w:t>
      </w:r>
      <w:r w:rsidR="004E4971" w:rsidRPr="00B06893">
        <w:rPr>
          <w:rFonts w:eastAsia="Times New Roman" w:cs="Arial"/>
          <w:snapToGrid w:val="0"/>
          <w:szCs w:val="20"/>
        </w:rPr>
        <w:t>the</w:t>
      </w:r>
      <w:r w:rsidRPr="00B06893">
        <w:rPr>
          <w:rFonts w:eastAsia="Times New Roman" w:cs="Arial"/>
          <w:snapToGrid w:val="0"/>
          <w:szCs w:val="20"/>
        </w:rPr>
        <w:t xml:space="preserve"> TGA</w:t>
      </w:r>
      <w:r w:rsidR="00447C43" w:rsidRPr="00B06893">
        <w:rPr>
          <w:rFonts w:eastAsia="Times New Roman" w:cs="Arial"/>
          <w:snapToGrid w:val="0"/>
          <w:szCs w:val="20"/>
        </w:rPr>
        <w:t xml:space="preserve"> approv</w:t>
      </w:r>
      <w:r w:rsidR="004E4971" w:rsidRPr="00B06893">
        <w:rPr>
          <w:rFonts w:eastAsia="Times New Roman" w:cs="Arial"/>
          <w:snapToGrid w:val="0"/>
          <w:szCs w:val="20"/>
        </w:rPr>
        <w:t>e</w:t>
      </w:r>
      <w:r w:rsidR="00447C43" w:rsidRPr="00B06893">
        <w:rPr>
          <w:rFonts w:eastAsia="Times New Roman" w:cs="Arial"/>
          <w:snapToGrid w:val="0"/>
          <w:szCs w:val="20"/>
        </w:rPr>
        <w:t xml:space="preserve"> </w:t>
      </w:r>
      <w:r w:rsidRPr="00B06893">
        <w:rPr>
          <w:rFonts w:eastAsia="Times New Roman" w:cs="Arial"/>
          <w:snapToGrid w:val="0"/>
          <w:szCs w:val="20"/>
        </w:rPr>
        <w:t>Spikevax LP.8.1</w:t>
      </w:r>
      <w:r w:rsidRPr="00B06893">
        <w:t xml:space="preserve"> </w:t>
      </w:r>
      <w:r w:rsidR="00DA0D7B" w:rsidRPr="00B06893">
        <w:t xml:space="preserve">, </w:t>
      </w:r>
      <w:r w:rsidRPr="00B06893">
        <w:t>Spikevax would be cost</w:t>
      </w:r>
      <w:r w:rsidR="00193971">
        <w:noBreakHyphen/>
      </w:r>
      <w:r w:rsidRPr="00B06893">
        <w:t>effective if it were cost</w:t>
      </w:r>
      <w:r w:rsidR="00193971">
        <w:noBreakHyphen/>
      </w:r>
      <w:r w:rsidRPr="00B06893">
        <w:t xml:space="preserve">minimised to </w:t>
      </w:r>
      <w:r w:rsidRPr="00B06893">
        <w:rPr>
          <w:snapToGrid w:val="0"/>
        </w:rPr>
        <w:t>Comirnaty</w:t>
      </w:r>
      <w:r w:rsidR="00872B0A" w:rsidRPr="00B06893">
        <w:rPr>
          <w:snapToGrid w:val="0"/>
        </w:rPr>
        <w:t xml:space="preserve"> for the </w:t>
      </w:r>
      <w:r w:rsidR="00447C43" w:rsidRPr="00B06893">
        <w:rPr>
          <w:snapToGrid w:val="0"/>
        </w:rPr>
        <w:t>requested</w:t>
      </w:r>
      <w:r w:rsidR="00872B0A" w:rsidRPr="00B06893">
        <w:rPr>
          <w:snapToGrid w:val="0"/>
        </w:rPr>
        <w:t xml:space="preserve"> populations</w:t>
      </w:r>
      <w:r w:rsidRPr="00B06893">
        <w:rPr>
          <w:snapToGrid w:val="0"/>
        </w:rPr>
        <w:t>.</w:t>
      </w:r>
    </w:p>
    <w:p w14:paraId="18887107" w14:textId="3E654C42" w:rsidR="00B02599" w:rsidRPr="00B06893" w:rsidRDefault="00B02599" w:rsidP="00B02599">
      <w:pPr>
        <w:pStyle w:val="3-BodyText"/>
        <w:rPr>
          <w:rFonts w:eastAsia="Times New Roman" w:cs="Arial"/>
          <w:snapToGrid w:val="0"/>
          <w:szCs w:val="20"/>
        </w:rPr>
      </w:pPr>
      <w:r w:rsidRPr="00B06893">
        <w:rPr>
          <w:snapToGrid w:val="0"/>
        </w:rPr>
        <w:lastRenderedPageBreak/>
        <w:t>The submission requested NIP listing of mRNA</w:t>
      </w:r>
      <w:r w:rsidR="00193971">
        <w:rPr>
          <w:snapToGrid w:val="0"/>
        </w:rPr>
        <w:noBreakHyphen/>
      </w:r>
      <w:r w:rsidRPr="00B06893">
        <w:rPr>
          <w:snapToGrid w:val="0"/>
        </w:rPr>
        <w:t xml:space="preserve">1273 (Spikevax) </w:t>
      </w:r>
      <w:r w:rsidR="00242576" w:rsidRPr="00B06893">
        <w:rPr>
          <w:snapToGrid w:val="0"/>
        </w:rPr>
        <w:t xml:space="preserve">vaccines </w:t>
      </w:r>
      <w:r w:rsidRPr="00B06893">
        <w:rPr>
          <w:snapToGrid w:val="0"/>
        </w:rPr>
        <w:t>updated</w:t>
      </w:r>
      <w:r w:rsidR="00242576" w:rsidRPr="00B06893">
        <w:rPr>
          <w:snapToGrid w:val="0"/>
        </w:rPr>
        <w:t xml:space="preserve"> to</w:t>
      </w:r>
      <w:r w:rsidRPr="00B06893">
        <w:rPr>
          <w:snapToGrid w:val="0"/>
        </w:rPr>
        <w:t xml:space="preserve"> target circulating and emerging variants of SARS</w:t>
      </w:r>
      <w:r w:rsidR="00193971">
        <w:rPr>
          <w:snapToGrid w:val="0"/>
        </w:rPr>
        <w:noBreakHyphen/>
      </w:r>
      <w:r w:rsidRPr="00B06893">
        <w:rPr>
          <w:snapToGrid w:val="0"/>
        </w:rPr>
        <w:t>CoV</w:t>
      </w:r>
      <w:r w:rsidR="00193971">
        <w:rPr>
          <w:snapToGrid w:val="0"/>
        </w:rPr>
        <w:noBreakHyphen/>
      </w:r>
      <w:r w:rsidRPr="00B06893">
        <w:rPr>
          <w:snapToGrid w:val="0"/>
        </w:rPr>
        <w:t>2. As such, the proposed listing is not limited to the current TGA</w:t>
      </w:r>
      <w:r w:rsidR="00193971">
        <w:rPr>
          <w:snapToGrid w:val="0"/>
        </w:rPr>
        <w:noBreakHyphen/>
      </w:r>
      <w:r w:rsidRPr="00B06893">
        <w:rPr>
          <w:snapToGrid w:val="0"/>
        </w:rPr>
        <w:t>approved version of Spikevax (JN.1), nor the version of Spikevax under consideration by the TGA currently (LP.8.1). A platform approach would mean that PBAC advice could apply to future adaptations of the mRNA</w:t>
      </w:r>
      <w:r w:rsidR="00193971">
        <w:rPr>
          <w:snapToGrid w:val="0"/>
        </w:rPr>
        <w:noBreakHyphen/>
      </w:r>
      <w:r w:rsidRPr="00B06893">
        <w:rPr>
          <w:snapToGrid w:val="0"/>
        </w:rPr>
        <w:t>1273 (Spikevax) vaccine, manufactured by Moderna using the same platform</w:t>
      </w:r>
      <w:r w:rsidR="00F063C2" w:rsidRPr="00B06893">
        <w:rPr>
          <w:snapToGrid w:val="0"/>
        </w:rPr>
        <w:t>,</w:t>
      </w:r>
      <w:r w:rsidRPr="00B06893">
        <w:rPr>
          <w:snapToGrid w:val="0"/>
        </w:rPr>
        <w:t xml:space="preserve"> that have been approved by the TGA.</w:t>
      </w:r>
    </w:p>
    <w:p w14:paraId="11EE03E1" w14:textId="596A9C3E" w:rsidR="00242576" w:rsidRPr="00B06893" w:rsidRDefault="00242576" w:rsidP="00242576">
      <w:pPr>
        <w:pStyle w:val="3-BodyText"/>
        <w:rPr>
          <w:rFonts w:eastAsia="Times New Roman" w:cs="Arial"/>
          <w:snapToGrid w:val="0"/>
          <w:szCs w:val="20"/>
        </w:rPr>
      </w:pPr>
      <w:r w:rsidRPr="00B06893">
        <w:rPr>
          <w:rFonts w:eastAsia="Times New Roman" w:cs="Arial"/>
          <w:snapToGrid w:val="0"/>
          <w:szCs w:val="20"/>
        </w:rPr>
        <w:t>The PBAC noted that the reason for taking a platform approach to the consideration is to enable the efficient and timely introduction of future Spikevax vaccines to ensure the community has access to the latest vaccine through the NIP.</w:t>
      </w:r>
      <w:r w:rsidR="00580BAD">
        <w:rPr>
          <w:rFonts w:eastAsia="Times New Roman" w:cs="Arial"/>
          <w:snapToGrid w:val="0"/>
          <w:szCs w:val="20"/>
        </w:rPr>
        <w:t xml:space="preserve"> </w:t>
      </w:r>
      <w:r w:rsidRPr="00B06893">
        <w:rPr>
          <w:rFonts w:eastAsia="Times New Roman" w:cs="Arial"/>
          <w:snapToGrid w:val="0"/>
          <w:szCs w:val="20"/>
        </w:rPr>
        <w:t>As such, TGA registration of the latest vaccine is required.</w:t>
      </w:r>
      <w:r w:rsidR="00580BAD">
        <w:rPr>
          <w:rFonts w:eastAsia="Times New Roman" w:cs="Arial"/>
          <w:snapToGrid w:val="0"/>
          <w:szCs w:val="20"/>
        </w:rPr>
        <w:t xml:space="preserve"> </w:t>
      </w:r>
      <w:r w:rsidRPr="00B06893">
        <w:rPr>
          <w:rFonts w:eastAsia="Times New Roman" w:cs="Arial"/>
          <w:snapToGrid w:val="0"/>
          <w:szCs w:val="20"/>
        </w:rPr>
        <w:t>While earlier version of Spikevax, such as Spikevax XBB.1.5 and Spikevax JN.1 have been approved by the TGA, at the time of the March 2026 PBAC meeting, the most current version of Spikevax was the LP.8.1 variant adapted COVID 19 vaccine, which was still under evaluation by the TGA.</w:t>
      </w:r>
    </w:p>
    <w:p w14:paraId="7588FC95" w14:textId="514FA72B" w:rsidR="00960BD3" w:rsidRPr="00B06893" w:rsidRDefault="00960BD3" w:rsidP="00501A02">
      <w:pPr>
        <w:pStyle w:val="3-BodyText"/>
        <w:spacing w:before="120" w:after="120"/>
        <w:rPr>
          <w:snapToGrid w:val="0"/>
        </w:rPr>
      </w:pPr>
      <w:r w:rsidRPr="00B06893">
        <w:t>The PBAC considered it was important to use vaccines that target current variants of the COVID</w:t>
      </w:r>
      <w:r w:rsidR="00193971">
        <w:noBreakHyphen/>
      </w:r>
      <w:r w:rsidRPr="00B06893">
        <w:t>19 virus (SARS</w:t>
      </w:r>
      <w:r w:rsidR="00193971">
        <w:noBreakHyphen/>
      </w:r>
      <w:r w:rsidRPr="00B06893">
        <w:t>CoV</w:t>
      </w:r>
      <w:r w:rsidR="00193971">
        <w:noBreakHyphen/>
      </w:r>
      <w:r w:rsidRPr="00B06893">
        <w:t>2).</w:t>
      </w:r>
      <w:r w:rsidR="00580BAD">
        <w:t xml:space="preserve"> </w:t>
      </w:r>
      <w:r w:rsidRPr="00B06893">
        <w:t>At the time of the March 2026 PBAC meeting, the most curr</w:t>
      </w:r>
      <w:r w:rsidRPr="00B06893">
        <w:rPr>
          <w:snapToGrid w:val="0"/>
        </w:rPr>
        <w:t>ent version of Spikevax was the LP.8.1 variant adapted COVID</w:t>
      </w:r>
      <w:r w:rsidR="00193971">
        <w:rPr>
          <w:snapToGrid w:val="0"/>
        </w:rPr>
        <w:noBreakHyphen/>
      </w:r>
      <w:r w:rsidRPr="00B06893">
        <w:rPr>
          <w:snapToGrid w:val="0"/>
        </w:rPr>
        <w:t xml:space="preserve">19 vaccine, for which </w:t>
      </w:r>
      <w:r w:rsidR="00447C43" w:rsidRPr="00B06893">
        <w:rPr>
          <w:snapToGrid w:val="0"/>
        </w:rPr>
        <w:t xml:space="preserve">the </w:t>
      </w:r>
      <w:r w:rsidRPr="00B06893">
        <w:rPr>
          <w:snapToGrid w:val="0"/>
        </w:rPr>
        <w:t xml:space="preserve">TGA evaluation </w:t>
      </w:r>
      <w:r w:rsidR="00447C43" w:rsidRPr="00B06893">
        <w:rPr>
          <w:snapToGrid w:val="0"/>
        </w:rPr>
        <w:t>was</w:t>
      </w:r>
      <w:r w:rsidRPr="00B06893">
        <w:rPr>
          <w:snapToGrid w:val="0"/>
        </w:rPr>
        <w:t xml:space="preserve"> ongoing.</w:t>
      </w:r>
      <w:r w:rsidR="00580BAD">
        <w:rPr>
          <w:snapToGrid w:val="0"/>
        </w:rPr>
        <w:t xml:space="preserve"> </w:t>
      </w:r>
      <w:r w:rsidRPr="00B06893">
        <w:rPr>
          <w:snapToGrid w:val="0"/>
        </w:rPr>
        <w:t>The PBAC noted that new adapted vaccines are anticipated in the future</w:t>
      </w:r>
      <w:r w:rsidRPr="00B06893">
        <w:rPr>
          <w:rFonts w:cstheme="minorHAnsi"/>
        </w:rPr>
        <w:t>.</w:t>
      </w:r>
      <w:r w:rsidR="00580BAD">
        <w:rPr>
          <w:rFonts w:cstheme="minorHAnsi"/>
        </w:rPr>
        <w:t xml:space="preserve"> </w:t>
      </w:r>
      <w:r w:rsidR="0012295B" w:rsidRPr="00B06893">
        <w:rPr>
          <w:rFonts w:cstheme="minorHAnsi"/>
        </w:rPr>
        <w:t>The PBAC noted that to support a platform approval, it would be necessary to consider suitable inputs for assessing cost effectiveness in the context of the additional uncertainty associated with the platform approach.</w:t>
      </w:r>
      <w:r w:rsidR="00580BAD">
        <w:rPr>
          <w:rFonts w:cstheme="minorHAnsi"/>
        </w:rPr>
        <w:t xml:space="preserve"> </w:t>
      </w:r>
      <w:r w:rsidR="0012295B" w:rsidRPr="00B06893">
        <w:rPr>
          <w:rFonts w:cstheme="minorHAnsi"/>
        </w:rPr>
        <w:t xml:space="preserve">Consistent with its previous advice for Comirnaty, the PBAC </w:t>
      </w:r>
      <w:r w:rsidR="00BC70CF" w:rsidRPr="00B06893">
        <w:rPr>
          <w:rFonts w:cstheme="minorHAnsi"/>
        </w:rPr>
        <w:t>advised</w:t>
      </w:r>
      <w:r w:rsidR="0012295B" w:rsidRPr="00B06893">
        <w:rPr>
          <w:rFonts w:cstheme="minorHAnsi"/>
        </w:rPr>
        <w:t xml:space="preserve"> that a conservative approach to modelling would be appropriate, given there will be a time lag between evolution of SARS</w:t>
      </w:r>
      <w:r w:rsidR="00193971">
        <w:rPr>
          <w:rFonts w:cstheme="minorHAnsi"/>
        </w:rPr>
        <w:noBreakHyphen/>
      </w:r>
      <w:r w:rsidR="0012295B" w:rsidRPr="00B06893">
        <w:rPr>
          <w:rFonts w:cstheme="minorHAnsi"/>
        </w:rPr>
        <w:t>CoV</w:t>
      </w:r>
      <w:r w:rsidR="00193971">
        <w:rPr>
          <w:rFonts w:cstheme="minorHAnsi"/>
        </w:rPr>
        <w:noBreakHyphen/>
      </w:r>
      <w:r w:rsidR="0012295B" w:rsidRPr="00B06893">
        <w:rPr>
          <w:rFonts w:cstheme="minorHAnsi"/>
        </w:rPr>
        <w:t>2 variants, subsequent development of a corresponding adapted Spikevax vaccine, and uncertainty of the effectiveness of such vaccines in the future. The estimates of VE over 12 months should also consider waning protection from vaccination and lower effectiveness from changes in circulating variants.</w:t>
      </w:r>
    </w:p>
    <w:p w14:paraId="19F9E550" w14:textId="77777777" w:rsidR="00E359F5" w:rsidRPr="00B06893" w:rsidRDefault="00E359F5" w:rsidP="00E359F5">
      <w:pPr>
        <w:pStyle w:val="3-BodyText"/>
        <w:rPr>
          <w:snapToGrid w:val="0"/>
        </w:rPr>
      </w:pPr>
      <w:r w:rsidRPr="00B06893">
        <w:t xml:space="preserve">The PBAC noted and welcomed the advice from the ATAGI. </w:t>
      </w:r>
    </w:p>
    <w:p w14:paraId="481D0F2F" w14:textId="1FA699C9" w:rsidR="00E359F5" w:rsidRPr="00B06893" w:rsidRDefault="00E359F5" w:rsidP="00E359F5">
      <w:pPr>
        <w:widowControl w:val="0"/>
        <w:numPr>
          <w:ilvl w:val="1"/>
          <w:numId w:val="1"/>
        </w:numPr>
        <w:spacing w:after="120"/>
        <w:ind w:left="720"/>
        <w:rPr>
          <w:snapToGrid w:val="0"/>
        </w:rPr>
      </w:pPr>
      <w:r w:rsidRPr="00B06893">
        <w:rPr>
          <w:snapToGrid w:val="0"/>
        </w:rPr>
        <w:t xml:space="preserve">The PBAC noted and welcomed the input received from the Lung Foundation Australia and the </w:t>
      </w:r>
      <w:r w:rsidRPr="00B06893">
        <w:rPr>
          <w:rFonts w:cs="Arial"/>
          <w:bCs/>
          <w:snapToGrid w:val="0"/>
        </w:rPr>
        <w:t xml:space="preserve">Pharmaceutical Society of Australia </w:t>
      </w:r>
      <w:r w:rsidRPr="00B06893">
        <w:rPr>
          <w:snapToGrid w:val="0"/>
        </w:rPr>
        <w:t>that supported the proposed NIP listing of Spikevax.</w:t>
      </w:r>
    </w:p>
    <w:p w14:paraId="4F9AAB2E" w14:textId="61A30B18" w:rsidR="00E359F5" w:rsidRPr="00B06893" w:rsidRDefault="00E359F5" w:rsidP="00E359F5">
      <w:pPr>
        <w:pStyle w:val="3-BodyText"/>
        <w:rPr>
          <w:snapToGrid w:val="0"/>
        </w:rPr>
      </w:pPr>
      <w:r w:rsidRPr="00B06893">
        <w:rPr>
          <w:rFonts w:eastAsia="Times New Roman" w:cs="Arial"/>
          <w:snapToGrid w:val="0"/>
          <w:szCs w:val="24"/>
        </w:rPr>
        <w:t>T</w:t>
      </w:r>
      <w:r w:rsidRPr="00B06893">
        <w:rPr>
          <w:snapToGrid w:val="0"/>
        </w:rPr>
        <w:t>he submission did not request NIP listing for individuals under 18 years or individuals over 18 years where the advice from the ATAGI was to “consider” a dose based on individual risk</w:t>
      </w:r>
      <w:r w:rsidR="00193971">
        <w:rPr>
          <w:snapToGrid w:val="0"/>
        </w:rPr>
        <w:noBreakHyphen/>
      </w:r>
      <w:r w:rsidRPr="00B06893">
        <w:rPr>
          <w:snapToGrid w:val="0"/>
        </w:rPr>
        <w:t>benefit assessment.</w:t>
      </w:r>
      <w:r w:rsidR="00580BAD">
        <w:rPr>
          <w:snapToGrid w:val="0"/>
        </w:rPr>
        <w:t xml:space="preserve"> </w:t>
      </w:r>
      <w:r w:rsidRPr="00B06893">
        <w:rPr>
          <w:snapToGrid w:val="0"/>
        </w:rPr>
        <w:t>The PBAC acknowledged that a restricted program limited to a smaller group of high</w:t>
      </w:r>
      <w:r w:rsidR="00193971">
        <w:rPr>
          <w:snapToGrid w:val="0"/>
        </w:rPr>
        <w:noBreakHyphen/>
      </w:r>
      <w:r w:rsidRPr="00B06893">
        <w:rPr>
          <w:snapToGrid w:val="0"/>
        </w:rPr>
        <w:t>risk individuals would reduce health outcomes at the population level in comparison with current arrangements u</w:t>
      </w:r>
      <w:r w:rsidRPr="00B06893">
        <w:rPr>
          <w:rFonts w:eastAsia="Times New Roman" w:cs="Arial"/>
          <w:snapToGrid w:val="0"/>
          <w:szCs w:val="24"/>
        </w:rPr>
        <w:t>nder the NCVP</w:t>
      </w:r>
      <w:r w:rsidRPr="00B06893">
        <w:rPr>
          <w:snapToGrid w:val="0"/>
        </w:rPr>
        <w:t>.</w:t>
      </w:r>
      <w:r w:rsidR="00580BAD">
        <w:rPr>
          <w:snapToGrid w:val="0"/>
        </w:rPr>
        <w:t xml:space="preserve"> </w:t>
      </w:r>
      <w:r w:rsidRPr="00B06893">
        <w:rPr>
          <w:snapToGrid w:val="0"/>
        </w:rPr>
        <w:t>However, t</w:t>
      </w:r>
      <w:r w:rsidRPr="00B06893">
        <w:t xml:space="preserve">he PBAC considered it was reasonable to accept the proposed NIP listing, as this was consistent with advice from the ATAGI that emphasised that </w:t>
      </w:r>
      <w:r w:rsidRPr="00B06893">
        <w:rPr>
          <w:snapToGrid w:val="0"/>
        </w:rPr>
        <w:t xml:space="preserve">populations with medical risk conditions are heterogenous, and that ATAGI did not support an overall recommendation for vaccination in groups where its advice was to </w:t>
      </w:r>
      <w:r w:rsidRPr="00B06893">
        <w:t>“consider” a dose based on individual risk</w:t>
      </w:r>
      <w:r w:rsidR="00193971">
        <w:noBreakHyphen/>
      </w:r>
      <w:r w:rsidRPr="00B06893">
        <w:t xml:space="preserve">benefit assessment. </w:t>
      </w:r>
      <w:r w:rsidRPr="00B06893">
        <w:rPr>
          <w:snapToGrid w:val="0"/>
        </w:rPr>
        <w:t xml:space="preserve">The PBAC advised that broader </w:t>
      </w:r>
      <w:r w:rsidRPr="00B06893">
        <w:rPr>
          <w:snapToGrid w:val="0"/>
        </w:rPr>
        <w:lastRenderedPageBreak/>
        <w:t>access would require further clarity in relation to the definition of the populations, and a cost</w:t>
      </w:r>
      <w:r w:rsidR="00193971">
        <w:rPr>
          <w:snapToGrid w:val="0"/>
        </w:rPr>
        <w:noBreakHyphen/>
      </w:r>
      <w:r w:rsidRPr="00B06893">
        <w:rPr>
          <w:snapToGrid w:val="0"/>
        </w:rPr>
        <w:t>effectiveness evaluation.</w:t>
      </w:r>
    </w:p>
    <w:p w14:paraId="32F1852F" w14:textId="226BBB9C" w:rsidR="00351215" w:rsidRPr="00B06893" w:rsidRDefault="00351215" w:rsidP="00501A02">
      <w:pPr>
        <w:pStyle w:val="3-BodyText"/>
        <w:widowControl w:val="0"/>
        <w:numPr>
          <w:ilvl w:val="1"/>
          <w:numId w:val="1"/>
        </w:numPr>
        <w:spacing w:after="120"/>
        <w:ind w:left="720"/>
        <w:rPr>
          <w:snapToGrid w:val="0"/>
        </w:rPr>
      </w:pPr>
      <w:bookmarkStart w:id="108" w:name="_Hlk216776320"/>
      <w:r w:rsidRPr="00B06893">
        <w:rPr>
          <w:snapToGrid w:val="0"/>
        </w:rPr>
        <w:t>The PBAC noted that no COVID</w:t>
      </w:r>
      <w:r w:rsidR="00193971">
        <w:rPr>
          <w:snapToGrid w:val="0"/>
        </w:rPr>
        <w:noBreakHyphen/>
      </w:r>
      <w:r w:rsidRPr="00B06893">
        <w:rPr>
          <w:snapToGrid w:val="0"/>
        </w:rPr>
        <w:t>19 vaccines are currently included on the NIP, however recalled that it had recommended Comirnaty for NIP listing for the same four adult populations in December 2025.</w:t>
      </w:r>
      <w:r w:rsidR="00580BAD">
        <w:rPr>
          <w:snapToGrid w:val="0"/>
        </w:rPr>
        <w:t xml:space="preserve"> </w:t>
      </w:r>
      <w:r w:rsidRPr="00B06893">
        <w:rPr>
          <w:snapToGrid w:val="0"/>
        </w:rPr>
        <w:t xml:space="preserve">The PBAC considered that the submission’s nomination of no vaccination as main comparator </w:t>
      </w:r>
      <w:r w:rsidR="00832B06" w:rsidRPr="00B06893">
        <w:rPr>
          <w:snapToGrid w:val="0"/>
        </w:rPr>
        <w:t xml:space="preserve">and Comirnaty as a near market comparator </w:t>
      </w:r>
      <w:r w:rsidRPr="00B06893">
        <w:rPr>
          <w:snapToGrid w:val="0"/>
        </w:rPr>
        <w:t xml:space="preserve">was appropriate, however </w:t>
      </w:r>
      <w:r w:rsidRPr="00B06893">
        <w:t>should Comirnaty be listed on the NIP, Comirnaty adapted for the most recent variants would be the appropriate main comparator.</w:t>
      </w:r>
    </w:p>
    <w:bookmarkEnd w:id="108"/>
    <w:p w14:paraId="6941A80E" w14:textId="7B8B1B30" w:rsidR="00BC70CF" w:rsidRPr="00B06893" w:rsidRDefault="00BC70CF" w:rsidP="00501A02">
      <w:pPr>
        <w:pStyle w:val="3-BodyText"/>
        <w:spacing w:before="120" w:after="120"/>
        <w:rPr>
          <w:rFonts w:eastAsia="Times New Roman" w:cs="Arial"/>
          <w:snapToGrid w:val="0"/>
          <w:szCs w:val="24"/>
        </w:rPr>
      </w:pPr>
      <w:r w:rsidRPr="00B06893">
        <w:rPr>
          <w:rFonts w:eastAsia="Times New Roman" w:cs="Arial"/>
          <w:snapToGrid w:val="0"/>
          <w:szCs w:val="24"/>
        </w:rPr>
        <w:t>Overall, t</w:t>
      </w:r>
      <w:r w:rsidR="00B416EC" w:rsidRPr="00B06893">
        <w:rPr>
          <w:rFonts w:eastAsia="Times New Roman" w:cs="Arial"/>
          <w:snapToGrid w:val="0"/>
          <w:szCs w:val="24"/>
        </w:rPr>
        <w:t>he PBAC advised that clinical effectiveness and safety had been demonstrated for Spikevax vaccines, noting that the TGA will remain responsible for evaluation and regulatory approval of future variant adapted vaccines before these are made available through the NIP.</w:t>
      </w:r>
      <w:r w:rsidR="00580BAD">
        <w:rPr>
          <w:rFonts w:eastAsia="Times New Roman" w:cs="Arial"/>
          <w:snapToGrid w:val="0"/>
          <w:szCs w:val="24"/>
        </w:rPr>
        <w:t xml:space="preserve"> </w:t>
      </w:r>
      <w:r w:rsidRPr="00B06893">
        <w:t xml:space="preserve">However, the PBAC also noted that the conclusion of superior effectiveness compared with no vaccine was only appropriate if Spikevax LP.8.1 is </w:t>
      </w:r>
      <w:r w:rsidR="00E2563B" w:rsidRPr="00B06893">
        <w:t>TGA approved</w:t>
      </w:r>
      <w:r w:rsidRPr="00B06893">
        <w:t>.</w:t>
      </w:r>
      <w:r w:rsidR="00580BAD">
        <w:t xml:space="preserve"> </w:t>
      </w:r>
      <w:r w:rsidR="00CA68B9" w:rsidRPr="00B06893">
        <w:t>The PBAC noted that Comirnaty LP.8.1 was granted TGA approval in October 2025</w:t>
      </w:r>
      <w:r w:rsidR="00CA68B9" w:rsidRPr="00B06893">
        <w:rPr>
          <w:iCs/>
        </w:rPr>
        <w:t>.</w:t>
      </w:r>
    </w:p>
    <w:p w14:paraId="12B7FC73" w14:textId="685FE83D" w:rsidR="00832B06" w:rsidRPr="00B06893" w:rsidRDefault="00B416EC" w:rsidP="00501A02">
      <w:pPr>
        <w:pStyle w:val="3-BodyText"/>
        <w:spacing w:before="120" w:after="120"/>
        <w:rPr>
          <w:rFonts w:eastAsia="Times New Roman" w:cs="Arial"/>
          <w:snapToGrid w:val="0"/>
          <w:szCs w:val="24"/>
        </w:rPr>
      </w:pPr>
      <w:r w:rsidRPr="00B06893">
        <w:rPr>
          <w:rFonts w:eastAsia="Times New Roman" w:cs="Arial"/>
          <w:snapToGrid w:val="0"/>
          <w:szCs w:val="24"/>
        </w:rPr>
        <w:t>While the PBAC accepted that Spikevax is more effective than no vaccine, t</w:t>
      </w:r>
      <w:r w:rsidRPr="00B06893">
        <w:rPr>
          <w:snapToGrid w:val="0"/>
        </w:rPr>
        <w:t xml:space="preserve">he PBAC considered that estimates of VE remain uncertain </w:t>
      </w:r>
      <w:r w:rsidR="008906BC" w:rsidRPr="00B06893">
        <w:rPr>
          <w:snapToGrid w:val="0"/>
        </w:rPr>
        <w:t>as</w:t>
      </w:r>
      <w:r w:rsidRPr="00B06893">
        <w:rPr>
          <w:snapToGrid w:val="0"/>
        </w:rPr>
        <w:t xml:space="preserve"> </w:t>
      </w:r>
      <w:r w:rsidR="008906BC" w:rsidRPr="00B06893">
        <w:rPr>
          <w:snapToGrid w:val="0"/>
        </w:rPr>
        <w:t>t</w:t>
      </w:r>
      <w:r w:rsidRPr="00B06893">
        <w:rPr>
          <w:snapToGrid w:val="0"/>
        </w:rPr>
        <w:t>here were several limitations associated with the observational and retrospective nature of the evidence presented.</w:t>
      </w:r>
      <w:r w:rsidR="00580BAD">
        <w:rPr>
          <w:snapToGrid w:val="0"/>
        </w:rPr>
        <w:t xml:space="preserve"> </w:t>
      </w:r>
      <w:r w:rsidR="00E6094C" w:rsidRPr="00B06893">
        <w:rPr>
          <w:snapToGrid w:val="0"/>
        </w:rPr>
        <w:t>Further, t</w:t>
      </w:r>
      <w:r w:rsidRPr="00B06893">
        <w:rPr>
          <w:rFonts w:eastAsia="Times New Roman" w:cs="Arial"/>
          <w:snapToGrid w:val="0"/>
          <w:szCs w:val="24"/>
        </w:rPr>
        <w:t>he PBAC noted there were limited effectiveness</w:t>
      </w:r>
      <w:r w:rsidR="00373F4D" w:rsidRPr="00B06893">
        <w:rPr>
          <w:rFonts w:eastAsia="Times New Roman" w:cs="Arial"/>
          <w:snapToGrid w:val="0"/>
          <w:szCs w:val="24"/>
        </w:rPr>
        <w:t xml:space="preserve"> data</w:t>
      </w:r>
      <w:r w:rsidRPr="00B06893">
        <w:rPr>
          <w:rFonts w:eastAsia="Times New Roman" w:cs="Arial"/>
          <w:snapToGrid w:val="0"/>
          <w:szCs w:val="24"/>
        </w:rPr>
        <w:t xml:space="preserve"> for individuals ≥75 years of age, and individuals who were severely immunocompromised. No data were presented for the proposed Aboriginal and Torres Strait Islander population.</w:t>
      </w:r>
      <w:r w:rsidR="00580BAD">
        <w:rPr>
          <w:rFonts w:eastAsia="Times New Roman" w:cs="Arial"/>
          <w:snapToGrid w:val="0"/>
          <w:szCs w:val="24"/>
        </w:rPr>
        <w:t xml:space="preserve"> </w:t>
      </w:r>
      <w:r w:rsidRPr="00B06893">
        <w:rPr>
          <w:rFonts w:eastAsia="Times New Roman" w:cs="Arial"/>
          <w:snapToGrid w:val="0"/>
          <w:szCs w:val="24"/>
        </w:rPr>
        <w:t xml:space="preserve">A key uncertainty </w:t>
      </w:r>
      <w:r w:rsidR="00E6094C" w:rsidRPr="00B06893">
        <w:rPr>
          <w:rFonts w:eastAsia="Times New Roman" w:cs="Arial"/>
          <w:snapToGrid w:val="0"/>
          <w:szCs w:val="24"/>
        </w:rPr>
        <w:t>wa</w:t>
      </w:r>
      <w:r w:rsidRPr="00B06893">
        <w:rPr>
          <w:rFonts w:eastAsia="Times New Roman" w:cs="Arial"/>
          <w:snapToGrid w:val="0"/>
          <w:szCs w:val="24"/>
        </w:rPr>
        <w:t xml:space="preserve">s </w:t>
      </w:r>
      <w:r w:rsidR="00E6094C" w:rsidRPr="00B06893">
        <w:rPr>
          <w:rFonts w:eastAsia="Times New Roman" w:cs="Arial"/>
          <w:snapToGrid w:val="0"/>
          <w:szCs w:val="24"/>
        </w:rPr>
        <w:t xml:space="preserve">the </w:t>
      </w:r>
      <w:r w:rsidRPr="00B06893">
        <w:rPr>
          <w:rFonts w:eastAsia="Times New Roman" w:cs="Arial"/>
          <w:snapToGrid w:val="0"/>
          <w:szCs w:val="24"/>
        </w:rPr>
        <w:t>lack of evidence regarding</w:t>
      </w:r>
      <w:r w:rsidR="00832B06" w:rsidRPr="00B06893">
        <w:rPr>
          <w:rFonts w:eastAsia="Times New Roman" w:cs="Arial"/>
          <w:snapToGrid w:val="0"/>
          <w:szCs w:val="24"/>
        </w:rPr>
        <w:t xml:space="preserve"> the duration of protection </w:t>
      </w:r>
      <w:r w:rsidRPr="00B06893">
        <w:rPr>
          <w:rFonts w:eastAsia="Times New Roman" w:cs="Arial"/>
          <w:snapToGrid w:val="0"/>
          <w:szCs w:val="24"/>
        </w:rPr>
        <w:t xml:space="preserve">for Spikevax, which has implications for establishing duration of response, </w:t>
      </w:r>
      <w:proofErr w:type="gramStart"/>
      <w:r w:rsidRPr="00B06893">
        <w:rPr>
          <w:rFonts w:eastAsia="Times New Roman" w:cs="Arial"/>
          <w:snapToGrid w:val="0"/>
          <w:szCs w:val="24"/>
        </w:rPr>
        <w:t>in particular for</w:t>
      </w:r>
      <w:proofErr w:type="gramEnd"/>
      <w:r w:rsidRPr="00B06893">
        <w:rPr>
          <w:rFonts w:eastAsia="Times New Roman" w:cs="Arial"/>
          <w:snapToGrid w:val="0"/>
          <w:szCs w:val="24"/>
        </w:rPr>
        <w:t xml:space="preserve"> the 12</w:t>
      </w:r>
      <w:r w:rsidR="00193971">
        <w:rPr>
          <w:rFonts w:eastAsia="Times New Roman" w:cs="Arial"/>
          <w:snapToGrid w:val="0"/>
          <w:szCs w:val="24"/>
        </w:rPr>
        <w:noBreakHyphen/>
      </w:r>
      <w:r w:rsidRPr="00B06893">
        <w:rPr>
          <w:rFonts w:eastAsia="Times New Roman" w:cs="Arial"/>
          <w:snapToGrid w:val="0"/>
          <w:szCs w:val="24"/>
        </w:rPr>
        <w:t xml:space="preserve">month period between doses. </w:t>
      </w:r>
    </w:p>
    <w:p w14:paraId="58E4173D" w14:textId="454867AE" w:rsidR="00B416EC" w:rsidRPr="00B06893" w:rsidRDefault="00832B06" w:rsidP="00501A02">
      <w:pPr>
        <w:pStyle w:val="3-BodyText"/>
        <w:spacing w:before="120" w:after="120"/>
        <w:rPr>
          <w:rFonts w:eastAsia="Times New Roman" w:cs="Arial"/>
          <w:snapToGrid w:val="0"/>
          <w:szCs w:val="24"/>
        </w:rPr>
      </w:pPr>
      <w:r w:rsidRPr="00B06893">
        <w:rPr>
          <w:snapToGrid w:val="0"/>
        </w:rPr>
        <w:t xml:space="preserve"> The robustness of the comparison of Spikevax and Comirnaty was limited by the non</w:t>
      </w:r>
      <w:r w:rsidR="00193971">
        <w:rPr>
          <w:snapToGrid w:val="0"/>
        </w:rPr>
        <w:noBreakHyphen/>
      </w:r>
      <w:r w:rsidRPr="00B06893">
        <w:rPr>
          <w:snapToGrid w:val="0"/>
        </w:rPr>
        <w:t>randomised observational nature of the evidence assessing VE</w:t>
      </w:r>
      <w:r w:rsidR="00516CDD" w:rsidRPr="00B06893">
        <w:rPr>
          <w:snapToGrid w:val="0"/>
        </w:rPr>
        <w:t>.</w:t>
      </w:r>
      <w:r w:rsidR="00C66079" w:rsidRPr="00B06893">
        <w:rPr>
          <w:snapToGrid w:val="0"/>
        </w:rPr>
        <w:t xml:space="preserve"> </w:t>
      </w:r>
      <w:r w:rsidR="00C66079" w:rsidRPr="00B06893">
        <w:t>The PBAC noted the limitations of the evidence, but overall concluded that it would be reasonable to consider the Spikevax mRNA</w:t>
      </w:r>
      <w:r w:rsidR="00193971">
        <w:noBreakHyphen/>
      </w:r>
      <w:r w:rsidR="00C66079" w:rsidRPr="00B06893">
        <w:t>1273 vaccine platform non</w:t>
      </w:r>
      <w:r w:rsidR="00193971">
        <w:noBreakHyphen/>
      </w:r>
      <w:r w:rsidR="00C66079" w:rsidRPr="00B06893">
        <w:t>inferior to the Comirnaty BNT162b2 vaccine platform with respect to effectiveness and safety, when corresponding versions of the vaccines are compared, e.g. Spikevax LP.8.1 compared with Comirnaty LP.8.1.</w:t>
      </w:r>
    </w:p>
    <w:p w14:paraId="0575EDA9" w14:textId="06A52038" w:rsidR="00560DFE" w:rsidRPr="00B06893" w:rsidRDefault="00E6094C" w:rsidP="00501A02">
      <w:pPr>
        <w:pStyle w:val="3-BodyText"/>
        <w:spacing w:before="120" w:after="120"/>
        <w:rPr>
          <w:rFonts w:eastAsia="Times New Roman" w:cs="Arial"/>
          <w:snapToGrid w:val="0"/>
          <w:szCs w:val="24"/>
        </w:rPr>
      </w:pPr>
      <w:r w:rsidRPr="00B06893">
        <w:t xml:space="preserve">In regard to the </w:t>
      </w:r>
      <w:r w:rsidR="00E5494D" w:rsidRPr="00B06893">
        <w:t>cost</w:t>
      </w:r>
      <w:r w:rsidR="00193971">
        <w:noBreakHyphen/>
      </w:r>
      <w:r w:rsidR="00E5494D" w:rsidRPr="00B06893">
        <w:t>effectiveness analysis</w:t>
      </w:r>
      <w:r w:rsidRPr="00B06893">
        <w:t xml:space="preserve"> </w:t>
      </w:r>
      <w:r w:rsidR="009C77B5" w:rsidRPr="00B06893">
        <w:t>for Spikevax versus no vaccination</w:t>
      </w:r>
      <w:r w:rsidRPr="00B06893">
        <w:t>, t</w:t>
      </w:r>
      <w:r w:rsidRPr="00B06893">
        <w:rPr>
          <w:snapToGrid w:val="0"/>
        </w:rPr>
        <w:t xml:space="preserve">he PBAC advised </w:t>
      </w:r>
      <w:r w:rsidR="00351215" w:rsidRPr="00B06893">
        <w:t>that the</w:t>
      </w:r>
      <w:r w:rsidR="009C77B5" w:rsidRPr="00B06893">
        <w:t xml:space="preserve"> economic model presented in the submission was not suitable for decision making</w:t>
      </w:r>
      <w:r w:rsidR="000B34E2" w:rsidRPr="00B06893">
        <w:t xml:space="preserve"> because a</w:t>
      </w:r>
      <w:r w:rsidR="009C77B5" w:rsidRPr="00B06893">
        <w:t>lthough the</w:t>
      </w:r>
      <w:r w:rsidR="00351215" w:rsidRPr="00B06893">
        <w:t xml:space="preserve"> revisions presented </w:t>
      </w:r>
      <w:r w:rsidRPr="00B06893">
        <w:t>in</w:t>
      </w:r>
      <w:r w:rsidR="00351215" w:rsidRPr="00B06893">
        <w:t xml:space="preserve"> the evaluat</w:t>
      </w:r>
      <w:r w:rsidRPr="00B06893">
        <w:t>ion</w:t>
      </w:r>
      <w:r w:rsidR="00351215" w:rsidRPr="00B06893">
        <w:t xml:space="preserve"> increased the reliability of the model, there were uncertainties that could not be tested </w:t>
      </w:r>
      <w:r w:rsidR="000B34E2" w:rsidRPr="00B06893">
        <w:t>or</w:t>
      </w:r>
      <w:r w:rsidR="00351215" w:rsidRPr="00B06893">
        <w:t xml:space="preserve"> revised given the model structure, including the parameters used for VE and waning</w:t>
      </w:r>
      <w:r w:rsidR="000B34E2" w:rsidRPr="00B06893">
        <w:t xml:space="preserve"> (see paragraph </w:t>
      </w:r>
      <w:r w:rsidR="000B34E2" w:rsidRPr="00B06893">
        <w:fldChar w:fldCharType="begin"/>
      </w:r>
      <w:r w:rsidR="000B34E2" w:rsidRPr="00B06893">
        <w:instrText xml:space="preserve"> REF _Ref225886979 \r \h </w:instrText>
      </w:r>
      <w:r w:rsidR="000B34E2" w:rsidRPr="00B06893">
        <w:fldChar w:fldCharType="separate"/>
      </w:r>
      <w:r w:rsidR="000B34E2" w:rsidRPr="00B06893">
        <w:t>6.126</w:t>
      </w:r>
      <w:r w:rsidR="000B34E2" w:rsidRPr="00B06893">
        <w:fldChar w:fldCharType="end"/>
      </w:r>
      <w:r w:rsidR="000B34E2" w:rsidRPr="00B06893">
        <w:t>)</w:t>
      </w:r>
      <w:r w:rsidR="00351215" w:rsidRPr="00B06893">
        <w:t>.</w:t>
      </w:r>
      <w:r w:rsidR="00580BAD">
        <w:t xml:space="preserve"> </w:t>
      </w:r>
      <w:r w:rsidR="00EF6A83" w:rsidRPr="00B06893">
        <w:t xml:space="preserve">The PBAC advised that a </w:t>
      </w:r>
      <w:r w:rsidR="009C77B5" w:rsidRPr="00B06893">
        <w:t>standard re</w:t>
      </w:r>
      <w:r w:rsidR="00193971">
        <w:noBreakHyphen/>
      </w:r>
      <w:r w:rsidR="009C77B5" w:rsidRPr="00B06893">
        <w:t xml:space="preserve">entry </w:t>
      </w:r>
      <w:r w:rsidR="00EF6A83" w:rsidRPr="00B06893">
        <w:t xml:space="preserve">resubmission and </w:t>
      </w:r>
      <w:r w:rsidR="00351215" w:rsidRPr="00B06893">
        <w:t>re</w:t>
      </w:r>
      <w:r w:rsidR="00193971">
        <w:noBreakHyphen/>
      </w:r>
      <w:r w:rsidR="00351215" w:rsidRPr="00B06893">
        <w:t>evaluation</w:t>
      </w:r>
      <w:r w:rsidR="00EF6A83" w:rsidRPr="00B06893">
        <w:t xml:space="preserve"> would be required before the Spikevax </w:t>
      </w:r>
      <w:r w:rsidR="00501A02" w:rsidRPr="00B06893">
        <w:t>economic model</w:t>
      </w:r>
      <w:r w:rsidR="00EF6A83" w:rsidRPr="00B06893">
        <w:t xml:space="preserve"> could be used for decision</w:t>
      </w:r>
      <w:r w:rsidR="00193971">
        <w:noBreakHyphen/>
      </w:r>
      <w:r w:rsidR="00EF6A83" w:rsidRPr="00B06893">
        <w:t>making.</w:t>
      </w:r>
    </w:p>
    <w:p w14:paraId="556F6000" w14:textId="0F2DAE44" w:rsidR="0096767F" w:rsidRPr="00B06893" w:rsidRDefault="00560DFE" w:rsidP="00501A02">
      <w:pPr>
        <w:pStyle w:val="3-BodyText"/>
        <w:widowControl w:val="0"/>
        <w:numPr>
          <w:ilvl w:val="1"/>
          <w:numId w:val="1"/>
        </w:numPr>
        <w:spacing w:after="120"/>
        <w:ind w:left="720"/>
      </w:pPr>
      <w:r w:rsidRPr="00B06893">
        <w:rPr>
          <w:rFonts w:eastAsia="Times New Roman" w:cs="Arial"/>
          <w:snapToGrid w:val="0"/>
          <w:szCs w:val="20"/>
        </w:rPr>
        <w:t xml:space="preserve">The </w:t>
      </w:r>
      <w:r w:rsidR="009C77B5" w:rsidRPr="00B06893">
        <w:rPr>
          <w:rFonts w:eastAsia="Times New Roman" w:cs="Arial"/>
          <w:snapToGrid w:val="0"/>
          <w:szCs w:val="20"/>
        </w:rPr>
        <w:t xml:space="preserve">PBAC noted the </w:t>
      </w:r>
      <w:r w:rsidRPr="00B06893">
        <w:rPr>
          <w:rFonts w:eastAsia="Times New Roman" w:cs="Arial"/>
          <w:snapToGrid w:val="0"/>
          <w:szCs w:val="20"/>
        </w:rPr>
        <w:t>evaluation respecified base case</w:t>
      </w:r>
      <w:r w:rsidR="009C77B5" w:rsidRPr="00B06893">
        <w:rPr>
          <w:rFonts w:eastAsia="Times New Roman" w:cs="Arial"/>
          <w:snapToGrid w:val="0"/>
          <w:szCs w:val="20"/>
        </w:rPr>
        <w:t xml:space="preserve"> resulted in</w:t>
      </w:r>
      <w:r w:rsidRPr="00B06893">
        <w:rPr>
          <w:rFonts w:eastAsia="Times New Roman" w:cs="Arial"/>
          <w:snapToGrid w:val="0"/>
          <w:szCs w:val="20"/>
        </w:rPr>
        <w:t xml:space="preserve"> an ICER of $</w:t>
      </w:r>
      <w:r w:rsidR="00DA7973" w:rsidRPr="00DA7973">
        <w:rPr>
          <w:rFonts w:eastAsia="Times New Roman" w:cs="Arial"/>
          <w:snapToGrid w:val="0"/>
          <w:szCs w:val="20"/>
        </w:rPr>
        <w:t xml:space="preserve">155,000 </w:t>
      </w:r>
      <w:r w:rsidR="00DA7973" w:rsidRPr="00DA7973">
        <w:rPr>
          <w:rFonts w:eastAsia="Times New Roman" w:cs="Arial"/>
          <w:snapToGrid w:val="0"/>
          <w:szCs w:val="20"/>
        </w:rPr>
        <w:lastRenderedPageBreak/>
        <w:t>to &lt; $255,000</w:t>
      </w:r>
      <w:r w:rsidRPr="00B06893">
        <w:rPr>
          <w:rFonts w:eastAsia="Times New Roman" w:cs="Arial"/>
          <w:snapToGrid w:val="0"/>
          <w:szCs w:val="20"/>
        </w:rPr>
        <w:t>/QALY</w:t>
      </w:r>
      <w:r w:rsidR="00D31224" w:rsidRPr="00B06893">
        <w:rPr>
          <w:rFonts w:eastAsia="Times New Roman" w:cs="Arial"/>
          <w:snapToGrid w:val="0"/>
          <w:szCs w:val="20"/>
        </w:rPr>
        <w:t>, and a further</w:t>
      </w:r>
      <w:r w:rsidRPr="00B06893">
        <w:rPr>
          <w:rFonts w:eastAsia="Times New Roman" w:cs="Arial"/>
          <w:snapToGrid w:val="0"/>
          <w:szCs w:val="20"/>
        </w:rPr>
        <w:t xml:space="preserve"> analysis excluding the impact of non</w:t>
      </w:r>
      <w:r w:rsidR="00193971">
        <w:rPr>
          <w:rFonts w:eastAsia="Times New Roman" w:cs="Arial"/>
          <w:snapToGrid w:val="0"/>
          <w:szCs w:val="20"/>
        </w:rPr>
        <w:noBreakHyphen/>
      </w:r>
      <w:r w:rsidRPr="00B06893">
        <w:rPr>
          <w:rFonts w:eastAsia="Times New Roman" w:cs="Arial"/>
          <w:snapToGrid w:val="0"/>
          <w:szCs w:val="20"/>
        </w:rPr>
        <w:t xml:space="preserve">hospitalised infections </w:t>
      </w:r>
      <w:r w:rsidR="009C77B5" w:rsidRPr="00B06893">
        <w:rPr>
          <w:rFonts w:eastAsia="Times New Roman" w:cs="Arial"/>
          <w:snapToGrid w:val="0"/>
          <w:szCs w:val="20"/>
        </w:rPr>
        <w:t>increased the</w:t>
      </w:r>
      <w:r w:rsidRPr="00B06893">
        <w:rPr>
          <w:rFonts w:eastAsia="Times New Roman" w:cs="Arial"/>
          <w:snapToGrid w:val="0"/>
          <w:szCs w:val="20"/>
        </w:rPr>
        <w:t xml:space="preserve"> ICER $</w:t>
      </w:r>
      <w:r w:rsidR="007E47C2" w:rsidRPr="007E47C2">
        <w:rPr>
          <w:rFonts w:eastAsia="Times New Roman" w:cs="Arial"/>
          <w:snapToGrid w:val="0"/>
          <w:szCs w:val="20"/>
        </w:rPr>
        <w:t>255,000 to &lt; $355,000</w:t>
      </w:r>
      <w:r w:rsidR="006F1800" w:rsidRPr="00B06893">
        <w:rPr>
          <w:rFonts w:eastAsia="Times New Roman" w:cs="Arial"/>
          <w:snapToGrid w:val="0"/>
          <w:szCs w:val="20"/>
        </w:rPr>
        <w:t>/QALY</w:t>
      </w:r>
      <w:r w:rsidRPr="00B06893">
        <w:rPr>
          <w:rFonts w:eastAsia="Times New Roman" w:cs="Arial"/>
          <w:snapToGrid w:val="0"/>
          <w:szCs w:val="20"/>
        </w:rPr>
        <w:t xml:space="preserve">. The </w:t>
      </w:r>
      <w:r w:rsidR="00856069" w:rsidRPr="00B06893">
        <w:rPr>
          <w:rFonts w:eastAsia="Times New Roman" w:cs="Arial"/>
          <w:snapToGrid w:val="0"/>
          <w:szCs w:val="20"/>
        </w:rPr>
        <w:t>PBAC</w:t>
      </w:r>
      <w:r w:rsidRPr="00B06893">
        <w:rPr>
          <w:rFonts w:eastAsia="Times New Roman" w:cs="Arial"/>
          <w:snapToGrid w:val="0"/>
          <w:szCs w:val="20"/>
        </w:rPr>
        <w:t xml:space="preserve"> considered </w:t>
      </w:r>
      <w:r w:rsidR="00D31224" w:rsidRPr="00B06893">
        <w:rPr>
          <w:rFonts w:eastAsia="Times New Roman" w:cs="Arial"/>
          <w:snapToGrid w:val="0"/>
          <w:szCs w:val="20"/>
        </w:rPr>
        <w:t xml:space="preserve">the analysis </w:t>
      </w:r>
      <w:r w:rsidR="009C77B5" w:rsidRPr="00B06893">
        <w:rPr>
          <w:rFonts w:eastAsia="Times New Roman" w:cs="Arial"/>
          <w:snapToGrid w:val="0"/>
          <w:szCs w:val="20"/>
        </w:rPr>
        <w:t>excluding the non</w:t>
      </w:r>
      <w:r w:rsidR="00193971">
        <w:rPr>
          <w:rFonts w:eastAsia="Times New Roman" w:cs="Arial"/>
          <w:snapToGrid w:val="0"/>
          <w:szCs w:val="20"/>
        </w:rPr>
        <w:noBreakHyphen/>
      </w:r>
      <w:r w:rsidR="009C77B5" w:rsidRPr="00B06893">
        <w:rPr>
          <w:rFonts w:eastAsia="Times New Roman" w:cs="Arial"/>
          <w:snapToGrid w:val="0"/>
          <w:szCs w:val="20"/>
        </w:rPr>
        <w:t>hospitalised infections</w:t>
      </w:r>
      <w:r w:rsidR="00580BAD">
        <w:rPr>
          <w:rFonts w:eastAsia="Times New Roman" w:cs="Arial"/>
          <w:snapToGrid w:val="0"/>
          <w:szCs w:val="20"/>
        </w:rPr>
        <w:t xml:space="preserve"> </w:t>
      </w:r>
      <w:r w:rsidR="00D31224" w:rsidRPr="00B06893">
        <w:rPr>
          <w:rFonts w:eastAsia="Times New Roman" w:cs="Arial"/>
          <w:snapToGrid w:val="0"/>
          <w:szCs w:val="20"/>
        </w:rPr>
        <w:t xml:space="preserve">was more informative </w:t>
      </w:r>
      <w:r w:rsidR="009C77B5" w:rsidRPr="00B06893">
        <w:rPr>
          <w:rFonts w:eastAsia="Times New Roman" w:cs="Arial"/>
          <w:snapToGrid w:val="0"/>
          <w:szCs w:val="20"/>
        </w:rPr>
        <w:t>noting</w:t>
      </w:r>
      <w:r w:rsidR="00350811" w:rsidRPr="00B06893">
        <w:rPr>
          <w:rFonts w:eastAsia="Times New Roman" w:cs="Arial"/>
          <w:snapToGrid w:val="0"/>
          <w:szCs w:val="20"/>
        </w:rPr>
        <w:t xml:space="preserve"> </w:t>
      </w:r>
      <w:r w:rsidR="00D31224" w:rsidRPr="00B06893">
        <w:rPr>
          <w:rFonts w:eastAsia="Times New Roman" w:cs="Arial"/>
          <w:snapToGrid w:val="0"/>
          <w:szCs w:val="20"/>
        </w:rPr>
        <w:t xml:space="preserve">ESC’s advice that </w:t>
      </w:r>
      <w:r w:rsidR="00D31224" w:rsidRPr="00B06893">
        <w:rPr>
          <w:iCs/>
        </w:rPr>
        <w:t>modelling symptomatic COVID</w:t>
      </w:r>
      <w:r w:rsidR="00193971">
        <w:rPr>
          <w:iCs/>
        </w:rPr>
        <w:noBreakHyphen/>
      </w:r>
      <w:r w:rsidR="00D31224" w:rsidRPr="00B06893">
        <w:rPr>
          <w:iCs/>
        </w:rPr>
        <w:t>19 cases was not appropriate given the high degree of uncertainty it introduced.</w:t>
      </w:r>
      <w:r w:rsidR="009C77B5" w:rsidRPr="00B06893">
        <w:rPr>
          <w:iCs/>
        </w:rPr>
        <w:t xml:space="preserve"> Although the ICER</w:t>
      </w:r>
      <w:r w:rsidR="00350811" w:rsidRPr="00B06893">
        <w:rPr>
          <w:iCs/>
        </w:rPr>
        <w:t xml:space="preserve"> for Spikevax versus no vaccination</w:t>
      </w:r>
      <w:r w:rsidR="009C77B5" w:rsidRPr="00B06893">
        <w:rPr>
          <w:iCs/>
        </w:rPr>
        <w:t xml:space="preserve"> could not be reliably estimated, the PBAC noted that the</w:t>
      </w:r>
      <w:r w:rsidR="00350811" w:rsidRPr="00B06893">
        <w:rPr>
          <w:iCs/>
        </w:rPr>
        <w:t xml:space="preserve"> model demonstrated it was</w:t>
      </w:r>
      <w:r w:rsidR="009C77B5" w:rsidRPr="00B06893">
        <w:rPr>
          <w:iCs/>
        </w:rPr>
        <w:t xml:space="preserve"> unacceptabl</w:t>
      </w:r>
      <w:r w:rsidR="00350811" w:rsidRPr="00B06893">
        <w:rPr>
          <w:iCs/>
        </w:rPr>
        <w:t>y</w:t>
      </w:r>
      <w:r w:rsidR="009C77B5" w:rsidRPr="00B06893">
        <w:rPr>
          <w:iCs/>
        </w:rPr>
        <w:t xml:space="preserve"> high and a substantial price reduction would be required for Spikevax to be considered cost</w:t>
      </w:r>
      <w:r w:rsidR="00193971">
        <w:rPr>
          <w:iCs/>
        </w:rPr>
        <w:noBreakHyphen/>
      </w:r>
      <w:r w:rsidR="009C77B5" w:rsidRPr="00B06893">
        <w:rPr>
          <w:iCs/>
        </w:rPr>
        <w:t>effective.</w:t>
      </w:r>
    </w:p>
    <w:p w14:paraId="365614A7" w14:textId="730E6EDA" w:rsidR="00350811" w:rsidRPr="00B06893" w:rsidRDefault="00350811" w:rsidP="00501A02">
      <w:pPr>
        <w:pStyle w:val="3-BodyText"/>
        <w:widowControl w:val="0"/>
        <w:numPr>
          <w:ilvl w:val="1"/>
          <w:numId w:val="1"/>
        </w:numPr>
        <w:spacing w:after="120"/>
        <w:ind w:left="720"/>
      </w:pPr>
      <w:r w:rsidRPr="00B06893">
        <w:t>The PBAC advised that a cost</w:t>
      </w:r>
      <w:r w:rsidR="00193971">
        <w:noBreakHyphen/>
      </w:r>
      <w:r w:rsidRPr="00B06893">
        <w:t>minimisation to Comirnaty would be reasonable if non</w:t>
      </w:r>
      <w:r w:rsidR="00193971">
        <w:noBreakHyphen/>
      </w:r>
      <w:r w:rsidRPr="00B06893">
        <w:t>inferiority is accepted, pending TGA approval for Spikevax LP.8.1.</w:t>
      </w:r>
    </w:p>
    <w:p w14:paraId="574A778B" w14:textId="375FBBAF" w:rsidR="005234A2" w:rsidRPr="00B06893" w:rsidRDefault="00993840" w:rsidP="00501A02">
      <w:pPr>
        <w:pStyle w:val="3-BodyText"/>
        <w:widowControl w:val="0"/>
        <w:numPr>
          <w:ilvl w:val="1"/>
          <w:numId w:val="1"/>
        </w:numPr>
        <w:spacing w:after="120"/>
        <w:ind w:left="720"/>
        <w:rPr>
          <w:rFonts w:cs="Arial"/>
          <w:snapToGrid w:val="0"/>
        </w:rPr>
      </w:pPr>
      <w:r w:rsidRPr="00B06893">
        <w:t xml:space="preserve">The PBAC considered that the method to generate the financial estimates in </w:t>
      </w:r>
      <w:r w:rsidR="004937D2" w:rsidRPr="00B06893">
        <w:t>the submission was reasonable</w:t>
      </w:r>
      <w:r w:rsidRPr="00B06893">
        <w:t>, although the results were uncertain as vaccine uptake is likely to vary, based on rates of COVID</w:t>
      </w:r>
      <w:r w:rsidR="00193971">
        <w:noBreakHyphen/>
      </w:r>
      <w:r w:rsidRPr="00B06893">
        <w:t>19 infection and its perceived risk in the community.</w:t>
      </w:r>
      <w:r w:rsidR="00580BAD">
        <w:t xml:space="preserve"> </w:t>
      </w:r>
      <w:r w:rsidR="004937D2" w:rsidRPr="00B06893">
        <w:t xml:space="preserve">The submission estimated </w:t>
      </w:r>
      <w:r w:rsidR="003E4DD7" w:rsidRPr="00B06893">
        <w:t xml:space="preserve">a total of </w:t>
      </w:r>
      <w:r w:rsidR="004937D2" w:rsidRPr="00B06893">
        <w:t xml:space="preserve">approximately </w:t>
      </w:r>
      <w:r w:rsidR="00AF1D36" w:rsidRPr="00AF1D36">
        <w:t xml:space="preserve">2,000,000 to </w:t>
      </w:r>
      <w:r w:rsidR="00DF0C74">
        <w:br/>
      </w:r>
      <w:r w:rsidR="00AF1D36" w:rsidRPr="00AF1D36">
        <w:t>&lt; 3,000,000</w:t>
      </w:r>
      <w:r w:rsidR="00AF1D36">
        <w:t xml:space="preserve"> </w:t>
      </w:r>
      <w:r w:rsidR="004937D2" w:rsidRPr="00B06893">
        <w:t xml:space="preserve">doses in Year 1 increasing to </w:t>
      </w:r>
      <w:r w:rsidR="00AF1D36" w:rsidRPr="00AF1D36">
        <w:t>2,000,000 to &lt; 3,000,000</w:t>
      </w:r>
      <w:r w:rsidR="00AF1D36">
        <w:t xml:space="preserve"> </w:t>
      </w:r>
      <w:r w:rsidR="004937D2" w:rsidRPr="00B06893">
        <w:t>in Year 6</w:t>
      </w:r>
      <w:r w:rsidR="008C225F" w:rsidRPr="00B06893">
        <w:t xml:space="preserve"> (</w:t>
      </w:r>
      <w:r w:rsidR="008C225F" w:rsidRPr="00B06893">
        <w:fldChar w:fldCharType="begin"/>
      </w:r>
      <w:r w:rsidR="008C225F" w:rsidRPr="00B06893">
        <w:instrText xml:space="preserve"> REF _Ref219386790 \h </w:instrText>
      </w:r>
      <w:r w:rsidR="008C225F" w:rsidRPr="00B06893">
        <w:fldChar w:fldCharType="separate"/>
      </w:r>
      <w:r w:rsidR="008C225F" w:rsidRPr="00B06893">
        <w:rPr>
          <w:rFonts w:eastAsiaTheme="majorEastAsia"/>
        </w:rPr>
        <w:t>Table 32</w:t>
      </w:r>
      <w:r w:rsidR="008C225F" w:rsidRPr="00B06893">
        <w:fldChar w:fldCharType="end"/>
      </w:r>
      <w:r w:rsidR="008C225F" w:rsidRPr="00B06893">
        <w:t>)</w:t>
      </w:r>
      <w:r w:rsidR="0003031F" w:rsidRPr="00B06893">
        <w:t xml:space="preserve">, assuming </w:t>
      </w:r>
      <w:r w:rsidR="0042730F" w:rsidRPr="00B06893">
        <w:t xml:space="preserve">Spikevax was the only </w:t>
      </w:r>
      <w:r w:rsidR="00516CDD" w:rsidRPr="00B06893">
        <w:t>COVID</w:t>
      </w:r>
      <w:r w:rsidR="00193971">
        <w:noBreakHyphen/>
      </w:r>
      <w:r w:rsidR="00516CDD" w:rsidRPr="00B06893">
        <w:t>19</w:t>
      </w:r>
      <w:r w:rsidR="0042730F" w:rsidRPr="00B06893">
        <w:t xml:space="preserve"> vaccine listed on the NIP</w:t>
      </w:r>
      <w:r w:rsidR="004937D2" w:rsidRPr="00B06893">
        <w:t>.</w:t>
      </w:r>
    </w:p>
    <w:bookmarkEnd w:id="107"/>
    <w:p w14:paraId="7C380D3A" w14:textId="6AF913B1" w:rsidR="001D5A5B" w:rsidRPr="00B06893" w:rsidRDefault="001D5A5B" w:rsidP="00501A02">
      <w:pPr>
        <w:widowControl w:val="0"/>
        <w:numPr>
          <w:ilvl w:val="1"/>
          <w:numId w:val="1"/>
        </w:numPr>
        <w:spacing w:after="120"/>
        <w:ind w:left="720"/>
        <w:rPr>
          <w:rFonts w:cs="Arial"/>
          <w:snapToGrid w:val="0"/>
        </w:rPr>
      </w:pPr>
      <w:r w:rsidRPr="00B06893">
        <w:rPr>
          <w:rFonts w:cs="Arial"/>
          <w:snapToGrid w:val="0"/>
        </w:rPr>
        <w:t xml:space="preserve">The PBAC noted that additional information would be required from the sponsor to support </w:t>
      </w:r>
      <w:r w:rsidR="00A21DDA" w:rsidRPr="00B06893">
        <w:rPr>
          <w:rFonts w:cs="Arial"/>
          <w:snapToGrid w:val="0"/>
        </w:rPr>
        <w:t xml:space="preserve">further </w:t>
      </w:r>
      <w:r w:rsidRPr="00B06893">
        <w:rPr>
          <w:rFonts w:cs="Arial"/>
          <w:snapToGrid w:val="0"/>
        </w:rPr>
        <w:t>consideration of Spikevax</w:t>
      </w:r>
      <w:r w:rsidR="000A4286" w:rsidRPr="00B06893">
        <w:rPr>
          <w:rFonts w:cs="Arial"/>
          <w:snapToGrid w:val="0"/>
        </w:rPr>
        <w:t xml:space="preserve"> including confirmation of TGA approval of Spikevax LP.8.1.</w:t>
      </w:r>
      <w:r w:rsidR="00580BAD">
        <w:rPr>
          <w:rFonts w:cs="Arial"/>
          <w:snapToGrid w:val="0"/>
        </w:rPr>
        <w:t xml:space="preserve"> </w:t>
      </w:r>
      <w:r w:rsidRPr="00B06893">
        <w:rPr>
          <w:rFonts w:cs="Arial"/>
          <w:snapToGrid w:val="0"/>
        </w:rPr>
        <w:t xml:space="preserve">This would include an update on the TGA status of </w:t>
      </w:r>
      <w:r w:rsidRPr="00B06893">
        <w:t xml:space="preserve">Spikevax LP.8.1. and any other vaccine updates </w:t>
      </w:r>
      <w:r w:rsidR="00A21DDA" w:rsidRPr="00B06893">
        <w:t>submitted</w:t>
      </w:r>
      <w:r w:rsidRPr="00B06893">
        <w:t>, or planned to be submitted to the TGA.</w:t>
      </w:r>
      <w:r w:rsidR="00580BAD">
        <w:t xml:space="preserve"> </w:t>
      </w:r>
      <w:r w:rsidRPr="00B06893">
        <w:rPr>
          <w:snapToGrid w:val="0"/>
        </w:rPr>
        <w:t>The sponsor is asked to confirm its commitment to communicate with the Department, the TGA, and ATAGI in a timely manner, with the intent to provide the most up</w:t>
      </w:r>
      <w:r w:rsidR="00193971">
        <w:rPr>
          <w:snapToGrid w:val="0"/>
        </w:rPr>
        <w:noBreakHyphen/>
      </w:r>
      <w:r w:rsidRPr="00B06893">
        <w:rPr>
          <w:snapToGrid w:val="0"/>
        </w:rPr>
        <w:t>to</w:t>
      </w:r>
      <w:r w:rsidR="00193971">
        <w:rPr>
          <w:snapToGrid w:val="0"/>
        </w:rPr>
        <w:noBreakHyphen/>
      </w:r>
      <w:r w:rsidRPr="00B06893">
        <w:rPr>
          <w:snapToGrid w:val="0"/>
        </w:rPr>
        <w:t>date COVID 19 vaccine to Australians through the NIP.</w:t>
      </w:r>
    </w:p>
    <w:p w14:paraId="640D977A" w14:textId="77777777" w:rsidR="002D0FB7" w:rsidRPr="00B06893" w:rsidRDefault="002D0FB7" w:rsidP="002D0FB7">
      <w:pPr>
        <w:pStyle w:val="3-BodyText"/>
        <w:numPr>
          <w:ilvl w:val="1"/>
          <w:numId w:val="1"/>
        </w:numPr>
        <w:spacing w:before="120" w:after="120"/>
        <w:ind w:left="720"/>
        <w:rPr>
          <w:i/>
        </w:rPr>
      </w:pPr>
      <w:r w:rsidRPr="00B06893">
        <w:t>The PBAC noted that this submission is not eligible for an Independent Review because it is only relevant to submissions requesting a listing (or change to a listing) on the PBS.</w:t>
      </w:r>
    </w:p>
    <w:p w14:paraId="298CAB88" w14:textId="77777777" w:rsidR="007A6E02" w:rsidRPr="00B06893" w:rsidRDefault="007A6E02" w:rsidP="007A6E02">
      <w:pPr>
        <w:spacing w:before="240"/>
        <w:rPr>
          <w:rFonts w:cs="Arial"/>
          <w:b/>
          <w:bCs/>
          <w:snapToGrid w:val="0"/>
        </w:rPr>
      </w:pPr>
      <w:r w:rsidRPr="00B06893">
        <w:rPr>
          <w:rFonts w:cs="Arial"/>
          <w:b/>
          <w:bCs/>
          <w:snapToGrid w:val="0"/>
        </w:rPr>
        <w:t>Outcome:</w:t>
      </w:r>
    </w:p>
    <w:p w14:paraId="3E161050" w14:textId="1D2B23C7" w:rsidR="000A4286" w:rsidRPr="00A70FE2" w:rsidRDefault="008D3227" w:rsidP="000A4286">
      <w:pPr>
        <w:rPr>
          <w:rFonts w:cs="Arial"/>
          <w:bCs/>
          <w:snapToGrid w:val="0"/>
        </w:rPr>
      </w:pPr>
      <w:r w:rsidRPr="00B06893">
        <w:rPr>
          <w:rFonts w:cs="Arial"/>
          <w:bCs/>
          <w:snapToGrid w:val="0"/>
        </w:rPr>
        <w:t>Deferred</w:t>
      </w:r>
    </w:p>
    <w:bookmarkEnd w:id="105"/>
    <w:bookmarkEnd w:id="106"/>
    <w:p w14:paraId="1F9ADE82" w14:textId="77777777" w:rsidR="007A6E02" w:rsidRDefault="007A6E02" w:rsidP="007A6E02">
      <w:pPr>
        <w:spacing w:after="200" w:line="276" w:lineRule="auto"/>
        <w:rPr>
          <w:rFonts w:ascii="Arial" w:hAnsi="Arial" w:cs="Arial"/>
          <w:bCs/>
          <w:sz w:val="22"/>
          <w:szCs w:val="22"/>
        </w:rPr>
      </w:pPr>
    </w:p>
    <w:p w14:paraId="3201EADC" w14:textId="73FFEB10" w:rsidR="00385618" w:rsidRPr="00061CBE" w:rsidRDefault="00385618" w:rsidP="00385618">
      <w:pPr>
        <w:pStyle w:val="2-SectionHeading"/>
        <w:numPr>
          <w:ilvl w:val="0"/>
          <w:numId w:val="0"/>
        </w:numPr>
        <w:ind w:left="720" w:hanging="720"/>
        <w:rPr>
          <w:lang w:val="en-GB"/>
        </w:rPr>
      </w:pPr>
      <w:r>
        <w:t>8</w:t>
      </w:r>
      <w:r w:rsidRPr="00061CBE">
        <w:tab/>
        <w:t>Context for Decision</w:t>
      </w:r>
    </w:p>
    <w:p w14:paraId="0E9BD6C3" w14:textId="77777777" w:rsidR="00385618" w:rsidRPr="00061CBE" w:rsidRDefault="00385618" w:rsidP="00385618">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73253F6" w14:textId="44774411" w:rsidR="0022163A" w:rsidRPr="00F575CD" w:rsidRDefault="00385618" w:rsidP="00F575CD">
      <w:pPr>
        <w:pStyle w:val="2-SectionHeading"/>
        <w:numPr>
          <w:ilvl w:val="0"/>
          <w:numId w:val="0"/>
        </w:numPr>
        <w:ind w:left="720" w:hanging="720"/>
      </w:pPr>
      <w:r>
        <w:lastRenderedPageBreak/>
        <w:t>9</w:t>
      </w:r>
      <w:r w:rsidRPr="00061CBE">
        <w:tab/>
        <w:t>Sponsor’s Comment</w:t>
      </w:r>
    </w:p>
    <w:p w14:paraId="1EC2C142" w14:textId="0E4E3E86" w:rsidR="00385618" w:rsidRPr="00B06893" w:rsidRDefault="00385618" w:rsidP="0022163A">
      <w:pPr>
        <w:spacing w:after="200" w:line="276" w:lineRule="auto"/>
        <w:ind w:firstLine="720"/>
        <w:rPr>
          <w:rFonts w:ascii="Arial" w:hAnsi="Arial" w:cs="Arial"/>
          <w:bCs/>
          <w:sz w:val="22"/>
          <w:szCs w:val="22"/>
        </w:rPr>
      </w:pPr>
      <w:r w:rsidRPr="00061CBE">
        <w:rPr>
          <w:bCs/>
        </w:rPr>
        <w:t>The sponsor had no comment.</w:t>
      </w:r>
    </w:p>
    <w:p w14:paraId="6D564E7C" w14:textId="77777777" w:rsidR="007A6E02" w:rsidRPr="00B06893" w:rsidRDefault="007A6E02" w:rsidP="00972EFB"/>
    <w:p w14:paraId="04751CE0" w14:textId="77777777" w:rsidR="007A6E02" w:rsidRPr="00B06893" w:rsidRDefault="007A6E02" w:rsidP="00972EFB"/>
    <w:sectPr w:rsidR="007A6E02" w:rsidRPr="00B06893" w:rsidSect="00251006">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9D65" w14:textId="77777777" w:rsidR="00272F41" w:rsidRDefault="00272F41" w:rsidP="00124A51">
      <w:r>
        <w:separator/>
      </w:r>
    </w:p>
    <w:p w14:paraId="4CD5E71C" w14:textId="77777777" w:rsidR="00272F41" w:rsidRDefault="00272F41"/>
  </w:endnote>
  <w:endnote w:type="continuationSeparator" w:id="0">
    <w:p w14:paraId="10C05D0D" w14:textId="77777777" w:rsidR="00272F41" w:rsidRDefault="00272F41" w:rsidP="00124A51">
      <w:r>
        <w:continuationSeparator/>
      </w:r>
    </w:p>
    <w:p w14:paraId="3EBE64EF" w14:textId="77777777" w:rsidR="00272F41" w:rsidRDefault="0027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Body)">
    <w:altName w:val="Calibri"/>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E3D0" w14:textId="3E81B062" w:rsidR="009F721F" w:rsidRDefault="00710F15">
    <w:pPr>
      <w:pStyle w:val="Footer"/>
    </w:pPr>
    <w:r>
      <w:rPr>
        <w:noProof/>
      </w:rPr>
      <mc:AlternateContent>
        <mc:Choice Requires="wps">
          <w:drawing>
            <wp:anchor distT="0" distB="0" distL="0" distR="0" simplePos="0" relativeHeight="251662336" behindDoc="0" locked="0" layoutInCell="1" allowOverlap="1" wp14:anchorId="10586344" wp14:editId="1F2C95E5">
              <wp:simplePos x="635" y="635"/>
              <wp:positionH relativeFrom="page">
                <wp:align>center</wp:align>
              </wp:positionH>
              <wp:positionV relativeFrom="page">
                <wp:align>bottom</wp:align>
              </wp:positionV>
              <wp:extent cx="622300" cy="376555"/>
              <wp:effectExtent l="0" t="0" r="6350" b="0"/>
              <wp:wrapNone/>
              <wp:docPr id="7349102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D8E3F6" w14:textId="5AAE26C9"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58634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BD8E3F6" w14:textId="5AAE26C9"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05FFD559" w:rsidR="00D843F2" w:rsidRDefault="00710F15" w:rsidP="00753B29">
    <w:pPr>
      <w:pStyle w:val="Footer"/>
      <w:jc w:val="center"/>
    </w:pPr>
    <w:r>
      <w:rPr>
        <w:noProof/>
      </w:rPr>
      <mc:AlternateContent>
        <mc:Choice Requires="wps">
          <w:drawing>
            <wp:anchor distT="0" distB="0" distL="0" distR="0" simplePos="0" relativeHeight="251663360" behindDoc="0" locked="0" layoutInCell="1" allowOverlap="1" wp14:anchorId="42A863C4" wp14:editId="58354F0F">
              <wp:simplePos x="635" y="635"/>
              <wp:positionH relativeFrom="page">
                <wp:align>center</wp:align>
              </wp:positionH>
              <wp:positionV relativeFrom="page">
                <wp:align>bottom</wp:align>
              </wp:positionV>
              <wp:extent cx="622300" cy="376555"/>
              <wp:effectExtent l="0" t="0" r="6350" b="0"/>
              <wp:wrapNone/>
              <wp:docPr id="18302395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815AAE" w14:textId="3D809695"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863C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0815AAE" w14:textId="3D809695"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v:textbox>
              <w10:wrap anchorx="page" anchory="page"/>
            </v:shape>
          </w:pict>
        </mc:Fallback>
      </mc:AlternateContent>
    </w:r>
  </w:p>
  <w:p w14:paraId="37484CD3" w14:textId="0182DDDC" w:rsidR="00D843F2" w:rsidRPr="007C1CD9" w:rsidRDefault="00272F41"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29E3" w14:textId="40CA0741" w:rsidR="009F721F" w:rsidRDefault="00710F15">
    <w:pPr>
      <w:pStyle w:val="Footer"/>
    </w:pPr>
    <w:r>
      <w:rPr>
        <w:noProof/>
      </w:rPr>
      <mc:AlternateContent>
        <mc:Choice Requires="wps">
          <w:drawing>
            <wp:anchor distT="0" distB="0" distL="0" distR="0" simplePos="0" relativeHeight="251661312" behindDoc="0" locked="0" layoutInCell="1" allowOverlap="1" wp14:anchorId="218523BA" wp14:editId="20299B67">
              <wp:simplePos x="635" y="635"/>
              <wp:positionH relativeFrom="page">
                <wp:align>center</wp:align>
              </wp:positionH>
              <wp:positionV relativeFrom="page">
                <wp:align>bottom</wp:align>
              </wp:positionV>
              <wp:extent cx="622300" cy="376555"/>
              <wp:effectExtent l="0" t="0" r="6350" b="0"/>
              <wp:wrapNone/>
              <wp:docPr id="4551551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054618" w14:textId="0E5EDB51"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523B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D054618" w14:textId="0E5EDB51"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AF1C" w14:textId="77777777" w:rsidR="00272F41" w:rsidRDefault="00272F41" w:rsidP="00124A51">
      <w:r>
        <w:separator/>
      </w:r>
    </w:p>
    <w:p w14:paraId="46447414" w14:textId="77777777" w:rsidR="00272F41" w:rsidRDefault="00272F41"/>
  </w:footnote>
  <w:footnote w:type="continuationSeparator" w:id="0">
    <w:p w14:paraId="09BC99E2" w14:textId="77777777" w:rsidR="00272F41" w:rsidRDefault="00272F41" w:rsidP="00124A51">
      <w:r>
        <w:continuationSeparator/>
      </w:r>
    </w:p>
    <w:p w14:paraId="23682A7A" w14:textId="77777777" w:rsidR="00272F41" w:rsidRDefault="00272F41"/>
  </w:footnote>
  <w:footnote w:id="1">
    <w:p w14:paraId="6AA66F86" w14:textId="62689F26" w:rsidR="008429E1" w:rsidRPr="003F1DAA" w:rsidRDefault="008429E1">
      <w:pPr>
        <w:pStyle w:val="FootnoteText"/>
      </w:pPr>
      <w:r w:rsidRPr="003F1DAA">
        <w:rPr>
          <w:rStyle w:val="FootnoteReference"/>
        </w:rPr>
        <w:footnoteRef/>
      </w:r>
      <w:r w:rsidRPr="003F1DAA">
        <w:t xml:space="preserve"> Australian Register of Therapeutic Goods (ARTG) record for COMIRNATY LP.8.1, </w:t>
      </w:r>
      <w:hyperlink r:id="rId1" w:history="1">
        <w:r w:rsidRPr="003F1DAA">
          <w:rPr>
            <w:rStyle w:val="Hyperlink"/>
          </w:rPr>
          <w:t>https://www.tga.gov.au/resources/artg/506526</w:t>
        </w:r>
      </w:hyperlink>
      <w:r w:rsidRPr="003F1DAA">
        <w:t xml:space="preserve"> </w:t>
      </w:r>
    </w:p>
  </w:footnote>
  <w:footnote w:id="2">
    <w:p w14:paraId="2B12CAFD" w14:textId="78AE26DD" w:rsidR="004F1622" w:rsidRDefault="004F1622">
      <w:pPr>
        <w:pStyle w:val="FootnoteText"/>
      </w:pPr>
      <w:r>
        <w:rPr>
          <w:rStyle w:val="FootnoteReference"/>
        </w:rPr>
        <w:footnoteRef/>
      </w:r>
      <w:r>
        <w:t xml:space="preserve"> </w:t>
      </w:r>
      <w:hyperlink r:id="rId2" w:history="1">
        <w:r w:rsidRPr="00AB0AF5">
          <w:rPr>
            <w:rStyle w:val="Hyperlink"/>
          </w:rPr>
          <w:t>https://www.pbs.gov.au/industry/listing/elements/pbac</w:t>
        </w:r>
        <w:r w:rsidR="00193971">
          <w:rPr>
            <w:rStyle w:val="Hyperlink"/>
          </w:rPr>
          <w:noBreakHyphen/>
        </w:r>
        <w:r w:rsidRPr="00AB0AF5">
          <w:rPr>
            <w:rStyle w:val="Hyperlink"/>
          </w:rPr>
          <w:t>meetings/agenda/pdf/2025/PBAC</w:t>
        </w:r>
        <w:r w:rsidR="00193971">
          <w:rPr>
            <w:rStyle w:val="Hyperlink"/>
          </w:rPr>
          <w:noBreakHyphen/>
        </w:r>
        <w:r w:rsidRPr="00AB0AF5">
          <w:rPr>
            <w:rStyle w:val="Hyperlink"/>
          </w:rPr>
          <w:t>Intracycle</w:t>
        </w:r>
        <w:r w:rsidR="00193971">
          <w:rPr>
            <w:rStyle w:val="Hyperlink"/>
          </w:rPr>
          <w:noBreakHyphen/>
        </w:r>
        <w:r w:rsidRPr="00AB0AF5">
          <w:rPr>
            <w:rStyle w:val="Hyperlink"/>
          </w:rPr>
          <w:t>meeting</w:t>
        </w:r>
        <w:r w:rsidR="00193971">
          <w:rPr>
            <w:rStyle w:val="Hyperlink"/>
          </w:rPr>
          <w:noBreakHyphen/>
        </w:r>
        <w:r w:rsidRPr="00AB0AF5">
          <w:rPr>
            <w:rStyle w:val="Hyperlink"/>
          </w:rPr>
          <w:t>agenda</w:t>
        </w:r>
        <w:r w:rsidR="00193971">
          <w:rPr>
            <w:rStyle w:val="Hyperlink"/>
          </w:rPr>
          <w:noBreakHyphen/>
        </w:r>
        <w:r w:rsidRPr="00AB0AF5">
          <w:rPr>
            <w:rStyle w:val="Hyperlink"/>
          </w:rPr>
          <w:t>DECEMBER</w:t>
        </w:r>
        <w:r w:rsidR="00193971">
          <w:rPr>
            <w:rStyle w:val="Hyperlink"/>
          </w:rPr>
          <w:noBreakHyphen/>
        </w:r>
        <w:r w:rsidRPr="00AB0AF5">
          <w:rPr>
            <w:rStyle w:val="Hyperlink"/>
          </w:rPr>
          <w:t>2025.pdf</w:t>
        </w:r>
      </w:hyperlink>
      <w:r>
        <w:t>, accessed 6 January 2026</w:t>
      </w:r>
      <w:r w:rsidR="007A3E39">
        <w:t>.</w:t>
      </w:r>
    </w:p>
  </w:footnote>
  <w:footnote w:id="3">
    <w:p w14:paraId="3A9270B4" w14:textId="478B0A93" w:rsidR="00C316B5" w:rsidRDefault="00C316B5" w:rsidP="00C316B5">
      <w:pPr>
        <w:pStyle w:val="FootnoteText"/>
      </w:pPr>
      <w:r>
        <w:rPr>
          <w:rStyle w:val="FootnoteReference"/>
        </w:rPr>
        <w:footnoteRef/>
      </w:r>
      <w:r>
        <w:t xml:space="preserve"> </w:t>
      </w:r>
      <w:r w:rsidRPr="00750E7A">
        <w:t>https://immunisationhandbook.health.gov.au/contents/vaccine</w:t>
      </w:r>
      <w:r w:rsidR="00193971">
        <w:noBreakHyphen/>
      </w:r>
      <w:r w:rsidRPr="00750E7A">
        <w:t>preventable</w:t>
      </w:r>
      <w:r w:rsidR="00193971">
        <w:noBreakHyphen/>
      </w:r>
      <w:r w:rsidRPr="00750E7A">
        <w:t>diseases/covid</w:t>
      </w:r>
      <w:r w:rsidR="00193971">
        <w:noBreakHyphen/>
      </w:r>
      <w:r w:rsidRPr="00750E7A">
        <w:t>19</w:t>
      </w:r>
    </w:p>
  </w:footnote>
  <w:footnote w:id="4">
    <w:p w14:paraId="5D80CBC4" w14:textId="299D4FBE" w:rsidR="007A6D62" w:rsidRDefault="007A6D62">
      <w:pPr>
        <w:pStyle w:val="FootnoteText"/>
      </w:pPr>
      <w:r>
        <w:rPr>
          <w:rStyle w:val="FootnoteReference"/>
        </w:rPr>
        <w:footnoteRef/>
      </w:r>
      <w:r>
        <w:t xml:space="preserve"> </w:t>
      </w:r>
      <w:r w:rsidRPr="007A6D62">
        <w:t>https://www.health.gov.au/sites/default/files/2025</w:t>
      </w:r>
      <w:r w:rsidR="00193971">
        <w:noBreakHyphen/>
      </w:r>
      <w:r w:rsidRPr="007A6D62">
        <w:t>01/australian</w:t>
      </w:r>
      <w:r w:rsidR="00193971">
        <w:noBreakHyphen/>
      </w:r>
      <w:r w:rsidRPr="007A6D62">
        <w:t>respiratory</w:t>
      </w:r>
      <w:r w:rsidR="00193971">
        <w:noBreakHyphen/>
      </w:r>
      <w:r w:rsidRPr="007A6D62">
        <w:t>surveillance</w:t>
      </w:r>
      <w:r w:rsidR="00193971">
        <w:noBreakHyphen/>
      </w:r>
      <w:r w:rsidRPr="007A6D62">
        <w:t>report</w:t>
      </w:r>
      <w:r w:rsidR="00193971">
        <w:noBreakHyphen/>
      </w:r>
      <w:r w:rsidRPr="007A6D62">
        <w:t>30</w:t>
      </w:r>
      <w:r w:rsidR="00193971">
        <w:noBreakHyphen/>
      </w:r>
      <w:r w:rsidRPr="007A6D62">
        <w:t>december</w:t>
      </w:r>
      <w:r w:rsidR="00193971">
        <w:noBreakHyphen/>
      </w:r>
      <w:r w:rsidRPr="007A6D62">
        <w:t>2024</w:t>
      </w:r>
      <w:r w:rsidR="00193971">
        <w:noBreakHyphen/>
      </w:r>
      <w:r w:rsidRPr="007A6D62">
        <w:t>to</w:t>
      </w:r>
      <w:r w:rsidR="00193971">
        <w:noBreakHyphen/>
      </w:r>
      <w:r w:rsidRPr="007A6D62">
        <w:t>26</w:t>
      </w:r>
      <w:r w:rsidR="00193971">
        <w:noBreakHyphen/>
      </w:r>
      <w:r w:rsidRPr="007A6D62">
        <w:t>january</w:t>
      </w:r>
      <w:r w:rsidR="00193971">
        <w:noBreakHyphen/>
      </w:r>
      <w:r w:rsidRPr="007A6D62">
        <w:t>2025.pdf</w:t>
      </w:r>
    </w:p>
  </w:footnote>
  <w:footnote w:id="5">
    <w:p w14:paraId="346BE917" w14:textId="177F93E3" w:rsidR="00B13C09" w:rsidRDefault="00B13C09" w:rsidP="00B13C09">
      <w:pPr>
        <w:pStyle w:val="FootnoteText"/>
      </w:pPr>
      <w:r>
        <w:rPr>
          <w:rStyle w:val="FootnoteReference"/>
        </w:rPr>
        <w:footnoteRef/>
      </w:r>
      <w:r>
        <w:t xml:space="preserve"> </w:t>
      </w:r>
      <w:r w:rsidRPr="001B3BCF">
        <w:t>https://www.health.gov.au/sites/default/files/2025</w:t>
      </w:r>
      <w:r w:rsidR="00193971">
        <w:noBreakHyphen/>
      </w:r>
      <w:r w:rsidRPr="001B3BCF">
        <w:t>08/australian</w:t>
      </w:r>
      <w:r w:rsidR="00193971">
        <w:noBreakHyphen/>
      </w:r>
      <w:r w:rsidRPr="001B3BCF">
        <w:t>respiratory</w:t>
      </w:r>
      <w:r w:rsidR="00193971">
        <w:noBreakHyphen/>
      </w:r>
      <w:r w:rsidRPr="001B3BCF">
        <w:t>surveillance</w:t>
      </w:r>
      <w:r w:rsidR="00193971">
        <w:noBreakHyphen/>
      </w:r>
      <w:r w:rsidRPr="001B3BCF">
        <w:t>report</w:t>
      </w:r>
      <w:r w:rsidR="00193971">
        <w:noBreakHyphen/>
      </w:r>
      <w:r w:rsidRPr="001B3BCF">
        <w:t>28</w:t>
      </w:r>
      <w:r w:rsidR="00193971">
        <w:noBreakHyphen/>
      </w:r>
      <w:r w:rsidRPr="001B3BCF">
        <w:t>july</w:t>
      </w:r>
      <w:r w:rsidR="00193971">
        <w:noBreakHyphen/>
      </w:r>
      <w:r w:rsidRPr="001B3BCF">
        <w:t>to</w:t>
      </w:r>
      <w:r w:rsidR="00193971">
        <w:noBreakHyphen/>
      </w:r>
      <w:r w:rsidRPr="001B3BCF">
        <w:t>10</w:t>
      </w:r>
      <w:r w:rsidR="00193971">
        <w:noBreakHyphen/>
      </w:r>
      <w:r w:rsidRPr="001B3BCF">
        <w:t>august</w:t>
      </w:r>
      <w:r w:rsidR="00193971">
        <w:noBreakHyphen/>
      </w:r>
      <w:r w:rsidRPr="001B3BCF">
        <w:t>2025.pdf</w:t>
      </w:r>
    </w:p>
  </w:footnote>
  <w:footnote w:id="6">
    <w:p w14:paraId="2840ECDD" w14:textId="5E1792E4" w:rsidR="00F87569" w:rsidRDefault="00F87569">
      <w:pPr>
        <w:pStyle w:val="FootnoteText"/>
      </w:pPr>
      <w:r>
        <w:rPr>
          <w:rStyle w:val="FootnoteReference"/>
        </w:rPr>
        <w:footnoteRef/>
      </w:r>
      <w:r>
        <w:t xml:space="preserve"> </w:t>
      </w:r>
      <w:r w:rsidRPr="00A177EE">
        <w:t>Vicic N et al</w:t>
      </w:r>
      <w:r w:rsidR="00800554" w:rsidRPr="00A177EE">
        <w:t xml:space="preserve"> (2025, In Press)</w:t>
      </w:r>
      <w:r w:rsidRPr="00A177EE">
        <w:t>.</w:t>
      </w:r>
      <w:r>
        <w:t xml:space="preserve"> </w:t>
      </w:r>
      <w:r w:rsidRPr="00F87569">
        <w:t>Evaluating the Effectiveness of 2024</w:t>
      </w:r>
      <w:r w:rsidR="00193971">
        <w:noBreakHyphen/>
      </w:r>
      <w:r w:rsidRPr="00F87569">
        <w:t>2025 Seasonal mRNA</w:t>
      </w:r>
      <w:r w:rsidR="00193971">
        <w:noBreakHyphen/>
      </w:r>
      <w:r w:rsidRPr="00F87569">
        <w:t>1273 Vaccination Against COVID</w:t>
      </w:r>
      <w:r w:rsidR="00193971">
        <w:noBreakHyphen/>
      </w:r>
      <w:r w:rsidRPr="00F87569">
        <w:t>19</w:t>
      </w:r>
      <w:r w:rsidR="00193971">
        <w:noBreakHyphen/>
      </w:r>
      <w:r w:rsidRPr="00F87569">
        <w:t>Related Hospitalizations and Medically Attended COVID</w:t>
      </w:r>
      <w:r w:rsidR="00193971">
        <w:noBreakHyphen/>
      </w:r>
      <w:r w:rsidRPr="00F87569">
        <w:t>19 among adults aged ≥ 18 years in the United States</w:t>
      </w:r>
      <w:r>
        <w:t>.</w:t>
      </w:r>
    </w:p>
  </w:footnote>
  <w:footnote w:id="7">
    <w:p w14:paraId="0FFECBDE" w14:textId="308D3997" w:rsidR="00253DC5" w:rsidRDefault="00253DC5">
      <w:pPr>
        <w:pStyle w:val="FootnoteText"/>
      </w:pPr>
      <w:r>
        <w:rPr>
          <w:rStyle w:val="FootnoteReference"/>
        </w:rPr>
        <w:footnoteRef/>
      </w:r>
      <w:r>
        <w:t xml:space="preserve"> </w:t>
      </w:r>
      <w:r w:rsidRPr="00253DC5">
        <w:t xml:space="preserve">Vicic N, </w:t>
      </w:r>
      <w:r>
        <w:t>et al</w:t>
      </w:r>
      <w:r w:rsidRPr="00253DC5">
        <w:t>. Evaluating the Effectiveness of 2024</w:t>
      </w:r>
      <w:r w:rsidR="00193971">
        <w:noBreakHyphen/>
      </w:r>
      <w:r w:rsidRPr="00253DC5">
        <w:t>2025 Seasonal mRNA</w:t>
      </w:r>
      <w:r w:rsidR="00193971">
        <w:noBreakHyphen/>
      </w:r>
      <w:r w:rsidRPr="00253DC5">
        <w:t>1273 Vaccination Against COVID</w:t>
      </w:r>
      <w:r w:rsidR="00193971">
        <w:noBreakHyphen/>
      </w:r>
      <w:r w:rsidRPr="00253DC5">
        <w:t>19</w:t>
      </w:r>
      <w:r w:rsidR="00193971">
        <w:noBreakHyphen/>
      </w:r>
      <w:r w:rsidRPr="00253DC5">
        <w:t>Related Hospitalizations and Medically Attended COVID</w:t>
      </w:r>
      <w:r w:rsidR="00193971">
        <w:noBreakHyphen/>
      </w:r>
      <w:r w:rsidRPr="00253DC5">
        <w:t>19 Among Adults Aged ≥ 18 years in the United States: An Observational Matched Cohort Study. Infect Dis Ther. 2026 Jan 10. doi: 10.1007/s40121</w:t>
      </w:r>
      <w:r w:rsidR="00193971">
        <w:noBreakHyphen/>
      </w:r>
      <w:r w:rsidRPr="00253DC5">
        <w:t>025</w:t>
      </w:r>
      <w:r w:rsidR="00193971">
        <w:noBreakHyphen/>
      </w:r>
      <w:r w:rsidRPr="00253DC5">
        <w:t>01292</w:t>
      </w:r>
      <w:r w:rsidR="00193971">
        <w:noBreakHyphen/>
      </w:r>
      <w:r w:rsidRPr="00253DC5">
        <w:t xml:space="preserve">2. </w:t>
      </w:r>
    </w:p>
  </w:footnote>
  <w:footnote w:id="8">
    <w:p w14:paraId="08AEF139" w14:textId="06A03DBD" w:rsidR="001154B7" w:rsidRDefault="001154B7">
      <w:pPr>
        <w:pStyle w:val="FootnoteText"/>
      </w:pPr>
      <w:r>
        <w:rPr>
          <w:rStyle w:val="FootnoteReference"/>
        </w:rPr>
        <w:footnoteRef/>
      </w:r>
      <w:r>
        <w:t xml:space="preserve"> </w:t>
      </w:r>
      <w:r w:rsidRPr="001154B7">
        <w:t>Wilson, A</w:t>
      </w:r>
      <w:r>
        <w:t xml:space="preserve"> et al. </w:t>
      </w:r>
      <w:r w:rsidRPr="001154B7">
        <w:t>Evaluating the Effectiveness of mRNA</w:t>
      </w:r>
      <w:r w:rsidR="00193971">
        <w:noBreakHyphen/>
      </w:r>
      <w:r w:rsidRPr="001154B7">
        <w:t>1273.815 Against COVID</w:t>
      </w:r>
      <w:r w:rsidR="00193971">
        <w:noBreakHyphen/>
      </w:r>
      <w:r w:rsidRPr="001154B7">
        <w:t>19 Hospitalization Among Adults Aged &gt;/= 18 Years in the United States</w:t>
      </w:r>
      <w:r>
        <w:t>.</w:t>
      </w:r>
      <w:r w:rsidRPr="001154B7">
        <w:t xml:space="preserve"> </w:t>
      </w:r>
      <w:r w:rsidRPr="001154B7">
        <w:rPr>
          <w:i/>
          <w:iCs/>
        </w:rPr>
        <w:t>Infect Dis Ther</w:t>
      </w:r>
      <w:r>
        <w:t xml:space="preserve"> 2025;</w:t>
      </w:r>
      <w:r w:rsidRPr="001154B7">
        <w:t xml:space="preserve"> 14</w:t>
      </w:r>
      <w:r>
        <w:t xml:space="preserve">: </w:t>
      </w:r>
      <w:r w:rsidRPr="001154B7">
        <w:t>pp 199</w:t>
      </w:r>
      <w:r w:rsidR="00193971">
        <w:noBreakHyphen/>
      </w:r>
      <w:r w:rsidRPr="001154B7">
        <w:t>216</w:t>
      </w:r>
      <w:r>
        <w:t>.</w:t>
      </w:r>
    </w:p>
  </w:footnote>
  <w:footnote w:id="9">
    <w:p w14:paraId="28EB87A8" w14:textId="32418E2C" w:rsidR="001154B7" w:rsidRDefault="001154B7">
      <w:pPr>
        <w:pStyle w:val="FootnoteText"/>
      </w:pPr>
      <w:r>
        <w:rPr>
          <w:rStyle w:val="FootnoteReference"/>
        </w:rPr>
        <w:footnoteRef/>
      </w:r>
      <w:r>
        <w:t xml:space="preserve"> </w:t>
      </w:r>
      <w:r w:rsidRPr="001154B7">
        <w:t xml:space="preserve">Wilson, A, </w:t>
      </w:r>
      <w:r>
        <w:t xml:space="preserve">et al. </w:t>
      </w:r>
      <w:r w:rsidRPr="001154B7">
        <w:t>Evaluating the Effectiveness of 2024</w:t>
      </w:r>
      <w:r w:rsidR="00193971">
        <w:noBreakHyphen/>
      </w:r>
      <w:r w:rsidRPr="001154B7">
        <w:t>2025 Seasonal mRNA</w:t>
      </w:r>
      <w:r w:rsidR="00193971">
        <w:noBreakHyphen/>
      </w:r>
      <w:r w:rsidRPr="001154B7">
        <w:t>1273 Vaccination Against COVID</w:t>
      </w:r>
      <w:r w:rsidR="00193971">
        <w:noBreakHyphen/>
      </w:r>
      <w:r w:rsidRPr="001154B7">
        <w:t>19</w:t>
      </w:r>
      <w:r w:rsidR="00193971">
        <w:noBreakHyphen/>
      </w:r>
      <w:r w:rsidRPr="001154B7">
        <w:t>Associated Hospitalizations and Medically Attended COVID</w:t>
      </w:r>
      <w:r w:rsidR="00193971">
        <w:noBreakHyphen/>
      </w:r>
      <w:r w:rsidRPr="001154B7">
        <w:t>19 among adults aged ≥ 18 years in the United States,</w:t>
      </w:r>
      <w:r>
        <w:t xml:space="preserve"> 2025.</w:t>
      </w:r>
      <w:r w:rsidRPr="001154B7">
        <w:t xml:space="preserve"> 10.1101/2025.03.27.25324770</w:t>
      </w:r>
    </w:p>
  </w:footnote>
  <w:footnote w:id="10">
    <w:p w14:paraId="0D9B155C" w14:textId="5AA529C8" w:rsidR="008A3F6C" w:rsidRDefault="008A3F6C" w:rsidP="004F61D9">
      <w:pPr>
        <w:pStyle w:val="FootnoteText"/>
        <w:jc w:val="both"/>
      </w:pPr>
      <w:r>
        <w:rPr>
          <w:rStyle w:val="FootnoteReference"/>
        </w:rPr>
        <w:footnoteRef/>
      </w:r>
      <w:r>
        <w:t xml:space="preserve"> </w:t>
      </w:r>
      <w:r w:rsidRPr="008A3F6C">
        <w:t>Delaunay, CL</w:t>
      </w:r>
      <w:r>
        <w:t xml:space="preserve"> et al.</w:t>
      </w:r>
      <w:r w:rsidRPr="008A3F6C">
        <w:t xml:space="preserve"> Effectiveness of COVID</w:t>
      </w:r>
      <w:r w:rsidR="00193971">
        <w:noBreakHyphen/>
      </w:r>
      <w:r w:rsidRPr="008A3F6C">
        <w:t>19 vaccines administered in the 2023 autumnal campaigns in Europe: Results from the VEBIS primary care test</w:t>
      </w:r>
      <w:r w:rsidR="00193971">
        <w:noBreakHyphen/>
      </w:r>
      <w:r w:rsidRPr="008A3F6C">
        <w:t>negative design study, September 2023</w:t>
      </w:r>
      <w:r w:rsidR="00193971">
        <w:noBreakHyphen/>
      </w:r>
      <w:r w:rsidRPr="008A3F6C">
        <w:t xml:space="preserve">January 2024, </w:t>
      </w:r>
      <w:r w:rsidRPr="008A3F6C">
        <w:rPr>
          <w:i/>
          <w:iCs/>
        </w:rPr>
        <w:t>Vaccine</w:t>
      </w:r>
      <w:r w:rsidR="004F61D9">
        <w:t xml:space="preserve"> 2024;</w:t>
      </w:r>
      <w:r w:rsidRPr="008A3F6C">
        <w:t xml:space="preserve"> 42</w:t>
      </w:r>
      <w:r w:rsidR="004F61D9">
        <w:t xml:space="preserve">: </w:t>
      </w:r>
      <w:r w:rsidRPr="008A3F6C">
        <w:t>pp 3931</w:t>
      </w:r>
      <w:r w:rsidR="00193971">
        <w:noBreakHyphen/>
      </w:r>
      <w:r w:rsidRPr="008A3F6C">
        <w:t>3937</w:t>
      </w:r>
      <w:r w:rsidR="004F61D9">
        <w:t>.</w:t>
      </w:r>
    </w:p>
  </w:footnote>
  <w:footnote w:id="11">
    <w:p w14:paraId="5B24B053" w14:textId="07F752D4" w:rsidR="004F61D9" w:rsidRDefault="004F61D9" w:rsidP="004F61D9">
      <w:pPr>
        <w:pStyle w:val="FootnoteText"/>
        <w:jc w:val="both"/>
      </w:pPr>
      <w:r>
        <w:rPr>
          <w:rStyle w:val="FootnoteReference"/>
        </w:rPr>
        <w:footnoteRef/>
      </w:r>
      <w:r>
        <w:t xml:space="preserve"> </w:t>
      </w:r>
      <w:proofErr w:type="spellStart"/>
      <w:r>
        <w:t>Panagiotakopoulos</w:t>
      </w:r>
      <w:proofErr w:type="spellEnd"/>
      <w:r>
        <w:t>, L. Use of an additional updated 2023–2024 COVID</w:t>
      </w:r>
      <w:r w:rsidR="00193971">
        <w:noBreakHyphen/>
      </w:r>
      <w:r>
        <w:t xml:space="preserve">19 vaccine dose for adults aged≥ 65 years: recommendations of the advisory committee on immunization practices—United States, 2024. MMWR. </w:t>
      </w:r>
      <w:r w:rsidRPr="004F61D9">
        <w:rPr>
          <w:i/>
          <w:iCs/>
        </w:rPr>
        <w:t>Morbidity and Mortality Weekly Report</w:t>
      </w:r>
      <w:r>
        <w:t xml:space="preserve"> 73.</w:t>
      </w:r>
    </w:p>
  </w:footnote>
  <w:footnote w:id="12">
    <w:p w14:paraId="45D52C57" w14:textId="0004FF4F" w:rsidR="00314822" w:rsidRPr="00A762E0" w:rsidRDefault="00314822" w:rsidP="004F61D9">
      <w:pPr>
        <w:pStyle w:val="FootnoteText"/>
        <w:jc w:val="both"/>
        <w:rPr>
          <w:rFonts w:cstheme="minorHAnsi"/>
        </w:rPr>
      </w:pPr>
      <w:r w:rsidRPr="00A762E0">
        <w:rPr>
          <w:rStyle w:val="FootnoteReference"/>
          <w:rFonts w:cstheme="minorHAnsi"/>
        </w:rPr>
        <w:footnoteRef/>
      </w:r>
      <w:r w:rsidRPr="00A762E0">
        <w:rPr>
          <w:rFonts w:cstheme="minorHAnsi"/>
        </w:rPr>
        <w:t xml:space="preserve"> At least one claim with COVID</w:t>
      </w:r>
      <w:r w:rsidR="00193971">
        <w:rPr>
          <w:rFonts w:cstheme="minorHAnsi"/>
        </w:rPr>
        <w:noBreakHyphen/>
      </w:r>
      <w:r w:rsidRPr="00A762E0">
        <w:rPr>
          <w:rFonts w:cstheme="minorHAnsi"/>
        </w:rPr>
        <w:t>19 ICD</w:t>
      </w:r>
      <w:r w:rsidR="00193971">
        <w:rPr>
          <w:rFonts w:cstheme="minorHAnsi"/>
        </w:rPr>
        <w:noBreakHyphen/>
      </w:r>
      <w:r w:rsidRPr="00A762E0">
        <w:rPr>
          <w:rFonts w:cstheme="minorHAnsi"/>
        </w:rPr>
        <w:t>10 diagnosis code in any position or setting (including hospital admissions as in the primary outcome, as well as emergency department visits, urgent care visits, office visits, telemedicine visits, etc.).</w:t>
      </w:r>
    </w:p>
  </w:footnote>
  <w:footnote w:id="13">
    <w:p w14:paraId="5ED24268" w14:textId="2E32AB61" w:rsidR="00FE1854" w:rsidRDefault="00FE1854" w:rsidP="00FE1854">
      <w:pPr>
        <w:pStyle w:val="FootnoteText"/>
      </w:pPr>
      <w:r>
        <w:rPr>
          <w:rStyle w:val="FootnoteReference"/>
        </w:rPr>
        <w:footnoteRef/>
      </w:r>
      <w:r>
        <w:t xml:space="preserve"> Zheng, Z et al. Effectiveness of 2023</w:t>
      </w:r>
      <w:r w:rsidR="00193971">
        <w:noBreakHyphen/>
      </w:r>
      <w:r>
        <w:t>2024 Mrna</w:t>
      </w:r>
      <w:r w:rsidR="00193971">
        <w:noBreakHyphen/>
      </w:r>
      <w:r>
        <w:t xml:space="preserve">1273 </w:t>
      </w:r>
      <w:proofErr w:type="spellStart"/>
      <w:r>
        <w:t>Xbb</w:t>
      </w:r>
      <w:proofErr w:type="spellEnd"/>
      <w:r>
        <w:t>. 1.5 Vaccine Against Covid</w:t>
      </w:r>
      <w:r w:rsidR="00193971">
        <w:noBreakHyphen/>
      </w:r>
      <w:r>
        <w:t>19 Associated Hospitalizations and Medically Attended Covid</w:t>
      </w:r>
      <w:r w:rsidR="00193971">
        <w:noBreakHyphen/>
      </w:r>
      <w:r>
        <w:t>19 in the United States. Available at SSRN 5258507.</w:t>
      </w:r>
    </w:p>
    <w:p w14:paraId="434A8B43" w14:textId="77777777" w:rsidR="00FE1854" w:rsidRDefault="00FE1854" w:rsidP="00FE1854">
      <w:pPr>
        <w:pStyle w:val="FootnoteText"/>
      </w:pPr>
      <w:r>
        <w:tab/>
      </w:r>
    </w:p>
  </w:footnote>
  <w:footnote w:id="14">
    <w:p w14:paraId="063C973D" w14:textId="446FDAAF" w:rsidR="00814309" w:rsidRDefault="00814309" w:rsidP="00814309">
      <w:pPr>
        <w:pStyle w:val="FootnoteText"/>
      </w:pPr>
      <w:r>
        <w:rPr>
          <w:rStyle w:val="FootnoteReference"/>
        </w:rPr>
        <w:footnoteRef/>
      </w:r>
      <w:r>
        <w:t xml:space="preserve"> Hansen, CH et al. Effectiveness of the BNT162b2 and mRNA</w:t>
      </w:r>
      <w:r w:rsidR="00193971">
        <w:noBreakHyphen/>
      </w:r>
      <w:r>
        <w:t>1273 JN. 1</w:t>
      </w:r>
      <w:r w:rsidR="00193971">
        <w:noBreakHyphen/>
      </w:r>
      <w:r>
        <w:t>adapted vaccines against COVID</w:t>
      </w:r>
      <w:r w:rsidR="00193971">
        <w:noBreakHyphen/>
      </w:r>
      <w:r>
        <w:t>19</w:t>
      </w:r>
      <w:r w:rsidR="00193971">
        <w:noBreakHyphen/>
      </w:r>
      <w:r>
        <w:t>associated hospitalisation and death: a Danish nationwide register</w:t>
      </w:r>
      <w:r w:rsidR="00193971">
        <w:noBreakHyphen/>
      </w:r>
      <w:r>
        <w:t>based cohort study. 2025 Available at SSRN 5227321.</w:t>
      </w:r>
    </w:p>
    <w:p w14:paraId="4E796690" w14:textId="5D82B170" w:rsidR="00814309" w:rsidRDefault="00814309" w:rsidP="00814309">
      <w:pPr>
        <w:pStyle w:val="FootnoteText"/>
      </w:pPr>
      <w:r>
        <w:tab/>
      </w:r>
    </w:p>
  </w:footnote>
  <w:footnote w:id="15">
    <w:p w14:paraId="35F739C9" w14:textId="39AE5326" w:rsidR="001B5657" w:rsidRDefault="001B5657" w:rsidP="001B5657">
      <w:pPr>
        <w:pStyle w:val="FootnoteText"/>
      </w:pPr>
      <w:r>
        <w:rPr>
          <w:rStyle w:val="FootnoteReference"/>
        </w:rPr>
        <w:footnoteRef/>
      </w:r>
      <w:r>
        <w:t xml:space="preserve"> </w:t>
      </w:r>
      <w:r w:rsidRPr="001B5657">
        <w:t>Adjusted HRs</w:t>
      </w:r>
      <w:r>
        <w:t xml:space="preserve"> </w:t>
      </w:r>
      <w:r w:rsidRPr="001B5657">
        <w:t>were calculated using</w:t>
      </w:r>
      <w:r>
        <w:t xml:space="preserve"> </w:t>
      </w:r>
      <w:r w:rsidRPr="001B5657">
        <w:t>a weighted Cox regression model that included</w:t>
      </w:r>
      <w:r>
        <w:t xml:space="preserve"> </w:t>
      </w:r>
      <w:r w:rsidRPr="001B5657">
        <w:t>mRNA</w:t>
      </w:r>
      <w:r w:rsidR="00193971">
        <w:noBreakHyphen/>
      </w:r>
      <w:r w:rsidRPr="001B5657">
        <w:t>1273 KP.2 vaccination status and a</w:t>
      </w:r>
      <w:r>
        <w:t xml:space="preserve"> </w:t>
      </w:r>
      <w:r w:rsidRPr="001B5657">
        <w:t>wide range of baseline covariates.</w:t>
      </w:r>
    </w:p>
  </w:footnote>
  <w:footnote w:id="16">
    <w:p w14:paraId="71DC1B6E" w14:textId="15BED63F" w:rsidR="0033062E" w:rsidRDefault="0033062E">
      <w:pPr>
        <w:pStyle w:val="FootnoteText"/>
      </w:pPr>
      <w:r>
        <w:rPr>
          <w:rStyle w:val="FootnoteReference"/>
        </w:rPr>
        <w:footnoteRef/>
      </w:r>
      <w:r>
        <w:t xml:space="preserve"> F</w:t>
      </w:r>
      <w:r w:rsidRPr="0033062E">
        <w:t>inal analysis at median follow</w:t>
      </w:r>
      <w:r w:rsidR="00193971">
        <w:noBreakHyphen/>
      </w:r>
      <w:r w:rsidRPr="0033062E">
        <w:t xml:space="preserve">up of 127 days (interquartile range 84–173 days); </w:t>
      </w:r>
      <w:r>
        <w:t>I</w:t>
      </w:r>
      <w:r w:rsidRPr="0033062E">
        <w:t>nterim analysis at median follow</w:t>
      </w:r>
      <w:r w:rsidR="00193971">
        <w:noBreakHyphen/>
      </w:r>
      <w:r w:rsidRPr="0033062E">
        <w:t>up time of 55 days (interquartile range 32–77 days).</w:t>
      </w:r>
    </w:p>
  </w:footnote>
  <w:footnote w:id="17">
    <w:p w14:paraId="04E2603A" w14:textId="5BD36125" w:rsidR="00B53EEB" w:rsidRDefault="00B53EEB">
      <w:pPr>
        <w:pStyle w:val="FootnoteText"/>
      </w:pPr>
      <w:r>
        <w:rPr>
          <w:rStyle w:val="FootnoteReference"/>
        </w:rPr>
        <w:footnoteRef/>
      </w:r>
      <w:r>
        <w:t xml:space="preserve"> </w:t>
      </w:r>
      <w:r w:rsidRPr="00B53EEB">
        <w:t>Abdul Aziz, N., Kirsebom, F. C. M., Allen, A., &amp; Andrews, N. (2025). Effectiveness of spring 2024 (XBB.1.5) and autumn 2024 (JN.1) COVID</w:t>
      </w:r>
      <w:r w:rsidR="00193971">
        <w:noBreakHyphen/>
      </w:r>
      <w:r w:rsidRPr="00B53EEB">
        <w:t>19 vaccination against hospitalisation in England. </w:t>
      </w:r>
      <w:r w:rsidRPr="00B53EEB">
        <w:rPr>
          <w:i/>
          <w:iCs/>
        </w:rPr>
        <w:t>Vaccine</w:t>
      </w:r>
      <w:r w:rsidRPr="00B53EEB">
        <w:t>, </w:t>
      </w:r>
      <w:r w:rsidRPr="00B53EEB">
        <w:rPr>
          <w:i/>
          <w:iCs/>
        </w:rPr>
        <w:t>67</w:t>
      </w:r>
      <w:r w:rsidRPr="00B53EEB">
        <w:t>, 127870. https://doi.org/10.1016/j.vaccine.2025.127870</w:t>
      </w:r>
    </w:p>
  </w:footnote>
  <w:footnote w:id="18">
    <w:p w14:paraId="3681025B" w14:textId="663FCF51" w:rsidR="0064723B" w:rsidRDefault="0064723B" w:rsidP="0064723B">
      <w:pPr>
        <w:pStyle w:val="FootnoteText"/>
        <w:jc w:val="both"/>
      </w:pPr>
      <w:r>
        <w:rPr>
          <w:rStyle w:val="FootnoteReference"/>
        </w:rPr>
        <w:footnoteRef/>
      </w:r>
      <w:r>
        <w:t xml:space="preserve"> Solicited adverse events (AEs) in clinical trials are anticipated or common side effects that investigators specifically ask participants about, using structured questions or checklists (like pain, fever, swelling) to assess common reactions to a treatment, especially vaccines. Unsolicited AEs on the other hand are reported spontaneously.</w:t>
      </w:r>
    </w:p>
  </w:footnote>
  <w:footnote w:id="19">
    <w:p w14:paraId="7C19E0AF" w14:textId="130249B8" w:rsidR="001B3BCF" w:rsidRDefault="001B3BCF">
      <w:pPr>
        <w:pStyle w:val="FootnoteText"/>
      </w:pPr>
      <w:r>
        <w:rPr>
          <w:rStyle w:val="FootnoteReference"/>
        </w:rPr>
        <w:footnoteRef/>
      </w:r>
      <w:r>
        <w:t xml:space="preserve"> </w:t>
      </w:r>
      <w:r w:rsidRPr="001B3BCF">
        <w:t>https://www.health.gov.au/sites/default/files/2025</w:t>
      </w:r>
      <w:r w:rsidR="00193971">
        <w:noBreakHyphen/>
      </w:r>
      <w:r w:rsidRPr="001B3BCF">
        <w:t>08/australian</w:t>
      </w:r>
      <w:r w:rsidR="00193971">
        <w:noBreakHyphen/>
      </w:r>
      <w:r w:rsidRPr="001B3BCF">
        <w:t>respiratory</w:t>
      </w:r>
      <w:r w:rsidR="00193971">
        <w:noBreakHyphen/>
      </w:r>
      <w:r w:rsidRPr="001B3BCF">
        <w:t>surveillance</w:t>
      </w:r>
      <w:r w:rsidR="00193971">
        <w:noBreakHyphen/>
      </w:r>
      <w:r w:rsidRPr="001B3BCF">
        <w:t>report</w:t>
      </w:r>
      <w:r w:rsidR="00193971">
        <w:noBreakHyphen/>
      </w:r>
      <w:r w:rsidRPr="001B3BCF">
        <w:t>28</w:t>
      </w:r>
      <w:r w:rsidR="00193971">
        <w:noBreakHyphen/>
      </w:r>
      <w:r w:rsidRPr="001B3BCF">
        <w:t>july</w:t>
      </w:r>
      <w:r w:rsidR="00193971">
        <w:noBreakHyphen/>
      </w:r>
      <w:r w:rsidRPr="001B3BCF">
        <w:t>to</w:t>
      </w:r>
      <w:r w:rsidR="00193971">
        <w:noBreakHyphen/>
      </w:r>
      <w:r w:rsidRPr="001B3BCF">
        <w:t>10</w:t>
      </w:r>
      <w:r w:rsidR="00193971">
        <w:noBreakHyphen/>
      </w:r>
      <w:r w:rsidRPr="001B3BCF">
        <w:t>august</w:t>
      </w:r>
      <w:r w:rsidR="00193971">
        <w:noBreakHyphen/>
      </w:r>
      <w:r w:rsidRPr="001B3BCF">
        <w:t>2025.pdf</w:t>
      </w:r>
    </w:p>
  </w:footnote>
  <w:footnote w:id="20">
    <w:p w14:paraId="6055EF5E" w14:textId="677077DE" w:rsidR="003035F7" w:rsidRDefault="003035F7" w:rsidP="003035F7">
      <w:pPr>
        <w:pStyle w:val="FootnoteText"/>
      </w:pPr>
      <w:r>
        <w:rPr>
          <w:rStyle w:val="FootnoteReference"/>
        </w:rPr>
        <w:footnoteRef/>
      </w:r>
      <w:r>
        <w:t xml:space="preserve"> </w:t>
      </w:r>
      <w:r w:rsidRPr="008245B3">
        <w:t>Wilson, A, Bogdanov, A, Zheng, Z, Ryan, T, Zeng, N, Joshi, K, Lu, T, Bonafede, M &amp; Araujo, AB 2025, 'Evaluating the Effectiveness of 2024</w:t>
      </w:r>
      <w:r w:rsidR="00193971">
        <w:noBreakHyphen/>
      </w:r>
      <w:r w:rsidRPr="008245B3">
        <w:t>2025 Seasonal mRNA</w:t>
      </w:r>
      <w:r w:rsidR="00193971">
        <w:noBreakHyphen/>
      </w:r>
      <w:r w:rsidRPr="008245B3">
        <w:t>1273 Vaccination Against COVID</w:t>
      </w:r>
      <w:r w:rsidR="00193971">
        <w:noBreakHyphen/>
      </w:r>
      <w:r w:rsidRPr="008245B3">
        <w:t>19</w:t>
      </w:r>
      <w:r w:rsidR="00193971">
        <w:noBreakHyphen/>
      </w:r>
      <w:r w:rsidRPr="008245B3">
        <w:t>Associated Hospitalizations and Medically Attended COVID</w:t>
      </w:r>
      <w:r w:rsidR="00193971">
        <w:noBreakHyphen/>
      </w:r>
      <w:r w:rsidRPr="008245B3">
        <w:t xml:space="preserve">19 among adults aged≥ 18 years in the United States', </w:t>
      </w:r>
      <w:r w:rsidRPr="008245B3">
        <w:rPr>
          <w:i/>
          <w:iCs/>
        </w:rPr>
        <w:t>medRxiv</w:t>
      </w:r>
      <w:r w:rsidRPr="008245B3">
        <w:t>, p. 2025.2003. 2027.25324770.</w:t>
      </w:r>
    </w:p>
  </w:footnote>
  <w:footnote w:id="21">
    <w:p w14:paraId="7CA05A7F" w14:textId="4206B569" w:rsidR="00025E50" w:rsidRDefault="00025E50">
      <w:pPr>
        <w:pStyle w:val="FootnoteText"/>
      </w:pPr>
      <w:r>
        <w:rPr>
          <w:rStyle w:val="FootnoteReference"/>
        </w:rPr>
        <w:footnoteRef/>
      </w:r>
      <w:r>
        <w:t xml:space="preserve"> </w:t>
      </w:r>
      <w:r w:rsidR="00AE48B0" w:rsidRPr="00AE48B0">
        <w:t xml:space="preserve">Le, TP, Conway, E, Akpan, E, Abell, IR, Abraham, P, Baker, CM, Campbell, PT, Cromer, D, </w:t>
      </w:r>
      <w:proofErr w:type="spellStart"/>
      <w:r w:rsidR="00AE48B0" w:rsidRPr="00AE48B0">
        <w:t>Lydeamore</w:t>
      </w:r>
      <w:proofErr w:type="spellEnd"/>
      <w:r w:rsidR="00AE48B0" w:rsidRPr="00AE48B0">
        <w:t>, MJ &amp; McDonough, Y 2025, 'Health impact and cost</w:t>
      </w:r>
      <w:r w:rsidR="00193971">
        <w:noBreakHyphen/>
      </w:r>
      <w:r w:rsidR="00AE48B0" w:rsidRPr="00AE48B0">
        <w:t>effectiveness of COVID</w:t>
      </w:r>
      <w:r w:rsidR="00193971">
        <w:noBreakHyphen/>
      </w:r>
      <w:r w:rsidR="00AE48B0" w:rsidRPr="00AE48B0">
        <w:t>19 booster vaccination strategies in the early post</w:t>
      </w:r>
      <w:r w:rsidR="00193971">
        <w:noBreakHyphen/>
      </w:r>
      <w:r w:rsidR="00AE48B0" w:rsidRPr="00AE48B0">
        <w:t xml:space="preserve">Omicron era: a dynamic modelling study', </w:t>
      </w:r>
      <w:r w:rsidR="00AE48B0" w:rsidRPr="00AE48B0">
        <w:rPr>
          <w:i/>
          <w:iCs/>
        </w:rPr>
        <w:t>BMJ Global Health</w:t>
      </w:r>
      <w:r w:rsidR="00AE48B0" w:rsidRPr="00AE48B0">
        <w:t>, vol. 10, no. 9.</w:t>
      </w:r>
    </w:p>
  </w:footnote>
  <w:footnote w:id="22">
    <w:p w14:paraId="6D8813B5" w14:textId="1B761295" w:rsidR="00AE48B0" w:rsidRDefault="00AE48B0">
      <w:pPr>
        <w:pStyle w:val="FootnoteText"/>
      </w:pPr>
      <w:r>
        <w:rPr>
          <w:rStyle w:val="FootnoteReference"/>
        </w:rPr>
        <w:footnoteRef/>
      </w:r>
      <w:r>
        <w:t xml:space="preserve"> </w:t>
      </w:r>
      <w:r w:rsidRPr="00AE48B0">
        <w:t xml:space="preserve">Wilson A, </w:t>
      </w:r>
      <w:proofErr w:type="spellStart"/>
      <w:r w:rsidRPr="00AE48B0">
        <w:t>Rahai</w:t>
      </w:r>
      <w:proofErr w:type="spellEnd"/>
      <w:r w:rsidRPr="00AE48B0">
        <w:t xml:space="preserve"> N, Beck E, Beebe E, Conroy B, Esposito D, et al. Evaluating the Effectiveness of mRNA</w:t>
      </w:r>
      <w:r w:rsidR="00193971">
        <w:noBreakHyphen/>
      </w:r>
      <w:r w:rsidRPr="00AE48B0">
        <w:t>1273.815 Against COVID</w:t>
      </w:r>
      <w:r w:rsidR="00193971">
        <w:noBreakHyphen/>
      </w:r>
      <w:r w:rsidRPr="00AE48B0">
        <w:t>19 Hospitalization Among Adults Aged≥ 18 Years in the United States. Infectious Diseases and Therapy. 2025;14(1):199</w:t>
      </w:r>
      <w:r w:rsidR="00193971">
        <w:noBreakHyphen/>
      </w:r>
      <w:r w:rsidRPr="00AE48B0">
        <w:t>216.</w:t>
      </w:r>
    </w:p>
  </w:footnote>
  <w:footnote w:id="23">
    <w:p w14:paraId="5F0E9991" w14:textId="21037413" w:rsidR="00521114" w:rsidRPr="00521114" w:rsidRDefault="00521114" w:rsidP="00521114">
      <w:pPr>
        <w:pStyle w:val="FootnoteText"/>
      </w:pPr>
      <w:r>
        <w:rPr>
          <w:rStyle w:val="FootnoteReference"/>
        </w:rPr>
        <w:footnoteRef/>
      </w:r>
      <w:r>
        <w:t xml:space="preserve"> </w:t>
      </w:r>
      <w:proofErr w:type="spellStart"/>
      <w:r w:rsidRPr="00521114">
        <w:t>Kavikondala</w:t>
      </w:r>
      <w:proofErr w:type="spellEnd"/>
      <w:r w:rsidRPr="00521114">
        <w:t>, S, Haeussler, K, Wang, X, Bausch</w:t>
      </w:r>
      <w:r w:rsidR="00193971">
        <w:noBreakHyphen/>
      </w:r>
      <w:proofErr w:type="spellStart"/>
      <w:r w:rsidRPr="00521114">
        <w:t>Jurken</w:t>
      </w:r>
      <w:proofErr w:type="spellEnd"/>
      <w:r w:rsidRPr="00521114">
        <w:t xml:space="preserve">, MT, Nassim, M, Mishra, NK, </w:t>
      </w:r>
      <w:proofErr w:type="spellStart"/>
      <w:r w:rsidRPr="00521114">
        <w:t>Malmenäs</w:t>
      </w:r>
      <w:proofErr w:type="spellEnd"/>
      <w:r w:rsidRPr="00521114">
        <w:t>, M, Sharma, P, Van de Velde, N, Green, N &amp; Beck, E 2024, 'Comparative Effectiveness of mRNA</w:t>
      </w:r>
      <w:r w:rsidR="00193971">
        <w:noBreakHyphen/>
      </w:r>
      <w:r w:rsidRPr="00521114">
        <w:t>1273 and BNT162b2 COVID</w:t>
      </w:r>
      <w:r w:rsidR="00193971">
        <w:noBreakHyphen/>
      </w:r>
      <w:r w:rsidRPr="00521114">
        <w:t>19 Vaccines Among Older Adults: Systematic Literature Review and Meta</w:t>
      </w:r>
      <w:r w:rsidR="00193971">
        <w:noBreakHyphen/>
      </w:r>
      <w:r w:rsidRPr="00521114">
        <w:t xml:space="preserve">Analysis Using the GRADE Framework', </w:t>
      </w:r>
      <w:r w:rsidRPr="00521114">
        <w:rPr>
          <w:i/>
          <w:iCs/>
        </w:rPr>
        <w:t>Infect Dis Ther</w:t>
      </w:r>
      <w:r w:rsidRPr="00521114">
        <w:t>, vol. 13, no. 4, Apr, pp. 779</w:t>
      </w:r>
      <w:r w:rsidR="00193971">
        <w:noBreakHyphen/>
      </w:r>
      <w:r w:rsidRPr="00521114">
        <w:t>811.</w:t>
      </w:r>
    </w:p>
    <w:p w14:paraId="14400510" w14:textId="4E264131" w:rsidR="00521114" w:rsidRDefault="00521114">
      <w:pPr>
        <w:pStyle w:val="FootnoteText"/>
      </w:pPr>
    </w:p>
  </w:footnote>
  <w:footnote w:id="24">
    <w:p w14:paraId="16A605DE" w14:textId="6A30E868" w:rsidR="0053257A" w:rsidRDefault="0053257A" w:rsidP="0053257A">
      <w:pPr>
        <w:pStyle w:val="FootnoteText"/>
      </w:pPr>
      <w:r>
        <w:rPr>
          <w:rStyle w:val="FootnoteReference"/>
        </w:rPr>
        <w:footnoteRef/>
      </w:r>
      <w:r>
        <w:t xml:space="preserve"> </w:t>
      </w:r>
      <w:r w:rsidRPr="00DB3AD1">
        <w:t xml:space="preserve">Le, TP, Conway, E, Akpan, E, Abell, IR, Abraham, P, Baker, CM, Campbell, PT, Cromer, D, </w:t>
      </w:r>
      <w:proofErr w:type="spellStart"/>
      <w:r w:rsidRPr="00DB3AD1">
        <w:t>Lydeamore</w:t>
      </w:r>
      <w:proofErr w:type="spellEnd"/>
      <w:r w:rsidRPr="00DB3AD1">
        <w:t>, MJ &amp; McDonough, Y 2025, 'Health impact and cost</w:t>
      </w:r>
      <w:r w:rsidR="00193971">
        <w:noBreakHyphen/>
      </w:r>
      <w:r w:rsidRPr="00DB3AD1">
        <w:t>effectiveness of COVID</w:t>
      </w:r>
      <w:r w:rsidR="00193971">
        <w:noBreakHyphen/>
      </w:r>
      <w:r w:rsidRPr="00DB3AD1">
        <w:t>19 booster vaccination strategies in the early post</w:t>
      </w:r>
      <w:r w:rsidR="00193971">
        <w:noBreakHyphen/>
      </w:r>
      <w:r w:rsidRPr="00DB3AD1">
        <w:t xml:space="preserve">Omicron era: a dynamic modelling study', </w:t>
      </w:r>
      <w:r w:rsidRPr="00DB3AD1">
        <w:rPr>
          <w:i/>
          <w:iCs/>
        </w:rPr>
        <w:t>BMJ Global Health</w:t>
      </w:r>
      <w:r w:rsidRPr="00DB3AD1">
        <w:t>, vol. 10, no. 9.</w:t>
      </w:r>
    </w:p>
  </w:footnote>
  <w:footnote w:id="25">
    <w:p w14:paraId="15E39B6D" w14:textId="7A7AC985" w:rsidR="0053257A" w:rsidRDefault="0053257A" w:rsidP="0053257A">
      <w:pPr>
        <w:pStyle w:val="FootnoteText"/>
      </w:pPr>
      <w:r>
        <w:rPr>
          <w:rStyle w:val="FootnoteReference"/>
        </w:rPr>
        <w:footnoteRef/>
      </w:r>
      <w:r>
        <w:t xml:space="preserve"> </w:t>
      </w:r>
      <w:r w:rsidRPr="0003506C">
        <w:t xml:space="preserve">Lobb, E, </w:t>
      </w:r>
      <w:proofErr w:type="spellStart"/>
      <w:r w:rsidRPr="0003506C">
        <w:t>Maccallum</w:t>
      </w:r>
      <w:proofErr w:type="spellEnd"/>
      <w:r w:rsidRPr="0003506C">
        <w:t>, F, Phillips, JL, Agar, M, Hosie, A, Breen, LJ, Tieman, J, DiGiacomo, M, Luckett, T &amp; Philip, J 2024, 'The COVID</w:t>
      </w:r>
      <w:r w:rsidR="00193971">
        <w:noBreakHyphen/>
      </w:r>
      <w:r w:rsidRPr="0003506C">
        <w:t xml:space="preserve">19 Pandemic: Bereavement Experiences Between Hospital and Home Deaths in Palliative Care', </w:t>
      </w:r>
      <w:r w:rsidRPr="0003506C">
        <w:rPr>
          <w:i/>
          <w:iCs/>
        </w:rPr>
        <w:t>Journal of Pain and Symptom Management</w:t>
      </w:r>
      <w:r w:rsidRPr="0003506C">
        <w:t>, vol. 67, no. 2, pp. 147</w:t>
      </w:r>
      <w:r w:rsidR="00193971">
        <w:noBreakHyphen/>
      </w:r>
      <w:r w:rsidRPr="0003506C">
        <w:t>156.</w:t>
      </w:r>
    </w:p>
  </w:footnote>
  <w:footnote w:id="26">
    <w:p w14:paraId="57CE63E9" w14:textId="380FED49" w:rsidR="0053257A" w:rsidRDefault="0053257A" w:rsidP="0053257A">
      <w:pPr>
        <w:pStyle w:val="FootnoteText"/>
      </w:pPr>
      <w:r>
        <w:rPr>
          <w:rStyle w:val="FootnoteReference"/>
        </w:rPr>
        <w:footnoteRef/>
      </w:r>
      <w:r>
        <w:t xml:space="preserve"> </w:t>
      </w:r>
      <w:r w:rsidRPr="007E3917">
        <w:t>Ramzi, ZS 2022, 'Hospital readmissions and post</w:t>
      </w:r>
      <w:r w:rsidR="00193971">
        <w:noBreakHyphen/>
      </w:r>
      <w:r w:rsidRPr="007E3917">
        <w:t>discharge all</w:t>
      </w:r>
      <w:r w:rsidR="00193971">
        <w:noBreakHyphen/>
      </w:r>
      <w:r w:rsidRPr="007E3917">
        <w:t>cause mortality in COVID</w:t>
      </w:r>
      <w:r w:rsidR="00193971">
        <w:noBreakHyphen/>
      </w:r>
      <w:r w:rsidRPr="007E3917">
        <w:t>19 recovered patients; A systematic review and meta</w:t>
      </w:r>
      <w:r w:rsidR="00193971">
        <w:noBreakHyphen/>
      </w:r>
      <w:r w:rsidRPr="007E3917">
        <w:t xml:space="preserve">analysis', </w:t>
      </w:r>
      <w:r w:rsidRPr="007E3917">
        <w:rPr>
          <w:i/>
          <w:iCs/>
        </w:rPr>
        <w:t>The American journal of emergency medicine</w:t>
      </w:r>
      <w:r w:rsidRPr="007E3917">
        <w:t>, vol. 51, pp. 267</w:t>
      </w:r>
      <w:r w:rsidR="00193971">
        <w:noBreakHyphen/>
      </w:r>
      <w:r w:rsidRPr="007E3917">
        <w:t>279.</w:t>
      </w:r>
    </w:p>
  </w:footnote>
  <w:footnote w:id="27">
    <w:p w14:paraId="23DBCE25" w14:textId="11805144" w:rsidR="0053257A" w:rsidRDefault="0053257A" w:rsidP="0053257A">
      <w:pPr>
        <w:pStyle w:val="FootnoteText"/>
      </w:pPr>
      <w:r>
        <w:rPr>
          <w:rStyle w:val="FootnoteReference"/>
        </w:rPr>
        <w:footnoteRef/>
      </w:r>
      <w:r>
        <w:t xml:space="preserve"> </w:t>
      </w:r>
      <w:r w:rsidRPr="00911AEB">
        <w:t xml:space="preserve">Ling, T, Basic, D, </w:t>
      </w:r>
      <w:proofErr w:type="spellStart"/>
      <w:r w:rsidRPr="00911AEB">
        <w:t>Tcharkhedian</w:t>
      </w:r>
      <w:proofErr w:type="spellEnd"/>
      <w:r w:rsidRPr="00911AEB">
        <w:t xml:space="preserve">, E, Campisi, J, Pringle, B &amp; Khoo, A 2024, 'Care in the Community: A COVID‐19 initiative to reduce hospital re‐presentations among community‐dwelling people', </w:t>
      </w:r>
      <w:r w:rsidRPr="00911AEB">
        <w:rPr>
          <w:i/>
          <w:iCs/>
        </w:rPr>
        <w:t>Australasian Journal on Ageing</w:t>
      </w:r>
      <w:r w:rsidRPr="00911AEB">
        <w:t>, vol. 43, no. 3, pp. 474</w:t>
      </w:r>
      <w:r w:rsidR="00193971">
        <w:noBreakHyphen/>
      </w:r>
      <w:r w:rsidRPr="00911AEB">
        <w:t>481.</w:t>
      </w:r>
    </w:p>
  </w:footnote>
  <w:footnote w:id="28">
    <w:p w14:paraId="7BCB7710" w14:textId="09A42DAF" w:rsidR="006F296B" w:rsidRDefault="006F296B" w:rsidP="006F296B">
      <w:pPr>
        <w:pStyle w:val="FootnoteText"/>
      </w:pPr>
      <w:r>
        <w:rPr>
          <w:rStyle w:val="FootnoteReference"/>
        </w:rPr>
        <w:footnoteRef/>
      </w:r>
      <w:r>
        <w:t xml:space="preserve"> </w:t>
      </w:r>
      <w:r w:rsidRPr="008245B3">
        <w:t>Wilson, A, Bogdanov, A, Zheng, Z, Ryan, T, Zeng, N, Joshi, K, Lu, T, Bonafede, M &amp; Araujo, AB 2025, 'Evaluating the Effectiveness of 2024</w:t>
      </w:r>
      <w:r w:rsidR="00193971">
        <w:noBreakHyphen/>
      </w:r>
      <w:r w:rsidRPr="008245B3">
        <w:t>2025 Seasonal mRNA</w:t>
      </w:r>
      <w:r w:rsidR="00193971">
        <w:noBreakHyphen/>
      </w:r>
      <w:r w:rsidRPr="008245B3">
        <w:t>1273 Vaccination Against COVID</w:t>
      </w:r>
      <w:r w:rsidR="00193971">
        <w:noBreakHyphen/>
      </w:r>
      <w:r w:rsidRPr="008245B3">
        <w:t>19</w:t>
      </w:r>
      <w:r w:rsidR="00193971">
        <w:noBreakHyphen/>
      </w:r>
      <w:r w:rsidRPr="008245B3">
        <w:t>Associated Hospitalizations and Medically Attended COVID</w:t>
      </w:r>
      <w:r w:rsidR="00193971">
        <w:noBreakHyphen/>
      </w:r>
      <w:r w:rsidRPr="008245B3">
        <w:t xml:space="preserve">19 among adults aged≥ 18 years in the United States', </w:t>
      </w:r>
      <w:r w:rsidRPr="008245B3">
        <w:rPr>
          <w:i/>
          <w:iCs/>
        </w:rPr>
        <w:t>medRxiv</w:t>
      </w:r>
      <w:r w:rsidRPr="008245B3">
        <w:t>, p. 2025.2003. 2027.25324770.</w:t>
      </w:r>
    </w:p>
  </w:footnote>
  <w:footnote w:id="29">
    <w:p w14:paraId="49CEB2E7" w14:textId="6CDFCC95" w:rsidR="008676F5" w:rsidRDefault="008676F5">
      <w:pPr>
        <w:pStyle w:val="FootnoteText"/>
      </w:pPr>
      <w:r>
        <w:rPr>
          <w:rStyle w:val="FootnoteReference"/>
        </w:rPr>
        <w:footnoteRef/>
      </w:r>
      <w:r>
        <w:t xml:space="preserve"> </w:t>
      </w:r>
      <w:r w:rsidRPr="008245B3">
        <w:t>Wilson, A, Bogdanov, A, Zheng, Z, Ryan, T, Zeng, N, Joshi, K, Lu, T, Bonafede, M &amp; Araujo, AB 2025, 'Evaluating the Effectiveness of 2024</w:t>
      </w:r>
      <w:r w:rsidR="00193971">
        <w:noBreakHyphen/>
      </w:r>
      <w:r w:rsidRPr="008245B3">
        <w:t>2025 Seasonal mRNA</w:t>
      </w:r>
      <w:r w:rsidR="00193971">
        <w:noBreakHyphen/>
      </w:r>
      <w:r w:rsidRPr="008245B3">
        <w:t>1273 Vaccination Against COVID</w:t>
      </w:r>
      <w:r w:rsidR="00193971">
        <w:noBreakHyphen/>
      </w:r>
      <w:r w:rsidRPr="008245B3">
        <w:t>19</w:t>
      </w:r>
      <w:r w:rsidR="00193971">
        <w:noBreakHyphen/>
      </w:r>
      <w:r w:rsidRPr="008245B3">
        <w:t>Associated Hospitalizations and Medically Attended COVID</w:t>
      </w:r>
      <w:r w:rsidR="00193971">
        <w:noBreakHyphen/>
      </w:r>
      <w:r w:rsidRPr="008245B3">
        <w:t xml:space="preserve">19 among adults aged≥ 18 years in the United States', </w:t>
      </w:r>
      <w:r w:rsidRPr="008245B3">
        <w:rPr>
          <w:i/>
          <w:iCs/>
        </w:rPr>
        <w:t>medRxiv</w:t>
      </w:r>
      <w:r w:rsidRPr="008245B3">
        <w:t>, p. 2025.2003. 2027.25324770.</w:t>
      </w:r>
    </w:p>
  </w:footnote>
  <w:footnote w:id="30">
    <w:p w14:paraId="7A5E7D2C" w14:textId="1F3B98BC" w:rsidR="007052A8" w:rsidRDefault="007052A8">
      <w:pPr>
        <w:pStyle w:val="FootnoteText"/>
      </w:pPr>
      <w:r>
        <w:rPr>
          <w:rStyle w:val="FootnoteReference"/>
        </w:rPr>
        <w:footnoteRef/>
      </w:r>
      <w:r>
        <w:t xml:space="preserve"> </w:t>
      </w:r>
      <w:r w:rsidRPr="007052A8">
        <w:t xml:space="preserve">Andersson, NW, Thiesson, EM, Pihlstrom, N, Perala, J, </w:t>
      </w:r>
      <w:proofErr w:type="spellStart"/>
      <w:r w:rsidRPr="007052A8">
        <w:t>Faksova</w:t>
      </w:r>
      <w:proofErr w:type="spellEnd"/>
      <w:r w:rsidRPr="007052A8">
        <w:t xml:space="preserve">, K, Gram, MA, </w:t>
      </w:r>
      <w:proofErr w:type="spellStart"/>
      <w:r w:rsidRPr="007052A8">
        <w:t>Poukka</w:t>
      </w:r>
      <w:proofErr w:type="spellEnd"/>
      <w:r w:rsidRPr="007052A8">
        <w:t>, E, Leino, T, Ljung, R &amp; Hviid, A 2024, 'Comparative effectiveness of monovalent XBB.1.5 containing covid</w:t>
      </w:r>
      <w:r w:rsidR="00193971">
        <w:noBreakHyphen/>
      </w:r>
      <w:r w:rsidRPr="007052A8">
        <w:t xml:space="preserve">19 mRNA vaccines in Denmark, Finland, and Sweden: target trial emulation based on registry data', </w:t>
      </w:r>
      <w:r w:rsidRPr="007052A8">
        <w:rPr>
          <w:i/>
          <w:iCs/>
        </w:rPr>
        <w:t>BMJ Med</w:t>
      </w:r>
      <w:r w:rsidRPr="007052A8">
        <w:t>, vol. 3, no. 1, p. e001074.</w:t>
      </w:r>
    </w:p>
  </w:footnote>
  <w:footnote w:id="31">
    <w:p w14:paraId="4FD700FC" w14:textId="035A227D" w:rsidR="00E52829" w:rsidRDefault="00E52829">
      <w:pPr>
        <w:pStyle w:val="FootnoteText"/>
      </w:pPr>
      <w:r>
        <w:rPr>
          <w:rStyle w:val="FootnoteReference"/>
        </w:rPr>
        <w:footnoteRef/>
      </w:r>
      <w:r>
        <w:t xml:space="preserve"> </w:t>
      </w:r>
      <w:r w:rsidRPr="00E52829">
        <w:t>Higdon, MM, Baidya, A, Walter, KK, Patel, MK, Issa, H, Espie, E, Feikin, DR &amp; Knoll, MD 2022, 'Duration of effectiveness of vaccination against COVID</w:t>
      </w:r>
      <w:r w:rsidR="00193971">
        <w:noBreakHyphen/>
      </w:r>
      <w:r w:rsidRPr="00E52829">
        <w:t xml:space="preserve">19 caused by the omicron variant', </w:t>
      </w:r>
      <w:r w:rsidRPr="00E52829">
        <w:rPr>
          <w:i/>
          <w:iCs/>
        </w:rPr>
        <w:t>Lancet Infect Dis</w:t>
      </w:r>
      <w:r w:rsidRPr="00E52829">
        <w:t>, vol. 22, no. 8, Aug, pp. 1114</w:t>
      </w:r>
      <w:r w:rsidR="00193971">
        <w:noBreakHyphen/>
      </w:r>
      <w:r w:rsidRPr="00E52829">
        <w:t>1116.</w:t>
      </w:r>
    </w:p>
  </w:footnote>
  <w:footnote w:id="32">
    <w:p w14:paraId="6BA87309" w14:textId="2CFD04EB" w:rsidR="00F14876" w:rsidRDefault="00F14876" w:rsidP="00F14876">
      <w:pPr>
        <w:pStyle w:val="FootnoteText"/>
      </w:pPr>
      <w:r>
        <w:rPr>
          <w:rStyle w:val="FootnoteReference"/>
        </w:rPr>
        <w:footnoteRef/>
      </w:r>
      <w:r>
        <w:t xml:space="preserve"> </w:t>
      </w:r>
      <w:r w:rsidRPr="007052A8">
        <w:t xml:space="preserve">Andersson, NW, Thiesson, EM, Pihlstrom, N, Perala, J, </w:t>
      </w:r>
      <w:proofErr w:type="spellStart"/>
      <w:r w:rsidRPr="007052A8">
        <w:t>Faksova</w:t>
      </w:r>
      <w:proofErr w:type="spellEnd"/>
      <w:r w:rsidRPr="007052A8">
        <w:t xml:space="preserve">, K, Gram, MA, </w:t>
      </w:r>
      <w:proofErr w:type="spellStart"/>
      <w:r w:rsidRPr="007052A8">
        <w:t>Poukka</w:t>
      </w:r>
      <w:proofErr w:type="spellEnd"/>
      <w:r w:rsidRPr="007052A8">
        <w:t>, E, Leino, T, Ljung, R &amp; Hviid, A 2024, 'Comparative effectiveness of monovalent XBB.1.5 containing covid</w:t>
      </w:r>
      <w:r w:rsidR="00193971">
        <w:noBreakHyphen/>
      </w:r>
      <w:r w:rsidRPr="007052A8">
        <w:t xml:space="preserve">19 mRNA vaccines in Denmark, Finland, and Sweden: target trial emulation based on registry data', </w:t>
      </w:r>
      <w:r w:rsidRPr="007052A8">
        <w:rPr>
          <w:i/>
          <w:iCs/>
        </w:rPr>
        <w:t>BMJ Med</w:t>
      </w:r>
      <w:r w:rsidRPr="007052A8">
        <w:t>, vol. 3, no. 1, p. e001074.</w:t>
      </w:r>
    </w:p>
  </w:footnote>
  <w:footnote w:id="33">
    <w:p w14:paraId="3852232C" w14:textId="6F80B0EA" w:rsidR="00F14876" w:rsidRDefault="00F14876" w:rsidP="00F14876">
      <w:pPr>
        <w:pStyle w:val="FootnoteText"/>
      </w:pPr>
      <w:r>
        <w:rPr>
          <w:rStyle w:val="FootnoteReference"/>
        </w:rPr>
        <w:footnoteRef/>
      </w:r>
      <w:r>
        <w:t xml:space="preserve"> </w:t>
      </w:r>
      <w:r w:rsidRPr="00E52829">
        <w:t>Higdon, MM, Baidya, A, Walter, KK, Patel, MK, Issa, H, Espie, E, Feikin, DR &amp; Knoll, MD 2022, 'Duration of effectiveness of vaccination against COVID</w:t>
      </w:r>
      <w:r w:rsidR="00193971">
        <w:noBreakHyphen/>
      </w:r>
      <w:r w:rsidRPr="00E52829">
        <w:t xml:space="preserve">19 caused by the omicron variant', </w:t>
      </w:r>
      <w:r w:rsidRPr="00E52829">
        <w:rPr>
          <w:i/>
          <w:iCs/>
        </w:rPr>
        <w:t>Lancet Infect Dis</w:t>
      </w:r>
      <w:r w:rsidRPr="00E52829">
        <w:t>, vol. 22, no. 8, Aug, pp. 1114</w:t>
      </w:r>
      <w:r w:rsidR="00193971">
        <w:noBreakHyphen/>
      </w:r>
      <w:r w:rsidRPr="00E52829">
        <w:t>1116.</w:t>
      </w:r>
    </w:p>
  </w:footnote>
  <w:footnote w:id="34">
    <w:p w14:paraId="47A39207" w14:textId="574EA4A5" w:rsidR="006F296B" w:rsidRDefault="006F296B" w:rsidP="006F296B">
      <w:pPr>
        <w:pStyle w:val="FootnoteText"/>
      </w:pPr>
      <w:r>
        <w:rPr>
          <w:rStyle w:val="FootnoteReference"/>
        </w:rPr>
        <w:footnoteRef/>
      </w:r>
      <w:r>
        <w:t xml:space="preserve"> </w:t>
      </w:r>
      <w:r w:rsidRPr="002C04CB">
        <w:t>Wouterse, B, Ram, F &amp; van Baal, P 2022, 'Quality</w:t>
      </w:r>
      <w:r w:rsidR="00193971">
        <w:noBreakHyphen/>
      </w:r>
      <w:r w:rsidRPr="002C04CB">
        <w:t>adjusted life</w:t>
      </w:r>
      <w:r w:rsidR="00193971">
        <w:noBreakHyphen/>
      </w:r>
      <w:r w:rsidRPr="002C04CB">
        <w:t>years lost due to COVID</w:t>
      </w:r>
      <w:r w:rsidR="00193971">
        <w:noBreakHyphen/>
      </w:r>
      <w:r w:rsidRPr="002C04CB">
        <w:t xml:space="preserve">19 mortality: methods and application for the Netherlands', </w:t>
      </w:r>
      <w:r w:rsidRPr="002C04CB">
        <w:rPr>
          <w:i/>
          <w:iCs/>
        </w:rPr>
        <w:t>Value in Health</w:t>
      </w:r>
      <w:r w:rsidRPr="002C04CB">
        <w:t>, vol. 25, no. 5, pp. 731</w:t>
      </w:r>
      <w:r w:rsidR="00193971">
        <w:noBreakHyphen/>
      </w:r>
      <w:r w:rsidRPr="002C04CB">
        <w:t>735.</w:t>
      </w:r>
    </w:p>
  </w:footnote>
  <w:footnote w:id="35">
    <w:p w14:paraId="304B7788" w14:textId="6687E6C9" w:rsidR="006F296B" w:rsidRDefault="006F296B" w:rsidP="006F296B">
      <w:pPr>
        <w:pStyle w:val="FootnoteText"/>
      </w:pPr>
      <w:r>
        <w:rPr>
          <w:rStyle w:val="FootnoteReference"/>
        </w:rPr>
        <w:footnoteRef/>
      </w:r>
      <w:r>
        <w:t xml:space="preserve"> </w:t>
      </w:r>
      <w:r w:rsidRPr="00110F3D">
        <w:t xml:space="preserve">Sandmann, FG, Tessier, E, Lacy, J, Kall, M, Van Leeuwen, E, Charlett, A, Eggo, RM, </w:t>
      </w:r>
      <w:proofErr w:type="spellStart"/>
      <w:r w:rsidRPr="00110F3D">
        <w:t>Dabrera</w:t>
      </w:r>
      <w:proofErr w:type="spellEnd"/>
      <w:r w:rsidRPr="00110F3D">
        <w:t>, G, Edmunds, WJ &amp; Ramsay, M 2022, 'Long</w:t>
      </w:r>
      <w:r w:rsidR="00193971">
        <w:noBreakHyphen/>
      </w:r>
      <w:r w:rsidRPr="00110F3D">
        <w:t>term health</w:t>
      </w:r>
      <w:r w:rsidR="00193971">
        <w:noBreakHyphen/>
      </w:r>
      <w:r w:rsidRPr="00110F3D">
        <w:t>related quality of life in non</w:t>
      </w:r>
      <w:r w:rsidR="00193971">
        <w:noBreakHyphen/>
      </w:r>
      <w:r w:rsidRPr="00110F3D">
        <w:t>hospitalized coronavirus disease 2019 (COVID</w:t>
      </w:r>
      <w:r w:rsidR="00193971">
        <w:noBreakHyphen/>
      </w:r>
      <w:r w:rsidRPr="00110F3D">
        <w:t>19) cases with confirmed severe acute respiratory syndrome coronavirus 2 (SARS</w:t>
      </w:r>
      <w:r w:rsidR="00193971">
        <w:noBreakHyphen/>
      </w:r>
      <w:r w:rsidRPr="00110F3D">
        <w:t>CoV</w:t>
      </w:r>
      <w:r w:rsidR="00193971">
        <w:noBreakHyphen/>
      </w:r>
      <w:r w:rsidRPr="00110F3D">
        <w:t>2) infection in England: longitudinal analysis and cross</w:t>
      </w:r>
      <w:r w:rsidR="00193971">
        <w:noBreakHyphen/>
      </w:r>
      <w:r w:rsidRPr="00110F3D">
        <w:t xml:space="preserve">sectional comparison with controls', </w:t>
      </w:r>
      <w:r w:rsidRPr="00110F3D">
        <w:rPr>
          <w:i/>
          <w:iCs/>
        </w:rPr>
        <w:t>Clinical Infectious Diseases</w:t>
      </w:r>
      <w:r w:rsidRPr="00110F3D">
        <w:t>, vol. 75, no. 1, pp. e962</w:t>
      </w:r>
      <w:r w:rsidR="00193971">
        <w:noBreakHyphen/>
      </w:r>
      <w:r w:rsidRPr="00110F3D">
        <w:t>e973.</w:t>
      </w:r>
    </w:p>
  </w:footnote>
  <w:footnote w:id="36">
    <w:p w14:paraId="5A35714C" w14:textId="73847C54" w:rsidR="006F296B" w:rsidRDefault="006F296B" w:rsidP="006F296B">
      <w:pPr>
        <w:pStyle w:val="FootnoteText"/>
      </w:pPr>
      <w:r>
        <w:rPr>
          <w:rStyle w:val="FootnoteReference"/>
        </w:rPr>
        <w:footnoteRef/>
      </w:r>
      <w:r>
        <w:t xml:space="preserve"> </w:t>
      </w:r>
      <w:r w:rsidRPr="00F10134">
        <w:t xml:space="preserve">Evans, RA, Leavy, OC, Richardson, M, </w:t>
      </w:r>
      <w:proofErr w:type="spellStart"/>
      <w:r w:rsidRPr="00F10134">
        <w:t>Elneima</w:t>
      </w:r>
      <w:proofErr w:type="spellEnd"/>
      <w:r w:rsidRPr="00F10134">
        <w:t xml:space="preserve">, O, McAuley, HJ, </w:t>
      </w:r>
      <w:proofErr w:type="spellStart"/>
      <w:r w:rsidRPr="00F10134">
        <w:t>Shikotra</w:t>
      </w:r>
      <w:proofErr w:type="spellEnd"/>
      <w:r w:rsidRPr="00F10134">
        <w:t xml:space="preserve">, A, </w:t>
      </w:r>
      <w:proofErr w:type="spellStart"/>
      <w:r w:rsidRPr="00F10134">
        <w:t>Singapuri</w:t>
      </w:r>
      <w:proofErr w:type="spellEnd"/>
      <w:r w:rsidRPr="00F10134">
        <w:t>, A, Sereno, M, Saunders, RM &amp; Harris, VC 2022, 'Clinical characteristics with inflammation profiling of long COVID and association with 1</w:t>
      </w:r>
      <w:r w:rsidR="00193971">
        <w:noBreakHyphen/>
      </w:r>
      <w:r w:rsidRPr="00F10134">
        <w:t xml:space="preserve">year recovery following hospitalisation in the UK: a prospective observational study', </w:t>
      </w:r>
      <w:r w:rsidRPr="00F10134">
        <w:rPr>
          <w:i/>
          <w:iCs/>
        </w:rPr>
        <w:t>The Lancet Respiratory Medicine</w:t>
      </w:r>
      <w:r w:rsidRPr="00F10134">
        <w:t>, vol. 10, no. 8, pp. 761</w:t>
      </w:r>
      <w:r w:rsidR="00193971">
        <w:noBreakHyphen/>
      </w:r>
      <w:r w:rsidRPr="00F10134">
        <w:t>775.</w:t>
      </w:r>
    </w:p>
  </w:footnote>
  <w:footnote w:id="37">
    <w:p w14:paraId="2DAD4E35" w14:textId="56BDE9D8" w:rsidR="006735CA" w:rsidRDefault="006735CA" w:rsidP="006735CA">
      <w:pPr>
        <w:pStyle w:val="FootnoteText"/>
      </w:pPr>
      <w:r>
        <w:rPr>
          <w:rStyle w:val="FootnoteReference"/>
        </w:rPr>
        <w:footnoteRef/>
      </w:r>
      <w:r>
        <w:t xml:space="preserve"> </w:t>
      </w:r>
      <w:r w:rsidRPr="000D2C1C">
        <w:t xml:space="preserve">Chu L, McPhee R, </w:t>
      </w:r>
      <w:r>
        <w:t>et al.</w:t>
      </w:r>
      <w:r w:rsidRPr="000D2C1C">
        <w:t>; mRNA</w:t>
      </w:r>
      <w:r w:rsidR="00193971">
        <w:noBreakHyphen/>
      </w:r>
      <w:r w:rsidRPr="000D2C1C">
        <w:t>1273 Study Group. A preliminary report of a randomized controlled phase 2 trial of the safety and immunogenicity of mRNA</w:t>
      </w:r>
      <w:r w:rsidR="00193971">
        <w:noBreakHyphen/>
      </w:r>
      <w:r w:rsidRPr="000D2C1C">
        <w:t>1273 SARS</w:t>
      </w:r>
      <w:r w:rsidR="00193971">
        <w:noBreakHyphen/>
      </w:r>
      <w:r w:rsidRPr="000D2C1C">
        <w:t>CoV</w:t>
      </w:r>
      <w:r w:rsidR="00193971">
        <w:noBreakHyphen/>
      </w:r>
      <w:r w:rsidRPr="000D2C1C">
        <w:t>2 vaccine. Vaccine. 2021 May 12;39(20):2791</w:t>
      </w:r>
      <w:r w:rsidR="00193971">
        <w:noBreakHyphen/>
      </w:r>
      <w:r w:rsidRPr="000D2C1C">
        <w:t xml:space="preserve">2799. doi: 10.1016/j.vaccine.2021.02.007. </w:t>
      </w:r>
      <w:proofErr w:type="spellStart"/>
      <w:r w:rsidRPr="000D2C1C">
        <w:t>Epub</w:t>
      </w:r>
      <w:proofErr w:type="spellEnd"/>
      <w:r w:rsidRPr="000D2C1C">
        <w:t xml:space="preserve"> 2021 Feb 9. </w:t>
      </w:r>
    </w:p>
  </w:footnote>
  <w:footnote w:id="38">
    <w:p w14:paraId="58022ECE" w14:textId="30D272CB" w:rsidR="006C53FC" w:rsidRDefault="006C53FC">
      <w:pPr>
        <w:pStyle w:val="FootnoteText"/>
      </w:pPr>
      <w:r>
        <w:rPr>
          <w:rStyle w:val="FootnoteReference"/>
        </w:rPr>
        <w:footnoteRef/>
      </w:r>
      <w:r>
        <w:t xml:space="preserve"> </w:t>
      </w:r>
      <w:r w:rsidRPr="006C53FC">
        <w:t>COVID</w:t>
      </w:r>
      <w:r w:rsidR="00193971">
        <w:noBreakHyphen/>
      </w:r>
      <w:r w:rsidRPr="006C53FC">
        <w:t xml:space="preserve">19 vaccine safety data – </w:t>
      </w:r>
      <w:proofErr w:type="gramStart"/>
      <w:r w:rsidRPr="006C53FC">
        <w:t>at a glance</w:t>
      </w:r>
      <w:proofErr w:type="gramEnd"/>
      <w:r>
        <w:t>, a</w:t>
      </w:r>
      <w:r w:rsidRPr="006C53FC">
        <w:t xml:space="preserve">s </w:t>
      </w:r>
      <w:proofErr w:type="gramStart"/>
      <w:r w:rsidRPr="006C53FC">
        <w:t>at</w:t>
      </w:r>
      <w:proofErr w:type="gramEnd"/>
      <w:r w:rsidRPr="006C53FC">
        <w:t xml:space="preserve"> 12 May 2025.</w:t>
      </w:r>
      <w:r w:rsidR="00580BAD">
        <w:t xml:space="preserve"> </w:t>
      </w:r>
      <w:r>
        <w:t>B</w:t>
      </w:r>
      <w:r w:rsidRPr="006C53FC">
        <w:t xml:space="preserve">ased on </w:t>
      </w:r>
      <w:r>
        <w:t xml:space="preserve">surveys </w:t>
      </w:r>
      <w:r w:rsidRPr="006C53FC">
        <w:t>sent on day 3 post vaccination</w:t>
      </w:r>
      <w:r>
        <w:t xml:space="preserve"> (includes any vaccine currently being used</w:t>
      </w:r>
      <w:r w:rsidR="000D2C1C">
        <w:t>, not specific to Spikevax)</w:t>
      </w:r>
      <w:r w:rsidRPr="006C53FC">
        <w:t>.</w:t>
      </w:r>
      <w:r w:rsidR="000D2C1C">
        <w:t xml:space="preserve"> </w:t>
      </w:r>
      <w:hyperlink r:id="rId3" w:history="1">
        <w:r w:rsidRPr="006C53FC">
          <w:rPr>
            <w:rStyle w:val="Hyperlink"/>
          </w:rPr>
          <w:t>https://www.ausvaxsafety.org.au/vaccine</w:t>
        </w:r>
        <w:r w:rsidR="00193971">
          <w:rPr>
            <w:rStyle w:val="Hyperlink"/>
          </w:rPr>
          <w:noBreakHyphen/>
        </w:r>
        <w:r w:rsidRPr="006C53FC">
          <w:rPr>
            <w:rStyle w:val="Hyperlink"/>
          </w:rPr>
          <w:t>safety</w:t>
        </w:r>
        <w:r w:rsidR="00193971">
          <w:rPr>
            <w:rStyle w:val="Hyperlink"/>
          </w:rPr>
          <w:noBreakHyphen/>
        </w:r>
        <w:r w:rsidRPr="006C53FC">
          <w:rPr>
            <w:rStyle w:val="Hyperlink"/>
          </w:rPr>
          <w:t>data/covid</w:t>
        </w:r>
        <w:r w:rsidR="00193971">
          <w:rPr>
            <w:rStyle w:val="Hyperlink"/>
          </w:rPr>
          <w:noBreakHyphen/>
        </w:r>
        <w:r w:rsidRPr="006C53FC">
          <w:rPr>
            <w:rStyle w:val="Hyperlink"/>
          </w:rPr>
          <w:t>19</w:t>
        </w:r>
        <w:r w:rsidR="00193971">
          <w:rPr>
            <w:rStyle w:val="Hyperlink"/>
          </w:rPr>
          <w:noBreakHyphen/>
        </w:r>
        <w:r w:rsidRPr="006C53FC">
          <w:rPr>
            <w:rStyle w:val="Hyperlink"/>
          </w:rPr>
          <w:t>vaccines</w:t>
        </w:r>
      </w:hyperlink>
    </w:p>
  </w:footnote>
  <w:footnote w:id="39">
    <w:p w14:paraId="4F486918" w14:textId="4DE28F78" w:rsidR="006F296B" w:rsidRPr="006C53FC" w:rsidRDefault="006F296B" w:rsidP="006F296B">
      <w:pPr>
        <w:pStyle w:val="FootnoteText"/>
      </w:pPr>
      <w:r w:rsidRPr="006C53FC">
        <w:rPr>
          <w:rStyle w:val="FootnoteReference"/>
        </w:rPr>
        <w:footnoteRef/>
      </w:r>
      <w:r w:rsidRPr="006C53FC">
        <w:t xml:space="preserve"> https://www.aihw.gov.au/hospitals/topics/admitted</w:t>
      </w:r>
      <w:r w:rsidR="00193971">
        <w:noBreakHyphen/>
      </w:r>
      <w:r w:rsidRPr="006C53FC">
        <w:t>patient</w:t>
      </w:r>
      <w:r w:rsidR="00193971">
        <w:noBreakHyphen/>
      </w:r>
      <w:r w:rsidRPr="006C53FC">
        <w:t>care/hospitalisations</w:t>
      </w:r>
      <w:r w:rsidR="00193971">
        <w:noBreakHyphen/>
      </w:r>
      <w:r w:rsidRPr="006C53FC">
        <w:t>involving</w:t>
      </w:r>
      <w:r w:rsidR="00193971">
        <w:noBreakHyphen/>
      </w:r>
      <w:r w:rsidRPr="006C53FC">
        <w:t>a</w:t>
      </w:r>
      <w:r w:rsidR="00193971">
        <w:noBreakHyphen/>
      </w:r>
      <w:r w:rsidRPr="006C53FC">
        <w:t>covid</w:t>
      </w:r>
      <w:r w:rsidR="00193971">
        <w:noBreakHyphen/>
      </w:r>
      <w:r w:rsidRPr="006C53FC">
        <w:t>19</w:t>
      </w:r>
      <w:r w:rsidR="00193971">
        <w:noBreakHyphen/>
      </w:r>
      <w:r w:rsidRPr="006C53FC">
        <w:t>diagnosis</w:t>
      </w:r>
    </w:p>
  </w:footnote>
  <w:footnote w:id="40">
    <w:p w14:paraId="24B2BDC0" w14:textId="5FF45467" w:rsidR="00E24E3B" w:rsidRDefault="00E24E3B">
      <w:pPr>
        <w:pStyle w:val="FootnoteText"/>
      </w:pPr>
      <w:r w:rsidRPr="006C53FC">
        <w:rPr>
          <w:rStyle w:val="FootnoteReference"/>
        </w:rPr>
        <w:footnoteRef/>
      </w:r>
      <w:r w:rsidRPr="006C53FC">
        <w:t xml:space="preserve"> Excel file, Admitted patient care 2023–24 Separations with a COVID</w:t>
      </w:r>
      <w:r w:rsidR="00193971">
        <w:noBreakHyphen/>
      </w:r>
      <w:r w:rsidRPr="006C53FC">
        <w:t xml:space="preserve">19 diagnosis.xls available at </w:t>
      </w:r>
      <w:hyperlink r:id="rId4" w:history="1">
        <w:r w:rsidRPr="006C53FC">
          <w:rPr>
            <w:rStyle w:val="Hyperlink"/>
          </w:rPr>
          <w:t>https://www.aihw.gov.au/hospitals/topics/admitted</w:t>
        </w:r>
        <w:r w:rsidR="00193971">
          <w:rPr>
            <w:rStyle w:val="Hyperlink"/>
          </w:rPr>
          <w:noBreakHyphen/>
        </w:r>
        <w:r w:rsidRPr="006C53FC">
          <w:rPr>
            <w:rStyle w:val="Hyperlink"/>
          </w:rPr>
          <w:t>patient</w:t>
        </w:r>
        <w:r w:rsidR="00193971">
          <w:rPr>
            <w:rStyle w:val="Hyperlink"/>
          </w:rPr>
          <w:noBreakHyphen/>
        </w:r>
        <w:r w:rsidRPr="006C53FC">
          <w:rPr>
            <w:rStyle w:val="Hyperlink"/>
          </w:rPr>
          <w:t>care/hospitalisations</w:t>
        </w:r>
        <w:r w:rsidR="00193971">
          <w:rPr>
            <w:rStyle w:val="Hyperlink"/>
          </w:rPr>
          <w:noBreakHyphen/>
        </w:r>
        <w:r w:rsidRPr="006C53FC">
          <w:rPr>
            <w:rStyle w:val="Hyperlink"/>
          </w:rPr>
          <w:t>involving</w:t>
        </w:r>
        <w:r w:rsidR="00193971">
          <w:rPr>
            <w:rStyle w:val="Hyperlink"/>
          </w:rPr>
          <w:noBreakHyphen/>
        </w:r>
        <w:r w:rsidRPr="006C53FC">
          <w:rPr>
            <w:rStyle w:val="Hyperlink"/>
          </w:rPr>
          <w:t>a</w:t>
        </w:r>
        <w:r w:rsidR="00193971">
          <w:rPr>
            <w:rStyle w:val="Hyperlink"/>
          </w:rPr>
          <w:noBreakHyphen/>
        </w:r>
        <w:r w:rsidRPr="006C53FC">
          <w:rPr>
            <w:rStyle w:val="Hyperlink"/>
          </w:rPr>
          <w:t>covid</w:t>
        </w:r>
        <w:r w:rsidR="00193971">
          <w:rPr>
            <w:rStyle w:val="Hyperlink"/>
          </w:rPr>
          <w:noBreakHyphen/>
        </w:r>
        <w:r w:rsidRPr="006C53FC">
          <w:rPr>
            <w:rStyle w:val="Hyperlink"/>
          </w:rPr>
          <w:t>19</w:t>
        </w:r>
        <w:r w:rsidR="00193971">
          <w:rPr>
            <w:rStyle w:val="Hyperlink"/>
          </w:rPr>
          <w:noBreakHyphen/>
        </w:r>
        <w:r w:rsidRPr="006C53FC">
          <w:rPr>
            <w:rStyle w:val="Hyperlink"/>
          </w:rPr>
          <w:t>diagnosis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DACC" w14:textId="79878768" w:rsidR="009F721F" w:rsidRDefault="00710F15">
    <w:pPr>
      <w:pStyle w:val="Header"/>
    </w:pPr>
    <w:r>
      <w:rPr>
        <w:noProof/>
      </w:rPr>
      <mc:AlternateContent>
        <mc:Choice Requires="wps">
          <w:drawing>
            <wp:anchor distT="0" distB="0" distL="0" distR="0" simplePos="0" relativeHeight="251659264" behindDoc="0" locked="0" layoutInCell="1" allowOverlap="1" wp14:anchorId="5F629B96" wp14:editId="173BF34B">
              <wp:simplePos x="635" y="635"/>
              <wp:positionH relativeFrom="page">
                <wp:align>center</wp:align>
              </wp:positionH>
              <wp:positionV relativeFrom="page">
                <wp:align>top</wp:align>
              </wp:positionV>
              <wp:extent cx="622300" cy="376555"/>
              <wp:effectExtent l="0" t="0" r="6350" b="4445"/>
              <wp:wrapNone/>
              <wp:docPr id="7102262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58167B" w14:textId="41631BD0"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29B9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F58167B" w14:textId="41631BD0"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F454B40" w:rsidR="00D843F2" w:rsidRPr="00195452" w:rsidRDefault="00710F15" w:rsidP="00D822E2">
    <w:pPr>
      <w:pStyle w:val="Header"/>
      <w:rPr>
        <w:i w:val="0"/>
        <w:color w:val="808080"/>
      </w:rPr>
    </w:pPr>
    <w:r>
      <w:rPr>
        <w:noProof/>
        <w:color w:val="808080"/>
      </w:rPr>
      <mc:AlternateContent>
        <mc:Choice Requires="wps">
          <w:drawing>
            <wp:anchor distT="0" distB="0" distL="0" distR="0" simplePos="0" relativeHeight="251660288" behindDoc="0" locked="0" layoutInCell="1" allowOverlap="1" wp14:anchorId="78540D31" wp14:editId="7D440DED">
              <wp:simplePos x="635" y="635"/>
              <wp:positionH relativeFrom="page">
                <wp:align>center</wp:align>
              </wp:positionH>
              <wp:positionV relativeFrom="page">
                <wp:align>top</wp:align>
              </wp:positionV>
              <wp:extent cx="622300" cy="376555"/>
              <wp:effectExtent l="0" t="0" r="6350" b="4445"/>
              <wp:wrapNone/>
              <wp:docPr id="2540203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C471C4" w14:textId="354D455E"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40D3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2C471C4" w14:textId="354D455E"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v:textbox>
              <w10:wrap anchorx="page" anchory="page"/>
            </v:shape>
          </w:pict>
        </mc:Fallback>
      </mc:AlternateContent>
    </w:r>
    <w:r w:rsidR="00913EF4">
      <w:rPr>
        <w:color w:val="808080"/>
      </w:rPr>
      <w:t>Public Summary Document</w:t>
    </w:r>
    <w:r w:rsidR="00BA3413">
      <w:rPr>
        <w:color w:val="808080"/>
      </w:rPr>
      <w:t xml:space="preserve"> </w:t>
    </w:r>
    <w:r w:rsidR="00DF6790" w:rsidRPr="00056684">
      <w:rPr>
        <w:rFonts w:cs="Arial"/>
        <w:color w:val="808080"/>
      </w:rPr>
      <w:t>–</w:t>
    </w:r>
    <w:r w:rsidR="00BA3413">
      <w:rPr>
        <w:color w:val="808080"/>
      </w:rPr>
      <w:t xml:space="preserve"> </w:t>
    </w:r>
    <w:r w:rsidR="004C0C6B">
      <w:rPr>
        <w:color w:val="808080"/>
      </w:rPr>
      <w:t>March 2026</w:t>
    </w:r>
    <w:r w:rsidR="00D843F2">
      <w:rPr>
        <w:color w:val="808080"/>
      </w:rPr>
      <w:t xml:space="preserve"> </w:t>
    </w:r>
    <w:r w:rsidR="00D843F2" w:rsidRPr="00195452">
      <w:rPr>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E0A0" w14:textId="478DD3DC" w:rsidR="009F721F" w:rsidRDefault="00710F15">
    <w:pPr>
      <w:pStyle w:val="Header"/>
    </w:pPr>
    <w:r>
      <w:rPr>
        <w:noProof/>
      </w:rPr>
      <mc:AlternateContent>
        <mc:Choice Requires="wps">
          <w:drawing>
            <wp:anchor distT="0" distB="0" distL="0" distR="0" simplePos="0" relativeHeight="251658240" behindDoc="0" locked="0" layoutInCell="1" allowOverlap="1" wp14:anchorId="27058A72" wp14:editId="37BF9417">
              <wp:simplePos x="635" y="635"/>
              <wp:positionH relativeFrom="page">
                <wp:align>center</wp:align>
              </wp:positionH>
              <wp:positionV relativeFrom="page">
                <wp:align>top</wp:align>
              </wp:positionV>
              <wp:extent cx="622300" cy="376555"/>
              <wp:effectExtent l="0" t="0" r="6350" b="4445"/>
              <wp:wrapNone/>
              <wp:docPr id="1550891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AEF32E" w14:textId="16B3DF44"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58A7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4AEF32E" w14:textId="16B3DF44" w:rsidR="00710F15" w:rsidRPr="00710F15" w:rsidRDefault="00710F15" w:rsidP="00710F15">
                    <w:pPr>
                      <w:rPr>
                        <w:rFonts w:ascii="Aptos" w:eastAsia="Aptos" w:hAnsi="Aptos" w:cs="Aptos"/>
                        <w:noProof/>
                        <w:color w:val="FF0000"/>
                        <w:szCs w:val="24"/>
                      </w:rPr>
                    </w:pPr>
                    <w:r w:rsidRPr="00710F15">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6B68B6"/>
    <w:multiLevelType w:val="hybridMultilevel"/>
    <w:tmpl w:val="9AECC1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F935A7"/>
    <w:multiLevelType w:val="multilevel"/>
    <w:tmpl w:val="FE92E8DA"/>
    <w:lvl w:ilvl="0">
      <w:start w:val="1"/>
      <w:numFmt w:val="bullet"/>
      <w:pStyle w:val="Bullet12"/>
      <w:lvlText w:val=""/>
      <w:lvlJc w:val="left"/>
      <w:pPr>
        <w:ind w:left="720" w:hanging="363"/>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Theme="minorHAnsi" w:hAnsiTheme="minorHAnsi" w:cs="Courier New"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DA5856"/>
    <w:multiLevelType w:val="multilevel"/>
    <w:tmpl w:val="5316FF6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C929B7"/>
    <w:multiLevelType w:val="hybridMultilevel"/>
    <w:tmpl w:val="12989A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3E1CE7"/>
    <w:multiLevelType w:val="multilevel"/>
    <w:tmpl w:val="619275F4"/>
    <w:lvl w:ilvl="0">
      <w:start w:val="1"/>
      <w:numFmt w:val="bullet"/>
      <w:lvlText w:val=""/>
      <w:lvlJc w:val="left"/>
      <w:pPr>
        <w:ind w:left="1440" w:hanging="720"/>
      </w:pPr>
      <w:rPr>
        <w:rFonts w:ascii="Symbol" w:hAnsi="Symbol"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1AF27007"/>
    <w:multiLevelType w:val="hybridMultilevel"/>
    <w:tmpl w:val="1E8A10B8"/>
    <w:lvl w:ilvl="0" w:tplc="0C090001">
      <w:start w:val="1"/>
      <w:numFmt w:val="bullet"/>
      <w:lvlText w:val=""/>
      <w:lvlJc w:val="left"/>
      <w:pPr>
        <w:ind w:left="1023" w:hanging="360"/>
      </w:pPr>
      <w:rPr>
        <w:rFonts w:ascii="Symbol" w:hAnsi="Symbol" w:hint="default"/>
      </w:rPr>
    </w:lvl>
    <w:lvl w:ilvl="1" w:tplc="E372196E">
      <w:start w:val="1"/>
      <w:numFmt w:val="lowerLetter"/>
      <w:lvlText w:val="%2."/>
      <w:lvlJc w:val="left"/>
      <w:pPr>
        <w:ind w:left="1743" w:hanging="360"/>
      </w:pPr>
    </w:lvl>
    <w:lvl w:ilvl="2" w:tplc="052CB3A6">
      <w:start w:val="1"/>
      <w:numFmt w:val="lowerRoman"/>
      <w:lvlText w:val="%3."/>
      <w:lvlJc w:val="right"/>
      <w:pPr>
        <w:ind w:left="2463" w:hanging="180"/>
      </w:pPr>
    </w:lvl>
    <w:lvl w:ilvl="3" w:tplc="55FCF8FA">
      <w:start w:val="1"/>
      <w:numFmt w:val="decimal"/>
      <w:lvlText w:val="%4."/>
      <w:lvlJc w:val="left"/>
      <w:pPr>
        <w:ind w:left="3183" w:hanging="360"/>
      </w:pPr>
    </w:lvl>
    <w:lvl w:ilvl="4" w:tplc="2D7066F8">
      <w:start w:val="1"/>
      <w:numFmt w:val="lowerLetter"/>
      <w:lvlText w:val="%5."/>
      <w:lvlJc w:val="left"/>
      <w:pPr>
        <w:ind w:left="3903" w:hanging="360"/>
      </w:pPr>
    </w:lvl>
    <w:lvl w:ilvl="5" w:tplc="AA1A5C9C">
      <w:start w:val="1"/>
      <w:numFmt w:val="lowerRoman"/>
      <w:lvlText w:val="%6."/>
      <w:lvlJc w:val="right"/>
      <w:pPr>
        <w:ind w:left="4623" w:hanging="180"/>
      </w:pPr>
    </w:lvl>
    <w:lvl w:ilvl="6" w:tplc="25188CC2">
      <w:start w:val="1"/>
      <w:numFmt w:val="decimal"/>
      <w:lvlText w:val="%7."/>
      <w:lvlJc w:val="left"/>
      <w:pPr>
        <w:ind w:left="5343" w:hanging="360"/>
      </w:pPr>
    </w:lvl>
    <w:lvl w:ilvl="7" w:tplc="6E32EBD8">
      <w:start w:val="1"/>
      <w:numFmt w:val="lowerLetter"/>
      <w:lvlText w:val="%8."/>
      <w:lvlJc w:val="left"/>
      <w:pPr>
        <w:ind w:left="6063" w:hanging="360"/>
      </w:pPr>
    </w:lvl>
    <w:lvl w:ilvl="8" w:tplc="504CE4F2">
      <w:start w:val="1"/>
      <w:numFmt w:val="lowerRoman"/>
      <w:lvlText w:val="%9."/>
      <w:lvlJc w:val="right"/>
      <w:pPr>
        <w:ind w:left="6783" w:hanging="180"/>
      </w:pPr>
    </w:lvl>
  </w:abstractNum>
  <w:abstractNum w:abstractNumId="10" w15:restartNumberingAfterBreak="0">
    <w:nsid w:val="1C1214A7"/>
    <w:multiLevelType w:val="hybridMultilevel"/>
    <w:tmpl w:val="F98AD64A"/>
    <w:lvl w:ilvl="0" w:tplc="5D8C59C2">
      <w:start w:val="1"/>
      <w:numFmt w:val="bullet"/>
      <w:lvlText w:val="•"/>
      <w:lvlJc w:val="left"/>
      <w:pPr>
        <w:tabs>
          <w:tab w:val="num" w:pos="720"/>
        </w:tabs>
        <w:ind w:left="720" w:hanging="360"/>
      </w:pPr>
      <w:rPr>
        <w:rFonts w:ascii="Arial" w:hAnsi="Arial" w:hint="default"/>
      </w:rPr>
    </w:lvl>
    <w:lvl w:ilvl="1" w:tplc="F500832C" w:tentative="1">
      <w:start w:val="1"/>
      <w:numFmt w:val="bullet"/>
      <w:lvlText w:val="•"/>
      <w:lvlJc w:val="left"/>
      <w:pPr>
        <w:tabs>
          <w:tab w:val="num" w:pos="1440"/>
        </w:tabs>
        <w:ind w:left="1440" w:hanging="360"/>
      </w:pPr>
      <w:rPr>
        <w:rFonts w:ascii="Arial" w:hAnsi="Arial" w:hint="default"/>
      </w:rPr>
    </w:lvl>
    <w:lvl w:ilvl="2" w:tplc="BC767490" w:tentative="1">
      <w:start w:val="1"/>
      <w:numFmt w:val="bullet"/>
      <w:lvlText w:val="•"/>
      <w:lvlJc w:val="left"/>
      <w:pPr>
        <w:tabs>
          <w:tab w:val="num" w:pos="2160"/>
        </w:tabs>
        <w:ind w:left="2160" w:hanging="360"/>
      </w:pPr>
      <w:rPr>
        <w:rFonts w:ascii="Arial" w:hAnsi="Arial" w:hint="default"/>
      </w:rPr>
    </w:lvl>
    <w:lvl w:ilvl="3" w:tplc="52F6FD42" w:tentative="1">
      <w:start w:val="1"/>
      <w:numFmt w:val="bullet"/>
      <w:lvlText w:val="•"/>
      <w:lvlJc w:val="left"/>
      <w:pPr>
        <w:tabs>
          <w:tab w:val="num" w:pos="2880"/>
        </w:tabs>
        <w:ind w:left="2880" w:hanging="360"/>
      </w:pPr>
      <w:rPr>
        <w:rFonts w:ascii="Arial" w:hAnsi="Arial" w:hint="default"/>
      </w:rPr>
    </w:lvl>
    <w:lvl w:ilvl="4" w:tplc="9012AB08" w:tentative="1">
      <w:start w:val="1"/>
      <w:numFmt w:val="bullet"/>
      <w:lvlText w:val="•"/>
      <w:lvlJc w:val="left"/>
      <w:pPr>
        <w:tabs>
          <w:tab w:val="num" w:pos="3600"/>
        </w:tabs>
        <w:ind w:left="3600" w:hanging="360"/>
      </w:pPr>
      <w:rPr>
        <w:rFonts w:ascii="Arial" w:hAnsi="Arial" w:hint="default"/>
      </w:rPr>
    </w:lvl>
    <w:lvl w:ilvl="5" w:tplc="E814D7C0" w:tentative="1">
      <w:start w:val="1"/>
      <w:numFmt w:val="bullet"/>
      <w:lvlText w:val="•"/>
      <w:lvlJc w:val="left"/>
      <w:pPr>
        <w:tabs>
          <w:tab w:val="num" w:pos="4320"/>
        </w:tabs>
        <w:ind w:left="4320" w:hanging="360"/>
      </w:pPr>
      <w:rPr>
        <w:rFonts w:ascii="Arial" w:hAnsi="Arial" w:hint="default"/>
      </w:rPr>
    </w:lvl>
    <w:lvl w:ilvl="6" w:tplc="81807552" w:tentative="1">
      <w:start w:val="1"/>
      <w:numFmt w:val="bullet"/>
      <w:lvlText w:val="•"/>
      <w:lvlJc w:val="left"/>
      <w:pPr>
        <w:tabs>
          <w:tab w:val="num" w:pos="5040"/>
        </w:tabs>
        <w:ind w:left="5040" w:hanging="360"/>
      </w:pPr>
      <w:rPr>
        <w:rFonts w:ascii="Arial" w:hAnsi="Arial" w:hint="default"/>
      </w:rPr>
    </w:lvl>
    <w:lvl w:ilvl="7" w:tplc="44FCD364" w:tentative="1">
      <w:start w:val="1"/>
      <w:numFmt w:val="bullet"/>
      <w:lvlText w:val="•"/>
      <w:lvlJc w:val="left"/>
      <w:pPr>
        <w:tabs>
          <w:tab w:val="num" w:pos="5760"/>
        </w:tabs>
        <w:ind w:left="5760" w:hanging="360"/>
      </w:pPr>
      <w:rPr>
        <w:rFonts w:ascii="Arial" w:hAnsi="Arial" w:hint="default"/>
      </w:rPr>
    </w:lvl>
    <w:lvl w:ilvl="8" w:tplc="2EDC16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9298A"/>
    <w:multiLevelType w:val="hybridMultilevel"/>
    <w:tmpl w:val="8618C2EE"/>
    <w:lvl w:ilvl="0" w:tplc="D4DC776E">
      <w:start w:val="1"/>
      <w:numFmt w:val="bullet"/>
      <w:pStyle w:val="Tabledash"/>
      <w:lvlText w:val="-"/>
      <w:lvlJc w:val="left"/>
      <w:pPr>
        <w:ind w:left="814" w:hanging="360"/>
      </w:pPr>
      <w:rPr>
        <w:rFonts w:ascii="Calibri" w:eastAsia="Calibri" w:hAnsi="Calibri" w:cs="Calibri"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C4276E"/>
    <w:multiLevelType w:val="hybridMultilevel"/>
    <w:tmpl w:val="D7AC99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E446B0"/>
    <w:multiLevelType w:val="hybridMultilevel"/>
    <w:tmpl w:val="0D74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3E291C"/>
    <w:multiLevelType w:val="hybridMultilevel"/>
    <w:tmpl w:val="B2BA31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F16B95"/>
    <w:multiLevelType w:val="hybridMultilevel"/>
    <w:tmpl w:val="F32C7B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0C514B8"/>
    <w:multiLevelType w:val="hybridMultilevel"/>
    <w:tmpl w:val="368023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74731D"/>
    <w:multiLevelType w:val="hybridMultilevel"/>
    <w:tmpl w:val="8D4E6750"/>
    <w:lvl w:ilvl="0" w:tplc="0C090019">
      <w:start w:val="1"/>
      <w:numFmt w:val="lowerLetter"/>
      <w:lvlText w:val="%1."/>
      <w:lvlJc w:val="left"/>
      <w:pPr>
        <w:ind w:left="360" w:hanging="360"/>
      </w:pPr>
      <w:rPr>
        <w:rFonts w:hint="default"/>
      </w:rPr>
    </w:lvl>
    <w:lvl w:ilvl="1" w:tplc="6EAC1DC2">
      <w:start w:val="1"/>
      <w:numFmt w:val="decimal"/>
      <w:lvlText w:val="%2)"/>
      <w:lvlJc w:val="left"/>
      <w:pPr>
        <w:ind w:left="1080" w:hanging="360"/>
      </w:pPr>
      <w:rPr>
        <w:rFonts w:hint="default"/>
      </w:rPr>
    </w:lvl>
    <w:lvl w:ilvl="2" w:tplc="D7F8DD6E">
      <w:start w:val="1"/>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4150C05"/>
    <w:multiLevelType w:val="hybridMultilevel"/>
    <w:tmpl w:val="44A013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C7BD1"/>
    <w:multiLevelType w:val="hybridMultilevel"/>
    <w:tmpl w:val="B784F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E455D"/>
    <w:multiLevelType w:val="hybridMultilevel"/>
    <w:tmpl w:val="50BE0F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74D0CBD"/>
    <w:multiLevelType w:val="multilevel"/>
    <w:tmpl w:val="FEF0D5D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730CC5"/>
    <w:multiLevelType w:val="multilevel"/>
    <w:tmpl w:val="BF244262"/>
    <w:lvl w:ilvl="0">
      <w:start w:val="1"/>
      <w:numFmt w:val="bullet"/>
      <w:pStyle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4BE56402"/>
    <w:multiLevelType w:val="hybridMultilevel"/>
    <w:tmpl w:val="D9EA8E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4237931"/>
    <w:multiLevelType w:val="hybridMultilevel"/>
    <w:tmpl w:val="70C00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3A3957"/>
    <w:multiLevelType w:val="multilevel"/>
    <w:tmpl w:val="1ADA6004"/>
    <w:lvl w:ilvl="0">
      <w:start w:val="1"/>
      <w:numFmt w:val="bullet"/>
      <w:pStyle w:val="Table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7740E7"/>
    <w:multiLevelType w:val="hybridMultilevel"/>
    <w:tmpl w:val="2BD055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15:restartNumberingAfterBreak="0">
    <w:nsid w:val="5BD3020B"/>
    <w:multiLevelType w:val="hybridMultilevel"/>
    <w:tmpl w:val="A9084688"/>
    <w:lvl w:ilvl="0" w:tplc="971EDCC4">
      <w:start w:val="1"/>
      <w:numFmt w:val="bullet"/>
      <w:pStyle w:val="Tablebullets"/>
      <w:lvlText w:val=""/>
      <w:lvlJc w:val="left"/>
      <w:pPr>
        <w:tabs>
          <w:tab w:val="num" w:pos="170"/>
        </w:tabs>
        <w:ind w:left="170" w:hanging="17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65E74BC"/>
    <w:multiLevelType w:val="hybridMultilevel"/>
    <w:tmpl w:val="2036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F37F4F"/>
    <w:multiLevelType w:val="hybridMultilevel"/>
    <w:tmpl w:val="97622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47194"/>
    <w:multiLevelType w:val="hybridMultilevel"/>
    <w:tmpl w:val="008C76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84D033C"/>
    <w:multiLevelType w:val="multilevel"/>
    <w:tmpl w:val="39943C9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C90DFC"/>
    <w:multiLevelType w:val="hybridMultilevel"/>
    <w:tmpl w:val="84228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C4E0F8D"/>
    <w:multiLevelType w:val="hybridMultilevel"/>
    <w:tmpl w:val="A50C69B2"/>
    <w:lvl w:ilvl="0" w:tplc="3398D400">
      <w:start w:val="1"/>
      <w:numFmt w:val="bullet"/>
      <w:lvlText w:val="•"/>
      <w:lvlJc w:val="left"/>
      <w:pPr>
        <w:tabs>
          <w:tab w:val="num" w:pos="720"/>
        </w:tabs>
        <w:ind w:left="720" w:hanging="360"/>
      </w:pPr>
      <w:rPr>
        <w:rFonts w:ascii="Arial" w:hAnsi="Arial" w:hint="default"/>
      </w:rPr>
    </w:lvl>
    <w:lvl w:ilvl="1" w:tplc="BF525AEE">
      <w:start w:val="1"/>
      <w:numFmt w:val="bullet"/>
      <w:lvlText w:val="•"/>
      <w:lvlJc w:val="left"/>
      <w:pPr>
        <w:tabs>
          <w:tab w:val="num" w:pos="1440"/>
        </w:tabs>
        <w:ind w:left="1440" w:hanging="360"/>
      </w:pPr>
      <w:rPr>
        <w:rFonts w:ascii="Arial" w:hAnsi="Arial" w:hint="default"/>
      </w:rPr>
    </w:lvl>
    <w:lvl w:ilvl="2" w:tplc="CB5AE81C" w:tentative="1">
      <w:start w:val="1"/>
      <w:numFmt w:val="bullet"/>
      <w:lvlText w:val="•"/>
      <w:lvlJc w:val="left"/>
      <w:pPr>
        <w:tabs>
          <w:tab w:val="num" w:pos="2160"/>
        </w:tabs>
        <w:ind w:left="2160" w:hanging="360"/>
      </w:pPr>
      <w:rPr>
        <w:rFonts w:ascii="Arial" w:hAnsi="Arial" w:hint="default"/>
      </w:rPr>
    </w:lvl>
    <w:lvl w:ilvl="3" w:tplc="F87C4DCE" w:tentative="1">
      <w:start w:val="1"/>
      <w:numFmt w:val="bullet"/>
      <w:lvlText w:val="•"/>
      <w:lvlJc w:val="left"/>
      <w:pPr>
        <w:tabs>
          <w:tab w:val="num" w:pos="2880"/>
        </w:tabs>
        <w:ind w:left="2880" w:hanging="360"/>
      </w:pPr>
      <w:rPr>
        <w:rFonts w:ascii="Arial" w:hAnsi="Arial" w:hint="default"/>
      </w:rPr>
    </w:lvl>
    <w:lvl w:ilvl="4" w:tplc="4E50A614" w:tentative="1">
      <w:start w:val="1"/>
      <w:numFmt w:val="bullet"/>
      <w:lvlText w:val="•"/>
      <w:lvlJc w:val="left"/>
      <w:pPr>
        <w:tabs>
          <w:tab w:val="num" w:pos="3600"/>
        </w:tabs>
        <w:ind w:left="3600" w:hanging="360"/>
      </w:pPr>
      <w:rPr>
        <w:rFonts w:ascii="Arial" w:hAnsi="Arial" w:hint="default"/>
      </w:rPr>
    </w:lvl>
    <w:lvl w:ilvl="5" w:tplc="BDBEA610" w:tentative="1">
      <w:start w:val="1"/>
      <w:numFmt w:val="bullet"/>
      <w:lvlText w:val="•"/>
      <w:lvlJc w:val="left"/>
      <w:pPr>
        <w:tabs>
          <w:tab w:val="num" w:pos="4320"/>
        </w:tabs>
        <w:ind w:left="4320" w:hanging="360"/>
      </w:pPr>
      <w:rPr>
        <w:rFonts w:ascii="Arial" w:hAnsi="Arial" w:hint="default"/>
      </w:rPr>
    </w:lvl>
    <w:lvl w:ilvl="6" w:tplc="34866AA2" w:tentative="1">
      <w:start w:val="1"/>
      <w:numFmt w:val="bullet"/>
      <w:lvlText w:val="•"/>
      <w:lvlJc w:val="left"/>
      <w:pPr>
        <w:tabs>
          <w:tab w:val="num" w:pos="5040"/>
        </w:tabs>
        <w:ind w:left="5040" w:hanging="360"/>
      </w:pPr>
      <w:rPr>
        <w:rFonts w:ascii="Arial" w:hAnsi="Arial" w:hint="default"/>
      </w:rPr>
    </w:lvl>
    <w:lvl w:ilvl="7" w:tplc="262A9C80" w:tentative="1">
      <w:start w:val="1"/>
      <w:numFmt w:val="bullet"/>
      <w:lvlText w:val="•"/>
      <w:lvlJc w:val="left"/>
      <w:pPr>
        <w:tabs>
          <w:tab w:val="num" w:pos="5760"/>
        </w:tabs>
        <w:ind w:left="5760" w:hanging="360"/>
      </w:pPr>
      <w:rPr>
        <w:rFonts w:ascii="Arial" w:hAnsi="Arial" w:hint="default"/>
      </w:rPr>
    </w:lvl>
    <w:lvl w:ilvl="8" w:tplc="78B4FAC0" w:tentative="1">
      <w:start w:val="1"/>
      <w:numFmt w:val="bullet"/>
      <w:lvlText w:val="•"/>
      <w:lvlJc w:val="left"/>
      <w:pPr>
        <w:tabs>
          <w:tab w:val="num" w:pos="6480"/>
        </w:tabs>
        <w:ind w:left="6480" w:hanging="360"/>
      </w:pPr>
      <w:rPr>
        <w:rFonts w:ascii="Arial" w:hAnsi="Arial" w:hint="default"/>
      </w:rPr>
    </w:lvl>
  </w:abstractNum>
  <w:num w:numId="1" w16cid:durableId="816186631">
    <w:abstractNumId w:val="43"/>
  </w:num>
  <w:num w:numId="2" w16cid:durableId="917793048">
    <w:abstractNumId w:val="24"/>
  </w:num>
  <w:num w:numId="3" w16cid:durableId="263461728">
    <w:abstractNumId w:val="0"/>
  </w:num>
  <w:num w:numId="4" w16cid:durableId="139346788">
    <w:abstractNumId w:val="45"/>
  </w:num>
  <w:num w:numId="5" w16cid:durableId="1533883230">
    <w:abstractNumId w:val="21"/>
  </w:num>
  <w:num w:numId="6" w16cid:durableId="220360847">
    <w:abstractNumId w:val="37"/>
  </w:num>
  <w:num w:numId="7" w16cid:durableId="268196418">
    <w:abstractNumId w:val="18"/>
  </w:num>
  <w:num w:numId="8" w16cid:durableId="1048839230">
    <w:abstractNumId w:val="43"/>
  </w:num>
  <w:num w:numId="9" w16cid:durableId="1433042179">
    <w:abstractNumId w:val="5"/>
  </w:num>
  <w:num w:numId="10" w16cid:durableId="1792045839">
    <w:abstractNumId w:val="28"/>
  </w:num>
  <w:num w:numId="11" w16cid:durableId="483163927">
    <w:abstractNumId w:val="35"/>
  </w:num>
  <w:num w:numId="12" w16cid:durableId="1340501925">
    <w:abstractNumId w:val="30"/>
  </w:num>
  <w:num w:numId="13" w16cid:durableId="935866541">
    <w:abstractNumId w:val="12"/>
  </w:num>
  <w:num w:numId="14" w16cid:durableId="528684084">
    <w:abstractNumId w:val="33"/>
  </w:num>
  <w:num w:numId="15" w16cid:durableId="5330961">
    <w:abstractNumId w:val="20"/>
  </w:num>
  <w:num w:numId="16" w16cid:durableId="742797967">
    <w:abstractNumId w:val="34"/>
  </w:num>
  <w:num w:numId="17" w16cid:durableId="853350101">
    <w:abstractNumId w:val="17"/>
  </w:num>
  <w:num w:numId="18" w16cid:durableId="1665740168">
    <w:abstractNumId w:val="42"/>
  </w:num>
  <w:num w:numId="19" w16cid:durableId="972713959">
    <w:abstractNumId w:val="23"/>
  </w:num>
  <w:num w:numId="20" w16cid:durableId="1338998049">
    <w:abstractNumId w:val="19"/>
  </w:num>
  <w:num w:numId="21" w16cid:durableId="106121088">
    <w:abstractNumId w:val="29"/>
  </w:num>
  <w:num w:numId="22" w16cid:durableId="707334770">
    <w:abstractNumId w:val="26"/>
  </w:num>
  <w:num w:numId="23" w16cid:durableId="1397584914">
    <w:abstractNumId w:val="14"/>
  </w:num>
  <w:num w:numId="24" w16cid:durableId="42607665">
    <w:abstractNumId w:val="8"/>
  </w:num>
  <w:num w:numId="25" w16cid:durableId="963461772">
    <w:abstractNumId w:val="25"/>
  </w:num>
  <w:num w:numId="26" w16cid:durableId="1177580324">
    <w:abstractNumId w:val="22"/>
  </w:num>
  <w:num w:numId="27" w16cid:durableId="916210252">
    <w:abstractNumId w:val="6"/>
  </w:num>
  <w:num w:numId="28" w16cid:durableId="718239044">
    <w:abstractNumId w:val="41"/>
  </w:num>
  <w:num w:numId="29" w16cid:durableId="126240624">
    <w:abstractNumId w:val="39"/>
  </w:num>
  <w:num w:numId="30" w16cid:durableId="591016913">
    <w:abstractNumId w:val="46"/>
  </w:num>
  <w:num w:numId="31" w16cid:durableId="1425997891">
    <w:abstractNumId w:val="10"/>
  </w:num>
  <w:num w:numId="32" w16cid:durableId="112672395">
    <w:abstractNumId w:val="9"/>
  </w:num>
  <w:num w:numId="33" w16cid:durableId="2030639701">
    <w:abstractNumId w:val="38"/>
  </w:num>
  <w:num w:numId="34" w16cid:durableId="2122339697">
    <w:abstractNumId w:val="7"/>
  </w:num>
  <w:num w:numId="35" w16cid:durableId="1288318448">
    <w:abstractNumId w:val="2"/>
  </w:num>
  <w:num w:numId="36" w16cid:durableId="1604681092">
    <w:abstractNumId w:val="44"/>
  </w:num>
  <w:num w:numId="37" w16cid:durableId="1660116426">
    <w:abstractNumId w:val="3"/>
  </w:num>
  <w:num w:numId="38" w16cid:durableId="1573005167">
    <w:abstractNumId w:val="31"/>
  </w:num>
  <w:num w:numId="39" w16cid:durableId="408699874">
    <w:abstractNumId w:val="32"/>
  </w:num>
  <w:num w:numId="40" w16cid:durableId="1569418770">
    <w:abstractNumId w:val="4"/>
  </w:num>
  <w:num w:numId="41" w16cid:durableId="705176722">
    <w:abstractNumId w:val="1"/>
  </w:num>
  <w:num w:numId="42" w16cid:durableId="1926569401">
    <w:abstractNumId w:val="13"/>
  </w:num>
  <w:num w:numId="43" w16cid:durableId="1979457665">
    <w:abstractNumId w:val="15"/>
  </w:num>
  <w:num w:numId="44" w16cid:durableId="2038313566">
    <w:abstractNumId w:val="11"/>
  </w:num>
  <w:num w:numId="45" w16cid:durableId="129744317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997201">
    <w:abstractNumId w:val="40"/>
  </w:num>
  <w:num w:numId="47" w16cid:durableId="1882281535">
    <w:abstractNumId w:val="27"/>
  </w:num>
  <w:num w:numId="48" w16cid:durableId="3961745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dtrpvzmpsaa3et5fqpsw2ftttdatfwerat&quot;&gt;SpikeVax_DT&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20&lt;/item&gt;&lt;item&gt;21&lt;/item&gt;&lt;item&gt;23&lt;/item&gt;&lt;item&gt;24&lt;/item&gt;&lt;item&gt;25&lt;/item&gt;&lt;item&gt;26&lt;/item&gt;&lt;item&gt;27&lt;/item&gt;&lt;item&gt;28&lt;/item&gt;&lt;item&gt;29&lt;/item&gt;&lt;item&gt;30&lt;/item&gt;&lt;item&gt;31&lt;/item&gt;&lt;item&gt;32&lt;/item&gt;&lt;item&gt;33&lt;/item&gt;&lt;item&gt;34&lt;/item&gt;&lt;item&gt;55&lt;/item&gt;&lt;item&gt;104&lt;/item&gt;&lt;item&gt;115&lt;/item&gt;&lt;item&gt;116&lt;/item&gt;&lt;item&gt;117&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record-ids&gt;&lt;/item&gt;&lt;item db-id=&quot;wezrzxa05pa0ree2z5svvwxyarvx9wv9td2w&quot;&gt;Spikevax CF&lt;record-ids&gt;&lt;item&gt;1&lt;/item&gt;&lt;item&gt;2&lt;/item&gt;&lt;item&gt;3&lt;/item&gt;&lt;/record-ids&gt;&lt;/item&gt;&lt;/Libraries&gt;"/>
  </w:docVars>
  <w:rsids>
    <w:rsidRoot w:val="00E65E79"/>
    <w:rsid w:val="00000790"/>
    <w:rsid w:val="00000873"/>
    <w:rsid w:val="0000110B"/>
    <w:rsid w:val="00001425"/>
    <w:rsid w:val="00003499"/>
    <w:rsid w:val="000039B7"/>
    <w:rsid w:val="00004D46"/>
    <w:rsid w:val="000056B9"/>
    <w:rsid w:val="00005AE5"/>
    <w:rsid w:val="0000603E"/>
    <w:rsid w:val="0000639A"/>
    <w:rsid w:val="0000642E"/>
    <w:rsid w:val="00007795"/>
    <w:rsid w:val="00010710"/>
    <w:rsid w:val="000107B3"/>
    <w:rsid w:val="00010F00"/>
    <w:rsid w:val="00011102"/>
    <w:rsid w:val="0001320F"/>
    <w:rsid w:val="00013236"/>
    <w:rsid w:val="00013247"/>
    <w:rsid w:val="00013F64"/>
    <w:rsid w:val="000143D7"/>
    <w:rsid w:val="000144E9"/>
    <w:rsid w:val="000145B3"/>
    <w:rsid w:val="000153F7"/>
    <w:rsid w:val="00015886"/>
    <w:rsid w:val="000162EF"/>
    <w:rsid w:val="00016EB0"/>
    <w:rsid w:val="000201BD"/>
    <w:rsid w:val="000207C9"/>
    <w:rsid w:val="00020A90"/>
    <w:rsid w:val="000221C9"/>
    <w:rsid w:val="0002225F"/>
    <w:rsid w:val="00023763"/>
    <w:rsid w:val="00024E54"/>
    <w:rsid w:val="00024EB5"/>
    <w:rsid w:val="00025E50"/>
    <w:rsid w:val="00026C0B"/>
    <w:rsid w:val="000274B8"/>
    <w:rsid w:val="0003031F"/>
    <w:rsid w:val="00030998"/>
    <w:rsid w:val="00031225"/>
    <w:rsid w:val="000325D8"/>
    <w:rsid w:val="00032CBA"/>
    <w:rsid w:val="00032FA0"/>
    <w:rsid w:val="00033863"/>
    <w:rsid w:val="000339F6"/>
    <w:rsid w:val="00034AE8"/>
    <w:rsid w:val="00034E49"/>
    <w:rsid w:val="00035577"/>
    <w:rsid w:val="00035DC0"/>
    <w:rsid w:val="00035EA0"/>
    <w:rsid w:val="00035F16"/>
    <w:rsid w:val="000367A6"/>
    <w:rsid w:val="00036829"/>
    <w:rsid w:val="00037C84"/>
    <w:rsid w:val="00037D87"/>
    <w:rsid w:val="00040370"/>
    <w:rsid w:val="0004056E"/>
    <w:rsid w:val="00040895"/>
    <w:rsid w:val="00040DA6"/>
    <w:rsid w:val="000410A0"/>
    <w:rsid w:val="000432A5"/>
    <w:rsid w:val="000435EE"/>
    <w:rsid w:val="00043C37"/>
    <w:rsid w:val="00044DB6"/>
    <w:rsid w:val="00044E0B"/>
    <w:rsid w:val="00045017"/>
    <w:rsid w:val="00045504"/>
    <w:rsid w:val="00045A2B"/>
    <w:rsid w:val="0004698F"/>
    <w:rsid w:val="00046D64"/>
    <w:rsid w:val="00046FE4"/>
    <w:rsid w:val="000479B6"/>
    <w:rsid w:val="000505F0"/>
    <w:rsid w:val="000508C2"/>
    <w:rsid w:val="000539D0"/>
    <w:rsid w:val="00054500"/>
    <w:rsid w:val="00054621"/>
    <w:rsid w:val="000546D7"/>
    <w:rsid w:val="00054A8D"/>
    <w:rsid w:val="00055A40"/>
    <w:rsid w:val="00056ECF"/>
    <w:rsid w:val="000604DF"/>
    <w:rsid w:val="00060872"/>
    <w:rsid w:val="000613EE"/>
    <w:rsid w:val="00061D7E"/>
    <w:rsid w:val="00061E08"/>
    <w:rsid w:val="00062324"/>
    <w:rsid w:val="00062927"/>
    <w:rsid w:val="000642C3"/>
    <w:rsid w:val="000642D2"/>
    <w:rsid w:val="00064FB5"/>
    <w:rsid w:val="00065170"/>
    <w:rsid w:val="000653B5"/>
    <w:rsid w:val="00065F93"/>
    <w:rsid w:val="00066360"/>
    <w:rsid w:val="000663B6"/>
    <w:rsid w:val="00066AF8"/>
    <w:rsid w:val="0006782D"/>
    <w:rsid w:val="000703DA"/>
    <w:rsid w:val="00071248"/>
    <w:rsid w:val="000720B9"/>
    <w:rsid w:val="000730AE"/>
    <w:rsid w:val="000737F7"/>
    <w:rsid w:val="00074070"/>
    <w:rsid w:val="000748E9"/>
    <w:rsid w:val="000757D0"/>
    <w:rsid w:val="00075FBD"/>
    <w:rsid w:val="000762BB"/>
    <w:rsid w:val="0007672F"/>
    <w:rsid w:val="00076B54"/>
    <w:rsid w:val="00076BE5"/>
    <w:rsid w:val="000774F0"/>
    <w:rsid w:val="00077CBE"/>
    <w:rsid w:val="00080909"/>
    <w:rsid w:val="000812CA"/>
    <w:rsid w:val="00081AB2"/>
    <w:rsid w:val="00081E63"/>
    <w:rsid w:val="0008258D"/>
    <w:rsid w:val="000829FB"/>
    <w:rsid w:val="00083E99"/>
    <w:rsid w:val="00084B11"/>
    <w:rsid w:val="00084FA8"/>
    <w:rsid w:val="000853C8"/>
    <w:rsid w:val="000856C5"/>
    <w:rsid w:val="00085C31"/>
    <w:rsid w:val="000863BF"/>
    <w:rsid w:val="000902D9"/>
    <w:rsid w:val="00090C7E"/>
    <w:rsid w:val="000911AC"/>
    <w:rsid w:val="0009121A"/>
    <w:rsid w:val="00092118"/>
    <w:rsid w:val="00092600"/>
    <w:rsid w:val="0009262B"/>
    <w:rsid w:val="00093310"/>
    <w:rsid w:val="000942F1"/>
    <w:rsid w:val="0009445C"/>
    <w:rsid w:val="000948F8"/>
    <w:rsid w:val="00095200"/>
    <w:rsid w:val="00095FE5"/>
    <w:rsid w:val="00096284"/>
    <w:rsid w:val="00096DD8"/>
    <w:rsid w:val="000972D6"/>
    <w:rsid w:val="00097ECA"/>
    <w:rsid w:val="000A0BD2"/>
    <w:rsid w:val="000A105D"/>
    <w:rsid w:val="000A1BC0"/>
    <w:rsid w:val="000A1C22"/>
    <w:rsid w:val="000A2299"/>
    <w:rsid w:val="000A27A8"/>
    <w:rsid w:val="000A2DF4"/>
    <w:rsid w:val="000A2F9E"/>
    <w:rsid w:val="000A3000"/>
    <w:rsid w:val="000A3E47"/>
    <w:rsid w:val="000A4286"/>
    <w:rsid w:val="000A522B"/>
    <w:rsid w:val="000A6039"/>
    <w:rsid w:val="000A67BF"/>
    <w:rsid w:val="000A7326"/>
    <w:rsid w:val="000A7453"/>
    <w:rsid w:val="000A7D08"/>
    <w:rsid w:val="000A7D1E"/>
    <w:rsid w:val="000B0121"/>
    <w:rsid w:val="000B01AA"/>
    <w:rsid w:val="000B0619"/>
    <w:rsid w:val="000B0670"/>
    <w:rsid w:val="000B0D1F"/>
    <w:rsid w:val="000B0E75"/>
    <w:rsid w:val="000B1FA0"/>
    <w:rsid w:val="000B2A5C"/>
    <w:rsid w:val="000B2DCB"/>
    <w:rsid w:val="000B325D"/>
    <w:rsid w:val="000B3359"/>
    <w:rsid w:val="000B34E2"/>
    <w:rsid w:val="000B384C"/>
    <w:rsid w:val="000B5CE0"/>
    <w:rsid w:val="000B5EEC"/>
    <w:rsid w:val="000B64C2"/>
    <w:rsid w:val="000B6A04"/>
    <w:rsid w:val="000B6CAC"/>
    <w:rsid w:val="000B7612"/>
    <w:rsid w:val="000B78AE"/>
    <w:rsid w:val="000B7EC6"/>
    <w:rsid w:val="000C0057"/>
    <w:rsid w:val="000C0A93"/>
    <w:rsid w:val="000C12F3"/>
    <w:rsid w:val="000C1369"/>
    <w:rsid w:val="000C1B19"/>
    <w:rsid w:val="000C1B94"/>
    <w:rsid w:val="000C237D"/>
    <w:rsid w:val="000C2F24"/>
    <w:rsid w:val="000C3DF9"/>
    <w:rsid w:val="000C432D"/>
    <w:rsid w:val="000C4C2C"/>
    <w:rsid w:val="000C4CF2"/>
    <w:rsid w:val="000C5B26"/>
    <w:rsid w:val="000C6713"/>
    <w:rsid w:val="000D0051"/>
    <w:rsid w:val="000D0934"/>
    <w:rsid w:val="000D10BC"/>
    <w:rsid w:val="000D1782"/>
    <w:rsid w:val="000D1BFC"/>
    <w:rsid w:val="000D1D5D"/>
    <w:rsid w:val="000D281A"/>
    <w:rsid w:val="000D2848"/>
    <w:rsid w:val="000D2C1C"/>
    <w:rsid w:val="000D326A"/>
    <w:rsid w:val="000D39EE"/>
    <w:rsid w:val="000D3C89"/>
    <w:rsid w:val="000D4DCC"/>
    <w:rsid w:val="000D51FB"/>
    <w:rsid w:val="000D51FD"/>
    <w:rsid w:val="000D585B"/>
    <w:rsid w:val="000D70D5"/>
    <w:rsid w:val="000D7191"/>
    <w:rsid w:val="000D789F"/>
    <w:rsid w:val="000E0640"/>
    <w:rsid w:val="000E0CE7"/>
    <w:rsid w:val="000E135D"/>
    <w:rsid w:val="000E5E38"/>
    <w:rsid w:val="000E7377"/>
    <w:rsid w:val="000E7596"/>
    <w:rsid w:val="000E768E"/>
    <w:rsid w:val="000E79FF"/>
    <w:rsid w:val="000F00BA"/>
    <w:rsid w:val="000F1554"/>
    <w:rsid w:val="000F2368"/>
    <w:rsid w:val="000F23DF"/>
    <w:rsid w:val="000F316A"/>
    <w:rsid w:val="000F3C74"/>
    <w:rsid w:val="000F437F"/>
    <w:rsid w:val="000F49E7"/>
    <w:rsid w:val="000F4BB8"/>
    <w:rsid w:val="000F4FA9"/>
    <w:rsid w:val="000F537C"/>
    <w:rsid w:val="000F53FB"/>
    <w:rsid w:val="000F5A1E"/>
    <w:rsid w:val="000F7127"/>
    <w:rsid w:val="000F7B54"/>
    <w:rsid w:val="001000B3"/>
    <w:rsid w:val="00100BE9"/>
    <w:rsid w:val="00100CA7"/>
    <w:rsid w:val="00100F8A"/>
    <w:rsid w:val="00101853"/>
    <w:rsid w:val="00101A37"/>
    <w:rsid w:val="001033F6"/>
    <w:rsid w:val="00103D37"/>
    <w:rsid w:val="00104391"/>
    <w:rsid w:val="0010452E"/>
    <w:rsid w:val="001047A8"/>
    <w:rsid w:val="00105011"/>
    <w:rsid w:val="00105308"/>
    <w:rsid w:val="00105AE2"/>
    <w:rsid w:val="001060C6"/>
    <w:rsid w:val="00106378"/>
    <w:rsid w:val="00106700"/>
    <w:rsid w:val="00106B80"/>
    <w:rsid w:val="00107853"/>
    <w:rsid w:val="00107CA2"/>
    <w:rsid w:val="00107D1E"/>
    <w:rsid w:val="0011032E"/>
    <w:rsid w:val="00110366"/>
    <w:rsid w:val="00111E3C"/>
    <w:rsid w:val="0011339C"/>
    <w:rsid w:val="0011348B"/>
    <w:rsid w:val="0011423B"/>
    <w:rsid w:val="001154B7"/>
    <w:rsid w:val="00115982"/>
    <w:rsid w:val="00116377"/>
    <w:rsid w:val="00116412"/>
    <w:rsid w:val="0011689E"/>
    <w:rsid w:val="00116C53"/>
    <w:rsid w:val="00117109"/>
    <w:rsid w:val="00121799"/>
    <w:rsid w:val="001222BD"/>
    <w:rsid w:val="001222FC"/>
    <w:rsid w:val="001227DF"/>
    <w:rsid w:val="0012295B"/>
    <w:rsid w:val="00123902"/>
    <w:rsid w:val="00124A51"/>
    <w:rsid w:val="0012518E"/>
    <w:rsid w:val="0012561A"/>
    <w:rsid w:val="001260AC"/>
    <w:rsid w:val="00126621"/>
    <w:rsid w:val="00126B1D"/>
    <w:rsid w:val="001301E9"/>
    <w:rsid w:val="00131669"/>
    <w:rsid w:val="00131D82"/>
    <w:rsid w:val="00132B22"/>
    <w:rsid w:val="0013394D"/>
    <w:rsid w:val="00133D36"/>
    <w:rsid w:val="00134287"/>
    <w:rsid w:val="00134EEA"/>
    <w:rsid w:val="001356C2"/>
    <w:rsid w:val="0013613B"/>
    <w:rsid w:val="00136ED9"/>
    <w:rsid w:val="00137645"/>
    <w:rsid w:val="00137E59"/>
    <w:rsid w:val="0014015A"/>
    <w:rsid w:val="00140E99"/>
    <w:rsid w:val="0014115F"/>
    <w:rsid w:val="001415C2"/>
    <w:rsid w:val="00141C3D"/>
    <w:rsid w:val="00142976"/>
    <w:rsid w:val="00143F67"/>
    <w:rsid w:val="00144693"/>
    <w:rsid w:val="00145001"/>
    <w:rsid w:val="00145234"/>
    <w:rsid w:val="00145540"/>
    <w:rsid w:val="0014558A"/>
    <w:rsid w:val="00145654"/>
    <w:rsid w:val="001456B0"/>
    <w:rsid w:val="00145A84"/>
    <w:rsid w:val="001463E8"/>
    <w:rsid w:val="001474BD"/>
    <w:rsid w:val="001509AF"/>
    <w:rsid w:val="00150D37"/>
    <w:rsid w:val="00150FE4"/>
    <w:rsid w:val="00151683"/>
    <w:rsid w:val="001547AB"/>
    <w:rsid w:val="0015590B"/>
    <w:rsid w:val="00156335"/>
    <w:rsid w:val="00156F8F"/>
    <w:rsid w:val="00157130"/>
    <w:rsid w:val="0015738B"/>
    <w:rsid w:val="001576B1"/>
    <w:rsid w:val="0016047B"/>
    <w:rsid w:val="00160A4C"/>
    <w:rsid w:val="001615E9"/>
    <w:rsid w:val="0016228D"/>
    <w:rsid w:val="0016276A"/>
    <w:rsid w:val="00162913"/>
    <w:rsid w:val="00163341"/>
    <w:rsid w:val="00163EFF"/>
    <w:rsid w:val="00163F66"/>
    <w:rsid w:val="0016478E"/>
    <w:rsid w:val="00164992"/>
    <w:rsid w:val="00164E29"/>
    <w:rsid w:val="00165823"/>
    <w:rsid w:val="00165A4E"/>
    <w:rsid w:val="00165D98"/>
    <w:rsid w:val="00165EC4"/>
    <w:rsid w:val="001661FB"/>
    <w:rsid w:val="001667E1"/>
    <w:rsid w:val="001671A0"/>
    <w:rsid w:val="0016767F"/>
    <w:rsid w:val="00171565"/>
    <w:rsid w:val="00171810"/>
    <w:rsid w:val="001721B0"/>
    <w:rsid w:val="00172B88"/>
    <w:rsid w:val="00172E65"/>
    <w:rsid w:val="00173565"/>
    <w:rsid w:val="00173B07"/>
    <w:rsid w:val="00173B38"/>
    <w:rsid w:val="00174AD0"/>
    <w:rsid w:val="001751FA"/>
    <w:rsid w:val="001753EE"/>
    <w:rsid w:val="00177643"/>
    <w:rsid w:val="00177933"/>
    <w:rsid w:val="001810D1"/>
    <w:rsid w:val="00181C10"/>
    <w:rsid w:val="00181D9C"/>
    <w:rsid w:val="00182A46"/>
    <w:rsid w:val="00182C84"/>
    <w:rsid w:val="00182E30"/>
    <w:rsid w:val="0018366A"/>
    <w:rsid w:val="001837FF"/>
    <w:rsid w:val="00184327"/>
    <w:rsid w:val="00184B0E"/>
    <w:rsid w:val="00184F18"/>
    <w:rsid w:val="001852D9"/>
    <w:rsid w:val="00185F69"/>
    <w:rsid w:val="001863E2"/>
    <w:rsid w:val="00186E7F"/>
    <w:rsid w:val="0018752F"/>
    <w:rsid w:val="001903CC"/>
    <w:rsid w:val="00191801"/>
    <w:rsid w:val="00191BC3"/>
    <w:rsid w:val="00193303"/>
    <w:rsid w:val="00193778"/>
    <w:rsid w:val="00193838"/>
    <w:rsid w:val="00193971"/>
    <w:rsid w:val="00194503"/>
    <w:rsid w:val="00194AD8"/>
    <w:rsid w:val="00195222"/>
    <w:rsid w:val="00195452"/>
    <w:rsid w:val="001965AC"/>
    <w:rsid w:val="00196D0C"/>
    <w:rsid w:val="0019746F"/>
    <w:rsid w:val="001975D8"/>
    <w:rsid w:val="00197A00"/>
    <w:rsid w:val="001A00DE"/>
    <w:rsid w:val="001A178E"/>
    <w:rsid w:val="001A1F65"/>
    <w:rsid w:val="001A2760"/>
    <w:rsid w:val="001A3315"/>
    <w:rsid w:val="001A336E"/>
    <w:rsid w:val="001A43FA"/>
    <w:rsid w:val="001A47C5"/>
    <w:rsid w:val="001A4D5C"/>
    <w:rsid w:val="001A53D2"/>
    <w:rsid w:val="001A59FB"/>
    <w:rsid w:val="001A5E9E"/>
    <w:rsid w:val="001A6354"/>
    <w:rsid w:val="001A6366"/>
    <w:rsid w:val="001A6617"/>
    <w:rsid w:val="001A7AE8"/>
    <w:rsid w:val="001B0492"/>
    <w:rsid w:val="001B0969"/>
    <w:rsid w:val="001B09F1"/>
    <w:rsid w:val="001B1D45"/>
    <w:rsid w:val="001B204E"/>
    <w:rsid w:val="001B2372"/>
    <w:rsid w:val="001B2F0E"/>
    <w:rsid w:val="001B3443"/>
    <w:rsid w:val="001B3BCF"/>
    <w:rsid w:val="001B4D20"/>
    <w:rsid w:val="001B5366"/>
    <w:rsid w:val="001B5657"/>
    <w:rsid w:val="001B6705"/>
    <w:rsid w:val="001B7F84"/>
    <w:rsid w:val="001C0257"/>
    <w:rsid w:val="001C11F0"/>
    <w:rsid w:val="001C1414"/>
    <w:rsid w:val="001C2280"/>
    <w:rsid w:val="001C2A9B"/>
    <w:rsid w:val="001C2BE0"/>
    <w:rsid w:val="001C319A"/>
    <w:rsid w:val="001C3DD6"/>
    <w:rsid w:val="001C4299"/>
    <w:rsid w:val="001C4874"/>
    <w:rsid w:val="001C490D"/>
    <w:rsid w:val="001C4A98"/>
    <w:rsid w:val="001C5684"/>
    <w:rsid w:val="001C5D9E"/>
    <w:rsid w:val="001C5E67"/>
    <w:rsid w:val="001C5F94"/>
    <w:rsid w:val="001C604B"/>
    <w:rsid w:val="001C62E4"/>
    <w:rsid w:val="001C6D5A"/>
    <w:rsid w:val="001C6E66"/>
    <w:rsid w:val="001C78F6"/>
    <w:rsid w:val="001D1100"/>
    <w:rsid w:val="001D1391"/>
    <w:rsid w:val="001D221F"/>
    <w:rsid w:val="001D2488"/>
    <w:rsid w:val="001D25D7"/>
    <w:rsid w:val="001D28FC"/>
    <w:rsid w:val="001D3835"/>
    <w:rsid w:val="001D39EE"/>
    <w:rsid w:val="001D4223"/>
    <w:rsid w:val="001D50B2"/>
    <w:rsid w:val="001D59BC"/>
    <w:rsid w:val="001D5A5B"/>
    <w:rsid w:val="001D6F9E"/>
    <w:rsid w:val="001D71F4"/>
    <w:rsid w:val="001D7645"/>
    <w:rsid w:val="001D7EDB"/>
    <w:rsid w:val="001E14FB"/>
    <w:rsid w:val="001E1CE8"/>
    <w:rsid w:val="001E1E86"/>
    <w:rsid w:val="001E238E"/>
    <w:rsid w:val="001E2483"/>
    <w:rsid w:val="001E2B1E"/>
    <w:rsid w:val="001E2BB4"/>
    <w:rsid w:val="001E2CFF"/>
    <w:rsid w:val="001E2F24"/>
    <w:rsid w:val="001E30D4"/>
    <w:rsid w:val="001E34DF"/>
    <w:rsid w:val="001E3C5E"/>
    <w:rsid w:val="001E4718"/>
    <w:rsid w:val="001E5293"/>
    <w:rsid w:val="001E52EB"/>
    <w:rsid w:val="001E5647"/>
    <w:rsid w:val="001E59A7"/>
    <w:rsid w:val="001E61D2"/>
    <w:rsid w:val="001E65A2"/>
    <w:rsid w:val="001E7262"/>
    <w:rsid w:val="001E740C"/>
    <w:rsid w:val="001F039F"/>
    <w:rsid w:val="001F0D3C"/>
    <w:rsid w:val="001F1235"/>
    <w:rsid w:val="001F1AFA"/>
    <w:rsid w:val="001F1CB3"/>
    <w:rsid w:val="001F2493"/>
    <w:rsid w:val="001F25E4"/>
    <w:rsid w:val="001F3540"/>
    <w:rsid w:val="001F38B5"/>
    <w:rsid w:val="001F3ACE"/>
    <w:rsid w:val="001F3B6B"/>
    <w:rsid w:val="001F4081"/>
    <w:rsid w:val="001F5E5A"/>
    <w:rsid w:val="001F6A2E"/>
    <w:rsid w:val="001F7361"/>
    <w:rsid w:val="001F7CF2"/>
    <w:rsid w:val="001F7FC8"/>
    <w:rsid w:val="00200E0A"/>
    <w:rsid w:val="002011B0"/>
    <w:rsid w:val="002019CC"/>
    <w:rsid w:val="0020253C"/>
    <w:rsid w:val="00203181"/>
    <w:rsid w:val="002032F2"/>
    <w:rsid w:val="00203783"/>
    <w:rsid w:val="0020385F"/>
    <w:rsid w:val="00203DE5"/>
    <w:rsid w:val="00205BAB"/>
    <w:rsid w:val="002068A0"/>
    <w:rsid w:val="00207021"/>
    <w:rsid w:val="0020732F"/>
    <w:rsid w:val="00207C2B"/>
    <w:rsid w:val="00207CD0"/>
    <w:rsid w:val="00207D00"/>
    <w:rsid w:val="00207FA0"/>
    <w:rsid w:val="0021053D"/>
    <w:rsid w:val="002105C1"/>
    <w:rsid w:val="0021089B"/>
    <w:rsid w:val="00210916"/>
    <w:rsid w:val="002110E4"/>
    <w:rsid w:val="002116FD"/>
    <w:rsid w:val="0021379E"/>
    <w:rsid w:val="00213EF5"/>
    <w:rsid w:val="00214836"/>
    <w:rsid w:val="00216BF5"/>
    <w:rsid w:val="0022041E"/>
    <w:rsid w:val="00220C90"/>
    <w:rsid w:val="0022163A"/>
    <w:rsid w:val="00221AF8"/>
    <w:rsid w:val="00221D72"/>
    <w:rsid w:val="002225EC"/>
    <w:rsid w:val="00222FC9"/>
    <w:rsid w:val="00223B49"/>
    <w:rsid w:val="00223D5A"/>
    <w:rsid w:val="00224DD4"/>
    <w:rsid w:val="0022575B"/>
    <w:rsid w:val="00225AE4"/>
    <w:rsid w:val="00226560"/>
    <w:rsid w:val="002278A0"/>
    <w:rsid w:val="002309CC"/>
    <w:rsid w:val="00231094"/>
    <w:rsid w:val="0023185F"/>
    <w:rsid w:val="00231A16"/>
    <w:rsid w:val="00231BA9"/>
    <w:rsid w:val="0023209F"/>
    <w:rsid w:val="002327CD"/>
    <w:rsid w:val="00232815"/>
    <w:rsid w:val="00232839"/>
    <w:rsid w:val="00233C01"/>
    <w:rsid w:val="0023413C"/>
    <w:rsid w:val="002346F0"/>
    <w:rsid w:val="00234BFF"/>
    <w:rsid w:val="002361A0"/>
    <w:rsid w:val="0023629D"/>
    <w:rsid w:val="00236DF9"/>
    <w:rsid w:val="00237072"/>
    <w:rsid w:val="00237255"/>
    <w:rsid w:val="00237E07"/>
    <w:rsid w:val="002407D8"/>
    <w:rsid w:val="00240864"/>
    <w:rsid w:val="00241B6E"/>
    <w:rsid w:val="002424AF"/>
    <w:rsid w:val="00242576"/>
    <w:rsid w:val="00242791"/>
    <w:rsid w:val="00242A44"/>
    <w:rsid w:val="002439DC"/>
    <w:rsid w:val="002441D2"/>
    <w:rsid w:val="002443DD"/>
    <w:rsid w:val="002447B7"/>
    <w:rsid w:val="00244DC8"/>
    <w:rsid w:val="00245009"/>
    <w:rsid w:val="00245691"/>
    <w:rsid w:val="002458BA"/>
    <w:rsid w:val="00245CE9"/>
    <w:rsid w:val="00245DDA"/>
    <w:rsid w:val="0024629C"/>
    <w:rsid w:val="0024636C"/>
    <w:rsid w:val="0024692F"/>
    <w:rsid w:val="00247355"/>
    <w:rsid w:val="00247925"/>
    <w:rsid w:val="00247A36"/>
    <w:rsid w:val="002505C2"/>
    <w:rsid w:val="0025078D"/>
    <w:rsid w:val="00251006"/>
    <w:rsid w:val="002524D5"/>
    <w:rsid w:val="00253A87"/>
    <w:rsid w:val="00253B1D"/>
    <w:rsid w:val="00253DC5"/>
    <w:rsid w:val="00254986"/>
    <w:rsid w:val="00254DCF"/>
    <w:rsid w:val="0025528E"/>
    <w:rsid w:val="0025534B"/>
    <w:rsid w:val="00255BB7"/>
    <w:rsid w:val="0025674F"/>
    <w:rsid w:val="00257541"/>
    <w:rsid w:val="00257A39"/>
    <w:rsid w:val="00257AC4"/>
    <w:rsid w:val="00257BBE"/>
    <w:rsid w:val="0026130E"/>
    <w:rsid w:val="00261DB5"/>
    <w:rsid w:val="00261EEF"/>
    <w:rsid w:val="00261F16"/>
    <w:rsid w:val="00262A1A"/>
    <w:rsid w:val="00262A87"/>
    <w:rsid w:val="00263AB4"/>
    <w:rsid w:val="002640EF"/>
    <w:rsid w:val="00264B6F"/>
    <w:rsid w:val="00264D26"/>
    <w:rsid w:val="00265802"/>
    <w:rsid w:val="0026714D"/>
    <w:rsid w:val="00267642"/>
    <w:rsid w:val="00267AEA"/>
    <w:rsid w:val="002700E6"/>
    <w:rsid w:val="0027028B"/>
    <w:rsid w:val="002709E6"/>
    <w:rsid w:val="00270B50"/>
    <w:rsid w:val="00270CD9"/>
    <w:rsid w:val="00271540"/>
    <w:rsid w:val="002727DE"/>
    <w:rsid w:val="0027294B"/>
    <w:rsid w:val="00272F41"/>
    <w:rsid w:val="00273542"/>
    <w:rsid w:val="0027376A"/>
    <w:rsid w:val="00273C76"/>
    <w:rsid w:val="00273DEC"/>
    <w:rsid w:val="00273EB4"/>
    <w:rsid w:val="00274682"/>
    <w:rsid w:val="00274D59"/>
    <w:rsid w:val="00275158"/>
    <w:rsid w:val="00275C5A"/>
    <w:rsid w:val="0027611B"/>
    <w:rsid w:val="00276851"/>
    <w:rsid w:val="002771B5"/>
    <w:rsid w:val="002774A5"/>
    <w:rsid w:val="00280A3E"/>
    <w:rsid w:val="00281014"/>
    <w:rsid w:val="002810B6"/>
    <w:rsid w:val="002815E8"/>
    <w:rsid w:val="00281DB0"/>
    <w:rsid w:val="00282639"/>
    <w:rsid w:val="0028458C"/>
    <w:rsid w:val="002856DC"/>
    <w:rsid w:val="002858F3"/>
    <w:rsid w:val="00285BCE"/>
    <w:rsid w:val="0028641B"/>
    <w:rsid w:val="0028665D"/>
    <w:rsid w:val="00286C03"/>
    <w:rsid w:val="0028718D"/>
    <w:rsid w:val="00287C6A"/>
    <w:rsid w:val="00291FAE"/>
    <w:rsid w:val="002921DC"/>
    <w:rsid w:val="00292238"/>
    <w:rsid w:val="00292B8A"/>
    <w:rsid w:val="00292F39"/>
    <w:rsid w:val="00293778"/>
    <w:rsid w:val="002940FC"/>
    <w:rsid w:val="002946F6"/>
    <w:rsid w:val="002A0076"/>
    <w:rsid w:val="002A06E4"/>
    <w:rsid w:val="002A0CA4"/>
    <w:rsid w:val="002A14AB"/>
    <w:rsid w:val="002A1BAD"/>
    <w:rsid w:val="002A2747"/>
    <w:rsid w:val="002A2ADE"/>
    <w:rsid w:val="002A2CBC"/>
    <w:rsid w:val="002A2F50"/>
    <w:rsid w:val="002A3779"/>
    <w:rsid w:val="002A3B84"/>
    <w:rsid w:val="002A4D02"/>
    <w:rsid w:val="002A4E69"/>
    <w:rsid w:val="002A5077"/>
    <w:rsid w:val="002A54C5"/>
    <w:rsid w:val="002A5894"/>
    <w:rsid w:val="002A60BE"/>
    <w:rsid w:val="002A65FD"/>
    <w:rsid w:val="002A7943"/>
    <w:rsid w:val="002B05A1"/>
    <w:rsid w:val="002B099E"/>
    <w:rsid w:val="002B09A4"/>
    <w:rsid w:val="002B1C1F"/>
    <w:rsid w:val="002B2177"/>
    <w:rsid w:val="002B2B7E"/>
    <w:rsid w:val="002B2D7F"/>
    <w:rsid w:val="002B31CB"/>
    <w:rsid w:val="002B3256"/>
    <w:rsid w:val="002B3581"/>
    <w:rsid w:val="002B35DC"/>
    <w:rsid w:val="002B38FD"/>
    <w:rsid w:val="002B42FF"/>
    <w:rsid w:val="002B432F"/>
    <w:rsid w:val="002B4E9F"/>
    <w:rsid w:val="002B52FA"/>
    <w:rsid w:val="002B62B3"/>
    <w:rsid w:val="002B6754"/>
    <w:rsid w:val="002B6CCE"/>
    <w:rsid w:val="002C2311"/>
    <w:rsid w:val="002C2510"/>
    <w:rsid w:val="002C2775"/>
    <w:rsid w:val="002C27C1"/>
    <w:rsid w:val="002C289F"/>
    <w:rsid w:val="002C36E3"/>
    <w:rsid w:val="002C3C4B"/>
    <w:rsid w:val="002C5099"/>
    <w:rsid w:val="002C5889"/>
    <w:rsid w:val="002C6661"/>
    <w:rsid w:val="002C71CE"/>
    <w:rsid w:val="002C7609"/>
    <w:rsid w:val="002D06A8"/>
    <w:rsid w:val="002D08F8"/>
    <w:rsid w:val="002D0FB7"/>
    <w:rsid w:val="002D11C7"/>
    <w:rsid w:val="002D577C"/>
    <w:rsid w:val="002D6222"/>
    <w:rsid w:val="002D66A3"/>
    <w:rsid w:val="002D674D"/>
    <w:rsid w:val="002D6FF9"/>
    <w:rsid w:val="002D76E8"/>
    <w:rsid w:val="002D7832"/>
    <w:rsid w:val="002D7A24"/>
    <w:rsid w:val="002E0878"/>
    <w:rsid w:val="002E1071"/>
    <w:rsid w:val="002E15B9"/>
    <w:rsid w:val="002E1A1B"/>
    <w:rsid w:val="002E2158"/>
    <w:rsid w:val="002E2AA4"/>
    <w:rsid w:val="002E2E0E"/>
    <w:rsid w:val="002E3DBC"/>
    <w:rsid w:val="002E4F02"/>
    <w:rsid w:val="002E52F2"/>
    <w:rsid w:val="002E6B6E"/>
    <w:rsid w:val="002E6FDB"/>
    <w:rsid w:val="002E7722"/>
    <w:rsid w:val="002F07BA"/>
    <w:rsid w:val="002F090E"/>
    <w:rsid w:val="002F0DA9"/>
    <w:rsid w:val="002F1014"/>
    <w:rsid w:val="002F18D5"/>
    <w:rsid w:val="002F1E3B"/>
    <w:rsid w:val="002F40B2"/>
    <w:rsid w:val="002F46E7"/>
    <w:rsid w:val="002F5E53"/>
    <w:rsid w:val="002F6416"/>
    <w:rsid w:val="002F643C"/>
    <w:rsid w:val="002F71C0"/>
    <w:rsid w:val="002F74F1"/>
    <w:rsid w:val="003009ED"/>
    <w:rsid w:val="00301017"/>
    <w:rsid w:val="003010A7"/>
    <w:rsid w:val="0030155F"/>
    <w:rsid w:val="003015E4"/>
    <w:rsid w:val="003018CE"/>
    <w:rsid w:val="0030229D"/>
    <w:rsid w:val="00302D02"/>
    <w:rsid w:val="003035F7"/>
    <w:rsid w:val="003037E5"/>
    <w:rsid w:val="00304741"/>
    <w:rsid w:val="00304833"/>
    <w:rsid w:val="0030587B"/>
    <w:rsid w:val="00305DA1"/>
    <w:rsid w:val="00306D98"/>
    <w:rsid w:val="0030786C"/>
    <w:rsid w:val="00307ED0"/>
    <w:rsid w:val="0031031A"/>
    <w:rsid w:val="003108B4"/>
    <w:rsid w:val="00310981"/>
    <w:rsid w:val="00311D9B"/>
    <w:rsid w:val="003122A7"/>
    <w:rsid w:val="003124D9"/>
    <w:rsid w:val="00312594"/>
    <w:rsid w:val="00312CCF"/>
    <w:rsid w:val="00312F4B"/>
    <w:rsid w:val="00313349"/>
    <w:rsid w:val="0031425E"/>
    <w:rsid w:val="00314822"/>
    <w:rsid w:val="00314D87"/>
    <w:rsid w:val="00314F96"/>
    <w:rsid w:val="00315498"/>
    <w:rsid w:val="003155A6"/>
    <w:rsid w:val="00315AF8"/>
    <w:rsid w:val="003162EC"/>
    <w:rsid w:val="0031636E"/>
    <w:rsid w:val="00316474"/>
    <w:rsid w:val="00320A4E"/>
    <w:rsid w:val="00320FC3"/>
    <w:rsid w:val="003219C9"/>
    <w:rsid w:val="00322107"/>
    <w:rsid w:val="00322355"/>
    <w:rsid w:val="00322846"/>
    <w:rsid w:val="00322958"/>
    <w:rsid w:val="00322B89"/>
    <w:rsid w:val="003232D5"/>
    <w:rsid w:val="0032332C"/>
    <w:rsid w:val="00323FD2"/>
    <w:rsid w:val="0032532C"/>
    <w:rsid w:val="00325928"/>
    <w:rsid w:val="003261E2"/>
    <w:rsid w:val="00326DA7"/>
    <w:rsid w:val="003270E4"/>
    <w:rsid w:val="0032793A"/>
    <w:rsid w:val="00327A68"/>
    <w:rsid w:val="0033062E"/>
    <w:rsid w:val="0033078E"/>
    <w:rsid w:val="00330DAA"/>
    <w:rsid w:val="00330F5C"/>
    <w:rsid w:val="00331392"/>
    <w:rsid w:val="00331D66"/>
    <w:rsid w:val="00331E7C"/>
    <w:rsid w:val="003325FD"/>
    <w:rsid w:val="00334612"/>
    <w:rsid w:val="00334943"/>
    <w:rsid w:val="003352F9"/>
    <w:rsid w:val="003358C8"/>
    <w:rsid w:val="00336588"/>
    <w:rsid w:val="003366C9"/>
    <w:rsid w:val="003371B0"/>
    <w:rsid w:val="00337656"/>
    <w:rsid w:val="00337819"/>
    <w:rsid w:val="00337C8A"/>
    <w:rsid w:val="00340DF1"/>
    <w:rsid w:val="00341181"/>
    <w:rsid w:val="003413E3"/>
    <w:rsid w:val="00342550"/>
    <w:rsid w:val="003448B1"/>
    <w:rsid w:val="0034621C"/>
    <w:rsid w:val="003469E0"/>
    <w:rsid w:val="00346CAF"/>
    <w:rsid w:val="00346D8A"/>
    <w:rsid w:val="00346DF7"/>
    <w:rsid w:val="003474B6"/>
    <w:rsid w:val="00347AA4"/>
    <w:rsid w:val="0035005D"/>
    <w:rsid w:val="00350811"/>
    <w:rsid w:val="00351047"/>
    <w:rsid w:val="00351053"/>
    <w:rsid w:val="00351215"/>
    <w:rsid w:val="0035159E"/>
    <w:rsid w:val="003517F9"/>
    <w:rsid w:val="00351BA9"/>
    <w:rsid w:val="00351EF6"/>
    <w:rsid w:val="0035241E"/>
    <w:rsid w:val="00352770"/>
    <w:rsid w:val="003535BE"/>
    <w:rsid w:val="00353B71"/>
    <w:rsid w:val="00354F64"/>
    <w:rsid w:val="00355CE7"/>
    <w:rsid w:val="00356091"/>
    <w:rsid w:val="003561C9"/>
    <w:rsid w:val="0035620E"/>
    <w:rsid w:val="003567B9"/>
    <w:rsid w:val="00357183"/>
    <w:rsid w:val="003575BE"/>
    <w:rsid w:val="00357C7C"/>
    <w:rsid w:val="00360345"/>
    <w:rsid w:val="003618F7"/>
    <w:rsid w:val="00361A05"/>
    <w:rsid w:val="00361C6C"/>
    <w:rsid w:val="003624C4"/>
    <w:rsid w:val="003629D0"/>
    <w:rsid w:val="00362D06"/>
    <w:rsid w:val="00362F18"/>
    <w:rsid w:val="00363296"/>
    <w:rsid w:val="00363391"/>
    <w:rsid w:val="00363B00"/>
    <w:rsid w:val="00363C05"/>
    <w:rsid w:val="00364FB7"/>
    <w:rsid w:val="003654AC"/>
    <w:rsid w:val="003656C1"/>
    <w:rsid w:val="00365C30"/>
    <w:rsid w:val="00366A99"/>
    <w:rsid w:val="00366F18"/>
    <w:rsid w:val="0036767C"/>
    <w:rsid w:val="0037066F"/>
    <w:rsid w:val="003710CF"/>
    <w:rsid w:val="0037358A"/>
    <w:rsid w:val="00373939"/>
    <w:rsid w:val="0037398A"/>
    <w:rsid w:val="00373F4D"/>
    <w:rsid w:val="00374375"/>
    <w:rsid w:val="003746AA"/>
    <w:rsid w:val="003750F6"/>
    <w:rsid w:val="00375ED7"/>
    <w:rsid w:val="003760FC"/>
    <w:rsid w:val="003763B3"/>
    <w:rsid w:val="003763CE"/>
    <w:rsid w:val="00376A6A"/>
    <w:rsid w:val="0038151D"/>
    <w:rsid w:val="0038187F"/>
    <w:rsid w:val="00382AEA"/>
    <w:rsid w:val="00382CD7"/>
    <w:rsid w:val="00383215"/>
    <w:rsid w:val="0038365C"/>
    <w:rsid w:val="0038369B"/>
    <w:rsid w:val="003837CF"/>
    <w:rsid w:val="00383976"/>
    <w:rsid w:val="00383B78"/>
    <w:rsid w:val="00384014"/>
    <w:rsid w:val="00384D81"/>
    <w:rsid w:val="00385618"/>
    <w:rsid w:val="00385884"/>
    <w:rsid w:val="00385A9D"/>
    <w:rsid w:val="00387121"/>
    <w:rsid w:val="003902B1"/>
    <w:rsid w:val="0039179C"/>
    <w:rsid w:val="00392755"/>
    <w:rsid w:val="003949A0"/>
    <w:rsid w:val="003950AE"/>
    <w:rsid w:val="0039555F"/>
    <w:rsid w:val="00396896"/>
    <w:rsid w:val="00396D98"/>
    <w:rsid w:val="00396FD0"/>
    <w:rsid w:val="00397946"/>
    <w:rsid w:val="003979C1"/>
    <w:rsid w:val="003A1A7A"/>
    <w:rsid w:val="003A1B9A"/>
    <w:rsid w:val="003A1F6B"/>
    <w:rsid w:val="003A2006"/>
    <w:rsid w:val="003A2392"/>
    <w:rsid w:val="003A2535"/>
    <w:rsid w:val="003A2831"/>
    <w:rsid w:val="003A28F5"/>
    <w:rsid w:val="003A2CCA"/>
    <w:rsid w:val="003A3183"/>
    <w:rsid w:val="003A32AD"/>
    <w:rsid w:val="003A32E3"/>
    <w:rsid w:val="003A33EB"/>
    <w:rsid w:val="003A3788"/>
    <w:rsid w:val="003A3B4B"/>
    <w:rsid w:val="003A3CB6"/>
    <w:rsid w:val="003A3ED1"/>
    <w:rsid w:val="003A44DB"/>
    <w:rsid w:val="003A4C14"/>
    <w:rsid w:val="003A4C79"/>
    <w:rsid w:val="003A5FCF"/>
    <w:rsid w:val="003B0832"/>
    <w:rsid w:val="003B0DA2"/>
    <w:rsid w:val="003B1727"/>
    <w:rsid w:val="003B19FF"/>
    <w:rsid w:val="003B2DF9"/>
    <w:rsid w:val="003B3493"/>
    <w:rsid w:val="003B3971"/>
    <w:rsid w:val="003B3C3A"/>
    <w:rsid w:val="003B47AF"/>
    <w:rsid w:val="003B4C2B"/>
    <w:rsid w:val="003B5210"/>
    <w:rsid w:val="003B55D1"/>
    <w:rsid w:val="003B5947"/>
    <w:rsid w:val="003B5B61"/>
    <w:rsid w:val="003B6DA3"/>
    <w:rsid w:val="003B6F44"/>
    <w:rsid w:val="003B7015"/>
    <w:rsid w:val="003C11F9"/>
    <w:rsid w:val="003C1654"/>
    <w:rsid w:val="003C3347"/>
    <w:rsid w:val="003C48E0"/>
    <w:rsid w:val="003C4FCD"/>
    <w:rsid w:val="003C5154"/>
    <w:rsid w:val="003C5542"/>
    <w:rsid w:val="003C7C15"/>
    <w:rsid w:val="003C7D19"/>
    <w:rsid w:val="003C7D2F"/>
    <w:rsid w:val="003D0C5A"/>
    <w:rsid w:val="003D1828"/>
    <w:rsid w:val="003D1DE4"/>
    <w:rsid w:val="003D1E9A"/>
    <w:rsid w:val="003D226C"/>
    <w:rsid w:val="003D2422"/>
    <w:rsid w:val="003D2A41"/>
    <w:rsid w:val="003D3296"/>
    <w:rsid w:val="003D39A1"/>
    <w:rsid w:val="003D3FBF"/>
    <w:rsid w:val="003D4A30"/>
    <w:rsid w:val="003D518F"/>
    <w:rsid w:val="003D61A8"/>
    <w:rsid w:val="003D6503"/>
    <w:rsid w:val="003D6D22"/>
    <w:rsid w:val="003D7452"/>
    <w:rsid w:val="003D7657"/>
    <w:rsid w:val="003D79BB"/>
    <w:rsid w:val="003D7C98"/>
    <w:rsid w:val="003D7D9D"/>
    <w:rsid w:val="003E0543"/>
    <w:rsid w:val="003E14C1"/>
    <w:rsid w:val="003E19CB"/>
    <w:rsid w:val="003E366C"/>
    <w:rsid w:val="003E39E3"/>
    <w:rsid w:val="003E4147"/>
    <w:rsid w:val="003E417D"/>
    <w:rsid w:val="003E4DD7"/>
    <w:rsid w:val="003E5603"/>
    <w:rsid w:val="003E5C57"/>
    <w:rsid w:val="003E66EA"/>
    <w:rsid w:val="003E6F0E"/>
    <w:rsid w:val="003E749E"/>
    <w:rsid w:val="003F0656"/>
    <w:rsid w:val="003F1673"/>
    <w:rsid w:val="003F1DAA"/>
    <w:rsid w:val="003F22B3"/>
    <w:rsid w:val="003F2922"/>
    <w:rsid w:val="003F328D"/>
    <w:rsid w:val="003F35F6"/>
    <w:rsid w:val="003F36FA"/>
    <w:rsid w:val="003F3FCC"/>
    <w:rsid w:val="003F4156"/>
    <w:rsid w:val="003F4596"/>
    <w:rsid w:val="003F497D"/>
    <w:rsid w:val="003F5ADF"/>
    <w:rsid w:val="003F60A4"/>
    <w:rsid w:val="003F7BFF"/>
    <w:rsid w:val="00400B29"/>
    <w:rsid w:val="00400CD0"/>
    <w:rsid w:val="0040108D"/>
    <w:rsid w:val="00401847"/>
    <w:rsid w:val="004021E8"/>
    <w:rsid w:val="00402594"/>
    <w:rsid w:val="00402812"/>
    <w:rsid w:val="0040322E"/>
    <w:rsid w:val="0040504B"/>
    <w:rsid w:val="004059F4"/>
    <w:rsid w:val="00406170"/>
    <w:rsid w:val="00407FE5"/>
    <w:rsid w:val="004101B0"/>
    <w:rsid w:val="00410326"/>
    <w:rsid w:val="00410708"/>
    <w:rsid w:val="00410EC7"/>
    <w:rsid w:val="00411AB2"/>
    <w:rsid w:val="00411B39"/>
    <w:rsid w:val="0041218C"/>
    <w:rsid w:val="00412465"/>
    <w:rsid w:val="004127A7"/>
    <w:rsid w:val="00412913"/>
    <w:rsid w:val="00412ACA"/>
    <w:rsid w:val="0041317C"/>
    <w:rsid w:val="004131B1"/>
    <w:rsid w:val="004135FB"/>
    <w:rsid w:val="00413A1E"/>
    <w:rsid w:val="00414476"/>
    <w:rsid w:val="00414596"/>
    <w:rsid w:val="00414C2E"/>
    <w:rsid w:val="0041502D"/>
    <w:rsid w:val="004151CF"/>
    <w:rsid w:val="00416364"/>
    <w:rsid w:val="00416423"/>
    <w:rsid w:val="00417208"/>
    <w:rsid w:val="0042047F"/>
    <w:rsid w:val="0042075D"/>
    <w:rsid w:val="00420AA6"/>
    <w:rsid w:val="00420B9F"/>
    <w:rsid w:val="00421735"/>
    <w:rsid w:val="0042192C"/>
    <w:rsid w:val="004219D8"/>
    <w:rsid w:val="00422260"/>
    <w:rsid w:val="0042413F"/>
    <w:rsid w:val="00424406"/>
    <w:rsid w:val="00425050"/>
    <w:rsid w:val="00425D18"/>
    <w:rsid w:val="004268F7"/>
    <w:rsid w:val="00426CCC"/>
    <w:rsid w:val="00427133"/>
    <w:rsid w:val="0042730F"/>
    <w:rsid w:val="00427A7F"/>
    <w:rsid w:val="00430715"/>
    <w:rsid w:val="00431812"/>
    <w:rsid w:val="004319F8"/>
    <w:rsid w:val="00431AB8"/>
    <w:rsid w:val="00431E55"/>
    <w:rsid w:val="004321F6"/>
    <w:rsid w:val="004323DE"/>
    <w:rsid w:val="00432EBF"/>
    <w:rsid w:val="00433021"/>
    <w:rsid w:val="00433044"/>
    <w:rsid w:val="00433764"/>
    <w:rsid w:val="004339E3"/>
    <w:rsid w:val="00434088"/>
    <w:rsid w:val="00434794"/>
    <w:rsid w:val="00434BDF"/>
    <w:rsid w:val="00434C34"/>
    <w:rsid w:val="004353CD"/>
    <w:rsid w:val="00435DA8"/>
    <w:rsid w:val="00436139"/>
    <w:rsid w:val="004375B9"/>
    <w:rsid w:val="0043770C"/>
    <w:rsid w:val="00440431"/>
    <w:rsid w:val="00442435"/>
    <w:rsid w:val="004428D0"/>
    <w:rsid w:val="00442BA1"/>
    <w:rsid w:val="00444185"/>
    <w:rsid w:val="0044431A"/>
    <w:rsid w:val="004443A7"/>
    <w:rsid w:val="0044442C"/>
    <w:rsid w:val="00444D87"/>
    <w:rsid w:val="00445874"/>
    <w:rsid w:val="00445941"/>
    <w:rsid w:val="004462CC"/>
    <w:rsid w:val="004464EB"/>
    <w:rsid w:val="00446CE1"/>
    <w:rsid w:val="00446DC7"/>
    <w:rsid w:val="004478AA"/>
    <w:rsid w:val="00447C43"/>
    <w:rsid w:val="00447D26"/>
    <w:rsid w:val="00447DFC"/>
    <w:rsid w:val="0045074C"/>
    <w:rsid w:val="00450754"/>
    <w:rsid w:val="00450942"/>
    <w:rsid w:val="00450DF7"/>
    <w:rsid w:val="004514FD"/>
    <w:rsid w:val="00451C95"/>
    <w:rsid w:val="00452EA3"/>
    <w:rsid w:val="00453259"/>
    <w:rsid w:val="004535C1"/>
    <w:rsid w:val="004550B6"/>
    <w:rsid w:val="0045586B"/>
    <w:rsid w:val="00455BB3"/>
    <w:rsid w:val="00455D45"/>
    <w:rsid w:val="00456C73"/>
    <w:rsid w:val="00464595"/>
    <w:rsid w:val="004650E5"/>
    <w:rsid w:val="0046582B"/>
    <w:rsid w:val="004658B5"/>
    <w:rsid w:val="004658D0"/>
    <w:rsid w:val="00466401"/>
    <w:rsid w:val="00466EA8"/>
    <w:rsid w:val="00470090"/>
    <w:rsid w:val="004709B3"/>
    <w:rsid w:val="00471284"/>
    <w:rsid w:val="00471304"/>
    <w:rsid w:val="00471EA5"/>
    <w:rsid w:val="004725C1"/>
    <w:rsid w:val="00472A79"/>
    <w:rsid w:val="00472ABE"/>
    <w:rsid w:val="00473662"/>
    <w:rsid w:val="00473F19"/>
    <w:rsid w:val="0047412F"/>
    <w:rsid w:val="00474B40"/>
    <w:rsid w:val="00475E22"/>
    <w:rsid w:val="00477D9D"/>
    <w:rsid w:val="00477F5E"/>
    <w:rsid w:val="00477FBF"/>
    <w:rsid w:val="00480373"/>
    <w:rsid w:val="0048088E"/>
    <w:rsid w:val="00480F2B"/>
    <w:rsid w:val="004817D4"/>
    <w:rsid w:val="00482720"/>
    <w:rsid w:val="00482D84"/>
    <w:rsid w:val="004835BE"/>
    <w:rsid w:val="004835E7"/>
    <w:rsid w:val="004859E1"/>
    <w:rsid w:val="004867E2"/>
    <w:rsid w:val="00486A55"/>
    <w:rsid w:val="00487020"/>
    <w:rsid w:val="004906BE"/>
    <w:rsid w:val="0049076C"/>
    <w:rsid w:val="00490946"/>
    <w:rsid w:val="00490B17"/>
    <w:rsid w:val="00491B3A"/>
    <w:rsid w:val="00492CFD"/>
    <w:rsid w:val="004930CD"/>
    <w:rsid w:val="004937D2"/>
    <w:rsid w:val="00494207"/>
    <w:rsid w:val="00494DD5"/>
    <w:rsid w:val="004950EC"/>
    <w:rsid w:val="00495F52"/>
    <w:rsid w:val="004962D2"/>
    <w:rsid w:val="00496424"/>
    <w:rsid w:val="0049697B"/>
    <w:rsid w:val="00496C59"/>
    <w:rsid w:val="0049796F"/>
    <w:rsid w:val="004A0091"/>
    <w:rsid w:val="004A0DA1"/>
    <w:rsid w:val="004A13D6"/>
    <w:rsid w:val="004A52E9"/>
    <w:rsid w:val="004A581B"/>
    <w:rsid w:val="004A5AB8"/>
    <w:rsid w:val="004A6040"/>
    <w:rsid w:val="004A6597"/>
    <w:rsid w:val="004A6A15"/>
    <w:rsid w:val="004A7848"/>
    <w:rsid w:val="004A793B"/>
    <w:rsid w:val="004A7B35"/>
    <w:rsid w:val="004B1CB4"/>
    <w:rsid w:val="004B2F18"/>
    <w:rsid w:val="004B3DDB"/>
    <w:rsid w:val="004B44FD"/>
    <w:rsid w:val="004B5CFC"/>
    <w:rsid w:val="004B63EB"/>
    <w:rsid w:val="004B6DFC"/>
    <w:rsid w:val="004B6F79"/>
    <w:rsid w:val="004B76BF"/>
    <w:rsid w:val="004B774D"/>
    <w:rsid w:val="004B781A"/>
    <w:rsid w:val="004B7ECE"/>
    <w:rsid w:val="004C04B0"/>
    <w:rsid w:val="004C0C6B"/>
    <w:rsid w:val="004C2AC2"/>
    <w:rsid w:val="004C37DF"/>
    <w:rsid w:val="004C3B02"/>
    <w:rsid w:val="004C3D33"/>
    <w:rsid w:val="004C4AED"/>
    <w:rsid w:val="004C5500"/>
    <w:rsid w:val="004C751F"/>
    <w:rsid w:val="004C7EFB"/>
    <w:rsid w:val="004C7F9B"/>
    <w:rsid w:val="004D0262"/>
    <w:rsid w:val="004D0422"/>
    <w:rsid w:val="004D062B"/>
    <w:rsid w:val="004D086C"/>
    <w:rsid w:val="004D09CC"/>
    <w:rsid w:val="004D2C2D"/>
    <w:rsid w:val="004D4C2F"/>
    <w:rsid w:val="004D4C36"/>
    <w:rsid w:val="004D5C6C"/>
    <w:rsid w:val="004D69B5"/>
    <w:rsid w:val="004D7163"/>
    <w:rsid w:val="004D7227"/>
    <w:rsid w:val="004D7376"/>
    <w:rsid w:val="004D7B5E"/>
    <w:rsid w:val="004E0E7F"/>
    <w:rsid w:val="004E0EB8"/>
    <w:rsid w:val="004E18E9"/>
    <w:rsid w:val="004E1DCD"/>
    <w:rsid w:val="004E2536"/>
    <w:rsid w:val="004E2ADC"/>
    <w:rsid w:val="004E2E81"/>
    <w:rsid w:val="004E39C8"/>
    <w:rsid w:val="004E43B2"/>
    <w:rsid w:val="004E4971"/>
    <w:rsid w:val="004E5FAC"/>
    <w:rsid w:val="004F0519"/>
    <w:rsid w:val="004F1622"/>
    <w:rsid w:val="004F1829"/>
    <w:rsid w:val="004F1B8B"/>
    <w:rsid w:val="004F1D02"/>
    <w:rsid w:val="004F2679"/>
    <w:rsid w:val="004F2F21"/>
    <w:rsid w:val="004F3DE5"/>
    <w:rsid w:val="004F4FF7"/>
    <w:rsid w:val="004F61D9"/>
    <w:rsid w:val="004F6913"/>
    <w:rsid w:val="004F6D4F"/>
    <w:rsid w:val="004F7865"/>
    <w:rsid w:val="0050072E"/>
    <w:rsid w:val="0050174E"/>
    <w:rsid w:val="00501854"/>
    <w:rsid w:val="00501A02"/>
    <w:rsid w:val="0050219B"/>
    <w:rsid w:val="00503F17"/>
    <w:rsid w:val="00503F3A"/>
    <w:rsid w:val="00504561"/>
    <w:rsid w:val="0050558C"/>
    <w:rsid w:val="005063D7"/>
    <w:rsid w:val="00506928"/>
    <w:rsid w:val="005075E4"/>
    <w:rsid w:val="005077EF"/>
    <w:rsid w:val="00511999"/>
    <w:rsid w:val="00511AD5"/>
    <w:rsid w:val="00511CC6"/>
    <w:rsid w:val="00511DA7"/>
    <w:rsid w:val="00511DC7"/>
    <w:rsid w:val="00513075"/>
    <w:rsid w:val="00513DC0"/>
    <w:rsid w:val="005142C5"/>
    <w:rsid w:val="0051449D"/>
    <w:rsid w:val="0051501B"/>
    <w:rsid w:val="005152B5"/>
    <w:rsid w:val="00515886"/>
    <w:rsid w:val="00515AA0"/>
    <w:rsid w:val="00516CDD"/>
    <w:rsid w:val="00516F8E"/>
    <w:rsid w:val="00517DCE"/>
    <w:rsid w:val="005204F1"/>
    <w:rsid w:val="00521114"/>
    <w:rsid w:val="0052123C"/>
    <w:rsid w:val="00521319"/>
    <w:rsid w:val="00521B5A"/>
    <w:rsid w:val="00521C87"/>
    <w:rsid w:val="00521F98"/>
    <w:rsid w:val="00522BC8"/>
    <w:rsid w:val="005234A2"/>
    <w:rsid w:val="00523C28"/>
    <w:rsid w:val="00523C35"/>
    <w:rsid w:val="00523D5A"/>
    <w:rsid w:val="00524811"/>
    <w:rsid w:val="00524F16"/>
    <w:rsid w:val="00525396"/>
    <w:rsid w:val="00525FD8"/>
    <w:rsid w:val="005279D2"/>
    <w:rsid w:val="00527FF4"/>
    <w:rsid w:val="0053010E"/>
    <w:rsid w:val="0053067A"/>
    <w:rsid w:val="005307C7"/>
    <w:rsid w:val="0053176B"/>
    <w:rsid w:val="00531BB4"/>
    <w:rsid w:val="0053257A"/>
    <w:rsid w:val="005326E2"/>
    <w:rsid w:val="00532DF0"/>
    <w:rsid w:val="0053381E"/>
    <w:rsid w:val="005341B3"/>
    <w:rsid w:val="00536368"/>
    <w:rsid w:val="00536E2D"/>
    <w:rsid w:val="00536F42"/>
    <w:rsid w:val="0053715F"/>
    <w:rsid w:val="00537182"/>
    <w:rsid w:val="00537E3A"/>
    <w:rsid w:val="00541EDD"/>
    <w:rsid w:val="0054213D"/>
    <w:rsid w:val="00542394"/>
    <w:rsid w:val="0054271D"/>
    <w:rsid w:val="00542743"/>
    <w:rsid w:val="005429F3"/>
    <w:rsid w:val="00542C2D"/>
    <w:rsid w:val="00543794"/>
    <w:rsid w:val="00544123"/>
    <w:rsid w:val="00544F87"/>
    <w:rsid w:val="00545C32"/>
    <w:rsid w:val="00546ACE"/>
    <w:rsid w:val="005478BD"/>
    <w:rsid w:val="005479E3"/>
    <w:rsid w:val="00551985"/>
    <w:rsid w:val="00551F80"/>
    <w:rsid w:val="005521E6"/>
    <w:rsid w:val="0055275B"/>
    <w:rsid w:val="00552A5E"/>
    <w:rsid w:val="00552BD3"/>
    <w:rsid w:val="00552E2B"/>
    <w:rsid w:val="005532A0"/>
    <w:rsid w:val="005539D4"/>
    <w:rsid w:val="0055401D"/>
    <w:rsid w:val="00554FBA"/>
    <w:rsid w:val="00555109"/>
    <w:rsid w:val="005557BB"/>
    <w:rsid w:val="00555878"/>
    <w:rsid w:val="005560DD"/>
    <w:rsid w:val="00556933"/>
    <w:rsid w:val="00556B35"/>
    <w:rsid w:val="0055737E"/>
    <w:rsid w:val="0055741A"/>
    <w:rsid w:val="00557BE1"/>
    <w:rsid w:val="00557F56"/>
    <w:rsid w:val="00560DFE"/>
    <w:rsid w:val="005610FF"/>
    <w:rsid w:val="005611B7"/>
    <w:rsid w:val="005618D4"/>
    <w:rsid w:val="00561D57"/>
    <w:rsid w:val="005621E1"/>
    <w:rsid w:val="00562FDC"/>
    <w:rsid w:val="00563728"/>
    <w:rsid w:val="00564867"/>
    <w:rsid w:val="00564E86"/>
    <w:rsid w:val="00565361"/>
    <w:rsid w:val="00565C79"/>
    <w:rsid w:val="00565DF0"/>
    <w:rsid w:val="005662C4"/>
    <w:rsid w:val="0056696F"/>
    <w:rsid w:val="00566D11"/>
    <w:rsid w:val="0056745C"/>
    <w:rsid w:val="00570663"/>
    <w:rsid w:val="00570941"/>
    <w:rsid w:val="00572269"/>
    <w:rsid w:val="0057244A"/>
    <w:rsid w:val="00572F26"/>
    <w:rsid w:val="005733B0"/>
    <w:rsid w:val="00574F48"/>
    <w:rsid w:val="005750C5"/>
    <w:rsid w:val="005752DE"/>
    <w:rsid w:val="00575D60"/>
    <w:rsid w:val="00575D8D"/>
    <w:rsid w:val="00576972"/>
    <w:rsid w:val="00577209"/>
    <w:rsid w:val="00577248"/>
    <w:rsid w:val="00577AB5"/>
    <w:rsid w:val="00577EEE"/>
    <w:rsid w:val="00580237"/>
    <w:rsid w:val="00580631"/>
    <w:rsid w:val="00580A1E"/>
    <w:rsid w:val="00580BAD"/>
    <w:rsid w:val="00581C67"/>
    <w:rsid w:val="00581DFA"/>
    <w:rsid w:val="00582946"/>
    <w:rsid w:val="005831E0"/>
    <w:rsid w:val="00583250"/>
    <w:rsid w:val="00583699"/>
    <w:rsid w:val="00583F29"/>
    <w:rsid w:val="00585C7D"/>
    <w:rsid w:val="00585CDD"/>
    <w:rsid w:val="00587058"/>
    <w:rsid w:val="00587CF2"/>
    <w:rsid w:val="00590277"/>
    <w:rsid w:val="00590371"/>
    <w:rsid w:val="00591957"/>
    <w:rsid w:val="00591C2F"/>
    <w:rsid w:val="00592762"/>
    <w:rsid w:val="00593C03"/>
    <w:rsid w:val="00594377"/>
    <w:rsid w:val="00595B7B"/>
    <w:rsid w:val="00595DBA"/>
    <w:rsid w:val="005971DE"/>
    <w:rsid w:val="0059775E"/>
    <w:rsid w:val="00597BF9"/>
    <w:rsid w:val="005A0308"/>
    <w:rsid w:val="005A05F4"/>
    <w:rsid w:val="005A0927"/>
    <w:rsid w:val="005A0C11"/>
    <w:rsid w:val="005A293D"/>
    <w:rsid w:val="005A309A"/>
    <w:rsid w:val="005A373D"/>
    <w:rsid w:val="005A4322"/>
    <w:rsid w:val="005B091D"/>
    <w:rsid w:val="005B0B58"/>
    <w:rsid w:val="005B0F1B"/>
    <w:rsid w:val="005B2A11"/>
    <w:rsid w:val="005B3B96"/>
    <w:rsid w:val="005B4E53"/>
    <w:rsid w:val="005B5857"/>
    <w:rsid w:val="005B63D6"/>
    <w:rsid w:val="005B7806"/>
    <w:rsid w:val="005B7E0C"/>
    <w:rsid w:val="005C19C4"/>
    <w:rsid w:val="005C1B83"/>
    <w:rsid w:val="005C25FF"/>
    <w:rsid w:val="005C2A07"/>
    <w:rsid w:val="005C2D55"/>
    <w:rsid w:val="005C346B"/>
    <w:rsid w:val="005C3637"/>
    <w:rsid w:val="005C3F14"/>
    <w:rsid w:val="005C40AB"/>
    <w:rsid w:val="005C4C1E"/>
    <w:rsid w:val="005C572C"/>
    <w:rsid w:val="005C5889"/>
    <w:rsid w:val="005C5ABC"/>
    <w:rsid w:val="005C6369"/>
    <w:rsid w:val="005D044D"/>
    <w:rsid w:val="005D0ABD"/>
    <w:rsid w:val="005D1567"/>
    <w:rsid w:val="005D18AD"/>
    <w:rsid w:val="005D1A16"/>
    <w:rsid w:val="005D26B4"/>
    <w:rsid w:val="005D38EB"/>
    <w:rsid w:val="005D440F"/>
    <w:rsid w:val="005D4B43"/>
    <w:rsid w:val="005D5964"/>
    <w:rsid w:val="005D5A1C"/>
    <w:rsid w:val="005D5FEC"/>
    <w:rsid w:val="005E04E9"/>
    <w:rsid w:val="005E191F"/>
    <w:rsid w:val="005E1995"/>
    <w:rsid w:val="005E1BCD"/>
    <w:rsid w:val="005E2214"/>
    <w:rsid w:val="005E27ED"/>
    <w:rsid w:val="005E38B1"/>
    <w:rsid w:val="005E4E5F"/>
    <w:rsid w:val="005E510E"/>
    <w:rsid w:val="005E6CBC"/>
    <w:rsid w:val="005E72FF"/>
    <w:rsid w:val="005E73C0"/>
    <w:rsid w:val="005E7853"/>
    <w:rsid w:val="005F02CF"/>
    <w:rsid w:val="005F05C7"/>
    <w:rsid w:val="005F07ED"/>
    <w:rsid w:val="005F08EB"/>
    <w:rsid w:val="005F1FB3"/>
    <w:rsid w:val="005F24A2"/>
    <w:rsid w:val="005F2706"/>
    <w:rsid w:val="005F42CC"/>
    <w:rsid w:val="005F53AE"/>
    <w:rsid w:val="005F6A8F"/>
    <w:rsid w:val="005F6BB7"/>
    <w:rsid w:val="005F6BC3"/>
    <w:rsid w:val="005F73C9"/>
    <w:rsid w:val="005F7412"/>
    <w:rsid w:val="005F7588"/>
    <w:rsid w:val="006004C1"/>
    <w:rsid w:val="006026DD"/>
    <w:rsid w:val="006028D3"/>
    <w:rsid w:val="00603DB9"/>
    <w:rsid w:val="00603FA3"/>
    <w:rsid w:val="006046B2"/>
    <w:rsid w:val="00604CBE"/>
    <w:rsid w:val="00605B5A"/>
    <w:rsid w:val="006069FA"/>
    <w:rsid w:val="00606C68"/>
    <w:rsid w:val="00606C99"/>
    <w:rsid w:val="00606FBA"/>
    <w:rsid w:val="00607669"/>
    <w:rsid w:val="006076F4"/>
    <w:rsid w:val="00607AFD"/>
    <w:rsid w:val="00607BFF"/>
    <w:rsid w:val="00610519"/>
    <w:rsid w:val="006107C4"/>
    <w:rsid w:val="00610958"/>
    <w:rsid w:val="00610C0E"/>
    <w:rsid w:val="00611B12"/>
    <w:rsid w:val="00611C55"/>
    <w:rsid w:val="00611E07"/>
    <w:rsid w:val="00612F97"/>
    <w:rsid w:val="00613409"/>
    <w:rsid w:val="00613438"/>
    <w:rsid w:val="0061345D"/>
    <w:rsid w:val="00614259"/>
    <w:rsid w:val="006144A7"/>
    <w:rsid w:val="0061549B"/>
    <w:rsid w:val="00615D7A"/>
    <w:rsid w:val="0061660E"/>
    <w:rsid w:val="00616802"/>
    <w:rsid w:val="0061767A"/>
    <w:rsid w:val="006176E2"/>
    <w:rsid w:val="00617E12"/>
    <w:rsid w:val="00620B91"/>
    <w:rsid w:val="00620C25"/>
    <w:rsid w:val="00620CE2"/>
    <w:rsid w:val="00621477"/>
    <w:rsid w:val="00621ADA"/>
    <w:rsid w:val="0062217C"/>
    <w:rsid w:val="006226E6"/>
    <w:rsid w:val="006232D8"/>
    <w:rsid w:val="00623F7B"/>
    <w:rsid w:val="00624BD4"/>
    <w:rsid w:val="00625103"/>
    <w:rsid w:val="00625134"/>
    <w:rsid w:val="006255DE"/>
    <w:rsid w:val="0062618D"/>
    <w:rsid w:val="00626692"/>
    <w:rsid w:val="00627738"/>
    <w:rsid w:val="00630C54"/>
    <w:rsid w:val="00630ED9"/>
    <w:rsid w:val="0063158F"/>
    <w:rsid w:val="00631D6B"/>
    <w:rsid w:val="00632183"/>
    <w:rsid w:val="0063242D"/>
    <w:rsid w:val="00632638"/>
    <w:rsid w:val="006330A1"/>
    <w:rsid w:val="0063479F"/>
    <w:rsid w:val="00634ABF"/>
    <w:rsid w:val="006353F0"/>
    <w:rsid w:val="006357B5"/>
    <w:rsid w:val="006364A1"/>
    <w:rsid w:val="0063678E"/>
    <w:rsid w:val="00637BFD"/>
    <w:rsid w:val="00637C5C"/>
    <w:rsid w:val="00641515"/>
    <w:rsid w:val="00641B52"/>
    <w:rsid w:val="00641C4E"/>
    <w:rsid w:val="00641FB3"/>
    <w:rsid w:val="00642FFD"/>
    <w:rsid w:val="0064390D"/>
    <w:rsid w:val="0064414B"/>
    <w:rsid w:val="0064434C"/>
    <w:rsid w:val="00644B48"/>
    <w:rsid w:val="006471CC"/>
    <w:rsid w:val="0064723B"/>
    <w:rsid w:val="006472FE"/>
    <w:rsid w:val="006475E6"/>
    <w:rsid w:val="00647A29"/>
    <w:rsid w:val="00650648"/>
    <w:rsid w:val="0065079F"/>
    <w:rsid w:val="00651AB4"/>
    <w:rsid w:val="006526C0"/>
    <w:rsid w:val="00652918"/>
    <w:rsid w:val="00652966"/>
    <w:rsid w:val="00652A28"/>
    <w:rsid w:val="00653434"/>
    <w:rsid w:val="0065379F"/>
    <w:rsid w:val="006545FB"/>
    <w:rsid w:val="00654A0E"/>
    <w:rsid w:val="00656188"/>
    <w:rsid w:val="0065629A"/>
    <w:rsid w:val="0065715A"/>
    <w:rsid w:val="006579B5"/>
    <w:rsid w:val="00657A9B"/>
    <w:rsid w:val="006601C9"/>
    <w:rsid w:val="006603C2"/>
    <w:rsid w:val="00660475"/>
    <w:rsid w:val="0066070C"/>
    <w:rsid w:val="006610F1"/>
    <w:rsid w:val="006612F6"/>
    <w:rsid w:val="00661C6B"/>
    <w:rsid w:val="00662970"/>
    <w:rsid w:val="00662D3E"/>
    <w:rsid w:val="006635FB"/>
    <w:rsid w:val="0066455E"/>
    <w:rsid w:val="00664F18"/>
    <w:rsid w:val="006661F6"/>
    <w:rsid w:val="00666C8F"/>
    <w:rsid w:val="00667331"/>
    <w:rsid w:val="00667449"/>
    <w:rsid w:val="00667BE3"/>
    <w:rsid w:val="00670718"/>
    <w:rsid w:val="00670C06"/>
    <w:rsid w:val="00671004"/>
    <w:rsid w:val="00671042"/>
    <w:rsid w:val="00672646"/>
    <w:rsid w:val="0067277E"/>
    <w:rsid w:val="006735CA"/>
    <w:rsid w:val="006735D2"/>
    <w:rsid w:val="00673607"/>
    <w:rsid w:val="00674C16"/>
    <w:rsid w:val="00674E42"/>
    <w:rsid w:val="0067643F"/>
    <w:rsid w:val="00676563"/>
    <w:rsid w:val="00676B5A"/>
    <w:rsid w:val="0067729A"/>
    <w:rsid w:val="00677656"/>
    <w:rsid w:val="00677E6C"/>
    <w:rsid w:val="00677EE6"/>
    <w:rsid w:val="006802C6"/>
    <w:rsid w:val="00680F18"/>
    <w:rsid w:val="006813A7"/>
    <w:rsid w:val="006813F8"/>
    <w:rsid w:val="00682112"/>
    <w:rsid w:val="00682A86"/>
    <w:rsid w:val="00682BA6"/>
    <w:rsid w:val="00683860"/>
    <w:rsid w:val="00684B61"/>
    <w:rsid w:val="006859EC"/>
    <w:rsid w:val="006861C4"/>
    <w:rsid w:val="00686957"/>
    <w:rsid w:val="006872BA"/>
    <w:rsid w:val="0068749B"/>
    <w:rsid w:val="00687FBB"/>
    <w:rsid w:val="0069059D"/>
    <w:rsid w:val="00690795"/>
    <w:rsid w:val="00691648"/>
    <w:rsid w:val="006917D7"/>
    <w:rsid w:val="00691E35"/>
    <w:rsid w:val="0069434C"/>
    <w:rsid w:val="00694F44"/>
    <w:rsid w:val="00696EF9"/>
    <w:rsid w:val="00696F51"/>
    <w:rsid w:val="006979A5"/>
    <w:rsid w:val="006A016F"/>
    <w:rsid w:val="006A052D"/>
    <w:rsid w:val="006A0DF7"/>
    <w:rsid w:val="006A1D94"/>
    <w:rsid w:val="006A2D89"/>
    <w:rsid w:val="006A36AF"/>
    <w:rsid w:val="006A3B96"/>
    <w:rsid w:val="006A4321"/>
    <w:rsid w:val="006A43D7"/>
    <w:rsid w:val="006A43D9"/>
    <w:rsid w:val="006A538D"/>
    <w:rsid w:val="006A5807"/>
    <w:rsid w:val="006A5B9F"/>
    <w:rsid w:val="006A6AAC"/>
    <w:rsid w:val="006A6B99"/>
    <w:rsid w:val="006A71F1"/>
    <w:rsid w:val="006A7394"/>
    <w:rsid w:val="006A7732"/>
    <w:rsid w:val="006A7E5F"/>
    <w:rsid w:val="006B261B"/>
    <w:rsid w:val="006B2753"/>
    <w:rsid w:val="006B2C90"/>
    <w:rsid w:val="006B2DA2"/>
    <w:rsid w:val="006B35E6"/>
    <w:rsid w:val="006B465A"/>
    <w:rsid w:val="006B4D82"/>
    <w:rsid w:val="006B6157"/>
    <w:rsid w:val="006B6DD0"/>
    <w:rsid w:val="006B713F"/>
    <w:rsid w:val="006C0399"/>
    <w:rsid w:val="006C07ED"/>
    <w:rsid w:val="006C0CFB"/>
    <w:rsid w:val="006C0E9D"/>
    <w:rsid w:val="006C20F3"/>
    <w:rsid w:val="006C247E"/>
    <w:rsid w:val="006C2A8E"/>
    <w:rsid w:val="006C3046"/>
    <w:rsid w:val="006C3255"/>
    <w:rsid w:val="006C3F26"/>
    <w:rsid w:val="006C4425"/>
    <w:rsid w:val="006C53FC"/>
    <w:rsid w:val="006C5C0E"/>
    <w:rsid w:val="006C64DF"/>
    <w:rsid w:val="006C6FAA"/>
    <w:rsid w:val="006D0D17"/>
    <w:rsid w:val="006D2AD3"/>
    <w:rsid w:val="006D2F90"/>
    <w:rsid w:val="006D3A8A"/>
    <w:rsid w:val="006D3B69"/>
    <w:rsid w:val="006D3C7D"/>
    <w:rsid w:val="006D40B2"/>
    <w:rsid w:val="006D459A"/>
    <w:rsid w:val="006D4659"/>
    <w:rsid w:val="006D59B8"/>
    <w:rsid w:val="006D5A96"/>
    <w:rsid w:val="006D5B05"/>
    <w:rsid w:val="006D5D5F"/>
    <w:rsid w:val="006D5F6A"/>
    <w:rsid w:val="006D68FB"/>
    <w:rsid w:val="006D7064"/>
    <w:rsid w:val="006E2868"/>
    <w:rsid w:val="006E28D6"/>
    <w:rsid w:val="006E4057"/>
    <w:rsid w:val="006E4839"/>
    <w:rsid w:val="006E4DAF"/>
    <w:rsid w:val="006E5258"/>
    <w:rsid w:val="006E567D"/>
    <w:rsid w:val="006E5DFB"/>
    <w:rsid w:val="006E628B"/>
    <w:rsid w:val="006E6617"/>
    <w:rsid w:val="006F1800"/>
    <w:rsid w:val="006F1C03"/>
    <w:rsid w:val="006F2394"/>
    <w:rsid w:val="006F24C9"/>
    <w:rsid w:val="006F296B"/>
    <w:rsid w:val="006F306C"/>
    <w:rsid w:val="006F394E"/>
    <w:rsid w:val="006F3C13"/>
    <w:rsid w:val="006F4101"/>
    <w:rsid w:val="006F501A"/>
    <w:rsid w:val="006F5C30"/>
    <w:rsid w:val="006F5FA0"/>
    <w:rsid w:val="006F63A5"/>
    <w:rsid w:val="006F7253"/>
    <w:rsid w:val="006F7D1E"/>
    <w:rsid w:val="00700F37"/>
    <w:rsid w:val="00701212"/>
    <w:rsid w:val="0070142B"/>
    <w:rsid w:val="007015DF"/>
    <w:rsid w:val="0070194E"/>
    <w:rsid w:val="00701B2F"/>
    <w:rsid w:val="00701E09"/>
    <w:rsid w:val="0070276E"/>
    <w:rsid w:val="0070282F"/>
    <w:rsid w:val="00702F8F"/>
    <w:rsid w:val="00703A41"/>
    <w:rsid w:val="00703B25"/>
    <w:rsid w:val="00704542"/>
    <w:rsid w:val="007052A8"/>
    <w:rsid w:val="00706026"/>
    <w:rsid w:val="007078F6"/>
    <w:rsid w:val="007079FC"/>
    <w:rsid w:val="00710360"/>
    <w:rsid w:val="007103F9"/>
    <w:rsid w:val="00710F15"/>
    <w:rsid w:val="007111D9"/>
    <w:rsid w:val="00711A36"/>
    <w:rsid w:val="00711AEE"/>
    <w:rsid w:val="007123E0"/>
    <w:rsid w:val="007125D3"/>
    <w:rsid w:val="007126BC"/>
    <w:rsid w:val="00712F41"/>
    <w:rsid w:val="00714C26"/>
    <w:rsid w:val="00714D20"/>
    <w:rsid w:val="0071529C"/>
    <w:rsid w:val="00715C42"/>
    <w:rsid w:val="00716858"/>
    <w:rsid w:val="00716A79"/>
    <w:rsid w:val="007170DA"/>
    <w:rsid w:val="007172AD"/>
    <w:rsid w:val="00717546"/>
    <w:rsid w:val="007204D0"/>
    <w:rsid w:val="0072057E"/>
    <w:rsid w:val="00720801"/>
    <w:rsid w:val="00722B1B"/>
    <w:rsid w:val="00723A9F"/>
    <w:rsid w:val="0072416F"/>
    <w:rsid w:val="00725261"/>
    <w:rsid w:val="007252B9"/>
    <w:rsid w:val="00725B68"/>
    <w:rsid w:val="00727266"/>
    <w:rsid w:val="007273FB"/>
    <w:rsid w:val="00727C94"/>
    <w:rsid w:val="00730ED5"/>
    <w:rsid w:val="00731B0A"/>
    <w:rsid w:val="00731B41"/>
    <w:rsid w:val="00731EAE"/>
    <w:rsid w:val="007328B0"/>
    <w:rsid w:val="00732E53"/>
    <w:rsid w:val="00733073"/>
    <w:rsid w:val="00734FE6"/>
    <w:rsid w:val="00735033"/>
    <w:rsid w:val="00735328"/>
    <w:rsid w:val="007357F6"/>
    <w:rsid w:val="0073611C"/>
    <w:rsid w:val="0073685B"/>
    <w:rsid w:val="00740821"/>
    <w:rsid w:val="00741333"/>
    <w:rsid w:val="00741385"/>
    <w:rsid w:val="00741670"/>
    <w:rsid w:val="00741DC1"/>
    <w:rsid w:val="00742332"/>
    <w:rsid w:val="00743AB8"/>
    <w:rsid w:val="00743EC3"/>
    <w:rsid w:val="00743FED"/>
    <w:rsid w:val="007449BF"/>
    <w:rsid w:val="00745049"/>
    <w:rsid w:val="007463FE"/>
    <w:rsid w:val="00746618"/>
    <w:rsid w:val="00746BC0"/>
    <w:rsid w:val="00746FE5"/>
    <w:rsid w:val="0074702F"/>
    <w:rsid w:val="00750E7A"/>
    <w:rsid w:val="007510B4"/>
    <w:rsid w:val="00751A79"/>
    <w:rsid w:val="00752142"/>
    <w:rsid w:val="007523F9"/>
    <w:rsid w:val="00752BAE"/>
    <w:rsid w:val="0075357E"/>
    <w:rsid w:val="00753B29"/>
    <w:rsid w:val="0075683B"/>
    <w:rsid w:val="00756E84"/>
    <w:rsid w:val="007573E8"/>
    <w:rsid w:val="00760C4E"/>
    <w:rsid w:val="00760F9E"/>
    <w:rsid w:val="007616E6"/>
    <w:rsid w:val="00761B99"/>
    <w:rsid w:val="00761FCA"/>
    <w:rsid w:val="0076221E"/>
    <w:rsid w:val="007627BE"/>
    <w:rsid w:val="00762F06"/>
    <w:rsid w:val="00764F03"/>
    <w:rsid w:val="007650D0"/>
    <w:rsid w:val="00765B1A"/>
    <w:rsid w:val="00765DC1"/>
    <w:rsid w:val="00766D0D"/>
    <w:rsid w:val="0077079E"/>
    <w:rsid w:val="00770A89"/>
    <w:rsid w:val="00772B1A"/>
    <w:rsid w:val="00773167"/>
    <w:rsid w:val="00776A29"/>
    <w:rsid w:val="007771B5"/>
    <w:rsid w:val="00777335"/>
    <w:rsid w:val="00780297"/>
    <w:rsid w:val="00780C27"/>
    <w:rsid w:val="00780CE8"/>
    <w:rsid w:val="00781DDE"/>
    <w:rsid w:val="007821B6"/>
    <w:rsid w:val="007821EB"/>
    <w:rsid w:val="00783653"/>
    <w:rsid w:val="007843F2"/>
    <w:rsid w:val="007846FA"/>
    <w:rsid w:val="007855C1"/>
    <w:rsid w:val="00785A9F"/>
    <w:rsid w:val="00785AB6"/>
    <w:rsid w:val="00786867"/>
    <w:rsid w:val="00786AC5"/>
    <w:rsid w:val="00786CFE"/>
    <w:rsid w:val="00787AE7"/>
    <w:rsid w:val="007904E4"/>
    <w:rsid w:val="00790A7E"/>
    <w:rsid w:val="007918A0"/>
    <w:rsid w:val="007925DF"/>
    <w:rsid w:val="0079371C"/>
    <w:rsid w:val="00795708"/>
    <w:rsid w:val="00796737"/>
    <w:rsid w:val="00796940"/>
    <w:rsid w:val="00797161"/>
    <w:rsid w:val="00797C97"/>
    <w:rsid w:val="00797C9F"/>
    <w:rsid w:val="007A08AA"/>
    <w:rsid w:val="007A0A12"/>
    <w:rsid w:val="007A127C"/>
    <w:rsid w:val="007A132D"/>
    <w:rsid w:val="007A1345"/>
    <w:rsid w:val="007A1DDD"/>
    <w:rsid w:val="007A228C"/>
    <w:rsid w:val="007A2668"/>
    <w:rsid w:val="007A2DDB"/>
    <w:rsid w:val="007A3E39"/>
    <w:rsid w:val="007A6D23"/>
    <w:rsid w:val="007A6D62"/>
    <w:rsid w:val="007A6E02"/>
    <w:rsid w:val="007A70BA"/>
    <w:rsid w:val="007A7E95"/>
    <w:rsid w:val="007B0B98"/>
    <w:rsid w:val="007B0D68"/>
    <w:rsid w:val="007B0F72"/>
    <w:rsid w:val="007B23A0"/>
    <w:rsid w:val="007B251D"/>
    <w:rsid w:val="007B253C"/>
    <w:rsid w:val="007B3533"/>
    <w:rsid w:val="007B3F92"/>
    <w:rsid w:val="007B4345"/>
    <w:rsid w:val="007B4A57"/>
    <w:rsid w:val="007B4E3F"/>
    <w:rsid w:val="007B4F58"/>
    <w:rsid w:val="007B4FC0"/>
    <w:rsid w:val="007B528D"/>
    <w:rsid w:val="007B63CA"/>
    <w:rsid w:val="007B677D"/>
    <w:rsid w:val="007B77D1"/>
    <w:rsid w:val="007B7DE8"/>
    <w:rsid w:val="007C049F"/>
    <w:rsid w:val="007C07C7"/>
    <w:rsid w:val="007C1586"/>
    <w:rsid w:val="007C1CD9"/>
    <w:rsid w:val="007C3117"/>
    <w:rsid w:val="007C32EF"/>
    <w:rsid w:val="007C361D"/>
    <w:rsid w:val="007C36EF"/>
    <w:rsid w:val="007C3AD5"/>
    <w:rsid w:val="007C4418"/>
    <w:rsid w:val="007C4B84"/>
    <w:rsid w:val="007C4BF7"/>
    <w:rsid w:val="007C4C00"/>
    <w:rsid w:val="007C5241"/>
    <w:rsid w:val="007C70FF"/>
    <w:rsid w:val="007C7C25"/>
    <w:rsid w:val="007C7D7B"/>
    <w:rsid w:val="007D004F"/>
    <w:rsid w:val="007D010C"/>
    <w:rsid w:val="007D035F"/>
    <w:rsid w:val="007D06B2"/>
    <w:rsid w:val="007D0B38"/>
    <w:rsid w:val="007D0D72"/>
    <w:rsid w:val="007D2280"/>
    <w:rsid w:val="007D23F6"/>
    <w:rsid w:val="007D3957"/>
    <w:rsid w:val="007D3CD2"/>
    <w:rsid w:val="007D41A1"/>
    <w:rsid w:val="007D4574"/>
    <w:rsid w:val="007D48A8"/>
    <w:rsid w:val="007D5440"/>
    <w:rsid w:val="007D598A"/>
    <w:rsid w:val="007D6130"/>
    <w:rsid w:val="007D649B"/>
    <w:rsid w:val="007D69EB"/>
    <w:rsid w:val="007E0BCC"/>
    <w:rsid w:val="007E10D1"/>
    <w:rsid w:val="007E128F"/>
    <w:rsid w:val="007E1430"/>
    <w:rsid w:val="007E270F"/>
    <w:rsid w:val="007E2EA9"/>
    <w:rsid w:val="007E4393"/>
    <w:rsid w:val="007E4692"/>
    <w:rsid w:val="007E47C2"/>
    <w:rsid w:val="007E6280"/>
    <w:rsid w:val="007E73E4"/>
    <w:rsid w:val="007E74F6"/>
    <w:rsid w:val="007F1017"/>
    <w:rsid w:val="007F128F"/>
    <w:rsid w:val="007F1C9F"/>
    <w:rsid w:val="007F258B"/>
    <w:rsid w:val="007F296C"/>
    <w:rsid w:val="007F2D2C"/>
    <w:rsid w:val="007F39AD"/>
    <w:rsid w:val="007F420A"/>
    <w:rsid w:val="007F44CB"/>
    <w:rsid w:val="007F4A3F"/>
    <w:rsid w:val="007F4A61"/>
    <w:rsid w:val="007F5060"/>
    <w:rsid w:val="007F5255"/>
    <w:rsid w:val="007F56CC"/>
    <w:rsid w:val="007F61C2"/>
    <w:rsid w:val="007F6A1E"/>
    <w:rsid w:val="007F6E2D"/>
    <w:rsid w:val="007F756A"/>
    <w:rsid w:val="00800554"/>
    <w:rsid w:val="00804173"/>
    <w:rsid w:val="00804308"/>
    <w:rsid w:val="00804962"/>
    <w:rsid w:val="00805142"/>
    <w:rsid w:val="0080566B"/>
    <w:rsid w:val="00805BC2"/>
    <w:rsid w:val="00805FCE"/>
    <w:rsid w:val="00806F7D"/>
    <w:rsid w:val="00807A8B"/>
    <w:rsid w:val="00810177"/>
    <w:rsid w:val="00810233"/>
    <w:rsid w:val="00810928"/>
    <w:rsid w:val="00810FCF"/>
    <w:rsid w:val="008110BF"/>
    <w:rsid w:val="00811383"/>
    <w:rsid w:val="008119DF"/>
    <w:rsid w:val="00812149"/>
    <w:rsid w:val="00812CAC"/>
    <w:rsid w:val="00813029"/>
    <w:rsid w:val="00814309"/>
    <w:rsid w:val="0081544C"/>
    <w:rsid w:val="00815665"/>
    <w:rsid w:val="00815C43"/>
    <w:rsid w:val="00815D7C"/>
    <w:rsid w:val="00815E49"/>
    <w:rsid w:val="00816361"/>
    <w:rsid w:val="008166EF"/>
    <w:rsid w:val="00816E46"/>
    <w:rsid w:val="00816FEF"/>
    <w:rsid w:val="00817B46"/>
    <w:rsid w:val="00820862"/>
    <w:rsid w:val="00820A8C"/>
    <w:rsid w:val="008215FB"/>
    <w:rsid w:val="0082175C"/>
    <w:rsid w:val="00821EF6"/>
    <w:rsid w:val="008220CC"/>
    <w:rsid w:val="0082240C"/>
    <w:rsid w:val="00822C85"/>
    <w:rsid w:val="00823174"/>
    <w:rsid w:val="00825751"/>
    <w:rsid w:val="008264EB"/>
    <w:rsid w:val="008268CE"/>
    <w:rsid w:val="00826B3B"/>
    <w:rsid w:val="00826F3D"/>
    <w:rsid w:val="008276F9"/>
    <w:rsid w:val="00827C23"/>
    <w:rsid w:val="008305ED"/>
    <w:rsid w:val="00832B06"/>
    <w:rsid w:val="00833B05"/>
    <w:rsid w:val="00833FBA"/>
    <w:rsid w:val="008343ED"/>
    <w:rsid w:val="00834B65"/>
    <w:rsid w:val="00835733"/>
    <w:rsid w:val="008358FC"/>
    <w:rsid w:val="008362B4"/>
    <w:rsid w:val="00837724"/>
    <w:rsid w:val="00837FF1"/>
    <w:rsid w:val="008401CB"/>
    <w:rsid w:val="00840883"/>
    <w:rsid w:val="00840CA2"/>
    <w:rsid w:val="00841259"/>
    <w:rsid w:val="008415AA"/>
    <w:rsid w:val="008415D8"/>
    <w:rsid w:val="00841C28"/>
    <w:rsid w:val="008429E1"/>
    <w:rsid w:val="00842A03"/>
    <w:rsid w:val="0084374F"/>
    <w:rsid w:val="00843829"/>
    <w:rsid w:val="00843B35"/>
    <w:rsid w:val="008445B6"/>
    <w:rsid w:val="00844A22"/>
    <w:rsid w:val="00845334"/>
    <w:rsid w:val="00846438"/>
    <w:rsid w:val="00846735"/>
    <w:rsid w:val="00847703"/>
    <w:rsid w:val="00847DF5"/>
    <w:rsid w:val="00850801"/>
    <w:rsid w:val="0085094F"/>
    <w:rsid w:val="00850F97"/>
    <w:rsid w:val="008510A7"/>
    <w:rsid w:val="00851D31"/>
    <w:rsid w:val="0085309D"/>
    <w:rsid w:val="00855054"/>
    <w:rsid w:val="00856069"/>
    <w:rsid w:val="00856897"/>
    <w:rsid w:val="00856AC2"/>
    <w:rsid w:val="00856E9A"/>
    <w:rsid w:val="00856F61"/>
    <w:rsid w:val="008576FC"/>
    <w:rsid w:val="008578A3"/>
    <w:rsid w:val="0086026C"/>
    <w:rsid w:val="0086075D"/>
    <w:rsid w:val="00860BFB"/>
    <w:rsid w:val="00860F70"/>
    <w:rsid w:val="00862502"/>
    <w:rsid w:val="00862814"/>
    <w:rsid w:val="00862880"/>
    <w:rsid w:val="00862A29"/>
    <w:rsid w:val="00862CC1"/>
    <w:rsid w:val="008642A6"/>
    <w:rsid w:val="008642A7"/>
    <w:rsid w:val="00864470"/>
    <w:rsid w:val="0086564D"/>
    <w:rsid w:val="0086573D"/>
    <w:rsid w:val="00865B19"/>
    <w:rsid w:val="00865C57"/>
    <w:rsid w:val="008660D4"/>
    <w:rsid w:val="008676F5"/>
    <w:rsid w:val="008679DD"/>
    <w:rsid w:val="00870059"/>
    <w:rsid w:val="00870576"/>
    <w:rsid w:val="008719DD"/>
    <w:rsid w:val="00871FA9"/>
    <w:rsid w:val="008728E9"/>
    <w:rsid w:val="00872B0A"/>
    <w:rsid w:val="00873CB6"/>
    <w:rsid w:val="008746F2"/>
    <w:rsid w:val="008757FA"/>
    <w:rsid w:val="00876506"/>
    <w:rsid w:val="008801F2"/>
    <w:rsid w:val="00880797"/>
    <w:rsid w:val="0088236F"/>
    <w:rsid w:val="00882874"/>
    <w:rsid w:val="00882E3C"/>
    <w:rsid w:val="0088308A"/>
    <w:rsid w:val="00883787"/>
    <w:rsid w:val="00883D46"/>
    <w:rsid w:val="00884513"/>
    <w:rsid w:val="00884961"/>
    <w:rsid w:val="008850D2"/>
    <w:rsid w:val="008855E4"/>
    <w:rsid w:val="0088569C"/>
    <w:rsid w:val="0088617B"/>
    <w:rsid w:val="00886800"/>
    <w:rsid w:val="00886CD2"/>
    <w:rsid w:val="008906BC"/>
    <w:rsid w:val="00890E03"/>
    <w:rsid w:val="00891E6F"/>
    <w:rsid w:val="0089275D"/>
    <w:rsid w:val="00892998"/>
    <w:rsid w:val="00892A36"/>
    <w:rsid w:val="00893239"/>
    <w:rsid w:val="00893AA7"/>
    <w:rsid w:val="008940AA"/>
    <w:rsid w:val="0089420E"/>
    <w:rsid w:val="00894489"/>
    <w:rsid w:val="00894831"/>
    <w:rsid w:val="00894CD6"/>
    <w:rsid w:val="00894FC0"/>
    <w:rsid w:val="008954E9"/>
    <w:rsid w:val="00895B04"/>
    <w:rsid w:val="008963A5"/>
    <w:rsid w:val="00896D5D"/>
    <w:rsid w:val="008978FD"/>
    <w:rsid w:val="00897E54"/>
    <w:rsid w:val="008A071F"/>
    <w:rsid w:val="008A0C69"/>
    <w:rsid w:val="008A10FE"/>
    <w:rsid w:val="008A1B29"/>
    <w:rsid w:val="008A2B6B"/>
    <w:rsid w:val="008A3158"/>
    <w:rsid w:val="008A3363"/>
    <w:rsid w:val="008A3371"/>
    <w:rsid w:val="008A381B"/>
    <w:rsid w:val="008A3C3E"/>
    <w:rsid w:val="008A3EE3"/>
    <w:rsid w:val="008A3F6C"/>
    <w:rsid w:val="008A79DE"/>
    <w:rsid w:val="008B154A"/>
    <w:rsid w:val="008B1757"/>
    <w:rsid w:val="008B1C33"/>
    <w:rsid w:val="008B2466"/>
    <w:rsid w:val="008B321C"/>
    <w:rsid w:val="008B32A0"/>
    <w:rsid w:val="008B3672"/>
    <w:rsid w:val="008B3B37"/>
    <w:rsid w:val="008B4B6F"/>
    <w:rsid w:val="008B59B9"/>
    <w:rsid w:val="008B6172"/>
    <w:rsid w:val="008B65F6"/>
    <w:rsid w:val="008B7992"/>
    <w:rsid w:val="008B7D7E"/>
    <w:rsid w:val="008C0862"/>
    <w:rsid w:val="008C160C"/>
    <w:rsid w:val="008C207F"/>
    <w:rsid w:val="008C225F"/>
    <w:rsid w:val="008C2D2B"/>
    <w:rsid w:val="008C35C2"/>
    <w:rsid w:val="008C3D8A"/>
    <w:rsid w:val="008C3E1A"/>
    <w:rsid w:val="008C5610"/>
    <w:rsid w:val="008C5739"/>
    <w:rsid w:val="008C7282"/>
    <w:rsid w:val="008C7B9E"/>
    <w:rsid w:val="008C7EA5"/>
    <w:rsid w:val="008C7ECB"/>
    <w:rsid w:val="008D0441"/>
    <w:rsid w:val="008D09D8"/>
    <w:rsid w:val="008D11CB"/>
    <w:rsid w:val="008D1F08"/>
    <w:rsid w:val="008D3227"/>
    <w:rsid w:val="008D3276"/>
    <w:rsid w:val="008D3B86"/>
    <w:rsid w:val="008D40B4"/>
    <w:rsid w:val="008D43FD"/>
    <w:rsid w:val="008D45D1"/>
    <w:rsid w:val="008D46D7"/>
    <w:rsid w:val="008D4755"/>
    <w:rsid w:val="008D4987"/>
    <w:rsid w:val="008D4C3D"/>
    <w:rsid w:val="008D55D2"/>
    <w:rsid w:val="008D6ABA"/>
    <w:rsid w:val="008D6C6A"/>
    <w:rsid w:val="008D72C8"/>
    <w:rsid w:val="008D743C"/>
    <w:rsid w:val="008D751A"/>
    <w:rsid w:val="008D775E"/>
    <w:rsid w:val="008E0D3C"/>
    <w:rsid w:val="008E1266"/>
    <w:rsid w:val="008E1B9E"/>
    <w:rsid w:val="008E1E89"/>
    <w:rsid w:val="008E294E"/>
    <w:rsid w:val="008E31F8"/>
    <w:rsid w:val="008E3369"/>
    <w:rsid w:val="008E3453"/>
    <w:rsid w:val="008E3E29"/>
    <w:rsid w:val="008E55AB"/>
    <w:rsid w:val="008E5F85"/>
    <w:rsid w:val="008E6706"/>
    <w:rsid w:val="008E78C9"/>
    <w:rsid w:val="008F03E8"/>
    <w:rsid w:val="008F120A"/>
    <w:rsid w:val="008F2677"/>
    <w:rsid w:val="008F27E0"/>
    <w:rsid w:val="008F2A18"/>
    <w:rsid w:val="008F2C58"/>
    <w:rsid w:val="008F379D"/>
    <w:rsid w:val="008F3E43"/>
    <w:rsid w:val="008F47AD"/>
    <w:rsid w:val="008F48EB"/>
    <w:rsid w:val="008F4F0B"/>
    <w:rsid w:val="008F5065"/>
    <w:rsid w:val="008F6B7A"/>
    <w:rsid w:val="008F7146"/>
    <w:rsid w:val="008F73A8"/>
    <w:rsid w:val="008F7B3D"/>
    <w:rsid w:val="00902689"/>
    <w:rsid w:val="0090277F"/>
    <w:rsid w:val="00903088"/>
    <w:rsid w:val="00903D47"/>
    <w:rsid w:val="009040B5"/>
    <w:rsid w:val="009046C4"/>
    <w:rsid w:val="00905688"/>
    <w:rsid w:val="00905D00"/>
    <w:rsid w:val="009062A5"/>
    <w:rsid w:val="00907114"/>
    <w:rsid w:val="00907699"/>
    <w:rsid w:val="009107A2"/>
    <w:rsid w:val="00910FA7"/>
    <w:rsid w:val="00911272"/>
    <w:rsid w:val="00911339"/>
    <w:rsid w:val="009113A1"/>
    <w:rsid w:val="0091141B"/>
    <w:rsid w:val="00911AAF"/>
    <w:rsid w:val="009120CC"/>
    <w:rsid w:val="009120F6"/>
    <w:rsid w:val="009124FB"/>
    <w:rsid w:val="0091343B"/>
    <w:rsid w:val="009135D6"/>
    <w:rsid w:val="00913EF4"/>
    <w:rsid w:val="009147C7"/>
    <w:rsid w:val="00914C77"/>
    <w:rsid w:val="00914D6D"/>
    <w:rsid w:val="0091764F"/>
    <w:rsid w:val="00920F03"/>
    <w:rsid w:val="009216D5"/>
    <w:rsid w:val="00921924"/>
    <w:rsid w:val="00921ACB"/>
    <w:rsid w:val="00921AFD"/>
    <w:rsid w:val="009235B9"/>
    <w:rsid w:val="0092369B"/>
    <w:rsid w:val="009237CC"/>
    <w:rsid w:val="00923DC3"/>
    <w:rsid w:val="0092417A"/>
    <w:rsid w:val="00925ABB"/>
    <w:rsid w:val="00926BCD"/>
    <w:rsid w:val="00926C86"/>
    <w:rsid w:val="009271C8"/>
    <w:rsid w:val="00930062"/>
    <w:rsid w:val="00930462"/>
    <w:rsid w:val="00930A04"/>
    <w:rsid w:val="00930C59"/>
    <w:rsid w:val="00931C45"/>
    <w:rsid w:val="00933B5A"/>
    <w:rsid w:val="00933CA4"/>
    <w:rsid w:val="00933F56"/>
    <w:rsid w:val="00934327"/>
    <w:rsid w:val="00934988"/>
    <w:rsid w:val="0093600D"/>
    <w:rsid w:val="00936552"/>
    <w:rsid w:val="00937089"/>
    <w:rsid w:val="00937A49"/>
    <w:rsid w:val="00937E89"/>
    <w:rsid w:val="00937F60"/>
    <w:rsid w:val="00940072"/>
    <w:rsid w:val="009433F7"/>
    <w:rsid w:val="00943663"/>
    <w:rsid w:val="00944F8A"/>
    <w:rsid w:val="009457B1"/>
    <w:rsid w:val="00946C76"/>
    <w:rsid w:val="009473AC"/>
    <w:rsid w:val="0095007E"/>
    <w:rsid w:val="00950DBE"/>
    <w:rsid w:val="009510A2"/>
    <w:rsid w:val="0095279B"/>
    <w:rsid w:val="00952994"/>
    <w:rsid w:val="00953257"/>
    <w:rsid w:val="009532CF"/>
    <w:rsid w:val="009534CB"/>
    <w:rsid w:val="00953DB1"/>
    <w:rsid w:val="0095474C"/>
    <w:rsid w:val="00955CCF"/>
    <w:rsid w:val="00957D92"/>
    <w:rsid w:val="00960BD3"/>
    <w:rsid w:val="0096106F"/>
    <w:rsid w:val="00961295"/>
    <w:rsid w:val="009619E4"/>
    <w:rsid w:val="00961DA5"/>
    <w:rsid w:val="00962CB9"/>
    <w:rsid w:val="00963A72"/>
    <w:rsid w:val="0096425F"/>
    <w:rsid w:val="00964312"/>
    <w:rsid w:val="009649AD"/>
    <w:rsid w:val="00964CF3"/>
    <w:rsid w:val="00965225"/>
    <w:rsid w:val="00965B8A"/>
    <w:rsid w:val="00966860"/>
    <w:rsid w:val="0096686A"/>
    <w:rsid w:val="00967354"/>
    <w:rsid w:val="0096767F"/>
    <w:rsid w:val="00967886"/>
    <w:rsid w:val="009702D6"/>
    <w:rsid w:val="0097071F"/>
    <w:rsid w:val="0097073E"/>
    <w:rsid w:val="00970D1F"/>
    <w:rsid w:val="009717AC"/>
    <w:rsid w:val="00972554"/>
    <w:rsid w:val="00972EF4"/>
    <w:rsid w:val="00972EFB"/>
    <w:rsid w:val="00972F2C"/>
    <w:rsid w:val="00973AF8"/>
    <w:rsid w:val="00973D2B"/>
    <w:rsid w:val="009751C1"/>
    <w:rsid w:val="009751E6"/>
    <w:rsid w:val="00975206"/>
    <w:rsid w:val="009755C7"/>
    <w:rsid w:val="00975C7D"/>
    <w:rsid w:val="009765E6"/>
    <w:rsid w:val="009779CA"/>
    <w:rsid w:val="00977BD7"/>
    <w:rsid w:val="00977D94"/>
    <w:rsid w:val="009804BE"/>
    <w:rsid w:val="009808B8"/>
    <w:rsid w:val="009811F1"/>
    <w:rsid w:val="00981B39"/>
    <w:rsid w:val="00981C93"/>
    <w:rsid w:val="009824A4"/>
    <w:rsid w:val="0098262F"/>
    <w:rsid w:val="009834F6"/>
    <w:rsid w:val="00983E57"/>
    <w:rsid w:val="00984B5E"/>
    <w:rsid w:val="00984F52"/>
    <w:rsid w:val="0098523B"/>
    <w:rsid w:val="00985C57"/>
    <w:rsid w:val="00985DE2"/>
    <w:rsid w:val="0098668A"/>
    <w:rsid w:val="0098675D"/>
    <w:rsid w:val="00986B16"/>
    <w:rsid w:val="00987618"/>
    <w:rsid w:val="00987BA4"/>
    <w:rsid w:val="00987DDD"/>
    <w:rsid w:val="00991A05"/>
    <w:rsid w:val="009925B9"/>
    <w:rsid w:val="0099264F"/>
    <w:rsid w:val="009926E0"/>
    <w:rsid w:val="00993840"/>
    <w:rsid w:val="00993C0C"/>
    <w:rsid w:val="0099405B"/>
    <w:rsid w:val="0099451E"/>
    <w:rsid w:val="00994891"/>
    <w:rsid w:val="00995186"/>
    <w:rsid w:val="009955A0"/>
    <w:rsid w:val="00995DF9"/>
    <w:rsid w:val="0099609D"/>
    <w:rsid w:val="0099609F"/>
    <w:rsid w:val="00996B1A"/>
    <w:rsid w:val="00996F57"/>
    <w:rsid w:val="0099719C"/>
    <w:rsid w:val="00997598"/>
    <w:rsid w:val="00997976"/>
    <w:rsid w:val="00997F96"/>
    <w:rsid w:val="009A18F6"/>
    <w:rsid w:val="009A1BB8"/>
    <w:rsid w:val="009A2804"/>
    <w:rsid w:val="009A2891"/>
    <w:rsid w:val="009A2DCC"/>
    <w:rsid w:val="009A5ABC"/>
    <w:rsid w:val="009A6539"/>
    <w:rsid w:val="009A7F10"/>
    <w:rsid w:val="009B05DE"/>
    <w:rsid w:val="009B06D2"/>
    <w:rsid w:val="009B07C3"/>
    <w:rsid w:val="009B087E"/>
    <w:rsid w:val="009B09E2"/>
    <w:rsid w:val="009B1A33"/>
    <w:rsid w:val="009B1F0D"/>
    <w:rsid w:val="009B306B"/>
    <w:rsid w:val="009B3E26"/>
    <w:rsid w:val="009B422A"/>
    <w:rsid w:val="009B5987"/>
    <w:rsid w:val="009B5A14"/>
    <w:rsid w:val="009B5D69"/>
    <w:rsid w:val="009B6C08"/>
    <w:rsid w:val="009B7481"/>
    <w:rsid w:val="009C05EF"/>
    <w:rsid w:val="009C0957"/>
    <w:rsid w:val="009C1271"/>
    <w:rsid w:val="009C1962"/>
    <w:rsid w:val="009C1C4D"/>
    <w:rsid w:val="009C2AC7"/>
    <w:rsid w:val="009C3706"/>
    <w:rsid w:val="009C3A3A"/>
    <w:rsid w:val="009C426B"/>
    <w:rsid w:val="009C4872"/>
    <w:rsid w:val="009C6CEA"/>
    <w:rsid w:val="009C72B4"/>
    <w:rsid w:val="009C77B5"/>
    <w:rsid w:val="009C7B85"/>
    <w:rsid w:val="009D0254"/>
    <w:rsid w:val="009D1A64"/>
    <w:rsid w:val="009D1BD8"/>
    <w:rsid w:val="009D1F3C"/>
    <w:rsid w:val="009D21A7"/>
    <w:rsid w:val="009D223E"/>
    <w:rsid w:val="009D27C2"/>
    <w:rsid w:val="009D2A4B"/>
    <w:rsid w:val="009D2B21"/>
    <w:rsid w:val="009D5B91"/>
    <w:rsid w:val="009D792E"/>
    <w:rsid w:val="009E0908"/>
    <w:rsid w:val="009E0B6F"/>
    <w:rsid w:val="009E0DFE"/>
    <w:rsid w:val="009E2EBC"/>
    <w:rsid w:val="009E31F6"/>
    <w:rsid w:val="009E3303"/>
    <w:rsid w:val="009E3CBF"/>
    <w:rsid w:val="009E4871"/>
    <w:rsid w:val="009E4926"/>
    <w:rsid w:val="009E4C07"/>
    <w:rsid w:val="009E4E30"/>
    <w:rsid w:val="009E5641"/>
    <w:rsid w:val="009E65C8"/>
    <w:rsid w:val="009E6755"/>
    <w:rsid w:val="009E73B4"/>
    <w:rsid w:val="009E76CC"/>
    <w:rsid w:val="009E777F"/>
    <w:rsid w:val="009F0EEF"/>
    <w:rsid w:val="009F156C"/>
    <w:rsid w:val="009F304E"/>
    <w:rsid w:val="009F442A"/>
    <w:rsid w:val="009F49EF"/>
    <w:rsid w:val="009F582A"/>
    <w:rsid w:val="009F6120"/>
    <w:rsid w:val="009F6212"/>
    <w:rsid w:val="009F6F83"/>
    <w:rsid w:val="009F721F"/>
    <w:rsid w:val="009F7500"/>
    <w:rsid w:val="00A001E1"/>
    <w:rsid w:val="00A00D76"/>
    <w:rsid w:val="00A01184"/>
    <w:rsid w:val="00A01449"/>
    <w:rsid w:val="00A02989"/>
    <w:rsid w:val="00A037C2"/>
    <w:rsid w:val="00A03D43"/>
    <w:rsid w:val="00A03DEB"/>
    <w:rsid w:val="00A04380"/>
    <w:rsid w:val="00A04786"/>
    <w:rsid w:val="00A05472"/>
    <w:rsid w:val="00A05683"/>
    <w:rsid w:val="00A05C32"/>
    <w:rsid w:val="00A0653F"/>
    <w:rsid w:val="00A07773"/>
    <w:rsid w:val="00A077C2"/>
    <w:rsid w:val="00A1128B"/>
    <w:rsid w:val="00A11592"/>
    <w:rsid w:val="00A11CD0"/>
    <w:rsid w:val="00A13948"/>
    <w:rsid w:val="00A139AE"/>
    <w:rsid w:val="00A13D1B"/>
    <w:rsid w:val="00A1555B"/>
    <w:rsid w:val="00A155C5"/>
    <w:rsid w:val="00A15A65"/>
    <w:rsid w:val="00A15D0C"/>
    <w:rsid w:val="00A16AD8"/>
    <w:rsid w:val="00A177EE"/>
    <w:rsid w:val="00A2021E"/>
    <w:rsid w:val="00A20B08"/>
    <w:rsid w:val="00A215C0"/>
    <w:rsid w:val="00A2174F"/>
    <w:rsid w:val="00A21BDF"/>
    <w:rsid w:val="00A21C95"/>
    <w:rsid w:val="00A21CF3"/>
    <w:rsid w:val="00A21DDA"/>
    <w:rsid w:val="00A22E0A"/>
    <w:rsid w:val="00A231BC"/>
    <w:rsid w:val="00A23693"/>
    <w:rsid w:val="00A24813"/>
    <w:rsid w:val="00A27AEC"/>
    <w:rsid w:val="00A300F3"/>
    <w:rsid w:val="00A30B56"/>
    <w:rsid w:val="00A30BC2"/>
    <w:rsid w:val="00A30EF9"/>
    <w:rsid w:val="00A31257"/>
    <w:rsid w:val="00A31FCA"/>
    <w:rsid w:val="00A320DB"/>
    <w:rsid w:val="00A32A03"/>
    <w:rsid w:val="00A34C19"/>
    <w:rsid w:val="00A35D16"/>
    <w:rsid w:val="00A36330"/>
    <w:rsid w:val="00A36B8F"/>
    <w:rsid w:val="00A37471"/>
    <w:rsid w:val="00A378EC"/>
    <w:rsid w:val="00A3795C"/>
    <w:rsid w:val="00A37BCD"/>
    <w:rsid w:val="00A37F8B"/>
    <w:rsid w:val="00A4046F"/>
    <w:rsid w:val="00A4160B"/>
    <w:rsid w:val="00A41689"/>
    <w:rsid w:val="00A41BA2"/>
    <w:rsid w:val="00A42592"/>
    <w:rsid w:val="00A4342E"/>
    <w:rsid w:val="00A43C59"/>
    <w:rsid w:val="00A43D4C"/>
    <w:rsid w:val="00A44020"/>
    <w:rsid w:val="00A44049"/>
    <w:rsid w:val="00A458C3"/>
    <w:rsid w:val="00A4590C"/>
    <w:rsid w:val="00A45E13"/>
    <w:rsid w:val="00A46746"/>
    <w:rsid w:val="00A47B58"/>
    <w:rsid w:val="00A47E9C"/>
    <w:rsid w:val="00A50271"/>
    <w:rsid w:val="00A50829"/>
    <w:rsid w:val="00A50ECD"/>
    <w:rsid w:val="00A518F3"/>
    <w:rsid w:val="00A525E5"/>
    <w:rsid w:val="00A52729"/>
    <w:rsid w:val="00A52EF8"/>
    <w:rsid w:val="00A53675"/>
    <w:rsid w:val="00A549E6"/>
    <w:rsid w:val="00A54A57"/>
    <w:rsid w:val="00A54EF7"/>
    <w:rsid w:val="00A54EFD"/>
    <w:rsid w:val="00A55A37"/>
    <w:rsid w:val="00A55F0C"/>
    <w:rsid w:val="00A564D7"/>
    <w:rsid w:val="00A56B6A"/>
    <w:rsid w:val="00A56BEC"/>
    <w:rsid w:val="00A5754B"/>
    <w:rsid w:val="00A57713"/>
    <w:rsid w:val="00A57826"/>
    <w:rsid w:val="00A578DC"/>
    <w:rsid w:val="00A60A60"/>
    <w:rsid w:val="00A60C84"/>
    <w:rsid w:val="00A610CB"/>
    <w:rsid w:val="00A61E4A"/>
    <w:rsid w:val="00A62B0A"/>
    <w:rsid w:val="00A633D9"/>
    <w:rsid w:val="00A63EA7"/>
    <w:rsid w:val="00A640E2"/>
    <w:rsid w:val="00A64D65"/>
    <w:rsid w:val="00A660FD"/>
    <w:rsid w:val="00A671DD"/>
    <w:rsid w:val="00A6725B"/>
    <w:rsid w:val="00A67931"/>
    <w:rsid w:val="00A70131"/>
    <w:rsid w:val="00A70605"/>
    <w:rsid w:val="00A70F15"/>
    <w:rsid w:val="00A70FE2"/>
    <w:rsid w:val="00A73134"/>
    <w:rsid w:val="00A7365A"/>
    <w:rsid w:val="00A75D43"/>
    <w:rsid w:val="00A76001"/>
    <w:rsid w:val="00A761A8"/>
    <w:rsid w:val="00A762E0"/>
    <w:rsid w:val="00A76D02"/>
    <w:rsid w:val="00A77098"/>
    <w:rsid w:val="00A777B2"/>
    <w:rsid w:val="00A80B1D"/>
    <w:rsid w:val="00A81567"/>
    <w:rsid w:val="00A825D4"/>
    <w:rsid w:val="00A828F6"/>
    <w:rsid w:val="00A82B73"/>
    <w:rsid w:val="00A8381F"/>
    <w:rsid w:val="00A85B9F"/>
    <w:rsid w:val="00A86587"/>
    <w:rsid w:val="00A86E8B"/>
    <w:rsid w:val="00A87164"/>
    <w:rsid w:val="00A871A9"/>
    <w:rsid w:val="00A87808"/>
    <w:rsid w:val="00A9055D"/>
    <w:rsid w:val="00A90D22"/>
    <w:rsid w:val="00A91A60"/>
    <w:rsid w:val="00A91DB2"/>
    <w:rsid w:val="00A91E1A"/>
    <w:rsid w:val="00A9247A"/>
    <w:rsid w:val="00A92518"/>
    <w:rsid w:val="00A93072"/>
    <w:rsid w:val="00A938BD"/>
    <w:rsid w:val="00A93953"/>
    <w:rsid w:val="00A93CFE"/>
    <w:rsid w:val="00A94D13"/>
    <w:rsid w:val="00A959D8"/>
    <w:rsid w:val="00AA113D"/>
    <w:rsid w:val="00AA27D3"/>
    <w:rsid w:val="00AA2AF1"/>
    <w:rsid w:val="00AA2C9F"/>
    <w:rsid w:val="00AA384B"/>
    <w:rsid w:val="00AA485E"/>
    <w:rsid w:val="00AA4EE5"/>
    <w:rsid w:val="00AA54EF"/>
    <w:rsid w:val="00AA6BD5"/>
    <w:rsid w:val="00AA6BD8"/>
    <w:rsid w:val="00AA6C7D"/>
    <w:rsid w:val="00AA6D9F"/>
    <w:rsid w:val="00AA7773"/>
    <w:rsid w:val="00AA7FD6"/>
    <w:rsid w:val="00AB042A"/>
    <w:rsid w:val="00AB1171"/>
    <w:rsid w:val="00AB11AD"/>
    <w:rsid w:val="00AB19EF"/>
    <w:rsid w:val="00AB1EC0"/>
    <w:rsid w:val="00AB2034"/>
    <w:rsid w:val="00AB22EF"/>
    <w:rsid w:val="00AB2495"/>
    <w:rsid w:val="00AB2784"/>
    <w:rsid w:val="00AB2D34"/>
    <w:rsid w:val="00AB32E9"/>
    <w:rsid w:val="00AB3430"/>
    <w:rsid w:val="00AB37B9"/>
    <w:rsid w:val="00AB4144"/>
    <w:rsid w:val="00AB4450"/>
    <w:rsid w:val="00AB4AD1"/>
    <w:rsid w:val="00AB5917"/>
    <w:rsid w:val="00AB5E07"/>
    <w:rsid w:val="00AB5FD5"/>
    <w:rsid w:val="00AB70BB"/>
    <w:rsid w:val="00AB7573"/>
    <w:rsid w:val="00AB7978"/>
    <w:rsid w:val="00AB79C6"/>
    <w:rsid w:val="00AB7CFA"/>
    <w:rsid w:val="00AC05B2"/>
    <w:rsid w:val="00AC0822"/>
    <w:rsid w:val="00AC170E"/>
    <w:rsid w:val="00AC1B08"/>
    <w:rsid w:val="00AC314F"/>
    <w:rsid w:val="00AC3980"/>
    <w:rsid w:val="00AC39A0"/>
    <w:rsid w:val="00AC4414"/>
    <w:rsid w:val="00AC4938"/>
    <w:rsid w:val="00AC5276"/>
    <w:rsid w:val="00AC5B42"/>
    <w:rsid w:val="00AC5B48"/>
    <w:rsid w:val="00AD016C"/>
    <w:rsid w:val="00AD098C"/>
    <w:rsid w:val="00AD0B6F"/>
    <w:rsid w:val="00AD1450"/>
    <w:rsid w:val="00AD1505"/>
    <w:rsid w:val="00AD15E8"/>
    <w:rsid w:val="00AD1FEB"/>
    <w:rsid w:val="00AD23BE"/>
    <w:rsid w:val="00AD29B8"/>
    <w:rsid w:val="00AD317B"/>
    <w:rsid w:val="00AD356D"/>
    <w:rsid w:val="00AD3755"/>
    <w:rsid w:val="00AD3FDC"/>
    <w:rsid w:val="00AD6502"/>
    <w:rsid w:val="00AD6F1E"/>
    <w:rsid w:val="00AD7A11"/>
    <w:rsid w:val="00AD7AF2"/>
    <w:rsid w:val="00AE05AB"/>
    <w:rsid w:val="00AE0695"/>
    <w:rsid w:val="00AE22FA"/>
    <w:rsid w:val="00AE282F"/>
    <w:rsid w:val="00AE2958"/>
    <w:rsid w:val="00AE2CBF"/>
    <w:rsid w:val="00AE3E7E"/>
    <w:rsid w:val="00AE4002"/>
    <w:rsid w:val="00AE48B0"/>
    <w:rsid w:val="00AE4BD9"/>
    <w:rsid w:val="00AE56EC"/>
    <w:rsid w:val="00AE6B9C"/>
    <w:rsid w:val="00AE755F"/>
    <w:rsid w:val="00AE7E53"/>
    <w:rsid w:val="00AF0374"/>
    <w:rsid w:val="00AF062A"/>
    <w:rsid w:val="00AF0F22"/>
    <w:rsid w:val="00AF1315"/>
    <w:rsid w:val="00AF19BF"/>
    <w:rsid w:val="00AF1D36"/>
    <w:rsid w:val="00AF2B63"/>
    <w:rsid w:val="00AF2DC3"/>
    <w:rsid w:val="00AF4529"/>
    <w:rsid w:val="00AF47EA"/>
    <w:rsid w:val="00AF4C20"/>
    <w:rsid w:val="00AF5BD4"/>
    <w:rsid w:val="00AF6E61"/>
    <w:rsid w:val="00B013AE"/>
    <w:rsid w:val="00B01CEB"/>
    <w:rsid w:val="00B02599"/>
    <w:rsid w:val="00B032A5"/>
    <w:rsid w:val="00B033E5"/>
    <w:rsid w:val="00B03A63"/>
    <w:rsid w:val="00B04BA1"/>
    <w:rsid w:val="00B05570"/>
    <w:rsid w:val="00B06893"/>
    <w:rsid w:val="00B06C80"/>
    <w:rsid w:val="00B0709D"/>
    <w:rsid w:val="00B074A3"/>
    <w:rsid w:val="00B1144A"/>
    <w:rsid w:val="00B129A4"/>
    <w:rsid w:val="00B132F3"/>
    <w:rsid w:val="00B13AA1"/>
    <w:rsid w:val="00B13C09"/>
    <w:rsid w:val="00B13C29"/>
    <w:rsid w:val="00B13D0D"/>
    <w:rsid w:val="00B13D0F"/>
    <w:rsid w:val="00B15202"/>
    <w:rsid w:val="00B164B2"/>
    <w:rsid w:val="00B201A4"/>
    <w:rsid w:val="00B201D1"/>
    <w:rsid w:val="00B209D5"/>
    <w:rsid w:val="00B20F7F"/>
    <w:rsid w:val="00B213A6"/>
    <w:rsid w:val="00B21C72"/>
    <w:rsid w:val="00B220F9"/>
    <w:rsid w:val="00B223ED"/>
    <w:rsid w:val="00B235B0"/>
    <w:rsid w:val="00B23D1E"/>
    <w:rsid w:val="00B24DF6"/>
    <w:rsid w:val="00B251E9"/>
    <w:rsid w:val="00B25B73"/>
    <w:rsid w:val="00B26D1E"/>
    <w:rsid w:val="00B27A61"/>
    <w:rsid w:val="00B3065C"/>
    <w:rsid w:val="00B30BF3"/>
    <w:rsid w:val="00B32EEA"/>
    <w:rsid w:val="00B341A0"/>
    <w:rsid w:val="00B3445A"/>
    <w:rsid w:val="00B346AD"/>
    <w:rsid w:val="00B34DC4"/>
    <w:rsid w:val="00B34FE2"/>
    <w:rsid w:val="00B35150"/>
    <w:rsid w:val="00B35166"/>
    <w:rsid w:val="00B353DA"/>
    <w:rsid w:val="00B357D8"/>
    <w:rsid w:val="00B35996"/>
    <w:rsid w:val="00B36089"/>
    <w:rsid w:val="00B360F4"/>
    <w:rsid w:val="00B363F9"/>
    <w:rsid w:val="00B36A00"/>
    <w:rsid w:val="00B3792B"/>
    <w:rsid w:val="00B37BFC"/>
    <w:rsid w:val="00B40358"/>
    <w:rsid w:val="00B408C4"/>
    <w:rsid w:val="00B409D7"/>
    <w:rsid w:val="00B40AF3"/>
    <w:rsid w:val="00B41614"/>
    <w:rsid w:val="00B4162E"/>
    <w:rsid w:val="00B416EC"/>
    <w:rsid w:val="00B41C13"/>
    <w:rsid w:val="00B42529"/>
    <w:rsid w:val="00B42851"/>
    <w:rsid w:val="00B42F80"/>
    <w:rsid w:val="00B435CB"/>
    <w:rsid w:val="00B439A9"/>
    <w:rsid w:val="00B44BDC"/>
    <w:rsid w:val="00B44D6A"/>
    <w:rsid w:val="00B465EC"/>
    <w:rsid w:val="00B465F0"/>
    <w:rsid w:val="00B46C63"/>
    <w:rsid w:val="00B505C8"/>
    <w:rsid w:val="00B50CB0"/>
    <w:rsid w:val="00B50DB8"/>
    <w:rsid w:val="00B51573"/>
    <w:rsid w:val="00B52EBF"/>
    <w:rsid w:val="00B531BD"/>
    <w:rsid w:val="00B53654"/>
    <w:rsid w:val="00B53905"/>
    <w:rsid w:val="00B53DDE"/>
    <w:rsid w:val="00B53EEB"/>
    <w:rsid w:val="00B546DB"/>
    <w:rsid w:val="00B54B5B"/>
    <w:rsid w:val="00B54C8B"/>
    <w:rsid w:val="00B55339"/>
    <w:rsid w:val="00B5562E"/>
    <w:rsid w:val="00B55862"/>
    <w:rsid w:val="00B55D65"/>
    <w:rsid w:val="00B56305"/>
    <w:rsid w:val="00B56702"/>
    <w:rsid w:val="00B567BC"/>
    <w:rsid w:val="00B57000"/>
    <w:rsid w:val="00B57167"/>
    <w:rsid w:val="00B57370"/>
    <w:rsid w:val="00B6066E"/>
    <w:rsid w:val="00B60939"/>
    <w:rsid w:val="00B60AFD"/>
    <w:rsid w:val="00B616F8"/>
    <w:rsid w:val="00B618E3"/>
    <w:rsid w:val="00B61F0B"/>
    <w:rsid w:val="00B62715"/>
    <w:rsid w:val="00B6401A"/>
    <w:rsid w:val="00B64CD2"/>
    <w:rsid w:val="00B64D19"/>
    <w:rsid w:val="00B64F54"/>
    <w:rsid w:val="00B65611"/>
    <w:rsid w:val="00B66A32"/>
    <w:rsid w:val="00B67A34"/>
    <w:rsid w:val="00B67DC3"/>
    <w:rsid w:val="00B70034"/>
    <w:rsid w:val="00B70E8E"/>
    <w:rsid w:val="00B71B58"/>
    <w:rsid w:val="00B72FD9"/>
    <w:rsid w:val="00B743FA"/>
    <w:rsid w:val="00B75A5A"/>
    <w:rsid w:val="00B76912"/>
    <w:rsid w:val="00B76C92"/>
    <w:rsid w:val="00B80B81"/>
    <w:rsid w:val="00B80EFD"/>
    <w:rsid w:val="00B812C4"/>
    <w:rsid w:val="00B8172D"/>
    <w:rsid w:val="00B81781"/>
    <w:rsid w:val="00B818A4"/>
    <w:rsid w:val="00B82263"/>
    <w:rsid w:val="00B8304B"/>
    <w:rsid w:val="00B83739"/>
    <w:rsid w:val="00B83A57"/>
    <w:rsid w:val="00B84117"/>
    <w:rsid w:val="00B8432E"/>
    <w:rsid w:val="00B858F0"/>
    <w:rsid w:val="00B85AA2"/>
    <w:rsid w:val="00B85DEC"/>
    <w:rsid w:val="00B8649C"/>
    <w:rsid w:val="00B86925"/>
    <w:rsid w:val="00B8695D"/>
    <w:rsid w:val="00B872BF"/>
    <w:rsid w:val="00B87F0A"/>
    <w:rsid w:val="00B904CE"/>
    <w:rsid w:val="00B9121C"/>
    <w:rsid w:val="00B91D7D"/>
    <w:rsid w:val="00B92D0B"/>
    <w:rsid w:val="00B933FF"/>
    <w:rsid w:val="00B93E19"/>
    <w:rsid w:val="00B94945"/>
    <w:rsid w:val="00B94DD6"/>
    <w:rsid w:val="00B95048"/>
    <w:rsid w:val="00B97182"/>
    <w:rsid w:val="00B975F2"/>
    <w:rsid w:val="00B97EF9"/>
    <w:rsid w:val="00BA0DB7"/>
    <w:rsid w:val="00BA1E64"/>
    <w:rsid w:val="00BA304B"/>
    <w:rsid w:val="00BA322D"/>
    <w:rsid w:val="00BA3413"/>
    <w:rsid w:val="00BA38CD"/>
    <w:rsid w:val="00BA5881"/>
    <w:rsid w:val="00BA614F"/>
    <w:rsid w:val="00BA63FA"/>
    <w:rsid w:val="00BB00B3"/>
    <w:rsid w:val="00BB0BDD"/>
    <w:rsid w:val="00BB12B7"/>
    <w:rsid w:val="00BB1449"/>
    <w:rsid w:val="00BB147C"/>
    <w:rsid w:val="00BB176C"/>
    <w:rsid w:val="00BB182C"/>
    <w:rsid w:val="00BB18D0"/>
    <w:rsid w:val="00BB1A0B"/>
    <w:rsid w:val="00BB2A73"/>
    <w:rsid w:val="00BB2B6E"/>
    <w:rsid w:val="00BB2D87"/>
    <w:rsid w:val="00BB2D97"/>
    <w:rsid w:val="00BB3230"/>
    <w:rsid w:val="00BB3A45"/>
    <w:rsid w:val="00BB3E2F"/>
    <w:rsid w:val="00BB4ACC"/>
    <w:rsid w:val="00BB54C5"/>
    <w:rsid w:val="00BB5652"/>
    <w:rsid w:val="00BB5E99"/>
    <w:rsid w:val="00BB703E"/>
    <w:rsid w:val="00BB732D"/>
    <w:rsid w:val="00BB7405"/>
    <w:rsid w:val="00BB7D5F"/>
    <w:rsid w:val="00BC0433"/>
    <w:rsid w:val="00BC2DD0"/>
    <w:rsid w:val="00BC3265"/>
    <w:rsid w:val="00BC3631"/>
    <w:rsid w:val="00BC3E0A"/>
    <w:rsid w:val="00BC43A8"/>
    <w:rsid w:val="00BC44AB"/>
    <w:rsid w:val="00BC581C"/>
    <w:rsid w:val="00BC591F"/>
    <w:rsid w:val="00BC67D3"/>
    <w:rsid w:val="00BC70CF"/>
    <w:rsid w:val="00BC7B9D"/>
    <w:rsid w:val="00BC7D6D"/>
    <w:rsid w:val="00BD0313"/>
    <w:rsid w:val="00BD1336"/>
    <w:rsid w:val="00BD2108"/>
    <w:rsid w:val="00BD3736"/>
    <w:rsid w:val="00BD4874"/>
    <w:rsid w:val="00BD5333"/>
    <w:rsid w:val="00BD68A3"/>
    <w:rsid w:val="00BD68A9"/>
    <w:rsid w:val="00BD6938"/>
    <w:rsid w:val="00BD6A6E"/>
    <w:rsid w:val="00BD6CF3"/>
    <w:rsid w:val="00BD72D9"/>
    <w:rsid w:val="00BD7F72"/>
    <w:rsid w:val="00BE0107"/>
    <w:rsid w:val="00BE05A1"/>
    <w:rsid w:val="00BE0ECA"/>
    <w:rsid w:val="00BE1CA1"/>
    <w:rsid w:val="00BE2180"/>
    <w:rsid w:val="00BE21F2"/>
    <w:rsid w:val="00BE25ED"/>
    <w:rsid w:val="00BE3BA9"/>
    <w:rsid w:val="00BE4275"/>
    <w:rsid w:val="00BF06AE"/>
    <w:rsid w:val="00BF0F95"/>
    <w:rsid w:val="00BF12F5"/>
    <w:rsid w:val="00BF14FD"/>
    <w:rsid w:val="00BF2433"/>
    <w:rsid w:val="00BF2A99"/>
    <w:rsid w:val="00BF2E6E"/>
    <w:rsid w:val="00BF3AEF"/>
    <w:rsid w:val="00BF3F22"/>
    <w:rsid w:val="00BF61C9"/>
    <w:rsid w:val="00BF6C94"/>
    <w:rsid w:val="00BF719B"/>
    <w:rsid w:val="00BF7611"/>
    <w:rsid w:val="00BF7CD3"/>
    <w:rsid w:val="00C00424"/>
    <w:rsid w:val="00C00BB0"/>
    <w:rsid w:val="00C02ED6"/>
    <w:rsid w:val="00C038D8"/>
    <w:rsid w:val="00C03BFF"/>
    <w:rsid w:val="00C0526B"/>
    <w:rsid w:val="00C052FB"/>
    <w:rsid w:val="00C05487"/>
    <w:rsid w:val="00C057D7"/>
    <w:rsid w:val="00C072F9"/>
    <w:rsid w:val="00C106D6"/>
    <w:rsid w:val="00C10923"/>
    <w:rsid w:val="00C109C2"/>
    <w:rsid w:val="00C10A12"/>
    <w:rsid w:val="00C1100B"/>
    <w:rsid w:val="00C1179F"/>
    <w:rsid w:val="00C11C05"/>
    <w:rsid w:val="00C127B9"/>
    <w:rsid w:val="00C128FA"/>
    <w:rsid w:val="00C12C14"/>
    <w:rsid w:val="00C13862"/>
    <w:rsid w:val="00C141D5"/>
    <w:rsid w:val="00C144E9"/>
    <w:rsid w:val="00C15F04"/>
    <w:rsid w:val="00C17092"/>
    <w:rsid w:val="00C171A8"/>
    <w:rsid w:val="00C179B3"/>
    <w:rsid w:val="00C17E3F"/>
    <w:rsid w:val="00C200AA"/>
    <w:rsid w:val="00C2077F"/>
    <w:rsid w:val="00C20A8C"/>
    <w:rsid w:val="00C2195C"/>
    <w:rsid w:val="00C237ED"/>
    <w:rsid w:val="00C24632"/>
    <w:rsid w:val="00C24A50"/>
    <w:rsid w:val="00C24FD0"/>
    <w:rsid w:val="00C252F4"/>
    <w:rsid w:val="00C25418"/>
    <w:rsid w:val="00C25AE6"/>
    <w:rsid w:val="00C25D9C"/>
    <w:rsid w:val="00C27267"/>
    <w:rsid w:val="00C27304"/>
    <w:rsid w:val="00C27347"/>
    <w:rsid w:val="00C2767E"/>
    <w:rsid w:val="00C2778B"/>
    <w:rsid w:val="00C27CB4"/>
    <w:rsid w:val="00C3041B"/>
    <w:rsid w:val="00C31649"/>
    <w:rsid w:val="00C316B5"/>
    <w:rsid w:val="00C31F8E"/>
    <w:rsid w:val="00C32220"/>
    <w:rsid w:val="00C33BC3"/>
    <w:rsid w:val="00C3434C"/>
    <w:rsid w:val="00C351EE"/>
    <w:rsid w:val="00C3721B"/>
    <w:rsid w:val="00C40385"/>
    <w:rsid w:val="00C4055A"/>
    <w:rsid w:val="00C41768"/>
    <w:rsid w:val="00C4295A"/>
    <w:rsid w:val="00C42BB2"/>
    <w:rsid w:val="00C42DA6"/>
    <w:rsid w:val="00C45AFF"/>
    <w:rsid w:val="00C475AA"/>
    <w:rsid w:val="00C527C7"/>
    <w:rsid w:val="00C52A26"/>
    <w:rsid w:val="00C53C98"/>
    <w:rsid w:val="00C5459F"/>
    <w:rsid w:val="00C5512C"/>
    <w:rsid w:val="00C555E0"/>
    <w:rsid w:val="00C56505"/>
    <w:rsid w:val="00C56FCF"/>
    <w:rsid w:val="00C572F6"/>
    <w:rsid w:val="00C57B6C"/>
    <w:rsid w:val="00C6040F"/>
    <w:rsid w:val="00C61A59"/>
    <w:rsid w:val="00C62442"/>
    <w:rsid w:val="00C628A6"/>
    <w:rsid w:val="00C636D9"/>
    <w:rsid w:val="00C63719"/>
    <w:rsid w:val="00C63ACD"/>
    <w:rsid w:val="00C64344"/>
    <w:rsid w:val="00C65030"/>
    <w:rsid w:val="00C65108"/>
    <w:rsid w:val="00C65222"/>
    <w:rsid w:val="00C65576"/>
    <w:rsid w:val="00C655DF"/>
    <w:rsid w:val="00C65DB4"/>
    <w:rsid w:val="00C66079"/>
    <w:rsid w:val="00C66165"/>
    <w:rsid w:val="00C66934"/>
    <w:rsid w:val="00C67010"/>
    <w:rsid w:val="00C67040"/>
    <w:rsid w:val="00C67736"/>
    <w:rsid w:val="00C7060A"/>
    <w:rsid w:val="00C7151A"/>
    <w:rsid w:val="00C717E3"/>
    <w:rsid w:val="00C71F60"/>
    <w:rsid w:val="00C72241"/>
    <w:rsid w:val="00C7310A"/>
    <w:rsid w:val="00C7340B"/>
    <w:rsid w:val="00C7352C"/>
    <w:rsid w:val="00C73D65"/>
    <w:rsid w:val="00C748F6"/>
    <w:rsid w:val="00C74D9E"/>
    <w:rsid w:val="00C74E80"/>
    <w:rsid w:val="00C74FCE"/>
    <w:rsid w:val="00C750C8"/>
    <w:rsid w:val="00C7560F"/>
    <w:rsid w:val="00C761A9"/>
    <w:rsid w:val="00C76794"/>
    <w:rsid w:val="00C77B6B"/>
    <w:rsid w:val="00C8092E"/>
    <w:rsid w:val="00C80A0E"/>
    <w:rsid w:val="00C8213F"/>
    <w:rsid w:val="00C8303F"/>
    <w:rsid w:val="00C83DDB"/>
    <w:rsid w:val="00C84F9C"/>
    <w:rsid w:val="00C85154"/>
    <w:rsid w:val="00C8588F"/>
    <w:rsid w:val="00C85A70"/>
    <w:rsid w:val="00C85AFD"/>
    <w:rsid w:val="00C86406"/>
    <w:rsid w:val="00C8797A"/>
    <w:rsid w:val="00C900B8"/>
    <w:rsid w:val="00C90197"/>
    <w:rsid w:val="00C90C71"/>
    <w:rsid w:val="00C91FD1"/>
    <w:rsid w:val="00C9253F"/>
    <w:rsid w:val="00C931CF"/>
    <w:rsid w:val="00C93301"/>
    <w:rsid w:val="00C938CF"/>
    <w:rsid w:val="00C93976"/>
    <w:rsid w:val="00C939FC"/>
    <w:rsid w:val="00C94053"/>
    <w:rsid w:val="00C9624D"/>
    <w:rsid w:val="00C9627D"/>
    <w:rsid w:val="00C96983"/>
    <w:rsid w:val="00C969DA"/>
    <w:rsid w:val="00C96B67"/>
    <w:rsid w:val="00C9786A"/>
    <w:rsid w:val="00CA28C3"/>
    <w:rsid w:val="00CA2C77"/>
    <w:rsid w:val="00CA4288"/>
    <w:rsid w:val="00CA444F"/>
    <w:rsid w:val="00CA4FD6"/>
    <w:rsid w:val="00CA5245"/>
    <w:rsid w:val="00CA53EF"/>
    <w:rsid w:val="00CA5596"/>
    <w:rsid w:val="00CA5827"/>
    <w:rsid w:val="00CA68B9"/>
    <w:rsid w:val="00CA6B84"/>
    <w:rsid w:val="00CA71F4"/>
    <w:rsid w:val="00CA727E"/>
    <w:rsid w:val="00CA73AF"/>
    <w:rsid w:val="00CA7B09"/>
    <w:rsid w:val="00CA7C5D"/>
    <w:rsid w:val="00CA7D33"/>
    <w:rsid w:val="00CB04DF"/>
    <w:rsid w:val="00CB12A5"/>
    <w:rsid w:val="00CB17F1"/>
    <w:rsid w:val="00CB1CAC"/>
    <w:rsid w:val="00CB21EF"/>
    <w:rsid w:val="00CB234F"/>
    <w:rsid w:val="00CB2F2A"/>
    <w:rsid w:val="00CB5B1A"/>
    <w:rsid w:val="00CB64D9"/>
    <w:rsid w:val="00CB6B22"/>
    <w:rsid w:val="00CB7F5F"/>
    <w:rsid w:val="00CC0EFE"/>
    <w:rsid w:val="00CC1B1A"/>
    <w:rsid w:val="00CC1B39"/>
    <w:rsid w:val="00CC1BFA"/>
    <w:rsid w:val="00CC2932"/>
    <w:rsid w:val="00CC2E9F"/>
    <w:rsid w:val="00CC35EA"/>
    <w:rsid w:val="00CC3848"/>
    <w:rsid w:val="00CC3A92"/>
    <w:rsid w:val="00CC3F44"/>
    <w:rsid w:val="00CC46DF"/>
    <w:rsid w:val="00CC5BCB"/>
    <w:rsid w:val="00CC5F5E"/>
    <w:rsid w:val="00CC5FF2"/>
    <w:rsid w:val="00CC608B"/>
    <w:rsid w:val="00CC6BBF"/>
    <w:rsid w:val="00CC6CDF"/>
    <w:rsid w:val="00CC6D5E"/>
    <w:rsid w:val="00CC7F2E"/>
    <w:rsid w:val="00CD0200"/>
    <w:rsid w:val="00CD033A"/>
    <w:rsid w:val="00CD0BAE"/>
    <w:rsid w:val="00CD11A0"/>
    <w:rsid w:val="00CD1E96"/>
    <w:rsid w:val="00CD21DB"/>
    <w:rsid w:val="00CD33F9"/>
    <w:rsid w:val="00CD3F77"/>
    <w:rsid w:val="00CD4DB5"/>
    <w:rsid w:val="00CD4E98"/>
    <w:rsid w:val="00CD5729"/>
    <w:rsid w:val="00CD6442"/>
    <w:rsid w:val="00CD6ADC"/>
    <w:rsid w:val="00CD6BB7"/>
    <w:rsid w:val="00CD7193"/>
    <w:rsid w:val="00CD7B3C"/>
    <w:rsid w:val="00CD7D28"/>
    <w:rsid w:val="00CE04D1"/>
    <w:rsid w:val="00CE15ED"/>
    <w:rsid w:val="00CE1C5C"/>
    <w:rsid w:val="00CE2677"/>
    <w:rsid w:val="00CE26B5"/>
    <w:rsid w:val="00CE38C8"/>
    <w:rsid w:val="00CE3913"/>
    <w:rsid w:val="00CE4062"/>
    <w:rsid w:val="00CE41B0"/>
    <w:rsid w:val="00CE428B"/>
    <w:rsid w:val="00CE524F"/>
    <w:rsid w:val="00CE58CC"/>
    <w:rsid w:val="00CE6274"/>
    <w:rsid w:val="00CE64AC"/>
    <w:rsid w:val="00CE670B"/>
    <w:rsid w:val="00CE77B6"/>
    <w:rsid w:val="00CE7B34"/>
    <w:rsid w:val="00CF110E"/>
    <w:rsid w:val="00CF17D7"/>
    <w:rsid w:val="00CF17EA"/>
    <w:rsid w:val="00CF1C1A"/>
    <w:rsid w:val="00CF2B8D"/>
    <w:rsid w:val="00CF3A1B"/>
    <w:rsid w:val="00CF3E57"/>
    <w:rsid w:val="00CF456B"/>
    <w:rsid w:val="00CF47E8"/>
    <w:rsid w:val="00CF4DCD"/>
    <w:rsid w:val="00CF5A22"/>
    <w:rsid w:val="00CF7CC9"/>
    <w:rsid w:val="00CF7E91"/>
    <w:rsid w:val="00D01B87"/>
    <w:rsid w:val="00D0239F"/>
    <w:rsid w:val="00D0262E"/>
    <w:rsid w:val="00D028DD"/>
    <w:rsid w:val="00D03679"/>
    <w:rsid w:val="00D03A66"/>
    <w:rsid w:val="00D043D2"/>
    <w:rsid w:val="00D045BA"/>
    <w:rsid w:val="00D05E3D"/>
    <w:rsid w:val="00D06139"/>
    <w:rsid w:val="00D06877"/>
    <w:rsid w:val="00D06DC5"/>
    <w:rsid w:val="00D10A8F"/>
    <w:rsid w:val="00D10ACD"/>
    <w:rsid w:val="00D110BD"/>
    <w:rsid w:val="00D13675"/>
    <w:rsid w:val="00D13E01"/>
    <w:rsid w:val="00D141E1"/>
    <w:rsid w:val="00D151B9"/>
    <w:rsid w:val="00D15314"/>
    <w:rsid w:val="00D15B48"/>
    <w:rsid w:val="00D15BF0"/>
    <w:rsid w:val="00D15CA7"/>
    <w:rsid w:val="00D17961"/>
    <w:rsid w:val="00D17D6C"/>
    <w:rsid w:val="00D20318"/>
    <w:rsid w:val="00D2068F"/>
    <w:rsid w:val="00D20C15"/>
    <w:rsid w:val="00D2155B"/>
    <w:rsid w:val="00D21850"/>
    <w:rsid w:val="00D22C13"/>
    <w:rsid w:val="00D23315"/>
    <w:rsid w:val="00D239DB"/>
    <w:rsid w:val="00D23D11"/>
    <w:rsid w:val="00D23F29"/>
    <w:rsid w:val="00D240C2"/>
    <w:rsid w:val="00D244B6"/>
    <w:rsid w:val="00D24B8C"/>
    <w:rsid w:val="00D24E47"/>
    <w:rsid w:val="00D25A5F"/>
    <w:rsid w:val="00D25AA3"/>
    <w:rsid w:val="00D26BE9"/>
    <w:rsid w:val="00D2754D"/>
    <w:rsid w:val="00D27B27"/>
    <w:rsid w:val="00D30D5B"/>
    <w:rsid w:val="00D31224"/>
    <w:rsid w:val="00D32886"/>
    <w:rsid w:val="00D33BE9"/>
    <w:rsid w:val="00D33F93"/>
    <w:rsid w:val="00D342DD"/>
    <w:rsid w:val="00D357FF"/>
    <w:rsid w:val="00D3597A"/>
    <w:rsid w:val="00D35B54"/>
    <w:rsid w:val="00D369D7"/>
    <w:rsid w:val="00D40332"/>
    <w:rsid w:val="00D42479"/>
    <w:rsid w:val="00D424C7"/>
    <w:rsid w:val="00D425DA"/>
    <w:rsid w:val="00D43095"/>
    <w:rsid w:val="00D43658"/>
    <w:rsid w:val="00D43B2A"/>
    <w:rsid w:val="00D43CF1"/>
    <w:rsid w:val="00D43D83"/>
    <w:rsid w:val="00D45383"/>
    <w:rsid w:val="00D45C92"/>
    <w:rsid w:val="00D47575"/>
    <w:rsid w:val="00D477D0"/>
    <w:rsid w:val="00D477D1"/>
    <w:rsid w:val="00D47E12"/>
    <w:rsid w:val="00D5243B"/>
    <w:rsid w:val="00D52B33"/>
    <w:rsid w:val="00D5313E"/>
    <w:rsid w:val="00D533EC"/>
    <w:rsid w:val="00D534E1"/>
    <w:rsid w:val="00D5353A"/>
    <w:rsid w:val="00D54AA6"/>
    <w:rsid w:val="00D54B0A"/>
    <w:rsid w:val="00D54CCA"/>
    <w:rsid w:val="00D557BC"/>
    <w:rsid w:val="00D55FAA"/>
    <w:rsid w:val="00D56A95"/>
    <w:rsid w:val="00D578D6"/>
    <w:rsid w:val="00D6076E"/>
    <w:rsid w:val="00D619C6"/>
    <w:rsid w:val="00D65170"/>
    <w:rsid w:val="00D651A0"/>
    <w:rsid w:val="00D65BAB"/>
    <w:rsid w:val="00D70173"/>
    <w:rsid w:val="00D706CB"/>
    <w:rsid w:val="00D70F16"/>
    <w:rsid w:val="00D71D06"/>
    <w:rsid w:val="00D723D4"/>
    <w:rsid w:val="00D724FB"/>
    <w:rsid w:val="00D72617"/>
    <w:rsid w:val="00D72F57"/>
    <w:rsid w:val="00D73A1B"/>
    <w:rsid w:val="00D74D56"/>
    <w:rsid w:val="00D766AB"/>
    <w:rsid w:val="00D76A44"/>
    <w:rsid w:val="00D80B33"/>
    <w:rsid w:val="00D815EF"/>
    <w:rsid w:val="00D816BE"/>
    <w:rsid w:val="00D81949"/>
    <w:rsid w:val="00D81F26"/>
    <w:rsid w:val="00D822E2"/>
    <w:rsid w:val="00D843A0"/>
    <w:rsid w:val="00D843F2"/>
    <w:rsid w:val="00D845B5"/>
    <w:rsid w:val="00D85197"/>
    <w:rsid w:val="00D851F9"/>
    <w:rsid w:val="00D85592"/>
    <w:rsid w:val="00D86231"/>
    <w:rsid w:val="00D878E6"/>
    <w:rsid w:val="00D90584"/>
    <w:rsid w:val="00D90EA3"/>
    <w:rsid w:val="00D912AB"/>
    <w:rsid w:val="00D9163C"/>
    <w:rsid w:val="00D91923"/>
    <w:rsid w:val="00D92230"/>
    <w:rsid w:val="00D92D9D"/>
    <w:rsid w:val="00D93724"/>
    <w:rsid w:val="00D93753"/>
    <w:rsid w:val="00D94AD1"/>
    <w:rsid w:val="00D952DE"/>
    <w:rsid w:val="00D960AB"/>
    <w:rsid w:val="00D97AA8"/>
    <w:rsid w:val="00DA0D7B"/>
    <w:rsid w:val="00DA291F"/>
    <w:rsid w:val="00DA3167"/>
    <w:rsid w:val="00DA46FE"/>
    <w:rsid w:val="00DA49EE"/>
    <w:rsid w:val="00DA4DC3"/>
    <w:rsid w:val="00DA595F"/>
    <w:rsid w:val="00DA664D"/>
    <w:rsid w:val="00DA771F"/>
    <w:rsid w:val="00DA77A5"/>
    <w:rsid w:val="00DA7973"/>
    <w:rsid w:val="00DB0631"/>
    <w:rsid w:val="00DB0D25"/>
    <w:rsid w:val="00DB0E36"/>
    <w:rsid w:val="00DB1CA8"/>
    <w:rsid w:val="00DB1E2E"/>
    <w:rsid w:val="00DB2723"/>
    <w:rsid w:val="00DB30DC"/>
    <w:rsid w:val="00DB32EB"/>
    <w:rsid w:val="00DB3DBF"/>
    <w:rsid w:val="00DB3E3D"/>
    <w:rsid w:val="00DB3E78"/>
    <w:rsid w:val="00DB4491"/>
    <w:rsid w:val="00DB484F"/>
    <w:rsid w:val="00DB4958"/>
    <w:rsid w:val="00DB6CF0"/>
    <w:rsid w:val="00DC0129"/>
    <w:rsid w:val="00DC04F6"/>
    <w:rsid w:val="00DC0690"/>
    <w:rsid w:val="00DC09F7"/>
    <w:rsid w:val="00DC1D65"/>
    <w:rsid w:val="00DC1DE1"/>
    <w:rsid w:val="00DC22F8"/>
    <w:rsid w:val="00DC25C0"/>
    <w:rsid w:val="00DC3219"/>
    <w:rsid w:val="00DC330F"/>
    <w:rsid w:val="00DC3901"/>
    <w:rsid w:val="00DC3C57"/>
    <w:rsid w:val="00DC3FB8"/>
    <w:rsid w:val="00DC42AE"/>
    <w:rsid w:val="00DC5501"/>
    <w:rsid w:val="00DC5DE4"/>
    <w:rsid w:val="00DC6804"/>
    <w:rsid w:val="00DC7154"/>
    <w:rsid w:val="00DC7E8A"/>
    <w:rsid w:val="00DD0327"/>
    <w:rsid w:val="00DD07DD"/>
    <w:rsid w:val="00DD0BD6"/>
    <w:rsid w:val="00DD0F78"/>
    <w:rsid w:val="00DD1DC8"/>
    <w:rsid w:val="00DD2697"/>
    <w:rsid w:val="00DD273C"/>
    <w:rsid w:val="00DD3F28"/>
    <w:rsid w:val="00DD4446"/>
    <w:rsid w:val="00DD4537"/>
    <w:rsid w:val="00DD4E15"/>
    <w:rsid w:val="00DD518D"/>
    <w:rsid w:val="00DD5BED"/>
    <w:rsid w:val="00DD5FA2"/>
    <w:rsid w:val="00DD75AA"/>
    <w:rsid w:val="00DE0A36"/>
    <w:rsid w:val="00DE2304"/>
    <w:rsid w:val="00DE25B9"/>
    <w:rsid w:val="00DE2E91"/>
    <w:rsid w:val="00DE3138"/>
    <w:rsid w:val="00DE33E3"/>
    <w:rsid w:val="00DE37F8"/>
    <w:rsid w:val="00DE3A39"/>
    <w:rsid w:val="00DE3C1C"/>
    <w:rsid w:val="00DE3DDE"/>
    <w:rsid w:val="00DE413C"/>
    <w:rsid w:val="00DE4273"/>
    <w:rsid w:val="00DE4425"/>
    <w:rsid w:val="00DE4FCB"/>
    <w:rsid w:val="00DE4FE7"/>
    <w:rsid w:val="00DE5D07"/>
    <w:rsid w:val="00DE5F6D"/>
    <w:rsid w:val="00DE61B8"/>
    <w:rsid w:val="00DE6AF8"/>
    <w:rsid w:val="00DE72A7"/>
    <w:rsid w:val="00DE7701"/>
    <w:rsid w:val="00DE7832"/>
    <w:rsid w:val="00DF0C74"/>
    <w:rsid w:val="00DF18F6"/>
    <w:rsid w:val="00DF18FC"/>
    <w:rsid w:val="00DF21C5"/>
    <w:rsid w:val="00DF32EB"/>
    <w:rsid w:val="00DF3E56"/>
    <w:rsid w:val="00DF44C7"/>
    <w:rsid w:val="00DF49BF"/>
    <w:rsid w:val="00DF4A86"/>
    <w:rsid w:val="00DF501F"/>
    <w:rsid w:val="00DF5D2B"/>
    <w:rsid w:val="00DF5FA4"/>
    <w:rsid w:val="00DF6341"/>
    <w:rsid w:val="00DF6790"/>
    <w:rsid w:val="00DF6994"/>
    <w:rsid w:val="00DF79B6"/>
    <w:rsid w:val="00DF7DF3"/>
    <w:rsid w:val="00E00E8E"/>
    <w:rsid w:val="00E018F0"/>
    <w:rsid w:val="00E01F79"/>
    <w:rsid w:val="00E02B8F"/>
    <w:rsid w:val="00E03B9F"/>
    <w:rsid w:val="00E042D3"/>
    <w:rsid w:val="00E05630"/>
    <w:rsid w:val="00E05E70"/>
    <w:rsid w:val="00E05F59"/>
    <w:rsid w:val="00E06183"/>
    <w:rsid w:val="00E06BDB"/>
    <w:rsid w:val="00E06DBB"/>
    <w:rsid w:val="00E10149"/>
    <w:rsid w:val="00E11239"/>
    <w:rsid w:val="00E11340"/>
    <w:rsid w:val="00E11858"/>
    <w:rsid w:val="00E11BF3"/>
    <w:rsid w:val="00E122A1"/>
    <w:rsid w:val="00E15DB4"/>
    <w:rsid w:val="00E16372"/>
    <w:rsid w:val="00E16AD8"/>
    <w:rsid w:val="00E1779A"/>
    <w:rsid w:val="00E17C87"/>
    <w:rsid w:val="00E17DAD"/>
    <w:rsid w:val="00E17FFA"/>
    <w:rsid w:val="00E20E4D"/>
    <w:rsid w:val="00E20ED6"/>
    <w:rsid w:val="00E21358"/>
    <w:rsid w:val="00E21368"/>
    <w:rsid w:val="00E2249B"/>
    <w:rsid w:val="00E22A0D"/>
    <w:rsid w:val="00E2320A"/>
    <w:rsid w:val="00E23255"/>
    <w:rsid w:val="00E244F6"/>
    <w:rsid w:val="00E24E3B"/>
    <w:rsid w:val="00E2563B"/>
    <w:rsid w:val="00E258DB"/>
    <w:rsid w:val="00E25D87"/>
    <w:rsid w:val="00E26931"/>
    <w:rsid w:val="00E2771E"/>
    <w:rsid w:val="00E277F4"/>
    <w:rsid w:val="00E30EE3"/>
    <w:rsid w:val="00E311EF"/>
    <w:rsid w:val="00E32180"/>
    <w:rsid w:val="00E337D6"/>
    <w:rsid w:val="00E340BB"/>
    <w:rsid w:val="00E34126"/>
    <w:rsid w:val="00E34290"/>
    <w:rsid w:val="00E34948"/>
    <w:rsid w:val="00E359F5"/>
    <w:rsid w:val="00E35B15"/>
    <w:rsid w:val="00E360F4"/>
    <w:rsid w:val="00E363B0"/>
    <w:rsid w:val="00E37280"/>
    <w:rsid w:val="00E37569"/>
    <w:rsid w:val="00E37E53"/>
    <w:rsid w:val="00E401B2"/>
    <w:rsid w:val="00E40A1F"/>
    <w:rsid w:val="00E4115A"/>
    <w:rsid w:val="00E41E30"/>
    <w:rsid w:val="00E42AA8"/>
    <w:rsid w:val="00E42D03"/>
    <w:rsid w:val="00E42D21"/>
    <w:rsid w:val="00E42D3D"/>
    <w:rsid w:val="00E42F73"/>
    <w:rsid w:val="00E43130"/>
    <w:rsid w:val="00E438FD"/>
    <w:rsid w:val="00E43D70"/>
    <w:rsid w:val="00E44026"/>
    <w:rsid w:val="00E4466A"/>
    <w:rsid w:val="00E450D5"/>
    <w:rsid w:val="00E4635F"/>
    <w:rsid w:val="00E466F3"/>
    <w:rsid w:val="00E46B16"/>
    <w:rsid w:val="00E46D85"/>
    <w:rsid w:val="00E47B2C"/>
    <w:rsid w:val="00E50C10"/>
    <w:rsid w:val="00E51387"/>
    <w:rsid w:val="00E51560"/>
    <w:rsid w:val="00E51665"/>
    <w:rsid w:val="00E51821"/>
    <w:rsid w:val="00E52829"/>
    <w:rsid w:val="00E5286A"/>
    <w:rsid w:val="00E531A0"/>
    <w:rsid w:val="00E5335E"/>
    <w:rsid w:val="00E53993"/>
    <w:rsid w:val="00E53FC8"/>
    <w:rsid w:val="00E54347"/>
    <w:rsid w:val="00E548AD"/>
    <w:rsid w:val="00E5494D"/>
    <w:rsid w:val="00E54FE9"/>
    <w:rsid w:val="00E55424"/>
    <w:rsid w:val="00E55620"/>
    <w:rsid w:val="00E55915"/>
    <w:rsid w:val="00E55BB5"/>
    <w:rsid w:val="00E56264"/>
    <w:rsid w:val="00E56B5A"/>
    <w:rsid w:val="00E602C9"/>
    <w:rsid w:val="00E6094C"/>
    <w:rsid w:val="00E61136"/>
    <w:rsid w:val="00E611DF"/>
    <w:rsid w:val="00E627CA"/>
    <w:rsid w:val="00E633F9"/>
    <w:rsid w:val="00E63630"/>
    <w:rsid w:val="00E6465D"/>
    <w:rsid w:val="00E6473E"/>
    <w:rsid w:val="00E649D7"/>
    <w:rsid w:val="00E64C12"/>
    <w:rsid w:val="00E65E79"/>
    <w:rsid w:val="00E66BA2"/>
    <w:rsid w:val="00E66F35"/>
    <w:rsid w:val="00E67052"/>
    <w:rsid w:val="00E67416"/>
    <w:rsid w:val="00E679C7"/>
    <w:rsid w:val="00E67F83"/>
    <w:rsid w:val="00E7117D"/>
    <w:rsid w:val="00E718B6"/>
    <w:rsid w:val="00E72239"/>
    <w:rsid w:val="00E723BA"/>
    <w:rsid w:val="00E7282D"/>
    <w:rsid w:val="00E73581"/>
    <w:rsid w:val="00E7469D"/>
    <w:rsid w:val="00E74D9C"/>
    <w:rsid w:val="00E75580"/>
    <w:rsid w:val="00E7633D"/>
    <w:rsid w:val="00E773FE"/>
    <w:rsid w:val="00E81DBB"/>
    <w:rsid w:val="00E82D56"/>
    <w:rsid w:val="00E833F7"/>
    <w:rsid w:val="00E837C2"/>
    <w:rsid w:val="00E83BDF"/>
    <w:rsid w:val="00E84251"/>
    <w:rsid w:val="00E842D6"/>
    <w:rsid w:val="00E8511F"/>
    <w:rsid w:val="00E8668B"/>
    <w:rsid w:val="00E86FCC"/>
    <w:rsid w:val="00E87782"/>
    <w:rsid w:val="00E87A1D"/>
    <w:rsid w:val="00E9013B"/>
    <w:rsid w:val="00E90517"/>
    <w:rsid w:val="00E9094A"/>
    <w:rsid w:val="00E91308"/>
    <w:rsid w:val="00E91D35"/>
    <w:rsid w:val="00E926A5"/>
    <w:rsid w:val="00E962CC"/>
    <w:rsid w:val="00E9673A"/>
    <w:rsid w:val="00E977FA"/>
    <w:rsid w:val="00EA0ADE"/>
    <w:rsid w:val="00EA0B2E"/>
    <w:rsid w:val="00EA17C3"/>
    <w:rsid w:val="00EA1E7D"/>
    <w:rsid w:val="00EA2217"/>
    <w:rsid w:val="00EA2CAA"/>
    <w:rsid w:val="00EA3864"/>
    <w:rsid w:val="00EA3968"/>
    <w:rsid w:val="00EA44B9"/>
    <w:rsid w:val="00EA4537"/>
    <w:rsid w:val="00EA4C7C"/>
    <w:rsid w:val="00EA6614"/>
    <w:rsid w:val="00EA753B"/>
    <w:rsid w:val="00EA7F1C"/>
    <w:rsid w:val="00EB15B6"/>
    <w:rsid w:val="00EB33A4"/>
    <w:rsid w:val="00EB3806"/>
    <w:rsid w:val="00EB3ABC"/>
    <w:rsid w:val="00EB3D06"/>
    <w:rsid w:val="00EB4916"/>
    <w:rsid w:val="00EB593D"/>
    <w:rsid w:val="00EB5C3E"/>
    <w:rsid w:val="00EB7231"/>
    <w:rsid w:val="00EB7677"/>
    <w:rsid w:val="00EC00C9"/>
    <w:rsid w:val="00EC02AF"/>
    <w:rsid w:val="00EC0DD9"/>
    <w:rsid w:val="00EC10B4"/>
    <w:rsid w:val="00EC2649"/>
    <w:rsid w:val="00EC31ED"/>
    <w:rsid w:val="00EC3578"/>
    <w:rsid w:val="00EC3619"/>
    <w:rsid w:val="00EC4C67"/>
    <w:rsid w:val="00EC4DD8"/>
    <w:rsid w:val="00EC506B"/>
    <w:rsid w:val="00EC52FC"/>
    <w:rsid w:val="00EC5313"/>
    <w:rsid w:val="00EC5836"/>
    <w:rsid w:val="00EC5DDF"/>
    <w:rsid w:val="00EC688C"/>
    <w:rsid w:val="00ED02F1"/>
    <w:rsid w:val="00ED0A9C"/>
    <w:rsid w:val="00ED0CBB"/>
    <w:rsid w:val="00ED12E3"/>
    <w:rsid w:val="00ED2468"/>
    <w:rsid w:val="00ED348D"/>
    <w:rsid w:val="00ED3E1E"/>
    <w:rsid w:val="00ED42DE"/>
    <w:rsid w:val="00ED4B04"/>
    <w:rsid w:val="00ED529F"/>
    <w:rsid w:val="00ED57EA"/>
    <w:rsid w:val="00ED585A"/>
    <w:rsid w:val="00ED5BD4"/>
    <w:rsid w:val="00ED61B0"/>
    <w:rsid w:val="00ED6267"/>
    <w:rsid w:val="00ED6AA4"/>
    <w:rsid w:val="00ED724C"/>
    <w:rsid w:val="00ED73D5"/>
    <w:rsid w:val="00ED7D75"/>
    <w:rsid w:val="00EE07D3"/>
    <w:rsid w:val="00EE0B2D"/>
    <w:rsid w:val="00EE1673"/>
    <w:rsid w:val="00EE1996"/>
    <w:rsid w:val="00EE1C01"/>
    <w:rsid w:val="00EE1CCC"/>
    <w:rsid w:val="00EE22AF"/>
    <w:rsid w:val="00EE3A8E"/>
    <w:rsid w:val="00EE4763"/>
    <w:rsid w:val="00EE63C7"/>
    <w:rsid w:val="00EE67B4"/>
    <w:rsid w:val="00EE6B05"/>
    <w:rsid w:val="00EE6D8A"/>
    <w:rsid w:val="00EE7434"/>
    <w:rsid w:val="00EE750B"/>
    <w:rsid w:val="00EE7FAF"/>
    <w:rsid w:val="00EF0171"/>
    <w:rsid w:val="00EF0BA6"/>
    <w:rsid w:val="00EF1225"/>
    <w:rsid w:val="00EF16D8"/>
    <w:rsid w:val="00EF1747"/>
    <w:rsid w:val="00EF1B25"/>
    <w:rsid w:val="00EF1DA0"/>
    <w:rsid w:val="00EF1EBE"/>
    <w:rsid w:val="00EF31DB"/>
    <w:rsid w:val="00EF348B"/>
    <w:rsid w:val="00EF39D4"/>
    <w:rsid w:val="00EF4747"/>
    <w:rsid w:val="00EF4A41"/>
    <w:rsid w:val="00EF4AA3"/>
    <w:rsid w:val="00EF4BF8"/>
    <w:rsid w:val="00EF4C45"/>
    <w:rsid w:val="00EF5E88"/>
    <w:rsid w:val="00EF6362"/>
    <w:rsid w:val="00EF6A83"/>
    <w:rsid w:val="00EF7E4E"/>
    <w:rsid w:val="00F001CF"/>
    <w:rsid w:val="00F00D78"/>
    <w:rsid w:val="00F00FE1"/>
    <w:rsid w:val="00F01273"/>
    <w:rsid w:val="00F01945"/>
    <w:rsid w:val="00F02253"/>
    <w:rsid w:val="00F030AF"/>
    <w:rsid w:val="00F03C2E"/>
    <w:rsid w:val="00F0452A"/>
    <w:rsid w:val="00F04A66"/>
    <w:rsid w:val="00F04B4B"/>
    <w:rsid w:val="00F04CDD"/>
    <w:rsid w:val="00F05116"/>
    <w:rsid w:val="00F0516C"/>
    <w:rsid w:val="00F05FD5"/>
    <w:rsid w:val="00F063C2"/>
    <w:rsid w:val="00F067A2"/>
    <w:rsid w:val="00F0704D"/>
    <w:rsid w:val="00F073D9"/>
    <w:rsid w:val="00F076BE"/>
    <w:rsid w:val="00F07B9E"/>
    <w:rsid w:val="00F10C64"/>
    <w:rsid w:val="00F1116F"/>
    <w:rsid w:val="00F11CEF"/>
    <w:rsid w:val="00F1263A"/>
    <w:rsid w:val="00F13294"/>
    <w:rsid w:val="00F134DF"/>
    <w:rsid w:val="00F139C5"/>
    <w:rsid w:val="00F1411A"/>
    <w:rsid w:val="00F14876"/>
    <w:rsid w:val="00F15B77"/>
    <w:rsid w:val="00F2068E"/>
    <w:rsid w:val="00F21236"/>
    <w:rsid w:val="00F216FC"/>
    <w:rsid w:val="00F21B4C"/>
    <w:rsid w:val="00F22F6B"/>
    <w:rsid w:val="00F22FCD"/>
    <w:rsid w:val="00F23178"/>
    <w:rsid w:val="00F239DF"/>
    <w:rsid w:val="00F242E7"/>
    <w:rsid w:val="00F24725"/>
    <w:rsid w:val="00F24837"/>
    <w:rsid w:val="00F24F0F"/>
    <w:rsid w:val="00F25164"/>
    <w:rsid w:val="00F2536B"/>
    <w:rsid w:val="00F25447"/>
    <w:rsid w:val="00F2575F"/>
    <w:rsid w:val="00F25831"/>
    <w:rsid w:val="00F25945"/>
    <w:rsid w:val="00F26CEF"/>
    <w:rsid w:val="00F26EEA"/>
    <w:rsid w:val="00F27228"/>
    <w:rsid w:val="00F27565"/>
    <w:rsid w:val="00F310D4"/>
    <w:rsid w:val="00F31788"/>
    <w:rsid w:val="00F31A7C"/>
    <w:rsid w:val="00F31D5A"/>
    <w:rsid w:val="00F32162"/>
    <w:rsid w:val="00F3239A"/>
    <w:rsid w:val="00F32555"/>
    <w:rsid w:val="00F33048"/>
    <w:rsid w:val="00F332F8"/>
    <w:rsid w:val="00F33975"/>
    <w:rsid w:val="00F33DE9"/>
    <w:rsid w:val="00F354D4"/>
    <w:rsid w:val="00F35E6D"/>
    <w:rsid w:val="00F3619A"/>
    <w:rsid w:val="00F37273"/>
    <w:rsid w:val="00F40732"/>
    <w:rsid w:val="00F40AAA"/>
    <w:rsid w:val="00F40BA7"/>
    <w:rsid w:val="00F40F9D"/>
    <w:rsid w:val="00F411F5"/>
    <w:rsid w:val="00F41ACD"/>
    <w:rsid w:val="00F4243A"/>
    <w:rsid w:val="00F42D24"/>
    <w:rsid w:val="00F444A6"/>
    <w:rsid w:val="00F44E69"/>
    <w:rsid w:val="00F4579A"/>
    <w:rsid w:val="00F46CB6"/>
    <w:rsid w:val="00F473D4"/>
    <w:rsid w:val="00F4756D"/>
    <w:rsid w:val="00F47DE8"/>
    <w:rsid w:val="00F5070E"/>
    <w:rsid w:val="00F51446"/>
    <w:rsid w:val="00F51759"/>
    <w:rsid w:val="00F518EC"/>
    <w:rsid w:val="00F52318"/>
    <w:rsid w:val="00F52A69"/>
    <w:rsid w:val="00F542C1"/>
    <w:rsid w:val="00F550E3"/>
    <w:rsid w:val="00F55367"/>
    <w:rsid w:val="00F55E73"/>
    <w:rsid w:val="00F55EDA"/>
    <w:rsid w:val="00F569A8"/>
    <w:rsid w:val="00F56BFD"/>
    <w:rsid w:val="00F56C80"/>
    <w:rsid w:val="00F56EBC"/>
    <w:rsid w:val="00F575CD"/>
    <w:rsid w:val="00F60088"/>
    <w:rsid w:val="00F60092"/>
    <w:rsid w:val="00F60C63"/>
    <w:rsid w:val="00F611FF"/>
    <w:rsid w:val="00F61C18"/>
    <w:rsid w:val="00F625C3"/>
    <w:rsid w:val="00F633B6"/>
    <w:rsid w:val="00F64B86"/>
    <w:rsid w:val="00F65F4B"/>
    <w:rsid w:val="00F66254"/>
    <w:rsid w:val="00F667C9"/>
    <w:rsid w:val="00F670BE"/>
    <w:rsid w:val="00F67A69"/>
    <w:rsid w:val="00F70373"/>
    <w:rsid w:val="00F709D1"/>
    <w:rsid w:val="00F70B3F"/>
    <w:rsid w:val="00F70BFF"/>
    <w:rsid w:val="00F70C9D"/>
    <w:rsid w:val="00F71704"/>
    <w:rsid w:val="00F72947"/>
    <w:rsid w:val="00F7329B"/>
    <w:rsid w:val="00F73E08"/>
    <w:rsid w:val="00F7490B"/>
    <w:rsid w:val="00F74CD9"/>
    <w:rsid w:val="00F761FB"/>
    <w:rsid w:val="00F77069"/>
    <w:rsid w:val="00F77612"/>
    <w:rsid w:val="00F80A7B"/>
    <w:rsid w:val="00F80E5D"/>
    <w:rsid w:val="00F817A3"/>
    <w:rsid w:val="00F81D41"/>
    <w:rsid w:val="00F81E78"/>
    <w:rsid w:val="00F83916"/>
    <w:rsid w:val="00F84688"/>
    <w:rsid w:val="00F84E18"/>
    <w:rsid w:val="00F84E81"/>
    <w:rsid w:val="00F851CE"/>
    <w:rsid w:val="00F8679E"/>
    <w:rsid w:val="00F86EB8"/>
    <w:rsid w:val="00F87569"/>
    <w:rsid w:val="00F901E8"/>
    <w:rsid w:val="00F90A8F"/>
    <w:rsid w:val="00F91219"/>
    <w:rsid w:val="00F915B3"/>
    <w:rsid w:val="00F91ED2"/>
    <w:rsid w:val="00F92444"/>
    <w:rsid w:val="00F93431"/>
    <w:rsid w:val="00F9393E"/>
    <w:rsid w:val="00F94CA2"/>
    <w:rsid w:val="00F9568A"/>
    <w:rsid w:val="00F963D6"/>
    <w:rsid w:val="00F964B6"/>
    <w:rsid w:val="00F96CFF"/>
    <w:rsid w:val="00F96FD0"/>
    <w:rsid w:val="00F97A78"/>
    <w:rsid w:val="00F97C59"/>
    <w:rsid w:val="00FA04A6"/>
    <w:rsid w:val="00FA0635"/>
    <w:rsid w:val="00FA0B20"/>
    <w:rsid w:val="00FA150A"/>
    <w:rsid w:val="00FA24E7"/>
    <w:rsid w:val="00FA2B1E"/>
    <w:rsid w:val="00FA2B7F"/>
    <w:rsid w:val="00FA2EDB"/>
    <w:rsid w:val="00FA3463"/>
    <w:rsid w:val="00FA3F38"/>
    <w:rsid w:val="00FA5EC7"/>
    <w:rsid w:val="00FA5EE6"/>
    <w:rsid w:val="00FA7956"/>
    <w:rsid w:val="00FB0824"/>
    <w:rsid w:val="00FB089A"/>
    <w:rsid w:val="00FB1195"/>
    <w:rsid w:val="00FB14BD"/>
    <w:rsid w:val="00FB1DB7"/>
    <w:rsid w:val="00FB202C"/>
    <w:rsid w:val="00FB2760"/>
    <w:rsid w:val="00FB290B"/>
    <w:rsid w:val="00FB2FCB"/>
    <w:rsid w:val="00FB390B"/>
    <w:rsid w:val="00FB3FEF"/>
    <w:rsid w:val="00FB42B7"/>
    <w:rsid w:val="00FB4A0B"/>
    <w:rsid w:val="00FB4C9C"/>
    <w:rsid w:val="00FB6172"/>
    <w:rsid w:val="00FB7C55"/>
    <w:rsid w:val="00FC1074"/>
    <w:rsid w:val="00FC1884"/>
    <w:rsid w:val="00FC2EE8"/>
    <w:rsid w:val="00FC3367"/>
    <w:rsid w:val="00FC371D"/>
    <w:rsid w:val="00FC3AB1"/>
    <w:rsid w:val="00FC3CFE"/>
    <w:rsid w:val="00FC5F0B"/>
    <w:rsid w:val="00FC7F8B"/>
    <w:rsid w:val="00FD1274"/>
    <w:rsid w:val="00FD2100"/>
    <w:rsid w:val="00FD2596"/>
    <w:rsid w:val="00FD2A15"/>
    <w:rsid w:val="00FD3F96"/>
    <w:rsid w:val="00FD4113"/>
    <w:rsid w:val="00FD436C"/>
    <w:rsid w:val="00FD446D"/>
    <w:rsid w:val="00FD4F2C"/>
    <w:rsid w:val="00FD6394"/>
    <w:rsid w:val="00FD74F1"/>
    <w:rsid w:val="00FD7846"/>
    <w:rsid w:val="00FE02DE"/>
    <w:rsid w:val="00FE0E6C"/>
    <w:rsid w:val="00FE0EB1"/>
    <w:rsid w:val="00FE1854"/>
    <w:rsid w:val="00FE1CDC"/>
    <w:rsid w:val="00FE21CB"/>
    <w:rsid w:val="00FE25C1"/>
    <w:rsid w:val="00FE28FE"/>
    <w:rsid w:val="00FE346F"/>
    <w:rsid w:val="00FE47C4"/>
    <w:rsid w:val="00FE49E8"/>
    <w:rsid w:val="00FE5B89"/>
    <w:rsid w:val="00FE67CE"/>
    <w:rsid w:val="00FE70C3"/>
    <w:rsid w:val="00FE79E6"/>
    <w:rsid w:val="00FF0938"/>
    <w:rsid w:val="00FF15D0"/>
    <w:rsid w:val="00FF1A8B"/>
    <w:rsid w:val="00FF2AD9"/>
    <w:rsid w:val="00FF359F"/>
    <w:rsid w:val="00FF3DCF"/>
    <w:rsid w:val="00FF3DD8"/>
    <w:rsid w:val="00FF3F29"/>
    <w:rsid w:val="00FF4474"/>
    <w:rsid w:val="00FF45E5"/>
    <w:rsid w:val="00FF492C"/>
    <w:rsid w:val="00FF4A21"/>
    <w:rsid w:val="00FF4EE5"/>
    <w:rsid w:val="00FF4FDF"/>
    <w:rsid w:val="00FF543A"/>
    <w:rsid w:val="00FF5AA3"/>
    <w:rsid w:val="00FF5AD8"/>
    <w:rsid w:val="00FF5E14"/>
    <w:rsid w:val="00FF5EE2"/>
    <w:rsid w:val="00FF672B"/>
    <w:rsid w:val="00FF75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69D"/>
    <w:pPr>
      <w:jc w:val="both"/>
    </w:pPr>
    <w:rPr>
      <w:rFonts w:asciiTheme="minorHAnsi" w:hAnsiTheme="minorHAnsi"/>
      <w:sz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har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Table Legend,Bullet1,Bullet List,Section 5,Styl moj"/>
    <w:link w:val="ListParagraphChar"/>
    <w:uiPriority w:val="34"/>
    <w:qFormat/>
    <w:rsid w:val="004C3B02"/>
    <w:pPr>
      <w:numPr>
        <w:numId w:val="7"/>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PBAC Table Footnote,~BaseStyl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Intext,new style,PBAC table,MSD Table Grid,RTI AMCP Table,HTAtableplain,Table Grid No Line,MP Table Grid,Dossier table,Summary Table,Section 3- footnotes,Conclusion box,Table Grid nm"/>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sz w:val="20"/>
    </w:rPr>
  </w:style>
  <w:style w:type="paragraph" w:styleId="TOC4">
    <w:name w:val="toc 4"/>
    <w:basedOn w:val="Normal"/>
    <w:next w:val="Normal"/>
    <w:autoRedefine/>
    <w:rsid w:val="00D0262E"/>
    <w:pPr>
      <w:ind w:left="660"/>
      <w:jc w:val="left"/>
    </w:pPr>
    <w:rPr>
      <w:sz w:val="20"/>
    </w:rPr>
  </w:style>
  <w:style w:type="paragraph" w:styleId="TOC5">
    <w:name w:val="toc 5"/>
    <w:basedOn w:val="Normal"/>
    <w:next w:val="Normal"/>
    <w:autoRedefine/>
    <w:rsid w:val="00D0262E"/>
    <w:pPr>
      <w:ind w:left="880"/>
      <w:jc w:val="left"/>
    </w:pPr>
    <w:rPr>
      <w:sz w:val="20"/>
    </w:rPr>
  </w:style>
  <w:style w:type="paragraph" w:styleId="TOC6">
    <w:name w:val="toc 6"/>
    <w:basedOn w:val="Normal"/>
    <w:next w:val="Normal"/>
    <w:autoRedefine/>
    <w:rsid w:val="00D0262E"/>
    <w:pPr>
      <w:ind w:left="1100"/>
      <w:jc w:val="left"/>
    </w:pPr>
    <w:rPr>
      <w:sz w:val="20"/>
    </w:rPr>
  </w:style>
  <w:style w:type="paragraph" w:styleId="TOC7">
    <w:name w:val="toc 7"/>
    <w:basedOn w:val="Normal"/>
    <w:next w:val="Normal"/>
    <w:autoRedefine/>
    <w:rsid w:val="00D0262E"/>
    <w:pPr>
      <w:ind w:left="1320"/>
      <w:jc w:val="left"/>
    </w:pPr>
    <w:rPr>
      <w:sz w:val="20"/>
    </w:rPr>
  </w:style>
  <w:style w:type="paragraph" w:styleId="TOC8">
    <w:name w:val="toc 8"/>
    <w:basedOn w:val="Normal"/>
    <w:next w:val="Normal"/>
    <w:autoRedefine/>
    <w:rsid w:val="00D0262E"/>
    <w:pPr>
      <w:ind w:left="1540"/>
      <w:jc w:val="left"/>
    </w:pPr>
    <w:rPr>
      <w:sz w:val="20"/>
    </w:rPr>
  </w:style>
  <w:style w:type="paragraph" w:styleId="TOC9">
    <w:name w:val="toc 9"/>
    <w:basedOn w:val="Normal"/>
    <w:next w:val="Normal"/>
    <w:autoRedefine/>
    <w:rsid w:val="00D0262E"/>
    <w:pPr>
      <w:ind w:left="1760"/>
      <w:jc w:val="left"/>
    </w:pPr>
    <w:rPr>
      <w:sz w:val="20"/>
    </w:rPr>
  </w:style>
  <w:style w:type="paragraph" w:styleId="CommentText">
    <w:name w:val="annotation text"/>
    <w:aliases w:val="Char7,Comment Text Char Char Char Char Char Char1 Ch,Comment Text Char Char1,Comment Text Char Char1 Char Char,Comment Text Char1 Char Char Char Char1 Char,Comment Text Char2,Comment Text Char2 Char Char, Char7,Comment Text Char Char Char"/>
    <w:basedOn w:val="Normal"/>
    <w:link w:val="CommentTextChar"/>
    <w:qFormat/>
    <w:rsid w:val="00FD2100"/>
    <w:rPr>
      <w:rFonts w:ascii="Times New Roman" w:hAnsi="Times New Roman"/>
      <w:sz w:val="20"/>
    </w:rPr>
  </w:style>
  <w:style w:type="character" w:customStyle="1" w:styleId="CommentTextChar">
    <w:name w:val="Comment Text Char"/>
    <w:aliases w:val="Char7 Char,Comment Text Char Char Char Char Char Char1 Ch Char,Comment Text Char Char1 Char,Comment Text Char Char1 Char Char Char,Comment Text Char1 Char Char Char Char1 Char Char,Comment Text Char2 Char, Char7 Char"/>
    <w:basedOn w:val="DefaultParagraphFont"/>
    <w:link w:val="CommentText"/>
    <w:qForma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5D4B43"/>
    <w:pPr>
      <w:keepLines/>
      <w:snapToGrid w:val="0"/>
    </w:pPr>
    <w:rPr>
      <w:rFonts w:ascii="Arial Narrow" w:eastAsiaTheme="majorEastAsia" w:hAnsi="Arial Narrow"/>
      <w:b/>
      <w:szCs w:val="24"/>
    </w:rPr>
  </w:style>
  <w:style w:type="paragraph" w:customStyle="1" w:styleId="2-SectionHeading">
    <w:name w:val="2-Section Heading"/>
    <w:next w:val="3-BodyText"/>
    <w:qFormat/>
    <w:rsid w:val="004C3B02"/>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8"/>
      </w:numPr>
      <w:spacing w:before="60" w:after="6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7F6A1E"/>
    <w:pPr>
      <w:keepNext/>
      <w:spacing w:before="120" w:after="120"/>
    </w:pPr>
    <w:rPr>
      <w:rFonts w:eastAsiaTheme="majorEastAsia"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7F6A1E"/>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6"/>
      </w:numPr>
      <w:ind w:left="720" w:hanging="720"/>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Commentary">
    <w:name w:val="Commentary"/>
    <w:basedOn w:val="Normal"/>
    <w:link w:val="CommentaryChar"/>
    <w:qFormat/>
    <w:rsid w:val="00577AB5"/>
    <w:pPr>
      <w:spacing w:before="120" w:after="120" w:line="276" w:lineRule="auto"/>
      <w:jc w:val="left"/>
    </w:pPr>
    <w:rPr>
      <w:rFonts w:eastAsia="Calibri"/>
      <w:i/>
      <w:sz w:val="22"/>
      <w:szCs w:val="22"/>
      <w:lang w:eastAsia="en-US"/>
    </w:rPr>
  </w:style>
  <w:style w:type="paragraph" w:customStyle="1" w:styleId="Tablenotes">
    <w:name w:val="Table notes"/>
    <w:basedOn w:val="Tabletext"/>
    <w:qFormat/>
    <w:rsid w:val="00577AB5"/>
    <w:rPr>
      <w:rFonts w:eastAsia="Calibri"/>
      <w:snapToGrid/>
      <w:sz w:val="18"/>
      <w:szCs w:val="22"/>
      <w:lang w:eastAsia="en-US"/>
    </w:rPr>
  </w:style>
  <w:style w:type="character" w:customStyle="1" w:styleId="CommentaryChar">
    <w:name w:val="Commentary Char"/>
    <w:basedOn w:val="DefaultParagraphFont"/>
    <w:link w:val="Commentary"/>
    <w:rsid w:val="00577AB5"/>
    <w:rPr>
      <w:rFonts w:ascii="Calibri" w:eastAsia="Calibri" w:hAnsi="Calibri"/>
      <w:i/>
      <w:sz w:val="22"/>
      <w:szCs w:val="22"/>
      <w:lang w:eastAsia="en-US"/>
    </w:rPr>
  </w:style>
  <w:style w:type="paragraph" w:styleId="FootnoteText">
    <w:name w:val="footnote text"/>
    <w:aliases w:val="Footnote Text Char Char,Footnote Text Char2,Footnote Text Char Char1"/>
    <w:basedOn w:val="Normal"/>
    <w:link w:val="FootnoteTextChar"/>
    <w:uiPriority w:val="99"/>
    <w:unhideWhenUsed/>
    <w:qFormat/>
    <w:rsid w:val="00577AB5"/>
    <w:pPr>
      <w:jc w:val="left"/>
    </w:pPr>
    <w:rPr>
      <w:rFonts w:eastAsia="Calibri"/>
      <w:sz w:val="20"/>
      <w:lang w:eastAsia="en-US"/>
    </w:rPr>
  </w:style>
  <w:style w:type="character" w:customStyle="1" w:styleId="FootnoteTextChar">
    <w:name w:val="Footnote Text Char"/>
    <w:aliases w:val="Footnote Text Char Char Char,Footnote Text Char2 Char,Footnote Text Char Char1 Char"/>
    <w:basedOn w:val="DefaultParagraphFont"/>
    <w:link w:val="FootnoteText"/>
    <w:uiPriority w:val="99"/>
    <w:rsid w:val="00577AB5"/>
    <w:rPr>
      <w:rFonts w:ascii="Calibri" w:eastAsia="Calibri" w:hAnsi="Calibri"/>
      <w:lang w:eastAsia="en-US"/>
    </w:rPr>
  </w:style>
  <w:style w:type="character" w:styleId="FootnoteReference">
    <w:name w:val="footnote reference"/>
    <w:basedOn w:val="DefaultParagraphFont"/>
    <w:uiPriority w:val="99"/>
    <w:unhideWhenUsed/>
    <w:qFormat/>
    <w:rsid w:val="00577AB5"/>
    <w:rPr>
      <w:vertAlign w:val="superscript"/>
    </w:rPr>
  </w:style>
  <w:style w:type="table" w:customStyle="1" w:styleId="PlainTable22">
    <w:name w:val="Plain Table 22"/>
    <w:basedOn w:val="TableNormal"/>
    <w:next w:val="PlainTable2"/>
    <w:uiPriority w:val="42"/>
    <w:rsid w:val="00577AB5"/>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ullet12">
    <w:name w:val="Bullet+12"/>
    <w:basedOn w:val="Normal"/>
    <w:next w:val="BodyText"/>
    <w:uiPriority w:val="2"/>
    <w:qFormat/>
    <w:rsid w:val="00577AB5"/>
    <w:pPr>
      <w:keepLines/>
      <w:numPr>
        <w:numId w:val="9"/>
      </w:numPr>
      <w:tabs>
        <w:tab w:val="left" w:pos="765"/>
      </w:tabs>
      <w:spacing w:after="240" w:line="288" w:lineRule="auto"/>
      <w:contextualSpacing/>
      <w:jc w:val="left"/>
    </w:pPr>
    <w:rPr>
      <w:rFonts w:eastAsiaTheme="minorHAnsi" w:cstheme="minorBidi"/>
      <w:kern w:val="2"/>
      <w:sz w:val="22"/>
      <w:szCs w:val="22"/>
      <w:lang w:eastAsia="fr-FR"/>
      <w14:ligatures w14:val="standardContextual"/>
    </w:rPr>
  </w:style>
  <w:style w:type="paragraph" w:customStyle="1" w:styleId="Bullet">
    <w:name w:val="Bullet"/>
    <w:basedOn w:val="BodyText"/>
    <w:qFormat/>
    <w:rsid w:val="00577AB5"/>
    <w:pPr>
      <w:numPr>
        <w:numId w:val="10"/>
      </w:numPr>
      <w:spacing w:after="240" w:line="276" w:lineRule="auto"/>
      <w:ind w:left="714" w:hanging="357"/>
      <w:contextualSpacing/>
    </w:pPr>
    <w:rPr>
      <w:rFonts w:eastAsiaTheme="majorEastAsia" w:cstheme="minorHAnsi"/>
      <w:kern w:val="2"/>
      <w:sz w:val="22"/>
      <w:szCs w:val="22"/>
      <w:lang w:eastAsia="en-US"/>
      <w14:ligatures w14:val="standardContextual"/>
    </w:rPr>
  </w:style>
  <w:style w:type="table" w:styleId="PlainTable2">
    <w:name w:val="Plain Table 2"/>
    <w:basedOn w:val="TableNormal"/>
    <w:uiPriority w:val="42"/>
    <w:rsid w:val="00577AB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bullets">
    <w:name w:val="Table bullets"/>
    <w:basedOn w:val="Tabletext"/>
    <w:rsid w:val="00D557BC"/>
    <w:pPr>
      <w:numPr>
        <w:numId w:val="11"/>
      </w:numPr>
    </w:pPr>
    <w:rPr>
      <w:rFonts w:eastAsia="Calibri"/>
      <w:snapToGrid/>
      <w:szCs w:val="22"/>
      <w:lang w:val="en-GB" w:eastAsia="ja-JP"/>
    </w:rPr>
  </w:style>
  <w:style w:type="paragraph" w:customStyle="1" w:styleId="Question">
    <w:name w:val="Question"/>
    <w:basedOn w:val="BodyText"/>
    <w:next w:val="BodyText"/>
    <w:link w:val="QuestionChar"/>
    <w:qFormat/>
    <w:rsid w:val="00D557BC"/>
    <w:pPr>
      <w:spacing w:after="160" w:line="259" w:lineRule="auto"/>
    </w:pPr>
    <w:rPr>
      <w:rFonts w:eastAsia="Calibri"/>
      <w:b/>
      <w:bCs/>
      <w:kern w:val="2"/>
      <w:sz w:val="22"/>
      <w:szCs w:val="22"/>
      <w:lang w:eastAsia="en-US"/>
      <w14:ligatures w14:val="standardContextual"/>
    </w:rPr>
  </w:style>
  <w:style w:type="character" w:customStyle="1" w:styleId="QuestionChar">
    <w:name w:val="Question Char"/>
    <w:basedOn w:val="BodyTextChar"/>
    <w:link w:val="Question"/>
    <w:rsid w:val="00D557BC"/>
    <w:rPr>
      <w:rFonts w:asciiTheme="minorHAnsi" w:eastAsia="Calibri" w:hAnsiTheme="minorHAnsi" w:cs="Arial"/>
      <w:b/>
      <w:bCs/>
      <w:snapToGrid/>
      <w:kern w:val="2"/>
      <w:sz w:val="22"/>
      <w:szCs w:val="22"/>
      <w:lang w:eastAsia="en-US"/>
      <w14:ligatures w14:val="standardContextual"/>
    </w:rPr>
  </w:style>
  <w:style w:type="paragraph" w:customStyle="1" w:styleId="EndNoteBibliographyTitle">
    <w:name w:val="EndNote Bibliography Title"/>
    <w:basedOn w:val="Normal"/>
    <w:link w:val="EndNoteBibliographyTitleChar"/>
    <w:rsid w:val="00DA771F"/>
    <w:pPr>
      <w:jc w:val="center"/>
    </w:pPr>
    <w:rPr>
      <w:rFonts w:ascii="Calibri" w:hAnsi="Calibri" w:cs="Calibri"/>
      <w:noProof/>
    </w:rPr>
  </w:style>
  <w:style w:type="character" w:customStyle="1" w:styleId="ListBulletChar">
    <w:name w:val="List Bullet Char"/>
    <w:basedOn w:val="DefaultParagraphFont"/>
    <w:link w:val="ListBullet"/>
    <w:rsid w:val="00DA771F"/>
    <w:rPr>
      <w:rFonts w:asciiTheme="minorHAnsi" w:hAnsiTheme="minorHAnsi"/>
      <w:sz w:val="24"/>
    </w:rPr>
  </w:style>
  <w:style w:type="character" w:customStyle="1" w:styleId="EndNoteBibliographyTitleChar">
    <w:name w:val="EndNote Bibliography Title Char"/>
    <w:basedOn w:val="ListBulletChar"/>
    <w:link w:val="EndNoteBibliographyTitle"/>
    <w:rsid w:val="00DA771F"/>
    <w:rPr>
      <w:rFonts w:ascii="Calibri" w:hAnsi="Calibri" w:cs="Calibri"/>
      <w:noProof/>
      <w:sz w:val="24"/>
    </w:rPr>
  </w:style>
  <w:style w:type="paragraph" w:customStyle="1" w:styleId="EndNoteBibliography">
    <w:name w:val="EndNote Bibliography"/>
    <w:basedOn w:val="Normal"/>
    <w:link w:val="EndNoteBibliographyChar"/>
    <w:rsid w:val="00DA771F"/>
    <w:rPr>
      <w:rFonts w:ascii="Calibri" w:hAnsi="Calibri" w:cs="Calibri"/>
      <w:noProof/>
    </w:rPr>
  </w:style>
  <w:style w:type="character" w:customStyle="1" w:styleId="EndNoteBibliographyChar">
    <w:name w:val="EndNote Bibliography Char"/>
    <w:basedOn w:val="ListBulletChar"/>
    <w:link w:val="EndNoteBibliography"/>
    <w:rsid w:val="00DA771F"/>
    <w:rPr>
      <w:rFonts w:ascii="Calibri" w:hAnsi="Calibri" w:cs="Calibri"/>
      <w:noProof/>
      <w:sz w:val="24"/>
    </w:rPr>
  </w:style>
  <w:style w:type="character" w:styleId="Strong">
    <w:name w:val="Strong"/>
    <w:uiPriority w:val="22"/>
    <w:qFormat/>
    <w:rsid w:val="00101A37"/>
    <w:rPr>
      <w:b/>
      <w:bCs/>
      <w:lang w:val="en-AU"/>
    </w:rPr>
  </w:style>
  <w:style w:type="paragraph" w:customStyle="1" w:styleId="Tabletext9pt">
    <w:name w:val="Table text 9pt"/>
    <w:basedOn w:val="Normal"/>
    <w:link w:val="Tabletext9ptChar"/>
    <w:qFormat/>
    <w:rsid w:val="00101A37"/>
    <w:pPr>
      <w:keepNext/>
      <w:keepLines/>
      <w:spacing w:before="20" w:after="20"/>
      <w:jc w:val="left"/>
    </w:pPr>
    <w:rPr>
      <w:rFonts w:eastAsiaTheme="minorHAnsi" w:cs="Calibri"/>
      <w:kern w:val="2"/>
      <w:sz w:val="18"/>
      <w:szCs w:val="16"/>
      <w:lang w:eastAsia="en-US"/>
      <w14:ligatures w14:val="standardContextual"/>
    </w:rPr>
  </w:style>
  <w:style w:type="character" w:customStyle="1" w:styleId="TableSourceChar">
    <w:name w:val="Table Source Char"/>
    <w:link w:val="TableSource"/>
    <w:locked/>
    <w:rsid w:val="00101A37"/>
    <w:rPr>
      <w:rFonts w:ascii="Calibri" w:eastAsia="Arial" w:hAnsi="Calibri" w:cstheme="minorHAnsi"/>
      <w:i/>
      <w:iCs/>
      <w:color w:val="262626" w:themeColor="text1" w:themeTint="D9"/>
      <w:sz w:val="18"/>
      <w:szCs w:val="18"/>
    </w:rPr>
  </w:style>
  <w:style w:type="paragraph" w:customStyle="1" w:styleId="TableSource">
    <w:name w:val="Table Source"/>
    <w:basedOn w:val="Normal"/>
    <w:next w:val="Normal"/>
    <w:link w:val="TableSourceChar"/>
    <w:autoRedefine/>
    <w:qFormat/>
    <w:rsid w:val="00101A37"/>
    <w:pPr>
      <w:keepNext/>
      <w:tabs>
        <w:tab w:val="left" w:pos="709"/>
      </w:tabs>
    </w:pPr>
    <w:rPr>
      <w:rFonts w:eastAsia="Arial" w:cstheme="minorHAnsi"/>
      <w:i/>
      <w:iCs/>
      <w:color w:val="262626" w:themeColor="text1" w:themeTint="D9"/>
      <w:sz w:val="18"/>
      <w:szCs w:val="18"/>
    </w:rPr>
  </w:style>
  <w:style w:type="paragraph" w:customStyle="1" w:styleId="Tabledash">
    <w:name w:val="Table dash"/>
    <w:basedOn w:val="Normal"/>
    <w:link w:val="TabledashChar"/>
    <w:qFormat/>
    <w:rsid w:val="00101A37"/>
    <w:pPr>
      <w:keepNext/>
      <w:keepLines/>
      <w:numPr>
        <w:numId w:val="13"/>
      </w:numPr>
      <w:spacing w:before="20" w:after="20"/>
      <w:jc w:val="left"/>
    </w:pPr>
    <w:rPr>
      <w:rFonts w:eastAsia="Calibri" w:cs="Calibri"/>
      <w:sz w:val="18"/>
      <w:szCs w:val="16"/>
      <w:lang w:eastAsia="en-US"/>
    </w:rPr>
  </w:style>
  <w:style w:type="character" w:customStyle="1" w:styleId="Tabletext9ptChar">
    <w:name w:val="Table text 9pt Char"/>
    <w:basedOn w:val="DefaultParagraphFont"/>
    <w:link w:val="Tabletext9pt"/>
    <w:rsid w:val="00101A37"/>
    <w:rPr>
      <w:rFonts w:asciiTheme="minorHAnsi" w:eastAsiaTheme="minorHAnsi" w:hAnsiTheme="minorHAnsi" w:cs="Calibri"/>
      <w:kern w:val="2"/>
      <w:sz w:val="18"/>
      <w:szCs w:val="16"/>
      <w:lang w:eastAsia="en-US"/>
      <w14:ligatures w14:val="standardContextual"/>
    </w:rPr>
  </w:style>
  <w:style w:type="character" w:customStyle="1" w:styleId="TabledashChar">
    <w:name w:val="Table dash Char"/>
    <w:basedOn w:val="DefaultParagraphFont"/>
    <w:link w:val="Tabledash"/>
    <w:rsid w:val="00101A37"/>
    <w:rPr>
      <w:rFonts w:asciiTheme="minorHAnsi" w:eastAsia="Calibri" w:hAnsiTheme="minorHAnsi" w:cs="Calibri"/>
      <w:sz w:val="18"/>
      <w:szCs w:val="16"/>
      <w:lang w:eastAsia="en-US"/>
    </w:rPr>
  </w:style>
  <w:style w:type="table" w:styleId="TableGridLight">
    <w:name w:val="Grid Table Light"/>
    <w:basedOn w:val="TableNormal"/>
    <w:uiPriority w:val="40"/>
    <w:rsid w:val="00010F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0">
    <w:name w:val="Plain Table 220"/>
    <w:basedOn w:val="TableNormal"/>
    <w:next w:val="PlainTable2"/>
    <w:uiPriority w:val="42"/>
    <w:rsid w:val="00650648"/>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bleFigNotesChar">
    <w:name w:val="TableFigNotes Char"/>
    <w:basedOn w:val="DefaultParagraphFont"/>
    <w:link w:val="TableFigNotes"/>
    <w:uiPriority w:val="4"/>
    <w:locked/>
    <w:rsid w:val="006601C9"/>
    <w:rPr>
      <w:rFonts w:cs="Calibri"/>
      <w:sz w:val="16"/>
    </w:rPr>
  </w:style>
  <w:style w:type="paragraph" w:customStyle="1" w:styleId="TableFigNotes">
    <w:name w:val="TableFigNotes"/>
    <w:basedOn w:val="Normal"/>
    <w:next w:val="BodyText"/>
    <w:link w:val="TableFigNotesChar"/>
    <w:uiPriority w:val="4"/>
    <w:qFormat/>
    <w:rsid w:val="006601C9"/>
    <w:pPr>
      <w:spacing w:before="60" w:after="360" w:line="276" w:lineRule="auto"/>
      <w:contextualSpacing/>
      <w:jc w:val="left"/>
    </w:pPr>
    <w:rPr>
      <w:rFonts w:ascii="Times New Roman" w:hAnsi="Times New Roman" w:cs="Calibri"/>
      <w:sz w:val="16"/>
    </w:rPr>
  </w:style>
  <w:style w:type="character" w:styleId="SubtleReference">
    <w:name w:val="Subtle Reference"/>
    <w:basedOn w:val="DefaultParagraphFont"/>
    <w:uiPriority w:val="31"/>
    <w:qFormat/>
    <w:rsid w:val="006601C9"/>
    <w:rPr>
      <w:smallCaps/>
      <w:color w:val="5A5A5A" w:themeColor="text1" w:themeTint="A5"/>
    </w:rPr>
  </w:style>
  <w:style w:type="table" w:styleId="PlainTable1">
    <w:name w:val="Plain Table 1"/>
    <w:basedOn w:val="TableNormal"/>
    <w:uiPriority w:val="41"/>
    <w:rsid w:val="006601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6">
    <w:name w:val="Plain Table 216"/>
    <w:basedOn w:val="TableNormal"/>
    <w:next w:val="PlainTable2"/>
    <w:uiPriority w:val="42"/>
    <w:rsid w:val="0034621C"/>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next w:val="PlainTable2"/>
    <w:uiPriority w:val="42"/>
    <w:rsid w:val="00EE1673"/>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6Char">
    <w:name w:val="Heading 6 Char"/>
    <w:basedOn w:val="DefaultParagraphFont"/>
    <w:link w:val="Heading6"/>
    <w:rsid w:val="00E67F83"/>
    <w:rPr>
      <w:rFonts w:ascii="Calibri" w:hAnsi="Calibri" w:cs="Arial"/>
      <w:b/>
      <w:bCs/>
      <w:i/>
      <w:sz w:val="24"/>
      <w:szCs w:val="24"/>
    </w:rPr>
  </w:style>
  <w:style w:type="character" w:customStyle="1" w:styleId="Heading5Char">
    <w:name w:val="Heading 5 Char"/>
    <w:basedOn w:val="DefaultParagraphFont"/>
    <w:link w:val="Heading5"/>
    <w:rsid w:val="00242791"/>
    <w:rPr>
      <w:rFonts w:ascii="Calibri" w:hAnsi="Calibri" w:cs="Arial"/>
      <w:b/>
      <w:bCs/>
      <w:iCs/>
      <w:sz w:val="26"/>
      <w:szCs w:val="26"/>
    </w:rPr>
  </w:style>
  <w:style w:type="table" w:customStyle="1" w:styleId="TableGrid1">
    <w:name w:val="Table Grid1"/>
    <w:basedOn w:val="TableNormal"/>
    <w:next w:val="TableGrid"/>
    <w:uiPriority w:val="59"/>
    <w:rsid w:val="003D2A41"/>
    <w:pPr>
      <w:spacing w:after="24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D1F08"/>
    <w:rPr>
      <w:i/>
      <w:iCs/>
    </w:rPr>
  </w:style>
  <w:style w:type="character" w:styleId="UnresolvedMention">
    <w:name w:val="Unresolved Mention"/>
    <w:basedOn w:val="DefaultParagraphFont"/>
    <w:uiPriority w:val="99"/>
    <w:semiHidden/>
    <w:unhideWhenUsed/>
    <w:rsid w:val="00DE0A36"/>
    <w:rPr>
      <w:color w:val="605E5C"/>
      <w:shd w:val="clear" w:color="auto" w:fill="E1DFDD"/>
    </w:rPr>
  </w:style>
  <w:style w:type="character" w:customStyle="1" w:styleId="NoSpacingChar">
    <w:name w:val="No Spacing Char"/>
    <w:aliases w:val="Main text Char,Title Page text Char,PBAC Table Footnote Char,~BaseStyle Char"/>
    <w:basedOn w:val="DefaultParagraphFont"/>
    <w:link w:val="NoSpacing"/>
    <w:uiPriority w:val="1"/>
    <w:rsid w:val="00D578D6"/>
    <w:rPr>
      <w:rFonts w:ascii="Arial" w:hAnsi="Arial" w:cs="Arial"/>
      <w:snapToGrid w:val="0"/>
      <w:sz w:val="22"/>
      <w:lang w:eastAsia="en-US"/>
    </w:rPr>
  </w:style>
  <w:style w:type="table" w:customStyle="1" w:styleId="HTAtableplain1">
    <w:name w:val="HTAtableplain1"/>
    <w:basedOn w:val="TableNormal"/>
    <w:next w:val="TableGrid"/>
    <w:uiPriority w:val="59"/>
    <w:rsid w:val="007E270F"/>
    <w:rPr>
      <w:rFonts w:ascii="Calibri" w:eastAsia="Calibri" w:hAnsi="Calibr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3">
    <w:name w:val="HTAtableplain3"/>
    <w:basedOn w:val="TableNormal"/>
    <w:next w:val="TableGrid"/>
    <w:uiPriority w:val="59"/>
    <w:rsid w:val="00CC5F5E"/>
    <w:rPr>
      <w:rFonts w:ascii="Calibri" w:eastAsia="Calibri" w:hAnsi="Calibr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link w:val="TablebulletChar"/>
    <w:uiPriority w:val="4"/>
    <w:qFormat/>
    <w:rsid w:val="00804173"/>
    <w:pPr>
      <w:numPr>
        <w:numId w:val="14"/>
      </w:numPr>
      <w:tabs>
        <w:tab w:val="clear" w:pos="720"/>
      </w:tabs>
      <w:spacing w:before="20" w:after="20"/>
      <w:ind w:left="340" w:hanging="227"/>
    </w:pPr>
    <w:rPr>
      <w:rFonts w:asciiTheme="minorHAnsi" w:eastAsia="Calibri" w:hAnsiTheme="minorHAnsi" w:cs="Calibri"/>
      <w:sz w:val="18"/>
      <w:szCs w:val="16"/>
      <w:lang w:val="de-DE" w:eastAsia="en-US"/>
    </w:rPr>
  </w:style>
  <w:style w:type="character" w:customStyle="1" w:styleId="TablebulletChar">
    <w:name w:val="Table bullet Char"/>
    <w:basedOn w:val="DefaultParagraphFont"/>
    <w:link w:val="Tablebullet"/>
    <w:uiPriority w:val="4"/>
    <w:rsid w:val="00804173"/>
    <w:rPr>
      <w:rFonts w:asciiTheme="minorHAnsi" w:eastAsia="Calibri" w:hAnsiTheme="minorHAnsi" w:cs="Calibri"/>
      <w:sz w:val="18"/>
      <w:szCs w:val="16"/>
      <w:lang w:val="de-DE" w:eastAsia="en-US"/>
    </w:rPr>
  </w:style>
  <w:style w:type="numbering" w:customStyle="1" w:styleId="NoList1">
    <w:name w:val="No List1"/>
    <w:next w:val="NoList"/>
    <w:uiPriority w:val="99"/>
    <w:semiHidden/>
    <w:unhideWhenUsed/>
    <w:rsid w:val="00D85592"/>
  </w:style>
  <w:style w:type="table" w:customStyle="1" w:styleId="PlainTable23">
    <w:name w:val="Plain Table 23"/>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2">
    <w:name w:val="Plain Table 222"/>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4">
    <w:name w:val="Plain Table 24"/>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5">
    <w:name w:val="Plain Table 25"/>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6">
    <w:name w:val="Plain Table 26"/>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7">
    <w:name w:val="Plain Table 27"/>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8">
    <w:name w:val="Plain Table 28"/>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9">
    <w:name w:val="Plain Table 29"/>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0">
    <w:name w:val="Plain Table 210"/>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1">
    <w:name w:val="Plain Table 211"/>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2">
    <w:name w:val="Plain Table 212"/>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3">
    <w:name w:val="Plain Table 213"/>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4">
    <w:name w:val="Plain Table 214"/>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5">
    <w:name w:val="Plain Table 215"/>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61">
    <w:name w:val="Plain Table 2161"/>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7">
    <w:name w:val="Plain Table 217"/>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8">
    <w:name w:val="Plain Table 218"/>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9">
    <w:name w:val="Plain Table 219"/>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01">
    <w:name w:val="Plain Table 2201"/>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11">
    <w:name w:val="Plain Table 2211"/>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3">
    <w:name w:val="Plain Table 223"/>
    <w:basedOn w:val="TableNormal"/>
    <w:next w:val="PlainTable2"/>
    <w:uiPriority w:val="42"/>
    <w:rsid w:val="00D85592"/>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4">
    <w:name w:val="Plain Table 224"/>
    <w:basedOn w:val="TableNormal"/>
    <w:next w:val="PlainTable2"/>
    <w:uiPriority w:val="42"/>
    <w:rsid w:val="00D85592"/>
    <w:rPr>
      <w:rFonts w:asciiTheme="minorHAnsi" w:eastAsia="Calibri" w:hAnsiTheme="minorHAnsi" w:cstheme="minorBidi"/>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D85592"/>
  </w:style>
  <w:style w:type="table" w:customStyle="1" w:styleId="PlainTable225">
    <w:name w:val="Plain Table 225"/>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6">
    <w:name w:val="Plain Table 226"/>
    <w:basedOn w:val="TableNormal"/>
    <w:next w:val="PlainTable2"/>
    <w:uiPriority w:val="42"/>
    <w:rsid w:val="00D855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011">
    <w:name w:val="Plain Table 22011"/>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611">
    <w:name w:val="Plain Table 21611"/>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11">
    <w:name w:val="Plain Table 22111"/>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
    <w:name w:val="No List2"/>
    <w:next w:val="NoList"/>
    <w:uiPriority w:val="99"/>
    <w:semiHidden/>
    <w:unhideWhenUsed/>
    <w:rsid w:val="00D85592"/>
  </w:style>
  <w:style w:type="table" w:customStyle="1" w:styleId="PlainTable227">
    <w:name w:val="Plain Table 227"/>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8">
    <w:name w:val="Plain Table 228"/>
    <w:basedOn w:val="TableNormal"/>
    <w:next w:val="PlainTable2"/>
    <w:uiPriority w:val="42"/>
    <w:rsid w:val="00D855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02">
    <w:name w:val="Plain Table 2202"/>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62">
    <w:name w:val="Plain Table 2162"/>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2">
    <w:name w:val="Plain Table 2212"/>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
    <w:name w:val="No List3"/>
    <w:next w:val="NoList"/>
    <w:uiPriority w:val="99"/>
    <w:semiHidden/>
    <w:unhideWhenUsed/>
    <w:rsid w:val="00D85592"/>
  </w:style>
  <w:style w:type="table" w:customStyle="1" w:styleId="PlainTable229">
    <w:name w:val="Plain Table 229"/>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0">
    <w:name w:val="Plain Table 230"/>
    <w:basedOn w:val="TableNormal"/>
    <w:next w:val="PlainTable2"/>
    <w:uiPriority w:val="42"/>
    <w:rsid w:val="00D855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03">
    <w:name w:val="Plain Table 2203"/>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63">
    <w:name w:val="Plain Table 2163"/>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3">
    <w:name w:val="Plain Table 2213"/>
    <w:basedOn w:val="TableNormal"/>
    <w:next w:val="PlainTable2"/>
    <w:uiPriority w:val="42"/>
    <w:rsid w:val="00D85592"/>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
    <w:name w:val="No List4"/>
    <w:next w:val="NoList"/>
    <w:uiPriority w:val="99"/>
    <w:semiHidden/>
    <w:unhideWhenUsed/>
    <w:rsid w:val="002A5894"/>
  </w:style>
  <w:style w:type="table" w:customStyle="1" w:styleId="PlainTable231">
    <w:name w:val="Plain Table 231"/>
    <w:basedOn w:val="TableNormal"/>
    <w:next w:val="PlainTable2"/>
    <w:uiPriority w:val="42"/>
    <w:rsid w:val="002A5894"/>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10">
    <w:name w:val="Plain Table 2210"/>
    <w:basedOn w:val="TableNormal"/>
    <w:next w:val="PlainTable2"/>
    <w:uiPriority w:val="42"/>
    <w:rsid w:val="002A5894"/>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64">
    <w:name w:val="Plain Table 2164"/>
    <w:basedOn w:val="TableNormal"/>
    <w:next w:val="PlainTable2"/>
    <w:uiPriority w:val="42"/>
    <w:rsid w:val="002A5894"/>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04">
    <w:name w:val="Plain Table 2204"/>
    <w:basedOn w:val="TableNormal"/>
    <w:next w:val="PlainTable2"/>
    <w:uiPriority w:val="42"/>
    <w:rsid w:val="002A5894"/>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14">
    <w:name w:val="Plain Table 2214"/>
    <w:basedOn w:val="TableNormal"/>
    <w:next w:val="PlainTable2"/>
    <w:uiPriority w:val="42"/>
    <w:rsid w:val="002A5894"/>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12">
    <w:name w:val="No List12"/>
    <w:next w:val="NoList"/>
    <w:uiPriority w:val="99"/>
    <w:semiHidden/>
    <w:unhideWhenUsed/>
    <w:rsid w:val="002A5894"/>
  </w:style>
  <w:style w:type="table" w:customStyle="1" w:styleId="PlainTable22012">
    <w:name w:val="Plain Table 22012"/>
    <w:basedOn w:val="TableNormal"/>
    <w:next w:val="PlainTable2"/>
    <w:uiPriority w:val="42"/>
    <w:rsid w:val="002A5894"/>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612">
    <w:name w:val="Plain Table 21612"/>
    <w:basedOn w:val="TableNormal"/>
    <w:next w:val="PlainTable2"/>
    <w:uiPriority w:val="42"/>
    <w:rsid w:val="002A5894"/>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12">
    <w:name w:val="Plain Table 22112"/>
    <w:basedOn w:val="TableNormal"/>
    <w:next w:val="PlainTable2"/>
    <w:uiPriority w:val="42"/>
    <w:rsid w:val="002A5894"/>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1">
    <w:name w:val="No List21"/>
    <w:next w:val="NoList"/>
    <w:uiPriority w:val="99"/>
    <w:semiHidden/>
    <w:unhideWhenUsed/>
    <w:rsid w:val="002A5894"/>
  </w:style>
  <w:style w:type="numbering" w:customStyle="1" w:styleId="NoList31">
    <w:name w:val="No List31"/>
    <w:next w:val="NoList"/>
    <w:uiPriority w:val="99"/>
    <w:semiHidden/>
    <w:unhideWhenUsed/>
    <w:rsid w:val="002A5894"/>
  </w:style>
  <w:style w:type="numbering" w:customStyle="1" w:styleId="NoList5">
    <w:name w:val="No List5"/>
    <w:next w:val="NoList"/>
    <w:uiPriority w:val="99"/>
    <w:semiHidden/>
    <w:unhideWhenUsed/>
    <w:rsid w:val="00607BFF"/>
  </w:style>
  <w:style w:type="table" w:customStyle="1" w:styleId="PlainTable232">
    <w:name w:val="Plain Table 232"/>
    <w:basedOn w:val="TableNormal"/>
    <w:next w:val="PlainTable2"/>
    <w:uiPriority w:val="42"/>
    <w:rsid w:val="00607BFF"/>
    <w:rPr>
      <w:rFonts w:asciiTheme="minorHAnsi" w:eastAsia="Calibri" w:hAnsiTheme="minorHAnsi" w:cstheme="minorBidi"/>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6">
    <w:name w:val="No List6"/>
    <w:next w:val="NoList"/>
    <w:uiPriority w:val="99"/>
    <w:semiHidden/>
    <w:unhideWhenUsed/>
    <w:rsid w:val="005B091D"/>
  </w:style>
  <w:style w:type="table" w:customStyle="1" w:styleId="PlainTable233">
    <w:name w:val="Plain Table 233"/>
    <w:basedOn w:val="TableNormal"/>
    <w:next w:val="PlainTable2"/>
    <w:uiPriority w:val="42"/>
    <w:rsid w:val="005B091D"/>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15">
    <w:name w:val="Plain Table 2215"/>
    <w:basedOn w:val="TableNormal"/>
    <w:next w:val="PlainTable2"/>
    <w:uiPriority w:val="42"/>
    <w:rsid w:val="005B091D"/>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65">
    <w:name w:val="Plain Table 2165"/>
    <w:basedOn w:val="TableNormal"/>
    <w:next w:val="PlainTable2"/>
    <w:uiPriority w:val="42"/>
    <w:rsid w:val="005B091D"/>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05">
    <w:name w:val="Plain Table 2205"/>
    <w:basedOn w:val="TableNormal"/>
    <w:next w:val="PlainTable2"/>
    <w:uiPriority w:val="42"/>
    <w:rsid w:val="005B091D"/>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16">
    <w:name w:val="Plain Table 2216"/>
    <w:basedOn w:val="TableNormal"/>
    <w:next w:val="PlainTable2"/>
    <w:uiPriority w:val="42"/>
    <w:rsid w:val="005B091D"/>
    <w:rPr>
      <w:rFonts w:ascii="Calibri" w:eastAsia="Calibri" w:hAnsi="Calibri" w:cs="Arial"/>
      <w:sz w:val="22"/>
      <w:szCs w:val="22"/>
      <w:lang w:val="de-DE" w:eastAsia="en-US"/>
    </w:r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13">
    <w:name w:val="No List13"/>
    <w:next w:val="NoList"/>
    <w:uiPriority w:val="99"/>
    <w:semiHidden/>
    <w:unhideWhenUsed/>
    <w:rsid w:val="005B091D"/>
  </w:style>
  <w:style w:type="table" w:customStyle="1" w:styleId="PlainTable22013">
    <w:name w:val="Plain Table 22013"/>
    <w:basedOn w:val="TableNormal"/>
    <w:next w:val="PlainTable2"/>
    <w:uiPriority w:val="42"/>
    <w:rsid w:val="005B091D"/>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613">
    <w:name w:val="Plain Table 21613"/>
    <w:basedOn w:val="TableNormal"/>
    <w:next w:val="PlainTable2"/>
    <w:uiPriority w:val="42"/>
    <w:rsid w:val="005B091D"/>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13">
    <w:name w:val="Plain Table 22113"/>
    <w:basedOn w:val="TableNormal"/>
    <w:next w:val="PlainTable2"/>
    <w:uiPriority w:val="42"/>
    <w:rsid w:val="005B091D"/>
    <w:rPr>
      <w:rFonts w:ascii="Calibri" w:eastAsia="Calibri" w:hAnsi="Calibri" w:cstheme="minorBidi"/>
      <w:sz w:val="18"/>
      <w:szCs w:val="22"/>
      <w:lang w:val="de-D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2">
    <w:name w:val="No List22"/>
    <w:next w:val="NoList"/>
    <w:uiPriority w:val="99"/>
    <w:semiHidden/>
    <w:unhideWhenUsed/>
    <w:rsid w:val="005B091D"/>
  </w:style>
  <w:style w:type="numbering" w:customStyle="1" w:styleId="NoList32">
    <w:name w:val="No List32"/>
    <w:next w:val="NoList"/>
    <w:uiPriority w:val="99"/>
    <w:semiHidden/>
    <w:unhideWhenUsed/>
    <w:rsid w:val="005B091D"/>
  </w:style>
  <w:style w:type="paragraph" w:customStyle="1" w:styleId="3-SubsectionHeading">
    <w:name w:val="3-Subsection Heading"/>
    <w:basedOn w:val="Heading2"/>
    <w:next w:val="Normal"/>
    <w:link w:val="3-SubsectionHeadingChar"/>
    <w:qFormat/>
    <w:rsid w:val="007A6E02"/>
    <w:pPr>
      <w:keepNext/>
      <w:spacing w:before="120" w:after="120"/>
      <w:outlineLvl w:val="9"/>
    </w:pPr>
    <w:rPr>
      <w:rFonts w:eastAsiaTheme="majorEastAsia" w:cstheme="majorBidi"/>
      <w:spacing w:val="5"/>
      <w:kern w:val="28"/>
      <w:szCs w:val="36"/>
      <w:lang w:eastAsia="en-US"/>
    </w:rPr>
  </w:style>
  <w:style w:type="character" w:customStyle="1" w:styleId="3-SubsectionHeadingChar">
    <w:name w:val="3-Subsection Heading Char"/>
    <w:basedOn w:val="Heading2Char"/>
    <w:link w:val="3-SubsectionHeading"/>
    <w:rsid w:val="007A6E02"/>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946558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1298626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i.org/10.1101/2025.05.02.25325954"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oducts/covid-19/covid-19-vaccines/covid-19-vaccine-provisional-registrations/moderna-covid-19-bivalent-spikevax-bivalent-originalomicron-ba4-5-booster-dose-vaccin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usvaxsafety.org.au/vaccine-safety-data/covid-19-vaccines" TargetMode="External"/><Relationship Id="rId2" Type="http://schemas.openxmlformats.org/officeDocument/2006/relationships/hyperlink" Target="https://www.pbs.gov.au/industry/listing/elements/pbac-meetings/agenda/pdf/2025/PBAC-Intracycle-meeting-agenda-DECEMBER-2025.pdf" TargetMode="External"/><Relationship Id="rId1" Type="http://schemas.openxmlformats.org/officeDocument/2006/relationships/hyperlink" Target="https://www.tga.gov.au/resources/artg/506526" TargetMode="External"/><Relationship Id="rId4" Type="http://schemas.openxmlformats.org/officeDocument/2006/relationships/hyperlink" Target="https://www.aihw.gov.au/hospitals/topics/admitted-patient-care/hospitalisations-involving-a-covid-19-diagn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C0D91-EB35-4AC1-8C89-36F52E883D5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CC10265-F0A7-490B-95AD-4214467F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D78B21A0-0F86-4114-91D5-DCEBB5142E5E}">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26587</Words>
  <Characters>149691</Characters>
  <Application>Microsoft Office Word</Application>
  <DocSecurity>0</DocSecurity>
  <Lines>4677</Lines>
  <Paragraphs>2711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173567</CharactersWithSpaces>
  <SharedDoc>false</SharedDoc>
  <HLinks>
    <vt:vector size="594" baseType="variant">
      <vt:variant>
        <vt:i4>4784193</vt:i4>
      </vt:variant>
      <vt:variant>
        <vt:i4>1611</vt:i4>
      </vt:variant>
      <vt:variant>
        <vt:i4>0</vt:i4>
      </vt:variant>
      <vt:variant>
        <vt:i4>5</vt:i4>
      </vt:variant>
      <vt:variant>
        <vt:lpwstr>https://doi.org/10.1016/j.eclinm.2024.102995</vt:lpwstr>
      </vt:variant>
      <vt:variant>
        <vt:lpwstr/>
      </vt:variant>
      <vt:variant>
        <vt:i4>262170</vt:i4>
      </vt:variant>
      <vt:variant>
        <vt:i4>1589</vt:i4>
      </vt:variant>
      <vt:variant>
        <vt:i4>0</vt:i4>
      </vt:variant>
      <vt:variant>
        <vt:i4>5</vt:i4>
      </vt:variant>
      <vt:variant>
        <vt:lpwstr>https://livingevidence.org.au/wp-content/uploads/FLOWCHART-PATHWAYS-TO-CARE.pdf?=250724-25215</vt:lpwstr>
      </vt:variant>
      <vt:variant>
        <vt:lpwstr/>
      </vt:variant>
      <vt:variant>
        <vt:i4>6160453</vt:i4>
      </vt:variant>
      <vt:variant>
        <vt:i4>1586</vt:i4>
      </vt:variant>
      <vt:variant>
        <vt:i4>0</vt:i4>
      </vt:variant>
      <vt:variant>
        <vt:i4>5</vt:i4>
      </vt:variant>
      <vt:variant>
        <vt:lpwstr>https://www.ppaonline.com.au/programs/national-immunisation-program-vaccinations-in-pharmacy-program</vt:lpwstr>
      </vt:variant>
      <vt:variant>
        <vt:lpwstr/>
      </vt:variant>
      <vt:variant>
        <vt:i4>1179726</vt:i4>
      </vt:variant>
      <vt:variant>
        <vt:i4>1583</vt:i4>
      </vt:variant>
      <vt:variant>
        <vt:i4>0</vt:i4>
      </vt:variant>
      <vt:variant>
        <vt:i4>5</vt:i4>
      </vt:variant>
      <vt:variant>
        <vt:lpwstr>https://www.aihw.gov.au/reports/covid-19/demonstrating-the-utility-of-the-covid-19-register/contents/summary</vt:lpwstr>
      </vt:variant>
      <vt:variant>
        <vt:lpwstr/>
      </vt:variant>
      <vt:variant>
        <vt:i4>3670062</vt:i4>
      </vt:variant>
      <vt:variant>
        <vt:i4>1324</vt:i4>
      </vt:variant>
      <vt:variant>
        <vt:i4>0</vt:i4>
      </vt:variant>
      <vt:variant>
        <vt:i4>5</vt:i4>
      </vt:variant>
      <vt:variant>
        <vt:lpwstr>https://www.tga.gov.au/news/covid-19-vaccine-safety-reports/covid-19-vaccine-safety-report-29-06-2023</vt:lpwstr>
      </vt:variant>
      <vt:variant>
        <vt:lpwstr>myocarditis-and-pericarditis-after-covid19-vaccination</vt:lpwstr>
      </vt:variant>
      <vt:variant>
        <vt:i4>5439505</vt:i4>
      </vt:variant>
      <vt:variant>
        <vt:i4>773</vt:i4>
      </vt:variant>
      <vt:variant>
        <vt:i4>0</vt:i4>
      </vt:variant>
      <vt:variant>
        <vt:i4>5</vt:i4>
      </vt:variant>
      <vt:variant>
        <vt:lpwstr>https://www.tga.gov.au/resources/artg/458805</vt:lpwstr>
      </vt:variant>
      <vt:variant>
        <vt:lpwstr/>
      </vt:variant>
      <vt:variant>
        <vt:i4>5439504</vt:i4>
      </vt:variant>
      <vt:variant>
        <vt:i4>770</vt:i4>
      </vt:variant>
      <vt:variant>
        <vt:i4>0</vt:i4>
      </vt:variant>
      <vt:variant>
        <vt:i4>5</vt:i4>
      </vt:variant>
      <vt:variant>
        <vt:lpwstr>https://www.tga.gov.au/resources/artg/418910</vt:lpwstr>
      </vt:variant>
      <vt:variant>
        <vt:lpwstr/>
      </vt:variant>
      <vt:variant>
        <vt:i4>5373968</vt:i4>
      </vt:variant>
      <vt:variant>
        <vt:i4>767</vt:i4>
      </vt:variant>
      <vt:variant>
        <vt:i4>0</vt:i4>
      </vt:variant>
      <vt:variant>
        <vt:i4>5</vt:i4>
      </vt:variant>
      <vt:variant>
        <vt:lpwstr>https://www.tga.gov.au/resources/artg/418911</vt:lpwstr>
      </vt:variant>
      <vt:variant>
        <vt:lpwstr/>
      </vt:variant>
      <vt:variant>
        <vt:i4>5505042</vt:i4>
      </vt:variant>
      <vt:variant>
        <vt:i4>764</vt:i4>
      </vt:variant>
      <vt:variant>
        <vt:i4>0</vt:i4>
      </vt:variant>
      <vt:variant>
        <vt:i4>5</vt:i4>
      </vt:variant>
      <vt:variant>
        <vt:lpwstr>https://www.tga.gov.au/resources/artg/399553</vt:lpwstr>
      </vt:variant>
      <vt:variant>
        <vt:lpwstr/>
      </vt:variant>
      <vt:variant>
        <vt:i4>5570578</vt:i4>
      </vt:variant>
      <vt:variant>
        <vt:i4>761</vt:i4>
      </vt:variant>
      <vt:variant>
        <vt:i4>0</vt:i4>
      </vt:variant>
      <vt:variant>
        <vt:i4>5</vt:i4>
      </vt:variant>
      <vt:variant>
        <vt:lpwstr>https://www.tga.gov.au/resources/artg/399552</vt:lpwstr>
      </vt:variant>
      <vt:variant>
        <vt:lpwstr/>
      </vt:variant>
      <vt:variant>
        <vt:i4>6029340</vt:i4>
      </vt:variant>
      <vt:variant>
        <vt:i4>758</vt:i4>
      </vt:variant>
      <vt:variant>
        <vt:i4>0</vt:i4>
      </vt:variant>
      <vt:variant>
        <vt:i4>5</vt:i4>
      </vt:variant>
      <vt:variant>
        <vt:lpwstr>https://www.tga.gov.au/resources/artg/406730</vt:lpwstr>
      </vt:variant>
      <vt:variant>
        <vt:lpwstr/>
      </vt:variant>
      <vt:variant>
        <vt:i4>1966147</vt:i4>
      </vt:variant>
      <vt:variant>
        <vt:i4>755</vt:i4>
      </vt:variant>
      <vt:variant>
        <vt:i4>0</vt:i4>
      </vt:variant>
      <vt:variant>
        <vt:i4>5</vt:i4>
      </vt:variant>
      <vt:variant>
        <vt:lpwstr>https://www.tga.gov.au/products/covid-19/covid-19-vaccines/covid-19-vaccine-provisional-registrations/moderna-covid-19-bivalent-spikevax-bivalent-originalomicron-ba4-5-booster-dose-vaccine</vt:lpwstr>
      </vt:variant>
      <vt:variant>
        <vt:lpwstr/>
      </vt:variant>
      <vt:variant>
        <vt:i4>5570578</vt:i4>
      </vt:variant>
      <vt:variant>
        <vt:i4>752</vt:i4>
      </vt:variant>
      <vt:variant>
        <vt:i4>0</vt:i4>
      </vt:variant>
      <vt:variant>
        <vt:i4>5</vt:i4>
      </vt:variant>
      <vt:variant>
        <vt:lpwstr>https://www.tga.gov.au/resources/artg/388244</vt:lpwstr>
      </vt:variant>
      <vt:variant>
        <vt:lpwstr/>
      </vt:variant>
      <vt:variant>
        <vt:i4>5505042</vt:i4>
      </vt:variant>
      <vt:variant>
        <vt:i4>749</vt:i4>
      </vt:variant>
      <vt:variant>
        <vt:i4>0</vt:i4>
      </vt:variant>
      <vt:variant>
        <vt:i4>5</vt:i4>
      </vt:variant>
      <vt:variant>
        <vt:lpwstr>https://www.tga.gov.au/resources/artg/388245</vt:lpwstr>
      </vt:variant>
      <vt:variant>
        <vt:lpwstr/>
      </vt:variant>
      <vt:variant>
        <vt:i4>5242903</vt:i4>
      </vt:variant>
      <vt:variant>
        <vt:i4>746</vt:i4>
      </vt:variant>
      <vt:variant>
        <vt:i4>0</vt:i4>
      </vt:variant>
      <vt:variant>
        <vt:i4>5</vt:i4>
      </vt:variant>
      <vt:variant>
        <vt:lpwstr>https://www.tga.gov.au/resources/artg/370599</vt:lpwstr>
      </vt:variant>
      <vt:variant>
        <vt:lpwstr/>
      </vt:variant>
      <vt:variant>
        <vt:i4>2687033</vt:i4>
      </vt:variant>
      <vt:variant>
        <vt:i4>665</vt:i4>
      </vt:variant>
      <vt:variant>
        <vt:i4>0</vt:i4>
      </vt:variant>
      <vt:variant>
        <vt:i4>5</vt:i4>
      </vt:variant>
      <vt:variant>
        <vt:lpwstr>https://www.legislation.gov.au/F2014L01255/latest/text</vt:lpwstr>
      </vt:variant>
      <vt:variant>
        <vt:lpwstr/>
      </vt:variant>
      <vt:variant>
        <vt:i4>1966147</vt:i4>
      </vt:variant>
      <vt:variant>
        <vt:i4>453</vt:i4>
      </vt:variant>
      <vt:variant>
        <vt:i4>0</vt:i4>
      </vt:variant>
      <vt:variant>
        <vt:i4>5</vt:i4>
      </vt:variant>
      <vt:variant>
        <vt:lpwstr>https://www.tga.gov.au/products/covid-19/covid-19-vaccines/covid-19-vaccine-provisional-registrations/moderna-covid-19-bivalent-spikevax-bivalent-originalomicron-ba4-5-booster-dose-vaccine</vt:lpwstr>
      </vt:variant>
      <vt:variant>
        <vt:lpwstr/>
      </vt:variant>
      <vt:variant>
        <vt:i4>1048633</vt:i4>
      </vt:variant>
      <vt:variant>
        <vt:i4>428</vt:i4>
      </vt:variant>
      <vt:variant>
        <vt:i4>0</vt:i4>
      </vt:variant>
      <vt:variant>
        <vt:i4>5</vt:i4>
      </vt:variant>
      <vt:variant>
        <vt:lpwstr/>
      </vt:variant>
      <vt:variant>
        <vt:lpwstr>_Toc219879575</vt:lpwstr>
      </vt:variant>
      <vt:variant>
        <vt:i4>1048633</vt:i4>
      </vt:variant>
      <vt:variant>
        <vt:i4>422</vt:i4>
      </vt:variant>
      <vt:variant>
        <vt:i4>0</vt:i4>
      </vt:variant>
      <vt:variant>
        <vt:i4>5</vt:i4>
      </vt:variant>
      <vt:variant>
        <vt:lpwstr/>
      </vt:variant>
      <vt:variant>
        <vt:lpwstr>_Toc219879574</vt:lpwstr>
      </vt:variant>
      <vt:variant>
        <vt:i4>1048633</vt:i4>
      </vt:variant>
      <vt:variant>
        <vt:i4>416</vt:i4>
      </vt:variant>
      <vt:variant>
        <vt:i4>0</vt:i4>
      </vt:variant>
      <vt:variant>
        <vt:i4>5</vt:i4>
      </vt:variant>
      <vt:variant>
        <vt:lpwstr/>
      </vt:variant>
      <vt:variant>
        <vt:lpwstr>_Toc219879573</vt:lpwstr>
      </vt:variant>
      <vt:variant>
        <vt:i4>1048633</vt:i4>
      </vt:variant>
      <vt:variant>
        <vt:i4>410</vt:i4>
      </vt:variant>
      <vt:variant>
        <vt:i4>0</vt:i4>
      </vt:variant>
      <vt:variant>
        <vt:i4>5</vt:i4>
      </vt:variant>
      <vt:variant>
        <vt:lpwstr/>
      </vt:variant>
      <vt:variant>
        <vt:lpwstr>_Toc219879572</vt:lpwstr>
      </vt:variant>
      <vt:variant>
        <vt:i4>1048633</vt:i4>
      </vt:variant>
      <vt:variant>
        <vt:i4>404</vt:i4>
      </vt:variant>
      <vt:variant>
        <vt:i4>0</vt:i4>
      </vt:variant>
      <vt:variant>
        <vt:i4>5</vt:i4>
      </vt:variant>
      <vt:variant>
        <vt:lpwstr/>
      </vt:variant>
      <vt:variant>
        <vt:lpwstr>_Toc219879571</vt:lpwstr>
      </vt:variant>
      <vt:variant>
        <vt:i4>1048633</vt:i4>
      </vt:variant>
      <vt:variant>
        <vt:i4>398</vt:i4>
      </vt:variant>
      <vt:variant>
        <vt:i4>0</vt:i4>
      </vt:variant>
      <vt:variant>
        <vt:i4>5</vt:i4>
      </vt:variant>
      <vt:variant>
        <vt:lpwstr/>
      </vt:variant>
      <vt:variant>
        <vt:lpwstr>_Toc219879570</vt:lpwstr>
      </vt:variant>
      <vt:variant>
        <vt:i4>1114169</vt:i4>
      </vt:variant>
      <vt:variant>
        <vt:i4>392</vt:i4>
      </vt:variant>
      <vt:variant>
        <vt:i4>0</vt:i4>
      </vt:variant>
      <vt:variant>
        <vt:i4>5</vt:i4>
      </vt:variant>
      <vt:variant>
        <vt:lpwstr/>
      </vt:variant>
      <vt:variant>
        <vt:lpwstr>_Toc219879569</vt:lpwstr>
      </vt:variant>
      <vt:variant>
        <vt:i4>1114169</vt:i4>
      </vt:variant>
      <vt:variant>
        <vt:i4>386</vt:i4>
      </vt:variant>
      <vt:variant>
        <vt:i4>0</vt:i4>
      </vt:variant>
      <vt:variant>
        <vt:i4>5</vt:i4>
      </vt:variant>
      <vt:variant>
        <vt:lpwstr/>
      </vt:variant>
      <vt:variant>
        <vt:lpwstr>_Toc219879568</vt:lpwstr>
      </vt:variant>
      <vt:variant>
        <vt:i4>1114169</vt:i4>
      </vt:variant>
      <vt:variant>
        <vt:i4>380</vt:i4>
      </vt:variant>
      <vt:variant>
        <vt:i4>0</vt:i4>
      </vt:variant>
      <vt:variant>
        <vt:i4>5</vt:i4>
      </vt:variant>
      <vt:variant>
        <vt:lpwstr/>
      </vt:variant>
      <vt:variant>
        <vt:lpwstr>_Toc219879567</vt:lpwstr>
      </vt:variant>
      <vt:variant>
        <vt:i4>1114169</vt:i4>
      </vt:variant>
      <vt:variant>
        <vt:i4>374</vt:i4>
      </vt:variant>
      <vt:variant>
        <vt:i4>0</vt:i4>
      </vt:variant>
      <vt:variant>
        <vt:i4>5</vt:i4>
      </vt:variant>
      <vt:variant>
        <vt:lpwstr/>
      </vt:variant>
      <vt:variant>
        <vt:lpwstr>_Toc219879566</vt:lpwstr>
      </vt:variant>
      <vt:variant>
        <vt:i4>1114169</vt:i4>
      </vt:variant>
      <vt:variant>
        <vt:i4>368</vt:i4>
      </vt:variant>
      <vt:variant>
        <vt:i4>0</vt:i4>
      </vt:variant>
      <vt:variant>
        <vt:i4>5</vt:i4>
      </vt:variant>
      <vt:variant>
        <vt:lpwstr/>
      </vt:variant>
      <vt:variant>
        <vt:lpwstr>_Toc219879565</vt:lpwstr>
      </vt:variant>
      <vt:variant>
        <vt:i4>1114169</vt:i4>
      </vt:variant>
      <vt:variant>
        <vt:i4>362</vt:i4>
      </vt:variant>
      <vt:variant>
        <vt:i4>0</vt:i4>
      </vt:variant>
      <vt:variant>
        <vt:i4>5</vt:i4>
      </vt:variant>
      <vt:variant>
        <vt:lpwstr/>
      </vt:variant>
      <vt:variant>
        <vt:lpwstr>_Toc219879564</vt:lpwstr>
      </vt:variant>
      <vt:variant>
        <vt:i4>1114169</vt:i4>
      </vt:variant>
      <vt:variant>
        <vt:i4>356</vt:i4>
      </vt:variant>
      <vt:variant>
        <vt:i4>0</vt:i4>
      </vt:variant>
      <vt:variant>
        <vt:i4>5</vt:i4>
      </vt:variant>
      <vt:variant>
        <vt:lpwstr/>
      </vt:variant>
      <vt:variant>
        <vt:lpwstr>_Toc219879563</vt:lpwstr>
      </vt:variant>
      <vt:variant>
        <vt:i4>1114169</vt:i4>
      </vt:variant>
      <vt:variant>
        <vt:i4>350</vt:i4>
      </vt:variant>
      <vt:variant>
        <vt:i4>0</vt:i4>
      </vt:variant>
      <vt:variant>
        <vt:i4>5</vt:i4>
      </vt:variant>
      <vt:variant>
        <vt:lpwstr/>
      </vt:variant>
      <vt:variant>
        <vt:lpwstr>_Toc219879562</vt:lpwstr>
      </vt:variant>
      <vt:variant>
        <vt:i4>1114169</vt:i4>
      </vt:variant>
      <vt:variant>
        <vt:i4>344</vt:i4>
      </vt:variant>
      <vt:variant>
        <vt:i4>0</vt:i4>
      </vt:variant>
      <vt:variant>
        <vt:i4>5</vt:i4>
      </vt:variant>
      <vt:variant>
        <vt:lpwstr/>
      </vt:variant>
      <vt:variant>
        <vt:lpwstr>_Toc219879561</vt:lpwstr>
      </vt:variant>
      <vt:variant>
        <vt:i4>1114169</vt:i4>
      </vt:variant>
      <vt:variant>
        <vt:i4>338</vt:i4>
      </vt:variant>
      <vt:variant>
        <vt:i4>0</vt:i4>
      </vt:variant>
      <vt:variant>
        <vt:i4>5</vt:i4>
      </vt:variant>
      <vt:variant>
        <vt:lpwstr/>
      </vt:variant>
      <vt:variant>
        <vt:lpwstr>_Toc219879560</vt:lpwstr>
      </vt:variant>
      <vt:variant>
        <vt:i4>1179705</vt:i4>
      </vt:variant>
      <vt:variant>
        <vt:i4>332</vt:i4>
      </vt:variant>
      <vt:variant>
        <vt:i4>0</vt:i4>
      </vt:variant>
      <vt:variant>
        <vt:i4>5</vt:i4>
      </vt:variant>
      <vt:variant>
        <vt:lpwstr/>
      </vt:variant>
      <vt:variant>
        <vt:lpwstr>_Toc219879559</vt:lpwstr>
      </vt:variant>
      <vt:variant>
        <vt:i4>1179705</vt:i4>
      </vt:variant>
      <vt:variant>
        <vt:i4>326</vt:i4>
      </vt:variant>
      <vt:variant>
        <vt:i4>0</vt:i4>
      </vt:variant>
      <vt:variant>
        <vt:i4>5</vt:i4>
      </vt:variant>
      <vt:variant>
        <vt:lpwstr/>
      </vt:variant>
      <vt:variant>
        <vt:lpwstr>_Toc219879558</vt:lpwstr>
      </vt:variant>
      <vt:variant>
        <vt:i4>1179705</vt:i4>
      </vt:variant>
      <vt:variant>
        <vt:i4>320</vt:i4>
      </vt:variant>
      <vt:variant>
        <vt:i4>0</vt:i4>
      </vt:variant>
      <vt:variant>
        <vt:i4>5</vt:i4>
      </vt:variant>
      <vt:variant>
        <vt:lpwstr/>
      </vt:variant>
      <vt:variant>
        <vt:lpwstr>_Toc219879557</vt:lpwstr>
      </vt:variant>
      <vt:variant>
        <vt:i4>1179705</vt:i4>
      </vt:variant>
      <vt:variant>
        <vt:i4>314</vt:i4>
      </vt:variant>
      <vt:variant>
        <vt:i4>0</vt:i4>
      </vt:variant>
      <vt:variant>
        <vt:i4>5</vt:i4>
      </vt:variant>
      <vt:variant>
        <vt:lpwstr/>
      </vt:variant>
      <vt:variant>
        <vt:lpwstr>_Toc219879556</vt:lpwstr>
      </vt:variant>
      <vt:variant>
        <vt:i4>1179705</vt:i4>
      </vt:variant>
      <vt:variant>
        <vt:i4>308</vt:i4>
      </vt:variant>
      <vt:variant>
        <vt:i4>0</vt:i4>
      </vt:variant>
      <vt:variant>
        <vt:i4>5</vt:i4>
      </vt:variant>
      <vt:variant>
        <vt:lpwstr/>
      </vt:variant>
      <vt:variant>
        <vt:lpwstr>_Toc219879555</vt:lpwstr>
      </vt:variant>
      <vt:variant>
        <vt:i4>1179705</vt:i4>
      </vt:variant>
      <vt:variant>
        <vt:i4>302</vt:i4>
      </vt:variant>
      <vt:variant>
        <vt:i4>0</vt:i4>
      </vt:variant>
      <vt:variant>
        <vt:i4>5</vt:i4>
      </vt:variant>
      <vt:variant>
        <vt:lpwstr/>
      </vt:variant>
      <vt:variant>
        <vt:lpwstr>_Toc219879554</vt:lpwstr>
      </vt:variant>
      <vt:variant>
        <vt:i4>1179705</vt:i4>
      </vt:variant>
      <vt:variant>
        <vt:i4>296</vt:i4>
      </vt:variant>
      <vt:variant>
        <vt:i4>0</vt:i4>
      </vt:variant>
      <vt:variant>
        <vt:i4>5</vt:i4>
      </vt:variant>
      <vt:variant>
        <vt:lpwstr/>
      </vt:variant>
      <vt:variant>
        <vt:lpwstr>_Toc219879553</vt:lpwstr>
      </vt:variant>
      <vt:variant>
        <vt:i4>1179705</vt:i4>
      </vt:variant>
      <vt:variant>
        <vt:i4>290</vt:i4>
      </vt:variant>
      <vt:variant>
        <vt:i4>0</vt:i4>
      </vt:variant>
      <vt:variant>
        <vt:i4>5</vt:i4>
      </vt:variant>
      <vt:variant>
        <vt:lpwstr/>
      </vt:variant>
      <vt:variant>
        <vt:lpwstr>_Toc219879552</vt:lpwstr>
      </vt:variant>
      <vt:variant>
        <vt:i4>1179705</vt:i4>
      </vt:variant>
      <vt:variant>
        <vt:i4>284</vt:i4>
      </vt:variant>
      <vt:variant>
        <vt:i4>0</vt:i4>
      </vt:variant>
      <vt:variant>
        <vt:i4>5</vt:i4>
      </vt:variant>
      <vt:variant>
        <vt:lpwstr/>
      </vt:variant>
      <vt:variant>
        <vt:lpwstr>_Toc219879551</vt:lpwstr>
      </vt:variant>
      <vt:variant>
        <vt:i4>1179705</vt:i4>
      </vt:variant>
      <vt:variant>
        <vt:i4>278</vt:i4>
      </vt:variant>
      <vt:variant>
        <vt:i4>0</vt:i4>
      </vt:variant>
      <vt:variant>
        <vt:i4>5</vt:i4>
      </vt:variant>
      <vt:variant>
        <vt:lpwstr/>
      </vt:variant>
      <vt:variant>
        <vt:lpwstr>_Toc219879550</vt:lpwstr>
      </vt:variant>
      <vt:variant>
        <vt:i4>1245241</vt:i4>
      </vt:variant>
      <vt:variant>
        <vt:i4>272</vt:i4>
      </vt:variant>
      <vt:variant>
        <vt:i4>0</vt:i4>
      </vt:variant>
      <vt:variant>
        <vt:i4>5</vt:i4>
      </vt:variant>
      <vt:variant>
        <vt:lpwstr/>
      </vt:variant>
      <vt:variant>
        <vt:lpwstr>_Toc219879549</vt:lpwstr>
      </vt:variant>
      <vt:variant>
        <vt:i4>1245241</vt:i4>
      </vt:variant>
      <vt:variant>
        <vt:i4>266</vt:i4>
      </vt:variant>
      <vt:variant>
        <vt:i4>0</vt:i4>
      </vt:variant>
      <vt:variant>
        <vt:i4>5</vt:i4>
      </vt:variant>
      <vt:variant>
        <vt:lpwstr/>
      </vt:variant>
      <vt:variant>
        <vt:lpwstr>_Toc219879548</vt:lpwstr>
      </vt:variant>
      <vt:variant>
        <vt:i4>1245241</vt:i4>
      </vt:variant>
      <vt:variant>
        <vt:i4>260</vt:i4>
      </vt:variant>
      <vt:variant>
        <vt:i4>0</vt:i4>
      </vt:variant>
      <vt:variant>
        <vt:i4>5</vt:i4>
      </vt:variant>
      <vt:variant>
        <vt:lpwstr/>
      </vt:variant>
      <vt:variant>
        <vt:lpwstr>_Toc219879547</vt:lpwstr>
      </vt:variant>
      <vt:variant>
        <vt:i4>1245241</vt:i4>
      </vt:variant>
      <vt:variant>
        <vt:i4>254</vt:i4>
      </vt:variant>
      <vt:variant>
        <vt:i4>0</vt:i4>
      </vt:variant>
      <vt:variant>
        <vt:i4>5</vt:i4>
      </vt:variant>
      <vt:variant>
        <vt:lpwstr/>
      </vt:variant>
      <vt:variant>
        <vt:lpwstr>_Toc219879546</vt:lpwstr>
      </vt:variant>
      <vt:variant>
        <vt:i4>1245241</vt:i4>
      </vt:variant>
      <vt:variant>
        <vt:i4>248</vt:i4>
      </vt:variant>
      <vt:variant>
        <vt:i4>0</vt:i4>
      </vt:variant>
      <vt:variant>
        <vt:i4>5</vt:i4>
      </vt:variant>
      <vt:variant>
        <vt:lpwstr/>
      </vt:variant>
      <vt:variant>
        <vt:lpwstr>_Toc219879545</vt:lpwstr>
      </vt:variant>
      <vt:variant>
        <vt:i4>1245241</vt:i4>
      </vt:variant>
      <vt:variant>
        <vt:i4>242</vt:i4>
      </vt:variant>
      <vt:variant>
        <vt:i4>0</vt:i4>
      </vt:variant>
      <vt:variant>
        <vt:i4>5</vt:i4>
      </vt:variant>
      <vt:variant>
        <vt:lpwstr/>
      </vt:variant>
      <vt:variant>
        <vt:lpwstr>_Toc219879544</vt:lpwstr>
      </vt:variant>
      <vt:variant>
        <vt:i4>1245241</vt:i4>
      </vt:variant>
      <vt:variant>
        <vt:i4>236</vt:i4>
      </vt:variant>
      <vt:variant>
        <vt:i4>0</vt:i4>
      </vt:variant>
      <vt:variant>
        <vt:i4>5</vt:i4>
      </vt:variant>
      <vt:variant>
        <vt:lpwstr/>
      </vt:variant>
      <vt:variant>
        <vt:lpwstr>_Toc219879543</vt:lpwstr>
      </vt:variant>
      <vt:variant>
        <vt:i4>1245241</vt:i4>
      </vt:variant>
      <vt:variant>
        <vt:i4>230</vt:i4>
      </vt:variant>
      <vt:variant>
        <vt:i4>0</vt:i4>
      </vt:variant>
      <vt:variant>
        <vt:i4>5</vt:i4>
      </vt:variant>
      <vt:variant>
        <vt:lpwstr/>
      </vt:variant>
      <vt:variant>
        <vt:lpwstr>_Toc219879542</vt:lpwstr>
      </vt:variant>
      <vt:variant>
        <vt:i4>1245241</vt:i4>
      </vt:variant>
      <vt:variant>
        <vt:i4>224</vt:i4>
      </vt:variant>
      <vt:variant>
        <vt:i4>0</vt:i4>
      </vt:variant>
      <vt:variant>
        <vt:i4>5</vt:i4>
      </vt:variant>
      <vt:variant>
        <vt:lpwstr/>
      </vt:variant>
      <vt:variant>
        <vt:lpwstr>_Toc219879541</vt:lpwstr>
      </vt:variant>
      <vt:variant>
        <vt:i4>1245241</vt:i4>
      </vt:variant>
      <vt:variant>
        <vt:i4>218</vt:i4>
      </vt:variant>
      <vt:variant>
        <vt:i4>0</vt:i4>
      </vt:variant>
      <vt:variant>
        <vt:i4>5</vt:i4>
      </vt:variant>
      <vt:variant>
        <vt:lpwstr/>
      </vt:variant>
      <vt:variant>
        <vt:lpwstr>_Toc219879540</vt:lpwstr>
      </vt:variant>
      <vt:variant>
        <vt:i4>1310777</vt:i4>
      </vt:variant>
      <vt:variant>
        <vt:i4>212</vt:i4>
      </vt:variant>
      <vt:variant>
        <vt:i4>0</vt:i4>
      </vt:variant>
      <vt:variant>
        <vt:i4>5</vt:i4>
      </vt:variant>
      <vt:variant>
        <vt:lpwstr/>
      </vt:variant>
      <vt:variant>
        <vt:lpwstr>_Toc219879539</vt:lpwstr>
      </vt:variant>
      <vt:variant>
        <vt:i4>1310777</vt:i4>
      </vt:variant>
      <vt:variant>
        <vt:i4>206</vt:i4>
      </vt:variant>
      <vt:variant>
        <vt:i4>0</vt:i4>
      </vt:variant>
      <vt:variant>
        <vt:i4>5</vt:i4>
      </vt:variant>
      <vt:variant>
        <vt:lpwstr/>
      </vt:variant>
      <vt:variant>
        <vt:lpwstr>_Toc219879538</vt:lpwstr>
      </vt:variant>
      <vt:variant>
        <vt:i4>1310777</vt:i4>
      </vt:variant>
      <vt:variant>
        <vt:i4>200</vt:i4>
      </vt:variant>
      <vt:variant>
        <vt:i4>0</vt:i4>
      </vt:variant>
      <vt:variant>
        <vt:i4>5</vt:i4>
      </vt:variant>
      <vt:variant>
        <vt:lpwstr/>
      </vt:variant>
      <vt:variant>
        <vt:lpwstr>_Toc219879537</vt:lpwstr>
      </vt:variant>
      <vt:variant>
        <vt:i4>1310777</vt:i4>
      </vt:variant>
      <vt:variant>
        <vt:i4>194</vt:i4>
      </vt:variant>
      <vt:variant>
        <vt:i4>0</vt:i4>
      </vt:variant>
      <vt:variant>
        <vt:i4>5</vt:i4>
      </vt:variant>
      <vt:variant>
        <vt:lpwstr/>
      </vt:variant>
      <vt:variant>
        <vt:lpwstr>_Toc219879536</vt:lpwstr>
      </vt:variant>
      <vt:variant>
        <vt:i4>1310777</vt:i4>
      </vt:variant>
      <vt:variant>
        <vt:i4>188</vt:i4>
      </vt:variant>
      <vt:variant>
        <vt:i4>0</vt:i4>
      </vt:variant>
      <vt:variant>
        <vt:i4>5</vt:i4>
      </vt:variant>
      <vt:variant>
        <vt:lpwstr/>
      </vt:variant>
      <vt:variant>
        <vt:lpwstr>_Toc219879535</vt:lpwstr>
      </vt:variant>
      <vt:variant>
        <vt:i4>1310777</vt:i4>
      </vt:variant>
      <vt:variant>
        <vt:i4>182</vt:i4>
      </vt:variant>
      <vt:variant>
        <vt:i4>0</vt:i4>
      </vt:variant>
      <vt:variant>
        <vt:i4>5</vt:i4>
      </vt:variant>
      <vt:variant>
        <vt:lpwstr/>
      </vt:variant>
      <vt:variant>
        <vt:lpwstr>_Toc219879534</vt:lpwstr>
      </vt:variant>
      <vt:variant>
        <vt:i4>1310777</vt:i4>
      </vt:variant>
      <vt:variant>
        <vt:i4>176</vt:i4>
      </vt:variant>
      <vt:variant>
        <vt:i4>0</vt:i4>
      </vt:variant>
      <vt:variant>
        <vt:i4>5</vt:i4>
      </vt:variant>
      <vt:variant>
        <vt:lpwstr/>
      </vt:variant>
      <vt:variant>
        <vt:lpwstr>_Toc219879533</vt:lpwstr>
      </vt:variant>
      <vt:variant>
        <vt:i4>1310777</vt:i4>
      </vt:variant>
      <vt:variant>
        <vt:i4>170</vt:i4>
      </vt:variant>
      <vt:variant>
        <vt:i4>0</vt:i4>
      </vt:variant>
      <vt:variant>
        <vt:i4>5</vt:i4>
      </vt:variant>
      <vt:variant>
        <vt:lpwstr/>
      </vt:variant>
      <vt:variant>
        <vt:lpwstr>_Toc219879532</vt:lpwstr>
      </vt:variant>
      <vt:variant>
        <vt:i4>1310777</vt:i4>
      </vt:variant>
      <vt:variant>
        <vt:i4>164</vt:i4>
      </vt:variant>
      <vt:variant>
        <vt:i4>0</vt:i4>
      </vt:variant>
      <vt:variant>
        <vt:i4>5</vt:i4>
      </vt:variant>
      <vt:variant>
        <vt:lpwstr/>
      </vt:variant>
      <vt:variant>
        <vt:lpwstr>_Toc219879531</vt:lpwstr>
      </vt:variant>
      <vt:variant>
        <vt:i4>1310777</vt:i4>
      </vt:variant>
      <vt:variant>
        <vt:i4>158</vt:i4>
      </vt:variant>
      <vt:variant>
        <vt:i4>0</vt:i4>
      </vt:variant>
      <vt:variant>
        <vt:i4>5</vt:i4>
      </vt:variant>
      <vt:variant>
        <vt:lpwstr/>
      </vt:variant>
      <vt:variant>
        <vt:lpwstr>_Toc219879530</vt:lpwstr>
      </vt:variant>
      <vt:variant>
        <vt:i4>1376313</vt:i4>
      </vt:variant>
      <vt:variant>
        <vt:i4>152</vt:i4>
      </vt:variant>
      <vt:variant>
        <vt:i4>0</vt:i4>
      </vt:variant>
      <vt:variant>
        <vt:i4>5</vt:i4>
      </vt:variant>
      <vt:variant>
        <vt:lpwstr/>
      </vt:variant>
      <vt:variant>
        <vt:lpwstr>_Toc219879529</vt:lpwstr>
      </vt:variant>
      <vt:variant>
        <vt:i4>1376313</vt:i4>
      </vt:variant>
      <vt:variant>
        <vt:i4>146</vt:i4>
      </vt:variant>
      <vt:variant>
        <vt:i4>0</vt:i4>
      </vt:variant>
      <vt:variant>
        <vt:i4>5</vt:i4>
      </vt:variant>
      <vt:variant>
        <vt:lpwstr/>
      </vt:variant>
      <vt:variant>
        <vt:lpwstr>_Toc219879528</vt:lpwstr>
      </vt:variant>
      <vt:variant>
        <vt:i4>1376313</vt:i4>
      </vt:variant>
      <vt:variant>
        <vt:i4>140</vt:i4>
      </vt:variant>
      <vt:variant>
        <vt:i4>0</vt:i4>
      </vt:variant>
      <vt:variant>
        <vt:i4>5</vt:i4>
      </vt:variant>
      <vt:variant>
        <vt:lpwstr/>
      </vt:variant>
      <vt:variant>
        <vt:lpwstr>_Toc219879527</vt:lpwstr>
      </vt:variant>
      <vt:variant>
        <vt:i4>1376313</vt:i4>
      </vt:variant>
      <vt:variant>
        <vt:i4>134</vt:i4>
      </vt:variant>
      <vt:variant>
        <vt:i4>0</vt:i4>
      </vt:variant>
      <vt:variant>
        <vt:i4>5</vt:i4>
      </vt:variant>
      <vt:variant>
        <vt:lpwstr/>
      </vt:variant>
      <vt:variant>
        <vt:lpwstr>_Toc219879526</vt:lpwstr>
      </vt:variant>
      <vt:variant>
        <vt:i4>1376313</vt:i4>
      </vt:variant>
      <vt:variant>
        <vt:i4>128</vt:i4>
      </vt:variant>
      <vt:variant>
        <vt:i4>0</vt:i4>
      </vt:variant>
      <vt:variant>
        <vt:i4>5</vt:i4>
      </vt:variant>
      <vt:variant>
        <vt:lpwstr/>
      </vt:variant>
      <vt:variant>
        <vt:lpwstr>_Toc219879525</vt:lpwstr>
      </vt:variant>
      <vt:variant>
        <vt:i4>1376313</vt:i4>
      </vt:variant>
      <vt:variant>
        <vt:i4>122</vt:i4>
      </vt:variant>
      <vt:variant>
        <vt:i4>0</vt:i4>
      </vt:variant>
      <vt:variant>
        <vt:i4>5</vt:i4>
      </vt:variant>
      <vt:variant>
        <vt:lpwstr/>
      </vt:variant>
      <vt:variant>
        <vt:lpwstr>_Toc219879524</vt:lpwstr>
      </vt:variant>
      <vt:variant>
        <vt:i4>1376313</vt:i4>
      </vt:variant>
      <vt:variant>
        <vt:i4>116</vt:i4>
      </vt:variant>
      <vt:variant>
        <vt:i4>0</vt:i4>
      </vt:variant>
      <vt:variant>
        <vt:i4>5</vt:i4>
      </vt:variant>
      <vt:variant>
        <vt:lpwstr/>
      </vt:variant>
      <vt:variant>
        <vt:lpwstr>_Toc219879523</vt:lpwstr>
      </vt:variant>
      <vt:variant>
        <vt:i4>1376313</vt:i4>
      </vt:variant>
      <vt:variant>
        <vt:i4>110</vt:i4>
      </vt:variant>
      <vt:variant>
        <vt:i4>0</vt:i4>
      </vt:variant>
      <vt:variant>
        <vt:i4>5</vt:i4>
      </vt:variant>
      <vt:variant>
        <vt:lpwstr/>
      </vt:variant>
      <vt:variant>
        <vt:lpwstr>_Toc219879522</vt:lpwstr>
      </vt:variant>
      <vt:variant>
        <vt:i4>1376313</vt:i4>
      </vt:variant>
      <vt:variant>
        <vt:i4>104</vt:i4>
      </vt:variant>
      <vt:variant>
        <vt:i4>0</vt:i4>
      </vt:variant>
      <vt:variant>
        <vt:i4>5</vt:i4>
      </vt:variant>
      <vt:variant>
        <vt:lpwstr/>
      </vt:variant>
      <vt:variant>
        <vt:lpwstr>_Toc219879521</vt:lpwstr>
      </vt:variant>
      <vt:variant>
        <vt:i4>1376313</vt:i4>
      </vt:variant>
      <vt:variant>
        <vt:i4>98</vt:i4>
      </vt:variant>
      <vt:variant>
        <vt:i4>0</vt:i4>
      </vt:variant>
      <vt:variant>
        <vt:i4>5</vt:i4>
      </vt:variant>
      <vt:variant>
        <vt:lpwstr/>
      </vt:variant>
      <vt:variant>
        <vt:lpwstr>_Toc219879520</vt:lpwstr>
      </vt:variant>
      <vt:variant>
        <vt:i4>1441849</vt:i4>
      </vt:variant>
      <vt:variant>
        <vt:i4>92</vt:i4>
      </vt:variant>
      <vt:variant>
        <vt:i4>0</vt:i4>
      </vt:variant>
      <vt:variant>
        <vt:i4>5</vt:i4>
      </vt:variant>
      <vt:variant>
        <vt:lpwstr/>
      </vt:variant>
      <vt:variant>
        <vt:lpwstr>_Toc219879519</vt:lpwstr>
      </vt:variant>
      <vt:variant>
        <vt:i4>1441849</vt:i4>
      </vt:variant>
      <vt:variant>
        <vt:i4>86</vt:i4>
      </vt:variant>
      <vt:variant>
        <vt:i4>0</vt:i4>
      </vt:variant>
      <vt:variant>
        <vt:i4>5</vt:i4>
      </vt:variant>
      <vt:variant>
        <vt:lpwstr/>
      </vt:variant>
      <vt:variant>
        <vt:lpwstr>_Toc219879518</vt:lpwstr>
      </vt:variant>
      <vt:variant>
        <vt:i4>1441849</vt:i4>
      </vt:variant>
      <vt:variant>
        <vt:i4>80</vt:i4>
      </vt:variant>
      <vt:variant>
        <vt:i4>0</vt:i4>
      </vt:variant>
      <vt:variant>
        <vt:i4>5</vt:i4>
      </vt:variant>
      <vt:variant>
        <vt:lpwstr/>
      </vt:variant>
      <vt:variant>
        <vt:lpwstr>_Toc219879517</vt:lpwstr>
      </vt:variant>
      <vt:variant>
        <vt:i4>1441849</vt:i4>
      </vt:variant>
      <vt:variant>
        <vt:i4>74</vt:i4>
      </vt:variant>
      <vt:variant>
        <vt:i4>0</vt:i4>
      </vt:variant>
      <vt:variant>
        <vt:i4>5</vt:i4>
      </vt:variant>
      <vt:variant>
        <vt:lpwstr/>
      </vt:variant>
      <vt:variant>
        <vt:lpwstr>_Toc219879516</vt:lpwstr>
      </vt:variant>
      <vt:variant>
        <vt:i4>1441849</vt:i4>
      </vt:variant>
      <vt:variant>
        <vt:i4>68</vt:i4>
      </vt:variant>
      <vt:variant>
        <vt:i4>0</vt:i4>
      </vt:variant>
      <vt:variant>
        <vt:i4>5</vt:i4>
      </vt:variant>
      <vt:variant>
        <vt:lpwstr/>
      </vt:variant>
      <vt:variant>
        <vt:lpwstr>_Toc219879515</vt:lpwstr>
      </vt:variant>
      <vt:variant>
        <vt:i4>1441849</vt:i4>
      </vt:variant>
      <vt:variant>
        <vt:i4>62</vt:i4>
      </vt:variant>
      <vt:variant>
        <vt:i4>0</vt:i4>
      </vt:variant>
      <vt:variant>
        <vt:i4>5</vt:i4>
      </vt:variant>
      <vt:variant>
        <vt:lpwstr/>
      </vt:variant>
      <vt:variant>
        <vt:lpwstr>_Toc219879514</vt:lpwstr>
      </vt:variant>
      <vt:variant>
        <vt:i4>1441849</vt:i4>
      </vt:variant>
      <vt:variant>
        <vt:i4>56</vt:i4>
      </vt:variant>
      <vt:variant>
        <vt:i4>0</vt:i4>
      </vt:variant>
      <vt:variant>
        <vt:i4>5</vt:i4>
      </vt:variant>
      <vt:variant>
        <vt:lpwstr/>
      </vt:variant>
      <vt:variant>
        <vt:lpwstr>_Toc219879513</vt:lpwstr>
      </vt:variant>
      <vt:variant>
        <vt:i4>1441849</vt:i4>
      </vt:variant>
      <vt:variant>
        <vt:i4>50</vt:i4>
      </vt:variant>
      <vt:variant>
        <vt:i4>0</vt:i4>
      </vt:variant>
      <vt:variant>
        <vt:i4>5</vt:i4>
      </vt:variant>
      <vt:variant>
        <vt:lpwstr/>
      </vt:variant>
      <vt:variant>
        <vt:lpwstr>_Toc219879512</vt:lpwstr>
      </vt:variant>
      <vt:variant>
        <vt:i4>1441849</vt:i4>
      </vt:variant>
      <vt:variant>
        <vt:i4>44</vt:i4>
      </vt:variant>
      <vt:variant>
        <vt:i4>0</vt:i4>
      </vt:variant>
      <vt:variant>
        <vt:i4>5</vt:i4>
      </vt:variant>
      <vt:variant>
        <vt:lpwstr/>
      </vt:variant>
      <vt:variant>
        <vt:lpwstr>_Toc219879511</vt:lpwstr>
      </vt:variant>
      <vt:variant>
        <vt:i4>1441849</vt:i4>
      </vt:variant>
      <vt:variant>
        <vt:i4>38</vt:i4>
      </vt:variant>
      <vt:variant>
        <vt:i4>0</vt:i4>
      </vt:variant>
      <vt:variant>
        <vt:i4>5</vt:i4>
      </vt:variant>
      <vt:variant>
        <vt:lpwstr/>
      </vt:variant>
      <vt:variant>
        <vt:lpwstr>_Toc219879510</vt:lpwstr>
      </vt:variant>
      <vt:variant>
        <vt:i4>1507385</vt:i4>
      </vt:variant>
      <vt:variant>
        <vt:i4>32</vt:i4>
      </vt:variant>
      <vt:variant>
        <vt:i4>0</vt:i4>
      </vt:variant>
      <vt:variant>
        <vt:i4>5</vt:i4>
      </vt:variant>
      <vt:variant>
        <vt:lpwstr/>
      </vt:variant>
      <vt:variant>
        <vt:lpwstr>_Toc219879509</vt:lpwstr>
      </vt:variant>
      <vt:variant>
        <vt:i4>1507385</vt:i4>
      </vt:variant>
      <vt:variant>
        <vt:i4>26</vt:i4>
      </vt:variant>
      <vt:variant>
        <vt:i4>0</vt:i4>
      </vt:variant>
      <vt:variant>
        <vt:i4>5</vt:i4>
      </vt:variant>
      <vt:variant>
        <vt:lpwstr/>
      </vt:variant>
      <vt:variant>
        <vt:lpwstr>_Toc219879508</vt:lpwstr>
      </vt:variant>
      <vt:variant>
        <vt:i4>1507385</vt:i4>
      </vt:variant>
      <vt:variant>
        <vt:i4>20</vt:i4>
      </vt:variant>
      <vt:variant>
        <vt:i4>0</vt:i4>
      </vt:variant>
      <vt:variant>
        <vt:i4>5</vt:i4>
      </vt:variant>
      <vt:variant>
        <vt:lpwstr/>
      </vt:variant>
      <vt:variant>
        <vt:lpwstr>_Toc219879507</vt:lpwstr>
      </vt:variant>
      <vt:variant>
        <vt:i4>1507385</vt:i4>
      </vt:variant>
      <vt:variant>
        <vt:i4>14</vt:i4>
      </vt:variant>
      <vt:variant>
        <vt:i4>0</vt:i4>
      </vt:variant>
      <vt:variant>
        <vt:i4>5</vt:i4>
      </vt:variant>
      <vt:variant>
        <vt:lpwstr/>
      </vt:variant>
      <vt:variant>
        <vt:lpwstr>_Toc219879506</vt:lpwstr>
      </vt:variant>
      <vt:variant>
        <vt:i4>1507385</vt:i4>
      </vt:variant>
      <vt:variant>
        <vt:i4>8</vt:i4>
      </vt:variant>
      <vt:variant>
        <vt:i4>0</vt:i4>
      </vt:variant>
      <vt:variant>
        <vt:i4>5</vt:i4>
      </vt:variant>
      <vt:variant>
        <vt:lpwstr/>
      </vt:variant>
      <vt:variant>
        <vt:lpwstr>_Toc219879505</vt:lpwstr>
      </vt:variant>
      <vt:variant>
        <vt:i4>1507385</vt:i4>
      </vt:variant>
      <vt:variant>
        <vt:i4>2</vt:i4>
      </vt:variant>
      <vt:variant>
        <vt:i4>0</vt:i4>
      </vt:variant>
      <vt:variant>
        <vt:i4>5</vt:i4>
      </vt:variant>
      <vt:variant>
        <vt:lpwstr/>
      </vt:variant>
      <vt:variant>
        <vt:lpwstr>_Toc219879504</vt:lpwstr>
      </vt:variant>
      <vt:variant>
        <vt:i4>6422629</vt:i4>
      </vt:variant>
      <vt:variant>
        <vt:i4>27</vt:i4>
      </vt:variant>
      <vt:variant>
        <vt:i4>0</vt:i4>
      </vt:variant>
      <vt:variant>
        <vt:i4>5</vt:i4>
      </vt:variant>
      <vt:variant>
        <vt:lpwstr>https://dctd.cancer.gov/research/ctep-trials/for-sites/adverse-events/ctcae-v6.pdf</vt:lpwstr>
      </vt:variant>
      <vt:variant>
        <vt:lpwstr/>
      </vt:variant>
      <vt:variant>
        <vt:i4>5701637</vt:i4>
      </vt:variant>
      <vt:variant>
        <vt:i4>24</vt:i4>
      </vt:variant>
      <vt:variant>
        <vt:i4>0</vt:i4>
      </vt:variant>
      <vt:variant>
        <vt:i4>5</vt:i4>
      </vt:variant>
      <vt:variant>
        <vt:lpwstr>https://ajp.com.au/news/19-nip-vaccine-administration-fee-for-pharmacies/</vt:lpwstr>
      </vt:variant>
      <vt:variant>
        <vt:lpwstr/>
      </vt:variant>
      <vt:variant>
        <vt:i4>6553704</vt:i4>
      </vt:variant>
      <vt:variant>
        <vt:i4>21</vt:i4>
      </vt:variant>
      <vt:variant>
        <vt:i4>0</vt:i4>
      </vt:variant>
      <vt:variant>
        <vt:i4>5</vt:i4>
      </vt:variant>
      <vt:variant>
        <vt:lpwstr>https://www.tga.gov.au/products/covid-19/covid-19-vaccines</vt:lpwstr>
      </vt:variant>
      <vt:variant>
        <vt:lpwstr/>
      </vt:variant>
      <vt:variant>
        <vt:i4>65606</vt:i4>
      </vt:variant>
      <vt:variant>
        <vt:i4>18</vt:i4>
      </vt:variant>
      <vt:variant>
        <vt:i4>0</vt:i4>
      </vt:variant>
      <vt:variant>
        <vt:i4>5</vt:i4>
      </vt:variant>
      <vt:variant>
        <vt:lpwstr>https://www.health.gov.au/sites/default/files/2025-01/australian-respiratory-surveillance-report-30-december-2024-to-26-january-2025.pdf</vt:lpwstr>
      </vt:variant>
      <vt:variant>
        <vt:lpwstr/>
      </vt:variant>
      <vt:variant>
        <vt:i4>3539060</vt:i4>
      </vt:variant>
      <vt:variant>
        <vt:i4>15</vt:i4>
      </vt:variant>
      <vt:variant>
        <vt:i4>0</vt:i4>
      </vt:variant>
      <vt:variant>
        <vt:i4>5</vt:i4>
      </vt:variant>
      <vt:variant>
        <vt:lpwstr>https://www.pbs.gov.au/industry/listing/elements/pbac-meetings/agenda/pdf/2025/PBAC-Intracycle-meeting-agenda-DECEMBER-2025.pdf</vt:lpwstr>
      </vt:variant>
      <vt:variant>
        <vt:lpwstr/>
      </vt:variant>
      <vt:variant>
        <vt:i4>5832727</vt:i4>
      </vt:variant>
      <vt:variant>
        <vt:i4>12</vt:i4>
      </vt:variant>
      <vt:variant>
        <vt:i4>0</vt:i4>
      </vt:variant>
      <vt:variant>
        <vt:i4>5</vt:i4>
      </vt:variant>
      <vt:variant>
        <vt:lpwstr>https://www.health.gov.au/our-work/covid-19-vaccines/about-rollout/vaccine-agreements</vt:lpwstr>
      </vt:variant>
      <vt:variant>
        <vt:lpwstr/>
      </vt:variant>
      <vt:variant>
        <vt:i4>2556024</vt:i4>
      </vt:variant>
      <vt:variant>
        <vt:i4>9</vt:i4>
      </vt:variant>
      <vt:variant>
        <vt:i4>0</vt:i4>
      </vt:variant>
      <vt:variant>
        <vt:i4>5</vt:i4>
      </vt:variant>
      <vt:variant>
        <vt:lpwstr>https://www.health.gov.au/our-work/covid-19-vaccines/about-rollout</vt:lpwstr>
      </vt:variant>
      <vt:variant>
        <vt:lpwstr/>
      </vt:variant>
      <vt:variant>
        <vt:i4>3539060</vt:i4>
      </vt:variant>
      <vt:variant>
        <vt:i4>6</vt:i4>
      </vt:variant>
      <vt:variant>
        <vt:i4>0</vt:i4>
      </vt:variant>
      <vt:variant>
        <vt:i4>5</vt:i4>
      </vt:variant>
      <vt:variant>
        <vt:lpwstr>https://www.pbs.gov.au/industry/listing/elements/pbac-meetings/agenda/pdf/2025/PBAC-Intracycle-meeting-agenda-DECEMBER-2025.pdf</vt:lpwstr>
      </vt:variant>
      <vt:variant>
        <vt:lpwstr/>
      </vt:variant>
      <vt:variant>
        <vt:i4>7209058</vt:i4>
      </vt:variant>
      <vt:variant>
        <vt:i4>3</vt:i4>
      </vt:variant>
      <vt:variant>
        <vt:i4>0</vt:i4>
      </vt:variant>
      <vt:variant>
        <vt:i4>5</vt:i4>
      </vt:variant>
      <vt:variant>
        <vt:lpwstr>https://www.tga.gov.au/resources/prescription-medicines-under-evaluation/tbc-moderna-australia-pty-ltd</vt:lpwstr>
      </vt:variant>
      <vt:variant>
        <vt:lpwstr/>
      </vt:variant>
      <vt:variant>
        <vt:i4>6553704</vt:i4>
      </vt:variant>
      <vt:variant>
        <vt:i4>0</vt:i4>
      </vt:variant>
      <vt:variant>
        <vt:i4>0</vt:i4>
      </vt:variant>
      <vt:variant>
        <vt:i4>5</vt:i4>
      </vt:variant>
      <vt:variant>
        <vt:lpwstr>https://www.tga.gov.au/products/covid-19/covid-19-vaccines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2026-05-07T05:52:00Z</dcterms:created>
  <dcterms:modified xsi:type="dcterms:W3CDTF">2026-07-06T03:37:00Z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5c70b98b,2a55316b,f240aec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1b211df7,2bcdd74f,6d173d18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2026-04-15T02:14:33Z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7580b07a-6015-4e8f-a272-7c9c803ca60b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MSIP_Label_7cd3e8b9-ffed-43a8-b7f4-cc2fa0382d36_Extended_MSFT_Method">
    <vt:lpwstr>Standard</vt:lpwstr>
  </property>
  <property fmtid="{D5CDD505-2E9C-101B-9397-08002B2CF9AE}" pid="20" name="Sensitivity">
    <vt:lpwstr>OFFICIAL</vt:lpwstr>
  </property>
</Properties>
</file>