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DB627" w14:textId="68E28082" w:rsidR="00872E8F" w:rsidRPr="00A6439B" w:rsidRDefault="0096230D" w:rsidP="0096230D">
      <w:pPr>
        <w:pStyle w:val="1MainTitle"/>
        <w:ind w:left="1440" w:hanging="1440"/>
        <w:jc w:val="left"/>
      </w:pPr>
      <w:r>
        <w:t>11.03</w:t>
      </w:r>
      <w:r w:rsidR="00872E8F" w:rsidRPr="00A6439B">
        <w:tab/>
      </w:r>
      <w:r>
        <w:t>TAFAMIDIS</w:t>
      </w:r>
      <w:r w:rsidR="70971A32" w:rsidRPr="00A6439B">
        <w:t>,</w:t>
      </w:r>
      <w:r w:rsidR="00872E8F" w:rsidRPr="00A6439B">
        <w:br/>
      </w:r>
      <w:r w:rsidRPr="0096230D">
        <w:t>Capsule 61 mg</w:t>
      </w:r>
      <w:r w:rsidR="70971A32" w:rsidRPr="00A6439B">
        <w:t>,</w:t>
      </w:r>
      <w:r w:rsidR="00872E8F" w:rsidRPr="00A6439B">
        <w:br/>
      </w:r>
      <w:proofErr w:type="spellStart"/>
      <w:r w:rsidRPr="0096230D">
        <w:t>Vyndamax</w:t>
      </w:r>
      <w:proofErr w:type="spellEnd"/>
      <w:r w:rsidRPr="0096230D">
        <w:t>®</w:t>
      </w:r>
      <w:r w:rsidR="70971A32" w:rsidRPr="00A6439B">
        <w:t>,</w:t>
      </w:r>
      <w:r w:rsidR="00872E8F" w:rsidRPr="00A6439B">
        <w:br/>
      </w:r>
      <w:r w:rsidRPr="0096230D">
        <w:t>PFIZER AUSTRALIA PTY LTD</w:t>
      </w:r>
    </w:p>
    <w:p w14:paraId="5C03A476" w14:textId="77777777" w:rsidR="006C021E" w:rsidRPr="00A6439B" w:rsidRDefault="006C021E" w:rsidP="006C021E">
      <w:pPr>
        <w:pStyle w:val="2-SectionHeading"/>
        <w:rPr>
          <w:rFonts w:cstheme="minorHAnsi"/>
          <w:color w:val="FF0000"/>
        </w:rPr>
      </w:pPr>
      <w:r w:rsidRPr="007E1673">
        <w:t>Purpose of Submission</w:t>
      </w:r>
      <w:r w:rsidRPr="00A6439B">
        <w:t xml:space="preserve"> </w:t>
      </w:r>
    </w:p>
    <w:p w14:paraId="12C930B7" w14:textId="77777777" w:rsidR="006C021E" w:rsidRDefault="006C021E" w:rsidP="006C021E">
      <w:pPr>
        <w:pStyle w:val="3-BodyText"/>
      </w:pPr>
      <w:r>
        <w:t>The Category 3 submission requested PBAC to consider revised financial estimates for tafamidis (</w:t>
      </w:r>
      <w:proofErr w:type="spellStart"/>
      <w:r>
        <w:t>Vyndamax</w:t>
      </w:r>
      <w:proofErr w:type="spellEnd"/>
      <w:r>
        <w:rPr>
          <w:rFonts w:cstheme="minorHAnsi"/>
        </w:rPr>
        <w:t>®</w:t>
      </w:r>
      <w:r>
        <w:t>) for the treatment of</w:t>
      </w:r>
      <w:r w:rsidRPr="000A2D87">
        <w:t xml:space="preserve"> </w:t>
      </w:r>
      <w:r>
        <w:t xml:space="preserve">transthyretin amyloid cardiomyopathy (ATTR-CM) and a corresponding increase to the subsidisation caps for the current Risk Sharing Arrangement (RSA) to account for higher utilisation than expected since tafamidis was first listed </w:t>
      </w:r>
      <w:r w:rsidRPr="004F229E">
        <w:t xml:space="preserve">on the </w:t>
      </w:r>
      <w:r>
        <w:t>Pharmaceutical Benefits Scheme (</w:t>
      </w:r>
      <w:r w:rsidRPr="004F229E">
        <w:t>PBS</w:t>
      </w:r>
      <w:r>
        <w:t>)</w:t>
      </w:r>
      <w:r w:rsidRPr="004F229E">
        <w:t xml:space="preserve"> </w:t>
      </w:r>
      <w:r>
        <w:t xml:space="preserve">on 1 May 2024. </w:t>
      </w:r>
    </w:p>
    <w:p w14:paraId="4B5EA65C" w14:textId="77777777" w:rsidR="006C021E" w:rsidRPr="00A04820" w:rsidRDefault="006C021E" w:rsidP="006C021E">
      <w:pPr>
        <w:pStyle w:val="3-BodyText"/>
        <w:rPr>
          <w:rFonts w:cstheme="minorHAnsi"/>
          <w:szCs w:val="24"/>
        </w:rPr>
      </w:pPr>
      <w:r w:rsidRPr="00A04820">
        <w:rPr>
          <w:rFonts w:cstheme="minorHAnsi"/>
          <w:szCs w:val="24"/>
        </w:rPr>
        <w:t xml:space="preserve">The </w:t>
      </w:r>
      <w:r>
        <w:rPr>
          <w:rFonts w:cstheme="minorHAnsi"/>
          <w:szCs w:val="24"/>
        </w:rPr>
        <w:t>submission has proposed:</w:t>
      </w:r>
    </w:p>
    <w:p w14:paraId="0920F503" w14:textId="77777777" w:rsidR="006C021E" w:rsidRPr="00FE2CA2" w:rsidRDefault="006C021E" w:rsidP="006C021E">
      <w:pPr>
        <w:pStyle w:val="3-BodyText"/>
        <w:numPr>
          <w:ilvl w:val="0"/>
          <w:numId w:val="40"/>
        </w:numPr>
        <w:rPr>
          <w:rFonts w:cstheme="minorHAnsi"/>
          <w:szCs w:val="24"/>
        </w:rPr>
      </w:pPr>
      <w:r>
        <w:rPr>
          <w:rFonts w:cstheme="minorHAnsi"/>
          <w:szCs w:val="24"/>
        </w:rPr>
        <w:t xml:space="preserve">Increased </w:t>
      </w:r>
      <w:r w:rsidRPr="00FE2CA2">
        <w:rPr>
          <w:rFonts w:cstheme="minorHAnsi"/>
          <w:szCs w:val="24"/>
        </w:rPr>
        <w:t>RSA subsidisation caps</w:t>
      </w:r>
      <w:r>
        <w:rPr>
          <w:rFonts w:cstheme="minorHAnsi"/>
          <w:szCs w:val="24"/>
        </w:rPr>
        <w:t>, effective from 1 May 2026 (Deed Year 3),</w:t>
      </w:r>
      <w:r w:rsidRPr="00FE2CA2">
        <w:rPr>
          <w:rFonts w:cstheme="minorHAnsi"/>
          <w:szCs w:val="24"/>
        </w:rPr>
        <w:t xml:space="preserve"> </w:t>
      </w:r>
      <w:r>
        <w:rPr>
          <w:rFonts w:cstheme="minorHAnsi"/>
          <w:szCs w:val="24"/>
        </w:rPr>
        <w:t>intended to account for the higher</w:t>
      </w:r>
      <w:r w:rsidRPr="00FE2CA2">
        <w:rPr>
          <w:rFonts w:cstheme="minorHAnsi"/>
          <w:szCs w:val="24"/>
        </w:rPr>
        <w:t xml:space="preserve"> utilisation of tafamidis</w:t>
      </w:r>
      <w:r>
        <w:rPr>
          <w:rFonts w:cstheme="minorHAnsi"/>
          <w:szCs w:val="24"/>
        </w:rPr>
        <w:t>.</w:t>
      </w:r>
    </w:p>
    <w:p w14:paraId="5064228B" w14:textId="3AAD0252" w:rsidR="006C021E" w:rsidRPr="00BE620E" w:rsidRDefault="006C021E" w:rsidP="006C021E">
      <w:pPr>
        <w:pStyle w:val="3-BodyText"/>
        <w:numPr>
          <w:ilvl w:val="0"/>
          <w:numId w:val="40"/>
        </w:numPr>
        <w:rPr>
          <w:rFonts w:cstheme="minorHAnsi"/>
          <w:szCs w:val="24"/>
        </w:rPr>
      </w:pPr>
      <w:r w:rsidRPr="00BE620E">
        <w:rPr>
          <w:rFonts w:cstheme="minorHAnsi"/>
          <w:szCs w:val="24"/>
        </w:rPr>
        <w:t xml:space="preserve">A </w:t>
      </w:r>
      <w:r w:rsidR="004F5CF8" w:rsidRPr="004F5CF8">
        <w:rPr>
          <w:rFonts w:cstheme="minorHAnsi"/>
          <w:sz w:val="2"/>
          <w:szCs w:val="24"/>
          <w:highlight w:val="black"/>
        </w:rPr>
        <w:t>redacted content</w:t>
      </w:r>
      <w:r w:rsidRPr="00BE620E">
        <w:rPr>
          <w:rFonts w:cstheme="minorHAnsi"/>
          <w:szCs w:val="24"/>
        </w:rPr>
        <w:t>% price reduction (effective ex-manufacturer) to apply from 1 May 2026</w:t>
      </w:r>
      <w:r>
        <w:rPr>
          <w:rFonts w:cstheme="minorHAnsi"/>
          <w:szCs w:val="24"/>
        </w:rPr>
        <w:t>.</w:t>
      </w:r>
    </w:p>
    <w:p w14:paraId="5FAC7CB4" w14:textId="75A17F7F" w:rsidR="00837B7F" w:rsidRPr="006C021E" w:rsidRDefault="006C021E" w:rsidP="006C021E">
      <w:pPr>
        <w:pStyle w:val="3-BodyText"/>
        <w:numPr>
          <w:ilvl w:val="0"/>
          <w:numId w:val="40"/>
        </w:numPr>
        <w:rPr>
          <w:rFonts w:cstheme="minorHAnsi"/>
          <w:szCs w:val="24"/>
        </w:rPr>
      </w:pPr>
      <w:r w:rsidRPr="00BE620E">
        <w:rPr>
          <w:rFonts w:cstheme="minorHAnsi"/>
          <w:szCs w:val="24"/>
        </w:rPr>
        <w:t xml:space="preserve">A </w:t>
      </w:r>
      <w:r w:rsidR="004F5CF8" w:rsidRPr="004F5CF8">
        <w:rPr>
          <w:rFonts w:cstheme="minorHAnsi"/>
          <w:sz w:val="2"/>
          <w:szCs w:val="24"/>
          <w:highlight w:val="black"/>
        </w:rPr>
        <w:t>redacted content</w:t>
      </w:r>
      <w:r w:rsidRPr="00BE620E">
        <w:rPr>
          <w:rFonts w:cstheme="minorHAnsi"/>
          <w:szCs w:val="24"/>
        </w:rPr>
        <w:t>% price reduction (published ex-manufacturer) to apply from 1 May 2026</w:t>
      </w:r>
      <w:r>
        <w:rPr>
          <w:rFonts w:cstheme="minorHAnsi"/>
          <w:szCs w:val="24"/>
        </w:rPr>
        <w:t>.</w:t>
      </w:r>
    </w:p>
    <w:p w14:paraId="3D1D4320" w14:textId="77777777" w:rsidR="007E490F" w:rsidRPr="00A6439B" w:rsidRDefault="007E490F" w:rsidP="001F2311">
      <w:pPr>
        <w:pStyle w:val="2-SectionHeading"/>
        <w:numPr>
          <w:ilvl w:val="0"/>
          <w:numId w:val="2"/>
        </w:numPr>
      </w:pPr>
      <w:r w:rsidRPr="00A6439B">
        <w:t xml:space="preserve">Background </w:t>
      </w:r>
    </w:p>
    <w:p w14:paraId="66A51362" w14:textId="38A07758" w:rsidR="00B63251" w:rsidRDefault="004F229E">
      <w:pPr>
        <w:pStyle w:val="3-BodyText"/>
      </w:pPr>
      <w:r w:rsidRPr="004F229E">
        <w:t xml:space="preserve">Tafamidis </w:t>
      </w:r>
      <w:r w:rsidR="001F2311" w:rsidRPr="004F229E">
        <w:t>is currently listed as an Authority Required</w:t>
      </w:r>
      <w:r w:rsidRPr="004F229E">
        <w:t xml:space="preserve"> </w:t>
      </w:r>
      <w:r w:rsidR="001F2311" w:rsidRPr="004F229E">
        <w:t>listing for</w:t>
      </w:r>
      <w:r w:rsidR="00301A10">
        <w:t xml:space="preserve"> </w:t>
      </w:r>
      <w:r w:rsidR="00AF3495">
        <w:t xml:space="preserve">the treatment of </w:t>
      </w:r>
      <w:r w:rsidRPr="004F229E">
        <w:t>ATTR-CM</w:t>
      </w:r>
      <w:r w:rsidR="001F2311" w:rsidRPr="004F229E">
        <w:t>.</w:t>
      </w:r>
    </w:p>
    <w:p w14:paraId="0094486E" w14:textId="75F83422" w:rsidR="007E490F" w:rsidRPr="00A6439B" w:rsidRDefault="007E490F" w:rsidP="00691A2C">
      <w:pPr>
        <w:pStyle w:val="4-SubsectionHeading"/>
      </w:pPr>
      <w:r w:rsidRPr="00A6439B">
        <w:t xml:space="preserve">Previous PBAC </w:t>
      </w:r>
      <w:r w:rsidRPr="00691A2C">
        <w:t>consideration</w:t>
      </w:r>
      <w:r w:rsidR="00F4568B">
        <w:t>s</w:t>
      </w:r>
    </w:p>
    <w:p w14:paraId="5C6809F1" w14:textId="0C131135" w:rsidR="007E490F" w:rsidRPr="009C656F" w:rsidRDefault="00BB6DCA">
      <w:pPr>
        <w:pStyle w:val="3-BodyText"/>
        <w:rPr>
          <w:i/>
        </w:rPr>
      </w:pPr>
      <w:r w:rsidRPr="009C656F">
        <w:t xml:space="preserve">Tafamidis has been </w:t>
      </w:r>
      <w:r w:rsidR="00F97D29" w:rsidRPr="009C656F">
        <w:t xml:space="preserve">previously </w:t>
      </w:r>
      <w:r w:rsidRPr="009C656F">
        <w:t>considered</w:t>
      </w:r>
      <w:r w:rsidR="00F97D29" w:rsidRPr="009C656F">
        <w:t xml:space="preserve"> for the treatment of ATTR-CM</w:t>
      </w:r>
      <w:r w:rsidRPr="009C656F">
        <w:t xml:space="preserve"> by the PBAC at its July 2020, March 2021, September 2021</w:t>
      </w:r>
      <w:r w:rsidR="00EA5DD7">
        <w:t xml:space="preserve">, </w:t>
      </w:r>
      <w:r w:rsidR="00F97D29" w:rsidRPr="009C656F">
        <w:t>July 2023</w:t>
      </w:r>
      <w:r w:rsidR="00EA5DD7">
        <w:t xml:space="preserve"> and September 2023</w:t>
      </w:r>
      <w:r w:rsidR="00F97D29" w:rsidRPr="009C656F">
        <w:t xml:space="preserve"> meetings</w:t>
      </w:r>
      <w:r w:rsidR="009C656F" w:rsidRPr="009C656F">
        <w:t xml:space="preserve">. </w:t>
      </w:r>
    </w:p>
    <w:p w14:paraId="56C938A2" w14:textId="196C71AE" w:rsidR="007E490F" w:rsidRPr="00855689" w:rsidRDefault="004225E1" w:rsidP="004F229E">
      <w:pPr>
        <w:pStyle w:val="3-BodyText"/>
        <w:rPr>
          <w:i/>
        </w:rPr>
      </w:pPr>
      <w:r>
        <w:rPr>
          <w:iCs/>
        </w:rPr>
        <w:t>A</w:t>
      </w:r>
      <w:r w:rsidR="007F1690">
        <w:rPr>
          <w:iCs/>
        </w:rPr>
        <w:t xml:space="preserve">t its </w:t>
      </w:r>
      <w:r w:rsidR="00C339E1">
        <w:rPr>
          <w:iCs/>
        </w:rPr>
        <w:t>July 2020</w:t>
      </w:r>
      <w:r w:rsidR="00EB6920">
        <w:rPr>
          <w:iCs/>
        </w:rPr>
        <w:t xml:space="preserve">, </w:t>
      </w:r>
      <w:r w:rsidR="007B3BF4">
        <w:rPr>
          <w:iCs/>
        </w:rPr>
        <w:t xml:space="preserve">March 2021 </w:t>
      </w:r>
      <w:r w:rsidR="00EB6920">
        <w:rPr>
          <w:iCs/>
        </w:rPr>
        <w:t xml:space="preserve">and September 2021 </w:t>
      </w:r>
      <w:r w:rsidR="007B3BF4">
        <w:rPr>
          <w:iCs/>
        </w:rPr>
        <w:t>meetings the PBAC did not recommend tafamidis</w:t>
      </w:r>
      <w:r w:rsidR="003E38AD">
        <w:rPr>
          <w:iCs/>
        </w:rPr>
        <w:t>, noting</w:t>
      </w:r>
      <w:r w:rsidR="00031619">
        <w:rPr>
          <w:iCs/>
        </w:rPr>
        <w:t xml:space="preserve"> </w:t>
      </w:r>
      <w:r w:rsidR="002C59C5">
        <w:rPr>
          <w:iCs/>
        </w:rPr>
        <w:t xml:space="preserve">that the </w:t>
      </w:r>
      <w:r w:rsidR="00244910">
        <w:rPr>
          <w:iCs/>
        </w:rPr>
        <w:t>financial estimates were highly uncertain and highly likely to be underestimated</w:t>
      </w:r>
      <w:r w:rsidR="00B41C71">
        <w:rPr>
          <w:iCs/>
        </w:rPr>
        <w:t xml:space="preserve">. </w:t>
      </w:r>
    </w:p>
    <w:p w14:paraId="646D0D6F" w14:textId="09485493" w:rsidR="00107E72" w:rsidRPr="00C03D06" w:rsidRDefault="00107E72" w:rsidP="00C03D06">
      <w:pPr>
        <w:pStyle w:val="3-BodyText"/>
        <w:numPr>
          <w:ilvl w:val="0"/>
          <w:numId w:val="0"/>
        </w:numPr>
        <w:rPr>
          <w:i/>
        </w:rPr>
      </w:pPr>
      <w:r>
        <w:rPr>
          <w:i/>
        </w:rPr>
        <w:t>July 2023 PBAC consideration</w:t>
      </w:r>
    </w:p>
    <w:p w14:paraId="4B874414" w14:textId="2F3D798E" w:rsidR="0089055C" w:rsidRPr="00495D59" w:rsidRDefault="00417E1E" w:rsidP="00C55D62">
      <w:pPr>
        <w:pStyle w:val="3-BodyText"/>
        <w:rPr>
          <w:i/>
        </w:rPr>
      </w:pPr>
      <w:r>
        <w:rPr>
          <w:iCs/>
        </w:rPr>
        <w:t>At its July 2023 mee</w:t>
      </w:r>
      <w:r w:rsidR="00617BC2">
        <w:rPr>
          <w:iCs/>
        </w:rPr>
        <w:t xml:space="preserve">ting the PBAC </w:t>
      </w:r>
      <w:r w:rsidR="00745E7A">
        <w:rPr>
          <w:iCs/>
        </w:rPr>
        <w:t>rec</w:t>
      </w:r>
      <w:r w:rsidR="00543432">
        <w:rPr>
          <w:iCs/>
        </w:rPr>
        <w:t>ommended tafamidis for the treatment of ATTR-CM, with NY</w:t>
      </w:r>
      <w:r w:rsidR="00A93790">
        <w:rPr>
          <w:iCs/>
        </w:rPr>
        <w:t>H</w:t>
      </w:r>
      <w:r w:rsidR="00543432">
        <w:rPr>
          <w:iCs/>
        </w:rPr>
        <w:t>A class I-II he</w:t>
      </w:r>
      <w:r w:rsidR="008D3FD1">
        <w:rPr>
          <w:iCs/>
        </w:rPr>
        <w:t>art failure. The P</w:t>
      </w:r>
      <w:r w:rsidR="00E3016D">
        <w:rPr>
          <w:iCs/>
        </w:rPr>
        <w:t xml:space="preserve">BAC </w:t>
      </w:r>
      <w:r w:rsidR="001A28B7">
        <w:rPr>
          <w:iCs/>
        </w:rPr>
        <w:t xml:space="preserve">stated </w:t>
      </w:r>
      <w:r w:rsidR="00E3016D">
        <w:rPr>
          <w:iCs/>
        </w:rPr>
        <w:t>a</w:t>
      </w:r>
      <w:r w:rsidR="00A546CA">
        <w:rPr>
          <w:iCs/>
        </w:rPr>
        <w:t xml:space="preserve">n RSA was required to mitigate the </w:t>
      </w:r>
      <w:r w:rsidR="00E3016D">
        <w:rPr>
          <w:iCs/>
        </w:rPr>
        <w:t>high risk of utilisation outside of the proposed restriction and</w:t>
      </w:r>
      <w:r w:rsidR="00A546CA">
        <w:rPr>
          <w:iCs/>
        </w:rPr>
        <w:t xml:space="preserve"> to address the uncertainty around the overall financial impact</w:t>
      </w:r>
      <w:r w:rsidR="000C3BE3">
        <w:rPr>
          <w:iCs/>
        </w:rPr>
        <w:t xml:space="preserve"> (</w:t>
      </w:r>
      <w:r w:rsidR="002F357C">
        <w:rPr>
          <w:iCs/>
        </w:rPr>
        <w:t xml:space="preserve">paragraph 7.1, </w:t>
      </w:r>
      <w:r w:rsidR="00221A53">
        <w:rPr>
          <w:iCs/>
        </w:rPr>
        <w:t>Tafamidis</w:t>
      </w:r>
      <w:r w:rsidR="002F357C">
        <w:rPr>
          <w:iCs/>
        </w:rPr>
        <w:t>,</w:t>
      </w:r>
      <w:r w:rsidR="00221A53">
        <w:rPr>
          <w:iCs/>
        </w:rPr>
        <w:t xml:space="preserve"> </w:t>
      </w:r>
      <w:r w:rsidR="007105FE">
        <w:rPr>
          <w:iCs/>
        </w:rPr>
        <w:t>Public Summary Document (PSD)</w:t>
      </w:r>
      <w:r w:rsidR="008A0A2E">
        <w:rPr>
          <w:iCs/>
        </w:rPr>
        <w:t>,</w:t>
      </w:r>
      <w:r w:rsidR="007105FE">
        <w:rPr>
          <w:iCs/>
        </w:rPr>
        <w:t xml:space="preserve"> July 202</w:t>
      </w:r>
      <w:r w:rsidR="00F52B8F">
        <w:rPr>
          <w:iCs/>
        </w:rPr>
        <w:t>3</w:t>
      </w:r>
      <w:r w:rsidR="008A0A2E">
        <w:rPr>
          <w:iCs/>
        </w:rPr>
        <w:t xml:space="preserve"> PBAC</w:t>
      </w:r>
      <w:r w:rsidR="00F4568B">
        <w:rPr>
          <w:iCs/>
        </w:rPr>
        <w:t xml:space="preserve"> meeting</w:t>
      </w:r>
      <w:r w:rsidR="000C3BE3">
        <w:rPr>
          <w:iCs/>
        </w:rPr>
        <w:t xml:space="preserve">). </w:t>
      </w:r>
      <w:r w:rsidR="00E17552">
        <w:t xml:space="preserve">Specifically, </w:t>
      </w:r>
      <w:r w:rsidR="00C55D62">
        <w:t xml:space="preserve">the PBAC reiterated that the </w:t>
      </w:r>
      <w:r w:rsidR="00E17552">
        <w:t>RSA wou</w:t>
      </w:r>
      <w:r w:rsidR="00C55D62">
        <w:t>ld manage</w:t>
      </w:r>
      <w:r w:rsidR="00E17552">
        <w:t xml:space="preserve"> the r</w:t>
      </w:r>
      <w:r w:rsidR="0089055C" w:rsidRPr="00BC3C5C">
        <w:t xml:space="preserve">isk associated with use in a broader population and potential continuation in patients progressing to NYHA class III heart failure, in which </w:t>
      </w:r>
      <w:r w:rsidR="0089055C" w:rsidRPr="00BC3C5C">
        <w:lastRenderedPageBreak/>
        <w:t>cost-effectiveness is unknown (</w:t>
      </w:r>
      <w:r w:rsidR="005A759F">
        <w:t xml:space="preserve">paragraph 7.10, </w:t>
      </w:r>
      <w:r w:rsidR="001A28B7">
        <w:t>T</w:t>
      </w:r>
      <w:r w:rsidR="0089055C" w:rsidRPr="00BC3C5C">
        <w:t>afamidis</w:t>
      </w:r>
      <w:r w:rsidR="005A759F">
        <w:t>,</w:t>
      </w:r>
      <w:r w:rsidR="0089055C" w:rsidRPr="00BC3C5C">
        <w:t xml:space="preserve"> PSD</w:t>
      </w:r>
      <w:r w:rsidR="005A759F">
        <w:t xml:space="preserve">, </w:t>
      </w:r>
      <w:r w:rsidR="00B1494E">
        <w:t>July 2023</w:t>
      </w:r>
      <w:r w:rsidR="0089055C" w:rsidRPr="00BC3C5C">
        <w:t xml:space="preserve"> PBAC meeting)</w:t>
      </w:r>
      <w:r w:rsidR="00A13D73">
        <w:t xml:space="preserve">. </w:t>
      </w:r>
    </w:p>
    <w:p w14:paraId="1D8EA26A" w14:textId="60F71AFE" w:rsidR="00DA0F32" w:rsidRPr="00495D59" w:rsidRDefault="00107E72" w:rsidP="00062FA4">
      <w:pPr>
        <w:pStyle w:val="3-BodyText"/>
      </w:pPr>
      <w:r>
        <w:t>T</w:t>
      </w:r>
      <w:r w:rsidR="00DA0F32">
        <w:t xml:space="preserve">he PBAC considered that tafamidis would be acceptably cost-effective based on an ICER of </w:t>
      </w:r>
      <w:r w:rsidR="00835C0E">
        <w:t xml:space="preserve">approximately </w:t>
      </w:r>
      <w:r w:rsidR="00DA0F32">
        <w:t>$</w:t>
      </w:r>
      <w:r w:rsidR="0016507A" w:rsidRPr="0016507A">
        <w:t>95,000 to &lt; $115,000</w:t>
      </w:r>
      <w:r w:rsidR="00DA0F32">
        <w:t xml:space="preserve">/QALY </w:t>
      </w:r>
      <w:r w:rsidR="00062FA4">
        <w:t>(</w:t>
      </w:r>
      <w:r w:rsidR="00FD0CD7">
        <w:t>paragraph</w:t>
      </w:r>
      <w:r w:rsidR="00D30F38">
        <w:t xml:space="preserve"> 7.8 </w:t>
      </w:r>
      <w:r w:rsidR="004D7F75">
        <w:t xml:space="preserve">Tafamidis, </w:t>
      </w:r>
      <w:r w:rsidR="00D30F38">
        <w:t>PSD</w:t>
      </w:r>
      <w:r w:rsidR="00C94436">
        <w:t>, July 2023 PBAC meeting</w:t>
      </w:r>
      <w:r w:rsidR="00062FA4">
        <w:t xml:space="preserve">). The PBAC </w:t>
      </w:r>
      <w:r w:rsidR="00495D59">
        <w:t>considered this high ICER was acceptable</w:t>
      </w:r>
      <w:r w:rsidR="00062FA4">
        <w:t xml:space="preserve"> with</w:t>
      </w:r>
      <w:r w:rsidR="00160A26">
        <w:t>in</w:t>
      </w:r>
      <w:r w:rsidR="00062FA4">
        <w:t xml:space="preserve"> the context of a high unmet clinical need in a relatively small patient population, with RSA caps to mitigate the risk to Commonwealth </w:t>
      </w:r>
      <w:r w:rsidR="00160A26">
        <w:t xml:space="preserve">of </w:t>
      </w:r>
      <w:r w:rsidR="00062FA4">
        <w:t>use in a broader population (</w:t>
      </w:r>
      <w:r w:rsidR="00062FA4" w:rsidRPr="00FE61FE">
        <w:t>paragraph 7.</w:t>
      </w:r>
      <w:r w:rsidR="00062FA4">
        <w:t>8</w:t>
      </w:r>
      <w:r w:rsidR="00062FA4" w:rsidRPr="00FE61FE">
        <w:t>, Tafamidis, PSD, July 2023 PBAC meeting</w:t>
      </w:r>
      <w:r w:rsidR="00062FA4">
        <w:t xml:space="preserve">). </w:t>
      </w:r>
    </w:p>
    <w:p w14:paraId="25D28DF9" w14:textId="0D5F05DE" w:rsidR="009028F0" w:rsidRPr="003603FB" w:rsidRDefault="00254346" w:rsidP="003603FB">
      <w:pPr>
        <w:pStyle w:val="3-BodyText"/>
        <w:rPr>
          <w:iCs/>
        </w:rPr>
      </w:pPr>
      <w:r>
        <w:rPr>
          <w:iCs/>
        </w:rPr>
        <w:t>T</w:t>
      </w:r>
      <w:r w:rsidR="009028F0">
        <w:t xml:space="preserve">he PBAC </w:t>
      </w:r>
      <w:r w:rsidR="00A36C89">
        <w:t>considered</w:t>
      </w:r>
      <w:r w:rsidR="00106B51">
        <w:t xml:space="preserve"> that there remain</w:t>
      </w:r>
      <w:r w:rsidR="00A36C89">
        <w:t>ed</w:t>
      </w:r>
      <w:r w:rsidR="00106B51">
        <w:t xml:space="preserve"> considerable uncertainty regarding the rate of diagnosis, uptake and continuation of tafamidis</w:t>
      </w:r>
      <w:r w:rsidR="00D125CD">
        <w:t xml:space="preserve">, noting that </w:t>
      </w:r>
      <w:r w:rsidR="00D125CD" w:rsidRPr="003603FB">
        <w:rPr>
          <w:iCs/>
        </w:rPr>
        <w:t>high level of awareness of tafamidis for clinicians and consumers, whic</w:t>
      </w:r>
      <w:r w:rsidR="00B37AC6">
        <w:rPr>
          <w:iCs/>
        </w:rPr>
        <w:t>h</w:t>
      </w:r>
      <w:r w:rsidR="00D125CD" w:rsidRPr="003603FB">
        <w:rPr>
          <w:iCs/>
        </w:rPr>
        <w:t xml:space="preserve"> </w:t>
      </w:r>
      <w:r w:rsidR="006E2F21">
        <w:rPr>
          <w:iCs/>
        </w:rPr>
        <w:t>wa</w:t>
      </w:r>
      <w:r w:rsidR="00D125CD" w:rsidRPr="003603FB">
        <w:rPr>
          <w:iCs/>
        </w:rPr>
        <w:t>s likely to drive rapid uptake if listed on the PBS (</w:t>
      </w:r>
      <w:r w:rsidR="00B37AC6">
        <w:rPr>
          <w:iCs/>
        </w:rPr>
        <w:t xml:space="preserve">paragraph 7.9, </w:t>
      </w:r>
      <w:r w:rsidR="00F4568B">
        <w:rPr>
          <w:iCs/>
        </w:rPr>
        <w:t>Tafamidis</w:t>
      </w:r>
      <w:r w:rsidR="00B37AC6">
        <w:rPr>
          <w:iCs/>
        </w:rPr>
        <w:t>,</w:t>
      </w:r>
      <w:r w:rsidR="00F4568B">
        <w:rPr>
          <w:iCs/>
        </w:rPr>
        <w:t xml:space="preserve"> PSD</w:t>
      </w:r>
      <w:r w:rsidR="00B37AC6">
        <w:rPr>
          <w:iCs/>
        </w:rPr>
        <w:t>,</w:t>
      </w:r>
      <w:r w:rsidR="00F4568B">
        <w:rPr>
          <w:iCs/>
        </w:rPr>
        <w:t xml:space="preserve"> July 2023 </w:t>
      </w:r>
      <w:r w:rsidR="00B37AC6">
        <w:rPr>
          <w:iCs/>
        </w:rPr>
        <w:t xml:space="preserve">PBAC </w:t>
      </w:r>
      <w:r w:rsidR="00F4568B">
        <w:rPr>
          <w:iCs/>
        </w:rPr>
        <w:t>meeting</w:t>
      </w:r>
      <w:r w:rsidR="00D125CD" w:rsidRPr="003603FB">
        <w:rPr>
          <w:iCs/>
        </w:rPr>
        <w:t xml:space="preserve">). </w:t>
      </w:r>
      <w:r w:rsidR="0039377C">
        <w:rPr>
          <w:lang w:eastAsia="en-US"/>
        </w:rPr>
        <w:t xml:space="preserve">The PBAC recommended an RSA to provide more certainty around the total Commonwealth expenditure for tafamidis and </w:t>
      </w:r>
      <w:r w:rsidR="0039377C">
        <w:t xml:space="preserve">to manage the risk associated with use in a broader population and potential continuation in patients progressing to NYHA class III heart failure, in which cost-effectiveness is unknown </w:t>
      </w:r>
      <w:r w:rsidR="0039377C">
        <w:rPr>
          <w:lang w:eastAsia="en-US"/>
        </w:rPr>
        <w:t>(</w:t>
      </w:r>
      <w:r w:rsidR="0039377C" w:rsidRPr="00092D6B">
        <w:rPr>
          <w:iCs/>
        </w:rPr>
        <w:t>paragraph 7.10, Tafamidis, PSD, July 2023 PBAC meeting</w:t>
      </w:r>
      <w:r w:rsidR="0039377C">
        <w:rPr>
          <w:lang w:eastAsia="en-US"/>
        </w:rPr>
        <w:t>).</w:t>
      </w:r>
    </w:p>
    <w:p w14:paraId="07A89AC3" w14:textId="58BE14AA" w:rsidR="00987838" w:rsidRPr="00C03D06" w:rsidRDefault="00987838" w:rsidP="00C03D06">
      <w:pPr>
        <w:pStyle w:val="3-BodyText"/>
        <w:numPr>
          <w:ilvl w:val="0"/>
          <w:numId w:val="0"/>
        </w:numPr>
        <w:rPr>
          <w:i/>
        </w:rPr>
      </w:pPr>
      <w:r>
        <w:rPr>
          <w:i/>
        </w:rPr>
        <w:t>September 2023 PBAC consideration</w:t>
      </w:r>
    </w:p>
    <w:p w14:paraId="791C9082" w14:textId="44BE1121" w:rsidR="0003046B" w:rsidRPr="00A32BD6" w:rsidRDefault="00DA0E68" w:rsidP="00925E76">
      <w:pPr>
        <w:pStyle w:val="3-BodyText"/>
        <w:rPr>
          <w:i/>
        </w:rPr>
      </w:pPr>
      <w:r>
        <w:rPr>
          <w:iCs/>
        </w:rPr>
        <w:t xml:space="preserve">At its September 2023 meeting, the PBAC </w:t>
      </w:r>
      <w:r w:rsidR="00843DEB">
        <w:rPr>
          <w:iCs/>
        </w:rPr>
        <w:t>provided advice</w:t>
      </w:r>
      <w:r w:rsidR="00831DC6">
        <w:rPr>
          <w:iCs/>
        </w:rPr>
        <w:t xml:space="preserve"> </w:t>
      </w:r>
      <w:r w:rsidR="00454518">
        <w:rPr>
          <w:iCs/>
        </w:rPr>
        <w:t xml:space="preserve">to the Department </w:t>
      </w:r>
      <w:r w:rsidR="009D1D76">
        <w:rPr>
          <w:iCs/>
        </w:rPr>
        <w:t>r</w:t>
      </w:r>
      <w:r w:rsidR="00843DEB">
        <w:rPr>
          <w:iCs/>
        </w:rPr>
        <w:t xml:space="preserve">egarding the </w:t>
      </w:r>
      <w:r w:rsidR="00290950">
        <w:rPr>
          <w:iCs/>
        </w:rPr>
        <w:t xml:space="preserve">sponsor’s </w:t>
      </w:r>
      <w:r w:rsidR="00843DEB">
        <w:rPr>
          <w:iCs/>
        </w:rPr>
        <w:t xml:space="preserve">pricing proposal </w:t>
      </w:r>
      <w:r w:rsidR="00290950">
        <w:rPr>
          <w:iCs/>
        </w:rPr>
        <w:t>following the July 2023 PBAC recommendation.</w:t>
      </w:r>
      <w:r w:rsidR="00454518">
        <w:rPr>
          <w:iCs/>
        </w:rPr>
        <w:t xml:space="preserve"> </w:t>
      </w:r>
      <w:r w:rsidR="00041974" w:rsidRPr="00831DC6">
        <w:rPr>
          <w:iCs/>
        </w:rPr>
        <w:t>The</w:t>
      </w:r>
      <w:r w:rsidR="00EE4F5D" w:rsidRPr="00831DC6">
        <w:rPr>
          <w:iCs/>
        </w:rPr>
        <w:t xml:space="preserve"> </w:t>
      </w:r>
      <w:r w:rsidR="00D90ABF">
        <w:rPr>
          <w:iCs/>
        </w:rPr>
        <w:t>sponsor</w:t>
      </w:r>
      <w:r w:rsidR="00D90ABF" w:rsidRPr="00831DC6">
        <w:rPr>
          <w:iCs/>
        </w:rPr>
        <w:t xml:space="preserve"> </w:t>
      </w:r>
      <w:r w:rsidR="00027DD9" w:rsidRPr="00831DC6">
        <w:rPr>
          <w:iCs/>
        </w:rPr>
        <w:t xml:space="preserve">proposed </w:t>
      </w:r>
      <w:r w:rsidR="004D5F0B" w:rsidRPr="00831DC6">
        <w:rPr>
          <w:iCs/>
        </w:rPr>
        <w:t xml:space="preserve">an </w:t>
      </w:r>
      <w:r w:rsidR="00B528E1" w:rsidRPr="00831DC6">
        <w:rPr>
          <w:iCs/>
        </w:rPr>
        <w:t>effective</w:t>
      </w:r>
      <w:r w:rsidR="004D5F0B" w:rsidRPr="00831DC6">
        <w:rPr>
          <w:iCs/>
        </w:rPr>
        <w:t xml:space="preserve"> </w:t>
      </w:r>
      <w:r w:rsidR="00027DD9" w:rsidRPr="00831DC6">
        <w:rPr>
          <w:iCs/>
        </w:rPr>
        <w:t>price</w:t>
      </w:r>
      <w:r w:rsidR="004D5F0B" w:rsidRPr="00831DC6">
        <w:rPr>
          <w:iCs/>
        </w:rPr>
        <w:t xml:space="preserve"> for Years 1 and 2 ($</w:t>
      </w:r>
      <w:r w:rsidR="004F5CF8" w:rsidRPr="004F5CF8">
        <w:rPr>
          <w:iCs/>
          <w:sz w:val="2"/>
          <w:highlight w:val="black"/>
        </w:rPr>
        <w:t>redacted content</w:t>
      </w:r>
      <w:r w:rsidR="004D5F0B" w:rsidRPr="00831DC6">
        <w:rPr>
          <w:iCs/>
        </w:rPr>
        <w:t>) which</w:t>
      </w:r>
      <w:r w:rsidR="00027DD9" w:rsidRPr="00831DC6">
        <w:rPr>
          <w:iCs/>
        </w:rPr>
        <w:t xml:space="preserve"> resulted in a higher ICER</w:t>
      </w:r>
      <w:r w:rsidR="002646D6" w:rsidRPr="00831DC6">
        <w:rPr>
          <w:iCs/>
        </w:rPr>
        <w:t>,</w:t>
      </w:r>
      <w:r w:rsidR="002646D6" w:rsidRPr="002646D6">
        <w:t xml:space="preserve"> </w:t>
      </w:r>
      <w:r w:rsidR="002646D6" w:rsidRPr="00831DC6">
        <w:rPr>
          <w:iCs/>
        </w:rPr>
        <w:t>where treatment initiation occurs at time of listing,</w:t>
      </w:r>
      <w:r w:rsidR="00027DD9" w:rsidRPr="00831DC6">
        <w:rPr>
          <w:iCs/>
        </w:rPr>
        <w:t xml:space="preserve"> than </w:t>
      </w:r>
      <w:r w:rsidR="002646D6" w:rsidRPr="00831DC6">
        <w:rPr>
          <w:iCs/>
        </w:rPr>
        <w:t>that</w:t>
      </w:r>
      <w:r w:rsidR="003B51A0" w:rsidRPr="00831DC6">
        <w:rPr>
          <w:iCs/>
        </w:rPr>
        <w:t xml:space="preserve"> </w:t>
      </w:r>
      <w:r w:rsidR="00027DD9" w:rsidRPr="00831DC6">
        <w:rPr>
          <w:iCs/>
        </w:rPr>
        <w:t xml:space="preserve">recommended </w:t>
      </w:r>
      <w:r w:rsidR="00EE4F5D" w:rsidRPr="00831DC6">
        <w:rPr>
          <w:iCs/>
        </w:rPr>
        <w:t xml:space="preserve">in </w:t>
      </w:r>
      <w:r w:rsidR="008353E5" w:rsidRPr="00831DC6">
        <w:rPr>
          <w:iCs/>
        </w:rPr>
        <w:t xml:space="preserve">July </w:t>
      </w:r>
      <w:r w:rsidR="00062FA4" w:rsidRPr="00831DC6">
        <w:rPr>
          <w:iCs/>
        </w:rPr>
        <w:t>2023 ($</w:t>
      </w:r>
      <w:r w:rsidR="00922FA5" w:rsidRPr="00922FA5">
        <w:rPr>
          <w:iCs/>
        </w:rPr>
        <w:t>95,000 to &lt; $115,000</w:t>
      </w:r>
      <w:r w:rsidR="002459DF" w:rsidRPr="00831DC6">
        <w:rPr>
          <w:iCs/>
        </w:rPr>
        <w:t>/QALY vs $</w:t>
      </w:r>
      <w:r w:rsidR="00922FA5" w:rsidRPr="00922FA5">
        <w:rPr>
          <w:iCs/>
        </w:rPr>
        <w:t>95,000 to &lt; $115,000</w:t>
      </w:r>
      <w:r w:rsidR="002459DF" w:rsidRPr="00831DC6">
        <w:rPr>
          <w:iCs/>
        </w:rPr>
        <w:t>/QALY)</w:t>
      </w:r>
      <w:r w:rsidR="003B51A0" w:rsidRPr="00831DC6">
        <w:rPr>
          <w:iCs/>
        </w:rPr>
        <w:t xml:space="preserve"> (</w:t>
      </w:r>
      <w:r w:rsidR="003B51A0">
        <w:t>Tafamidis, Ratified Minutes, September 2023 PBAC meeting</w:t>
      </w:r>
      <w:r w:rsidR="00A8783E">
        <w:t>)</w:t>
      </w:r>
      <w:r w:rsidR="00000287" w:rsidRPr="00831DC6">
        <w:rPr>
          <w:iCs/>
        </w:rPr>
        <w:t>.</w:t>
      </w:r>
      <w:r w:rsidR="00224452">
        <w:rPr>
          <w:iCs/>
        </w:rPr>
        <w:t xml:space="preserve"> </w:t>
      </w:r>
      <w:r w:rsidR="00925E76">
        <w:rPr>
          <w:iCs/>
        </w:rPr>
        <w:t>F</w:t>
      </w:r>
      <w:r w:rsidR="00130A7E" w:rsidRPr="008B3552">
        <w:rPr>
          <w:iCs/>
        </w:rPr>
        <w:t xml:space="preserve">or treatment initiation from Year 3, the </w:t>
      </w:r>
      <w:r w:rsidR="008B3552">
        <w:rPr>
          <w:iCs/>
        </w:rPr>
        <w:t xml:space="preserve">effective </w:t>
      </w:r>
      <w:r w:rsidR="00130A7E" w:rsidRPr="008B3552">
        <w:rPr>
          <w:iCs/>
        </w:rPr>
        <w:t>price proposed for Year 3 onwards</w:t>
      </w:r>
      <w:r w:rsidR="008B3552">
        <w:rPr>
          <w:iCs/>
        </w:rPr>
        <w:t xml:space="preserve"> </w:t>
      </w:r>
      <w:r w:rsidR="004F5CF8">
        <w:rPr>
          <w:iCs/>
        </w:rPr>
        <w:br/>
      </w:r>
      <w:r w:rsidR="008B3552">
        <w:rPr>
          <w:iCs/>
        </w:rPr>
        <w:t>($</w:t>
      </w:r>
      <w:r w:rsidR="004F5CF8" w:rsidRPr="004F5CF8">
        <w:rPr>
          <w:iCs/>
          <w:sz w:val="2"/>
          <w:highlight w:val="black"/>
        </w:rPr>
        <w:t>redacted content</w:t>
      </w:r>
      <w:r w:rsidR="008B3552">
        <w:rPr>
          <w:iCs/>
        </w:rPr>
        <w:t>)</w:t>
      </w:r>
      <w:r w:rsidR="00130A7E" w:rsidRPr="008B3552">
        <w:rPr>
          <w:iCs/>
        </w:rPr>
        <w:t>, would achieve an ICER within the July 2023 recommended threshold ($</w:t>
      </w:r>
      <w:r w:rsidR="00922FA5" w:rsidRPr="00922FA5">
        <w:rPr>
          <w:iCs/>
        </w:rPr>
        <w:t xml:space="preserve">95,000 to </w:t>
      </w:r>
      <w:r w:rsidR="004F5CF8">
        <w:rPr>
          <w:iCs/>
        </w:rPr>
        <w:br/>
      </w:r>
      <w:r w:rsidR="00922FA5" w:rsidRPr="00922FA5">
        <w:rPr>
          <w:iCs/>
        </w:rPr>
        <w:t>&lt; $115,000</w:t>
      </w:r>
      <w:r w:rsidR="00130A7E" w:rsidRPr="008B3552">
        <w:rPr>
          <w:iCs/>
        </w:rPr>
        <w:t>/QALY)</w:t>
      </w:r>
      <w:r w:rsidR="008B3552">
        <w:rPr>
          <w:iCs/>
        </w:rPr>
        <w:t xml:space="preserve"> (</w:t>
      </w:r>
      <w:r w:rsidR="008B3552">
        <w:t>Tafamidis, Ratified Minutes, September 2023 PBAC meeting</w:t>
      </w:r>
      <w:r w:rsidR="008B3552">
        <w:rPr>
          <w:iCs/>
        </w:rPr>
        <w:t>).</w:t>
      </w:r>
    </w:p>
    <w:p w14:paraId="68A59BCF" w14:textId="1CC83B39" w:rsidR="003A1F52" w:rsidRPr="00A32BD6" w:rsidRDefault="00B83E36" w:rsidP="000B5EF6">
      <w:pPr>
        <w:pStyle w:val="3-BodyText"/>
        <w:rPr>
          <w:i/>
        </w:rPr>
      </w:pPr>
      <w:r>
        <w:rPr>
          <w:iCs/>
        </w:rPr>
        <w:t>T</w:t>
      </w:r>
      <w:r w:rsidR="007B7D3F" w:rsidRPr="00424E79">
        <w:rPr>
          <w:iCs/>
        </w:rPr>
        <w:t xml:space="preserve">he </w:t>
      </w:r>
      <w:r w:rsidR="0003046B">
        <w:rPr>
          <w:iCs/>
        </w:rPr>
        <w:t>PBAC noted</w:t>
      </w:r>
      <w:r w:rsidR="001E4178">
        <w:rPr>
          <w:iCs/>
        </w:rPr>
        <w:t xml:space="preserve"> </w:t>
      </w:r>
      <w:r w:rsidR="0003046B">
        <w:rPr>
          <w:iCs/>
        </w:rPr>
        <w:t>that</w:t>
      </w:r>
      <w:r w:rsidR="001E4178">
        <w:rPr>
          <w:iCs/>
        </w:rPr>
        <w:t xml:space="preserve"> </w:t>
      </w:r>
      <w:r w:rsidR="0003046B">
        <w:rPr>
          <w:iCs/>
        </w:rPr>
        <w:t>the</w:t>
      </w:r>
      <w:r w:rsidR="00424E79" w:rsidRPr="00424E79">
        <w:rPr>
          <w:iCs/>
        </w:rPr>
        <w:t xml:space="preserve"> revised financial impact </w:t>
      </w:r>
      <w:r w:rsidR="0032508D">
        <w:rPr>
          <w:iCs/>
        </w:rPr>
        <w:t xml:space="preserve">over 6 </w:t>
      </w:r>
      <w:r w:rsidR="001E4178">
        <w:rPr>
          <w:iCs/>
        </w:rPr>
        <w:t>years, appeared</w:t>
      </w:r>
      <w:r w:rsidR="000B5EF6">
        <w:rPr>
          <w:iCs/>
        </w:rPr>
        <w:t xml:space="preserve"> </w:t>
      </w:r>
      <w:r w:rsidR="000B5EF6" w:rsidRPr="00424E79">
        <w:rPr>
          <w:iCs/>
        </w:rPr>
        <w:t>similar to that using the price based on the July 2023 recommendation</w:t>
      </w:r>
      <w:r w:rsidR="0003046B" w:rsidRPr="0003046B">
        <w:rPr>
          <w:iCs/>
        </w:rPr>
        <w:t xml:space="preserve">, and that the listing was to be subject to a Risk Sharing Arrangement with a </w:t>
      </w:r>
      <w:r w:rsidR="004F5CF8" w:rsidRPr="004F5CF8">
        <w:rPr>
          <w:iCs/>
          <w:sz w:val="2"/>
          <w:highlight w:val="black"/>
        </w:rPr>
        <w:t>redacted content</w:t>
      </w:r>
      <w:r w:rsidR="0003046B" w:rsidRPr="0003046B">
        <w:rPr>
          <w:iCs/>
        </w:rPr>
        <w:t>% reimbursement for use beyond the financial estimates.</w:t>
      </w:r>
      <w:r w:rsidR="00846D45">
        <w:rPr>
          <w:iCs/>
        </w:rPr>
        <w:t xml:space="preserve"> </w:t>
      </w:r>
      <w:r w:rsidR="00846D45" w:rsidRPr="00846D45">
        <w:rPr>
          <w:iCs/>
        </w:rPr>
        <w:t>This provided confidence that a similar average patient cost across the six years would be achieved and that the overall budget impact would be managed</w:t>
      </w:r>
      <w:r w:rsidR="00B31277">
        <w:rPr>
          <w:iCs/>
        </w:rPr>
        <w:t xml:space="preserve"> (</w:t>
      </w:r>
      <w:r w:rsidR="003A1F52">
        <w:t>Tafamidis, Ratified Minutes, September 2023 PBAC meeting</w:t>
      </w:r>
      <w:r w:rsidR="00B31277">
        <w:rPr>
          <w:iCs/>
        </w:rPr>
        <w:t xml:space="preserve">). </w:t>
      </w:r>
    </w:p>
    <w:p w14:paraId="4ECEA8AE" w14:textId="2CB1DA41" w:rsidR="000B5EF6" w:rsidRPr="00BB545F" w:rsidRDefault="003A1F52" w:rsidP="000B5EF6">
      <w:pPr>
        <w:pStyle w:val="3-BodyText"/>
        <w:rPr>
          <w:i/>
        </w:rPr>
      </w:pPr>
      <w:r>
        <w:rPr>
          <w:iCs/>
        </w:rPr>
        <w:t>In September 2023, t</w:t>
      </w:r>
      <w:r w:rsidR="0016760D">
        <w:rPr>
          <w:iCs/>
        </w:rPr>
        <w:t xml:space="preserve">he PBAC </w:t>
      </w:r>
      <w:r w:rsidR="00F127EA">
        <w:rPr>
          <w:iCs/>
        </w:rPr>
        <w:t>advised</w:t>
      </w:r>
      <w:r w:rsidR="0016760D">
        <w:rPr>
          <w:iCs/>
        </w:rPr>
        <w:t xml:space="preserve"> that the proposal</w:t>
      </w:r>
      <w:r>
        <w:rPr>
          <w:iCs/>
        </w:rPr>
        <w:t xml:space="preserve"> was acceptable</w:t>
      </w:r>
      <w:r w:rsidR="00FC7272">
        <w:rPr>
          <w:iCs/>
        </w:rPr>
        <w:t>, in the context of the high clinical need for the treatment</w:t>
      </w:r>
      <w:r w:rsidR="0003046B">
        <w:rPr>
          <w:iCs/>
        </w:rPr>
        <w:t xml:space="preserve">, </w:t>
      </w:r>
      <w:r w:rsidR="0003046B" w:rsidRPr="0003046B">
        <w:rPr>
          <w:iCs/>
        </w:rPr>
        <w:t>where the Department and sponsor could ensure these arrangements be implemented appropriately</w:t>
      </w:r>
      <w:r w:rsidR="00267D1C">
        <w:rPr>
          <w:iCs/>
        </w:rPr>
        <w:t xml:space="preserve"> </w:t>
      </w:r>
      <w:r>
        <w:rPr>
          <w:iCs/>
        </w:rPr>
        <w:t>(</w:t>
      </w:r>
      <w:r w:rsidR="00FC7272">
        <w:t>Tafamidis, Ratified Minutes, September 2023 PBAC meeting</w:t>
      </w:r>
      <w:r>
        <w:rPr>
          <w:iCs/>
        </w:rPr>
        <w:t xml:space="preserve">). </w:t>
      </w:r>
    </w:p>
    <w:p w14:paraId="1B8790B6" w14:textId="5F34CE1D" w:rsidR="00964A9F" w:rsidRPr="00A6439B" w:rsidRDefault="00031A60" w:rsidP="00964A9F">
      <w:pPr>
        <w:pStyle w:val="2-SectionHeading"/>
      </w:pPr>
      <w:r>
        <w:lastRenderedPageBreak/>
        <w:t>Current Situation</w:t>
      </w:r>
    </w:p>
    <w:p w14:paraId="1188719E" w14:textId="0DCFB2B4" w:rsidR="00DF72E6" w:rsidRDefault="00320A6D" w:rsidP="00FE2853">
      <w:pPr>
        <w:pStyle w:val="3-BodyText"/>
      </w:pPr>
      <w:r w:rsidRPr="00C36142">
        <w:fldChar w:fldCharType="begin"/>
      </w:r>
      <w:r w:rsidRPr="00C36142">
        <w:instrText xml:space="preserve"> REF _Ref219456779 \h </w:instrText>
      </w:r>
      <w:r w:rsidR="00C36142" w:rsidRPr="00C36142">
        <w:instrText xml:space="preserve"> \* MERGEFORMAT </w:instrText>
      </w:r>
      <w:r w:rsidRPr="00C36142">
        <w:fldChar w:fldCharType="separate"/>
      </w:r>
      <w:r w:rsidRPr="00C36142">
        <w:t>Table 1</w:t>
      </w:r>
      <w:r w:rsidRPr="00C36142">
        <w:fldChar w:fldCharType="end"/>
      </w:r>
      <w:r w:rsidRPr="00C36142">
        <w:t xml:space="preserve"> </w:t>
      </w:r>
      <w:r w:rsidR="00537033" w:rsidRPr="00C36142">
        <w:t xml:space="preserve">outlines the current </w:t>
      </w:r>
      <w:r w:rsidR="00C00173" w:rsidRPr="00C36142">
        <w:t xml:space="preserve">subsidisation caps for tafamidis </w:t>
      </w:r>
      <w:r w:rsidR="00F13C88" w:rsidRPr="00C36142">
        <w:t>and</w:t>
      </w:r>
      <w:r w:rsidR="0025417C" w:rsidRPr="00C36142">
        <w:t xml:space="preserve"> Commonwealth payment over the </w:t>
      </w:r>
      <w:r w:rsidR="00E2630B">
        <w:t>term</w:t>
      </w:r>
      <w:r w:rsidR="0025417C" w:rsidRPr="00C36142">
        <w:t xml:space="preserve"> of the RSA</w:t>
      </w:r>
      <w:r w:rsidR="003335AA" w:rsidRPr="00C36142">
        <w:t xml:space="preserve">. </w:t>
      </w:r>
      <w:r w:rsidR="00097E77" w:rsidRPr="00C36142">
        <w:t xml:space="preserve">A </w:t>
      </w:r>
      <w:r w:rsidR="004F5CF8" w:rsidRPr="004F5CF8">
        <w:rPr>
          <w:sz w:val="2"/>
          <w:highlight w:val="black"/>
        </w:rPr>
        <w:t>redacted content</w:t>
      </w:r>
      <w:r w:rsidR="00097E77" w:rsidRPr="00C36142">
        <w:t xml:space="preserve">% rebate applies for use exceeding the caps. </w:t>
      </w:r>
      <w:bookmarkStart w:id="0" w:name="_Ref219456779"/>
    </w:p>
    <w:p w14:paraId="0F6C1AC5" w14:textId="77777777" w:rsidR="00DF72E6" w:rsidRDefault="00DF72E6" w:rsidP="00320A6D">
      <w:pPr>
        <w:pStyle w:val="Caption"/>
      </w:pPr>
    </w:p>
    <w:p w14:paraId="02DCC5DE" w14:textId="47E29906" w:rsidR="00391DF9" w:rsidRPr="00391DF9" w:rsidRDefault="00320A6D" w:rsidP="00391DF9">
      <w:pPr>
        <w:pStyle w:val="Caption"/>
      </w:pPr>
      <w:r>
        <w:t xml:space="preserve">Table </w:t>
      </w:r>
      <w:r>
        <w:fldChar w:fldCharType="begin"/>
      </w:r>
      <w:r>
        <w:instrText>SEQ Table \* ARABIC</w:instrText>
      </w:r>
      <w:r>
        <w:fldChar w:fldCharType="separate"/>
      </w:r>
      <w:r w:rsidR="003C1818">
        <w:rPr>
          <w:noProof/>
        </w:rPr>
        <w:t>1</w:t>
      </w:r>
      <w:r>
        <w:fldChar w:fldCharType="end"/>
      </w:r>
      <w:bookmarkEnd w:id="0"/>
      <w:r w:rsidR="00146DC6" w:rsidRPr="00FE72F6">
        <w:t xml:space="preserve">: </w:t>
      </w:r>
      <w:r w:rsidR="00FE72F6" w:rsidRPr="00FE72F6">
        <w:t>Current RSA caps</w:t>
      </w:r>
      <w:r w:rsidR="00C35F2C">
        <w:t xml:space="preserve"> and Commonwealth expenditure</w:t>
      </w:r>
      <w:r w:rsidR="00E46D95">
        <w:t xml:space="preserve"> since listing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1: Current RSA caps and Commonwealth expenditure since listing"/>
      </w:tblPr>
      <w:tblGrid>
        <w:gridCol w:w="1554"/>
        <w:gridCol w:w="1417"/>
        <w:gridCol w:w="1419"/>
        <w:gridCol w:w="1156"/>
        <w:gridCol w:w="1158"/>
        <w:gridCol w:w="1156"/>
        <w:gridCol w:w="1156"/>
      </w:tblGrid>
      <w:tr w:rsidR="00821F86" w:rsidRPr="00E50879" w14:paraId="423C9401" w14:textId="5222486F" w:rsidTr="0069326F">
        <w:trPr>
          <w:trHeight w:val="325"/>
        </w:trPr>
        <w:tc>
          <w:tcPr>
            <w:tcW w:w="862" w:type="pct"/>
          </w:tcPr>
          <w:p w14:paraId="6E0AC45A" w14:textId="77777777" w:rsidR="00FD5A13" w:rsidRPr="00E50879" w:rsidRDefault="00FD5A13" w:rsidP="0069326F">
            <w:pPr>
              <w:pStyle w:val="TableText0"/>
              <w:rPr>
                <w:b/>
                <w:bCs w:val="0"/>
                <w:szCs w:val="20"/>
              </w:rPr>
            </w:pPr>
          </w:p>
        </w:tc>
        <w:tc>
          <w:tcPr>
            <w:tcW w:w="786" w:type="pct"/>
            <w:vAlign w:val="center"/>
          </w:tcPr>
          <w:p w14:paraId="0F1D0604" w14:textId="77777777" w:rsidR="00FD5A13" w:rsidRDefault="00FD5A13" w:rsidP="0069326F">
            <w:pPr>
              <w:pStyle w:val="TableText0"/>
              <w:rPr>
                <w:b/>
                <w:bCs w:val="0"/>
                <w:szCs w:val="20"/>
              </w:rPr>
            </w:pPr>
            <w:r w:rsidRPr="00E50879">
              <w:rPr>
                <w:b/>
                <w:bCs w:val="0"/>
                <w:szCs w:val="20"/>
              </w:rPr>
              <w:t>Y</w:t>
            </w:r>
            <w:r>
              <w:rPr>
                <w:b/>
                <w:bCs w:val="0"/>
                <w:szCs w:val="20"/>
              </w:rPr>
              <w:t>1</w:t>
            </w:r>
            <w:r w:rsidRPr="00E50879">
              <w:rPr>
                <w:b/>
                <w:bCs w:val="0"/>
                <w:szCs w:val="20"/>
              </w:rPr>
              <w:t xml:space="preserve"> </w:t>
            </w:r>
          </w:p>
          <w:p w14:paraId="2E1B91BB" w14:textId="42FADC80" w:rsidR="00FD5A13" w:rsidRPr="00E50879" w:rsidRDefault="00FD5A13" w:rsidP="0069326F">
            <w:pPr>
              <w:pStyle w:val="TableText0"/>
              <w:rPr>
                <w:b/>
                <w:bCs w:val="0"/>
                <w:szCs w:val="20"/>
              </w:rPr>
            </w:pPr>
            <w:r w:rsidRPr="00E50879">
              <w:rPr>
                <w:b/>
                <w:bCs w:val="0"/>
                <w:szCs w:val="20"/>
              </w:rPr>
              <w:t>(M</w:t>
            </w:r>
            <w:r>
              <w:rPr>
                <w:b/>
                <w:bCs w:val="0"/>
                <w:szCs w:val="20"/>
              </w:rPr>
              <w:t>ay</w:t>
            </w:r>
            <w:r w:rsidRPr="00E50879">
              <w:rPr>
                <w:b/>
                <w:bCs w:val="0"/>
                <w:szCs w:val="20"/>
              </w:rPr>
              <w:t xml:space="preserve"> 2</w:t>
            </w:r>
            <w:r>
              <w:rPr>
                <w:b/>
                <w:bCs w:val="0"/>
                <w:szCs w:val="20"/>
              </w:rPr>
              <w:t>024</w:t>
            </w:r>
            <w:r w:rsidRPr="00E50879">
              <w:rPr>
                <w:b/>
                <w:bCs w:val="0"/>
                <w:szCs w:val="20"/>
              </w:rPr>
              <w:t>-</w:t>
            </w:r>
            <w:r>
              <w:rPr>
                <w:b/>
                <w:bCs w:val="0"/>
                <w:szCs w:val="20"/>
              </w:rPr>
              <w:t xml:space="preserve"> Apr</w:t>
            </w:r>
            <w:r w:rsidRPr="00E50879">
              <w:rPr>
                <w:b/>
                <w:bCs w:val="0"/>
                <w:szCs w:val="20"/>
              </w:rPr>
              <w:t xml:space="preserve"> 202</w:t>
            </w:r>
            <w:r>
              <w:rPr>
                <w:b/>
                <w:bCs w:val="0"/>
                <w:szCs w:val="20"/>
              </w:rPr>
              <w:t>5</w:t>
            </w:r>
            <w:r w:rsidRPr="00E50879">
              <w:rPr>
                <w:b/>
                <w:bCs w:val="0"/>
                <w:szCs w:val="20"/>
              </w:rPr>
              <w:t>)</w:t>
            </w:r>
          </w:p>
        </w:tc>
        <w:tc>
          <w:tcPr>
            <w:tcW w:w="787" w:type="pct"/>
            <w:vAlign w:val="center"/>
          </w:tcPr>
          <w:p w14:paraId="2BAD6358" w14:textId="77777777" w:rsidR="00FD5A13" w:rsidRDefault="00FD5A13" w:rsidP="0069326F">
            <w:pPr>
              <w:pStyle w:val="TableText0"/>
              <w:rPr>
                <w:b/>
                <w:bCs w:val="0"/>
                <w:szCs w:val="20"/>
              </w:rPr>
            </w:pPr>
            <w:r w:rsidRPr="00E50879">
              <w:rPr>
                <w:b/>
                <w:bCs w:val="0"/>
                <w:szCs w:val="20"/>
              </w:rPr>
              <w:t>Y</w:t>
            </w:r>
            <w:r>
              <w:rPr>
                <w:b/>
                <w:bCs w:val="0"/>
                <w:szCs w:val="20"/>
              </w:rPr>
              <w:t>2</w:t>
            </w:r>
            <w:r w:rsidRPr="00E50879">
              <w:rPr>
                <w:b/>
                <w:bCs w:val="0"/>
                <w:szCs w:val="20"/>
              </w:rPr>
              <w:t xml:space="preserve"> </w:t>
            </w:r>
          </w:p>
          <w:p w14:paraId="72B26F19" w14:textId="7ACD5316" w:rsidR="00FD5A13" w:rsidRPr="0003046B" w:rsidRDefault="00FD5A13" w:rsidP="0069326F">
            <w:pPr>
              <w:pStyle w:val="TableText0"/>
              <w:rPr>
                <w:b/>
                <w:bCs w:val="0"/>
                <w:szCs w:val="20"/>
                <w:vertAlign w:val="superscript"/>
              </w:rPr>
            </w:pPr>
            <w:r w:rsidRPr="00E50879">
              <w:rPr>
                <w:b/>
                <w:bCs w:val="0"/>
                <w:szCs w:val="20"/>
              </w:rPr>
              <w:t>(M</w:t>
            </w:r>
            <w:r>
              <w:rPr>
                <w:b/>
                <w:bCs w:val="0"/>
                <w:szCs w:val="20"/>
              </w:rPr>
              <w:t>ay</w:t>
            </w:r>
            <w:r w:rsidRPr="00E50879">
              <w:rPr>
                <w:b/>
                <w:bCs w:val="0"/>
                <w:szCs w:val="20"/>
              </w:rPr>
              <w:t xml:space="preserve"> 2</w:t>
            </w:r>
            <w:r>
              <w:rPr>
                <w:b/>
                <w:bCs w:val="0"/>
                <w:szCs w:val="20"/>
              </w:rPr>
              <w:t>025</w:t>
            </w:r>
            <w:r w:rsidRPr="00E50879">
              <w:rPr>
                <w:b/>
                <w:bCs w:val="0"/>
                <w:szCs w:val="20"/>
              </w:rPr>
              <w:t>-</w:t>
            </w:r>
            <w:r>
              <w:rPr>
                <w:b/>
                <w:bCs w:val="0"/>
                <w:szCs w:val="20"/>
              </w:rPr>
              <w:t>Apr</w:t>
            </w:r>
            <w:r w:rsidRPr="00E50879">
              <w:rPr>
                <w:b/>
                <w:bCs w:val="0"/>
                <w:szCs w:val="20"/>
              </w:rPr>
              <w:t xml:space="preserve"> 202</w:t>
            </w:r>
            <w:r>
              <w:rPr>
                <w:b/>
                <w:bCs w:val="0"/>
                <w:szCs w:val="20"/>
              </w:rPr>
              <w:t>6</w:t>
            </w:r>
            <w:r w:rsidRPr="00E50879">
              <w:rPr>
                <w:b/>
                <w:bCs w:val="0"/>
                <w:szCs w:val="20"/>
              </w:rPr>
              <w:t>)</w:t>
            </w:r>
          </w:p>
        </w:tc>
        <w:tc>
          <w:tcPr>
            <w:tcW w:w="641" w:type="pct"/>
            <w:noWrap/>
            <w:vAlign w:val="center"/>
            <w:hideMark/>
          </w:tcPr>
          <w:p w14:paraId="36390E13" w14:textId="5936D4D1" w:rsidR="00FD5A13" w:rsidRDefault="00FD5A13" w:rsidP="0069326F">
            <w:pPr>
              <w:pStyle w:val="TableText0"/>
              <w:rPr>
                <w:b/>
                <w:bCs w:val="0"/>
                <w:szCs w:val="20"/>
              </w:rPr>
            </w:pPr>
            <w:r w:rsidRPr="00E50879">
              <w:rPr>
                <w:b/>
                <w:bCs w:val="0"/>
                <w:szCs w:val="20"/>
              </w:rPr>
              <w:t>Y</w:t>
            </w:r>
            <w:r>
              <w:rPr>
                <w:b/>
                <w:bCs w:val="0"/>
                <w:szCs w:val="20"/>
              </w:rPr>
              <w:t>3</w:t>
            </w:r>
          </w:p>
          <w:p w14:paraId="425D0CD1" w14:textId="45DDAF6A" w:rsidR="00FD5A13" w:rsidRPr="00E50879" w:rsidRDefault="00FD5A13" w:rsidP="0069326F">
            <w:pPr>
              <w:pStyle w:val="TableText0"/>
              <w:rPr>
                <w:rFonts w:cs="Calibri"/>
                <w:b/>
                <w:bCs w:val="0"/>
                <w:color w:val="000000"/>
              </w:rPr>
            </w:pPr>
            <w:r w:rsidRPr="00E50879">
              <w:rPr>
                <w:b/>
                <w:bCs w:val="0"/>
                <w:szCs w:val="20"/>
              </w:rPr>
              <w:t>(M</w:t>
            </w:r>
            <w:r>
              <w:rPr>
                <w:b/>
                <w:bCs w:val="0"/>
                <w:szCs w:val="20"/>
              </w:rPr>
              <w:t>ay</w:t>
            </w:r>
            <w:r w:rsidRPr="00E50879">
              <w:rPr>
                <w:b/>
                <w:bCs w:val="0"/>
                <w:szCs w:val="20"/>
              </w:rPr>
              <w:t xml:space="preserve"> 2</w:t>
            </w:r>
            <w:r>
              <w:rPr>
                <w:b/>
                <w:bCs w:val="0"/>
                <w:szCs w:val="20"/>
              </w:rPr>
              <w:t>026</w:t>
            </w:r>
            <w:r w:rsidRPr="00E50879">
              <w:rPr>
                <w:b/>
                <w:bCs w:val="0"/>
                <w:szCs w:val="20"/>
              </w:rPr>
              <w:t>-</w:t>
            </w:r>
            <w:r>
              <w:rPr>
                <w:b/>
                <w:bCs w:val="0"/>
                <w:szCs w:val="20"/>
              </w:rPr>
              <w:t xml:space="preserve"> Apr</w:t>
            </w:r>
            <w:r w:rsidRPr="00E50879">
              <w:rPr>
                <w:b/>
                <w:bCs w:val="0"/>
                <w:szCs w:val="20"/>
              </w:rPr>
              <w:t xml:space="preserve"> 202</w:t>
            </w:r>
            <w:r>
              <w:rPr>
                <w:b/>
                <w:bCs w:val="0"/>
                <w:szCs w:val="20"/>
              </w:rPr>
              <w:t>7</w:t>
            </w:r>
            <w:r w:rsidRPr="00E50879">
              <w:rPr>
                <w:b/>
                <w:bCs w:val="0"/>
                <w:szCs w:val="20"/>
              </w:rPr>
              <w:t>)</w:t>
            </w:r>
          </w:p>
        </w:tc>
        <w:tc>
          <w:tcPr>
            <w:tcW w:w="642" w:type="pct"/>
            <w:noWrap/>
            <w:vAlign w:val="center"/>
            <w:hideMark/>
          </w:tcPr>
          <w:p w14:paraId="50F5A102" w14:textId="3CA0D2EF" w:rsidR="00FD5A13" w:rsidRDefault="00FD5A13" w:rsidP="0069326F">
            <w:pPr>
              <w:pStyle w:val="TableText0"/>
              <w:rPr>
                <w:b/>
                <w:bCs w:val="0"/>
                <w:szCs w:val="20"/>
              </w:rPr>
            </w:pPr>
            <w:r w:rsidRPr="00E50879">
              <w:rPr>
                <w:b/>
                <w:bCs w:val="0"/>
                <w:szCs w:val="20"/>
              </w:rPr>
              <w:t>Y</w:t>
            </w:r>
            <w:r>
              <w:rPr>
                <w:b/>
                <w:bCs w:val="0"/>
                <w:szCs w:val="20"/>
              </w:rPr>
              <w:t>4</w:t>
            </w:r>
            <w:r w:rsidRPr="00E50879">
              <w:rPr>
                <w:b/>
                <w:bCs w:val="0"/>
                <w:szCs w:val="20"/>
              </w:rPr>
              <w:t xml:space="preserve"> </w:t>
            </w:r>
          </w:p>
          <w:p w14:paraId="06C175C9" w14:textId="7A2EB2C6" w:rsidR="00FD5A13" w:rsidRPr="00E50879" w:rsidRDefault="00FD5A13" w:rsidP="0069326F">
            <w:pPr>
              <w:pStyle w:val="TableText0"/>
              <w:rPr>
                <w:rFonts w:cs="Calibri"/>
                <w:b/>
                <w:bCs w:val="0"/>
                <w:color w:val="000000"/>
              </w:rPr>
            </w:pPr>
            <w:r w:rsidRPr="00E50879">
              <w:rPr>
                <w:b/>
                <w:bCs w:val="0"/>
                <w:szCs w:val="20"/>
              </w:rPr>
              <w:t>(M</w:t>
            </w:r>
            <w:r>
              <w:rPr>
                <w:b/>
                <w:bCs w:val="0"/>
                <w:szCs w:val="20"/>
              </w:rPr>
              <w:t>ay</w:t>
            </w:r>
            <w:r w:rsidRPr="00E50879">
              <w:rPr>
                <w:b/>
                <w:bCs w:val="0"/>
                <w:szCs w:val="20"/>
              </w:rPr>
              <w:t xml:space="preserve"> 2</w:t>
            </w:r>
            <w:r>
              <w:rPr>
                <w:b/>
                <w:bCs w:val="0"/>
                <w:szCs w:val="20"/>
              </w:rPr>
              <w:t>027</w:t>
            </w:r>
            <w:r w:rsidRPr="00E50879">
              <w:rPr>
                <w:b/>
                <w:bCs w:val="0"/>
                <w:szCs w:val="20"/>
              </w:rPr>
              <w:t>-</w:t>
            </w:r>
            <w:r>
              <w:rPr>
                <w:b/>
                <w:bCs w:val="0"/>
                <w:szCs w:val="20"/>
              </w:rPr>
              <w:t>Apr</w:t>
            </w:r>
            <w:r w:rsidRPr="00E50879">
              <w:rPr>
                <w:b/>
                <w:bCs w:val="0"/>
                <w:szCs w:val="20"/>
              </w:rPr>
              <w:t xml:space="preserve"> 202</w:t>
            </w:r>
            <w:r>
              <w:rPr>
                <w:b/>
                <w:bCs w:val="0"/>
                <w:szCs w:val="20"/>
              </w:rPr>
              <w:t>8</w:t>
            </w:r>
            <w:r w:rsidRPr="00E50879">
              <w:rPr>
                <w:b/>
                <w:bCs w:val="0"/>
                <w:szCs w:val="20"/>
              </w:rPr>
              <w:t>)</w:t>
            </w:r>
          </w:p>
        </w:tc>
        <w:tc>
          <w:tcPr>
            <w:tcW w:w="641" w:type="pct"/>
            <w:noWrap/>
            <w:vAlign w:val="center"/>
            <w:hideMark/>
          </w:tcPr>
          <w:p w14:paraId="0339FE9B" w14:textId="37E354FE" w:rsidR="00FD5A13" w:rsidRDefault="00FD5A13" w:rsidP="0069326F">
            <w:pPr>
              <w:pStyle w:val="TableText0"/>
              <w:rPr>
                <w:b/>
                <w:bCs w:val="0"/>
                <w:szCs w:val="20"/>
              </w:rPr>
            </w:pPr>
            <w:r w:rsidRPr="00E50879">
              <w:rPr>
                <w:b/>
                <w:bCs w:val="0"/>
                <w:szCs w:val="20"/>
              </w:rPr>
              <w:t>Y</w:t>
            </w:r>
            <w:r>
              <w:rPr>
                <w:b/>
                <w:bCs w:val="0"/>
                <w:szCs w:val="20"/>
              </w:rPr>
              <w:t>5</w:t>
            </w:r>
            <w:r w:rsidRPr="00E50879">
              <w:rPr>
                <w:b/>
                <w:bCs w:val="0"/>
                <w:szCs w:val="20"/>
              </w:rPr>
              <w:t xml:space="preserve"> </w:t>
            </w:r>
          </w:p>
          <w:p w14:paraId="46D05AEA" w14:textId="62E92E8A" w:rsidR="00FD5A13" w:rsidRPr="00E50879" w:rsidRDefault="00FD5A13" w:rsidP="0069326F">
            <w:pPr>
              <w:pStyle w:val="TableText0"/>
              <w:rPr>
                <w:rFonts w:cs="Calibri"/>
                <w:b/>
                <w:bCs w:val="0"/>
                <w:color w:val="000000"/>
              </w:rPr>
            </w:pPr>
            <w:r w:rsidRPr="00E50879">
              <w:rPr>
                <w:b/>
                <w:bCs w:val="0"/>
                <w:szCs w:val="20"/>
              </w:rPr>
              <w:t>(M</w:t>
            </w:r>
            <w:r>
              <w:rPr>
                <w:b/>
                <w:bCs w:val="0"/>
                <w:szCs w:val="20"/>
              </w:rPr>
              <w:t>ay</w:t>
            </w:r>
            <w:r w:rsidRPr="00E50879">
              <w:rPr>
                <w:b/>
                <w:bCs w:val="0"/>
                <w:szCs w:val="20"/>
              </w:rPr>
              <w:t xml:space="preserve"> 2</w:t>
            </w:r>
            <w:r>
              <w:rPr>
                <w:b/>
                <w:bCs w:val="0"/>
                <w:szCs w:val="20"/>
              </w:rPr>
              <w:t>028</w:t>
            </w:r>
            <w:r w:rsidRPr="00E50879">
              <w:rPr>
                <w:b/>
                <w:bCs w:val="0"/>
                <w:szCs w:val="20"/>
              </w:rPr>
              <w:t>-</w:t>
            </w:r>
            <w:r>
              <w:rPr>
                <w:b/>
                <w:bCs w:val="0"/>
                <w:szCs w:val="20"/>
              </w:rPr>
              <w:t>Apr</w:t>
            </w:r>
            <w:r w:rsidRPr="00E50879">
              <w:rPr>
                <w:b/>
                <w:bCs w:val="0"/>
                <w:szCs w:val="20"/>
              </w:rPr>
              <w:t xml:space="preserve"> 202</w:t>
            </w:r>
            <w:r>
              <w:rPr>
                <w:b/>
                <w:bCs w:val="0"/>
                <w:szCs w:val="20"/>
              </w:rPr>
              <w:t>9</w:t>
            </w:r>
            <w:r w:rsidRPr="00E50879">
              <w:rPr>
                <w:b/>
                <w:bCs w:val="0"/>
                <w:szCs w:val="20"/>
              </w:rPr>
              <w:t>)</w:t>
            </w:r>
          </w:p>
        </w:tc>
        <w:tc>
          <w:tcPr>
            <w:tcW w:w="641" w:type="pct"/>
            <w:vAlign w:val="center"/>
          </w:tcPr>
          <w:p w14:paraId="12DFBD5A" w14:textId="6B8B65AA" w:rsidR="00FD5A13" w:rsidRDefault="00FD5A13" w:rsidP="0069326F">
            <w:pPr>
              <w:pStyle w:val="TableText0"/>
              <w:rPr>
                <w:b/>
                <w:bCs w:val="0"/>
                <w:szCs w:val="20"/>
              </w:rPr>
            </w:pPr>
            <w:r w:rsidRPr="00E50879">
              <w:rPr>
                <w:b/>
                <w:bCs w:val="0"/>
                <w:szCs w:val="20"/>
              </w:rPr>
              <w:t>Y</w:t>
            </w:r>
            <w:r>
              <w:rPr>
                <w:b/>
                <w:bCs w:val="0"/>
                <w:szCs w:val="20"/>
              </w:rPr>
              <w:t>6</w:t>
            </w:r>
          </w:p>
          <w:p w14:paraId="0841B540" w14:textId="2C6FD0A1" w:rsidR="00FD5A13" w:rsidRDefault="00FD5A13" w:rsidP="0069326F">
            <w:pPr>
              <w:pStyle w:val="TableText0"/>
              <w:rPr>
                <w:b/>
                <w:bCs w:val="0"/>
                <w:szCs w:val="20"/>
              </w:rPr>
            </w:pPr>
            <w:r w:rsidRPr="00E50879">
              <w:rPr>
                <w:b/>
                <w:bCs w:val="0"/>
                <w:szCs w:val="20"/>
              </w:rPr>
              <w:t>(M</w:t>
            </w:r>
            <w:r>
              <w:rPr>
                <w:b/>
                <w:bCs w:val="0"/>
                <w:szCs w:val="20"/>
              </w:rPr>
              <w:t>ay</w:t>
            </w:r>
            <w:r w:rsidRPr="00E50879">
              <w:rPr>
                <w:b/>
                <w:bCs w:val="0"/>
                <w:szCs w:val="20"/>
              </w:rPr>
              <w:t xml:space="preserve"> 2</w:t>
            </w:r>
            <w:r>
              <w:rPr>
                <w:b/>
                <w:bCs w:val="0"/>
                <w:szCs w:val="20"/>
              </w:rPr>
              <w:t>029</w:t>
            </w:r>
            <w:r w:rsidRPr="00E50879">
              <w:rPr>
                <w:b/>
                <w:bCs w:val="0"/>
                <w:szCs w:val="20"/>
              </w:rPr>
              <w:t>-</w:t>
            </w:r>
            <w:r>
              <w:rPr>
                <w:b/>
                <w:bCs w:val="0"/>
                <w:szCs w:val="20"/>
              </w:rPr>
              <w:t>Apr</w:t>
            </w:r>
            <w:r w:rsidRPr="00E50879">
              <w:rPr>
                <w:b/>
                <w:bCs w:val="0"/>
                <w:szCs w:val="20"/>
              </w:rPr>
              <w:t xml:space="preserve"> 20</w:t>
            </w:r>
            <w:r>
              <w:rPr>
                <w:b/>
                <w:bCs w:val="0"/>
                <w:szCs w:val="20"/>
              </w:rPr>
              <w:t>30</w:t>
            </w:r>
            <w:r w:rsidRPr="00E50879">
              <w:rPr>
                <w:b/>
                <w:bCs w:val="0"/>
                <w:szCs w:val="20"/>
              </w:rPr>
              <w:t>)</w:t>
            </w:r>
          </w:p>
        </w:tc>
      </w:tr>
      <w:tr w:rsidR="00821F86" w:rsidRPr="00261651" w14:paraId="11964D49" w14:textId="4B0C7CA4" w:rsidTr="0069326F">
        <w:trPr>
          <w:trHeight w:val="325"/>
        </w:trPr>
        <w:tc>
          <w:tcPr>
            <w:tcW w:w="862" w:type="pct"/>
          </w:tcPr>
          <w:p w14:paraId="2906D1C4" w14:textId="13C196EA" w:rsidR="00C35F2C" w:rsidRPr="00A625C0" w:rsidRDefault="00C35F2C" w:rsidP="0069326F">
            <w:pPr>
              <w:pStyle w:val="TableText0"/>
              <w:rPr>
                <w:b/>
                <w:bCs w:val="0"/>
              </w:rPr>
            </w:pPr>
            <w:r>
              <w:rPr>
                <w:b/>
                <w:bCs w:val="0"/>
              </w:rPr>
              <w:t>Current caps</w:t>
            </w:r>
            <w:r w:rsidR="00C057F9" w:rsidRPr="00C057F9">
              <w:rPr>
                <w:b/>
                <w:bCs w:val="0"/>
                <w:vertAlign w:val="superscript"/>
              </w:rPr>
              <w:t>1</w:t>
            </w:r>
          </w:p>
        </w:tc>
        <w:tc>
          <w:tcPr>
            <w:tcW w:w="786" w:type="pct"/>
            <w:vAlign w:val="center"/>
          </w:tcPr>
          <w:p w14:paraId="05AA1929" w14:textId="57E73C77" w:rsidR="00C35F2C" w:rsidRPr="00261651" w:rsidRDefault="00C35F2C" w:rsidP="0069326F">
            <w:pPr>
              <w:pStyle w:val="TableText0"/>
              <w:jc w:val="center"/>
            </w:pPr>
            <w:r>
              <w:t>$</w:t>
            </w:r>
            <w:r w:rsidR="004F5CF8" w:rsidRPr="004F5CF8">
              <w:rPr>
                <w:sz w:val="2"/>
                <w:highlight w:val="black"/>
              </w:rPr>
              <w:t>redacted content</w:t>
            </w:r>
          </w:p>
        </w:tc>
        <w:tc>
          <w:tcPr>
            <w:tcW w:w="787" w:type="pct"/>
            <w:vAlign w:val="center"/>
          </w:tcPr>
          <w:p w14:paraId="6993DBE9" w14:textId="07648109" w:rsidR="00C35F2C" w:rsidRPr="00261651" w:rsidRDefault="00C35F2C" w:rsidP="0069326F">
            <w:pPr>
              <w:pStyle w:val="TableText0"/>
              <w:jc w:val="center"/>
              <w:rPr>
                <w:rFonts w:cs="Arial"/>
              </w:rPr>
            </w:pPr>
            <w:r>
              <w:rPr>
                <w:rFonts w:cs="Arial"/>
              </w:rPr>
              <w:t>$</w:t>
            </w:r>
            <w:r w:rsidR="004F5CF8" w:rsidRPr="004F5CF8">
              <w:rPr>
                <w:rFonts w:cs="Arial"/>
                <w:sz w:val="2"/>
                <w:highlight w:val="black"/>
              </w:rPr>
              <w:t>redacted content</w:t>
            </w:r>
            <w:r w:rsidR="008945CB" w:rsidRPr="00C328EA">
              <w:rPr>
                <w:vertAlign w:val="superscript"/>
              </w:rPr>
              <w:t>3</w:t>
            </w:r>
          </w:p>
        </w:tc>
        <w:tc>
          <w:tcPr>
            <w:tcW w:w="641" w:type="pct"/>
            <w:noWrap/>
            <w:vAlign w:val="center"/>
          </w:tcPr>
          <w:p w14:paraId="68686550" w14:textId="46F841A0" w:rsidR="00C35F2C" w:rsidRPr="00261651" w:rsidRDefault="00C35F2C" w:rsidP="0069326F">
            <w:pPr>
              <w:pStyle w:val="TableText0"/>
              <w:jc w:val="center"/>
            </w:pPr>
            <w:r w:rsidRPr="00CB5C5E">
              <w:t>$</w:t>
            </w:r>
            <w:r w:rsidR="004F5CF8" w:rsidRPr="004F5CF8">
              <w:rPr>
                <w:sz w:val="2"/>
                <w:highlight w:val="black"/>
              </w:rPr>
              <w:t>redacted content</w:t>
            </w:r>
          </w:p>
        </w:tc>
        <w:tc>
          <w:tcPr>
            <w:tcW w:w="642" w:type="pct"/>
            <w:noWrap/>
            <w:vAlign w:val="center"/>
          </w:tcPr>
          <w:p w14:paraId="0803AEF1" w14:textId="6EE3845D" w:rsidR="00C35F2C" w:rsidRPr="00261651" w:rsidRDefault="00C35F2C" w:rsidP="0069326F">
            <w:pPr>
              <w:pStyle w:val="TableText0"/>
              <w:jc w:val="center"/>
            </w:pPr>
            <w:r w:rsidRPr="00CB5C5E">
              <w:t>$</w:t>
            </w:r>
            <w:r w:rsidR="004F5CF8" w:rsidRPr="004F5CF8">
              <w:rPr>
                <w:sz w:val="2"/>
                <w:highlight w:val="black"/>
              </w:rPr>
              <w:t>redacted content</w:t>
            </w:r>
          </w:p>
        </w:tc>
        <w:tc>
          <w:tcPr>
            <w:tcW w:w="641" w:type="pct"/>
            <w:noWrap/>
            <w:vAlign w:val="center"/>
          </w:tcPr>
          <w:p w14:paraId="105B1737" w14:textId="7949EA1E" w:rsidR="00C35F2C" w:rsidRPr="00261651" w:rsidRDefault="00C35F2C" w:rsidP="0069326F">
            <w:pPr>
              <w:pStyle w:val="TableText0"/>
              <w:jc w:val="center"/>
            </w:pPr>
            <w:r w:rsidRPr="00CB5C5E">
              <w:t>$</w:t>
            </w:r>
            <w:r w:rsidR="004F5CF8" w:rsidRPr="004F5CF8">
              <w:rPr>
                <w:sz w:val="2"/>
                <w:highlight w:val="black"/>
              </w:rPr>
              <w:t>redacted content</w:t>
            </w:r>
          </w:p>
        </w:tc>
        <w:tc>
          <w:tcPr>
            <w:tcW w:w="641" w:type="pct"/>
            <w:vAlign w:val="center"/>
          </w:tcPr>
          <w:p w14:paraId="39167080" w14:textId="6C866ED0" w:rsidR="00C35F2C" w:rsidRDefault="00C35F2C" w:rsidP="0069326F">
            <w:pPr>
              <w:pStyle w:val="TableText0"/>
              <w:jc w:val="center"/>
            </w:pPr>
            <w:r w:rsidRPr="00CB5C5E">
              <w:t>$</w:t>
            </w:r>
            <w:r w:rsidR="004F5CF8" w:rsidRPr="004F5CF8">
              <w:rPr>
                <w:sz w:val="2"/>
                <w:highlight w:val="black"/>
              </w:rPr>
              <w:t>redacted content</w:t>
            </w:r>
          </w:p>
        </w:tc>
      </w:tr>
      <w:tr w:rsidR="00821F86" w:rsidRPr="00261651" w14:paraId="28931412" w14:textId="1130EA90" w:rsidTr="0069326F">
        <w:trPr>
          <w:trHeight w:val="325"/>
        </w:trPr>
        <w:tc>
          <w:tcPr>
            <w:tcW w:w="862" w:type="pct"/>
          </w:tcPr>
          <w:p w14:paraId="44B275C4" w14:textId="24C2C138" w:rsidR="00C35F2C" w:rsidRDefault="00C35F2C" w:rsidP="0069326F">
            <w:pPr>
              <w:pStyle w:val="TableText0"/>
              <w:rPr>
                <w:b/>
                <w:bCs w:val="0"/>
              </w:rPr>
            </w:pPr>
            <w:r>
              <w:rPr>
                <w:b/>
                <w:bCs w:val="0"/>
              </w:rPr>
              <w:t>Commonwealth payment</w:t>
            </w:r>
          </w:p>
        </w:tc>
        <w:tc>
          <w:tcPr>
            <w:tcW w:w="786" w:type="pct"/>
            <w:vAlign w:val="center"/>
          </w:tcPr>
          <w:p w14:paraId="0D5CB088" w14:textId="0CF5E993" w:rsidR="00C35F2C" w:rsidRPr="00CB5C5E" w:rsidRDefault="009B04DA" w:rsidP="0069326F">
            <w:pPr>
              <w:pStyle w:val="TableText0"/>
              <w:jc w:val="center"/>
            </w:pPr>
            <w:r>
              <w:t>$</w:t>
            </w:r>
            <w:r w:rsidR="004F5CF8" w:rsidRPr="004F5CF8">
              <w:rPr>
                <w:sz w:val="2"/>
                <w:highlight w:val="black"/>
              </w:rPr>
              <w:t>redacted content</w:t>
            </w:r>
            <w:r w:rsidR="00C057F9" w:rsidRPr="00C328EA">
              <w:rPr>
                <w:vertAlign w:val="superscript"/>
              </w:rPr>
              <w:t>2</w:t>
            </w:r>
          </w:p>
        </w:tc>
        <w:tc>
          <w:tcPr>
            <w:tcW w:w="787" w:type="pct"/>
            <w:vAlign w:val="center"/>
          </w:tcPr>
          <w:p w14:paraId="37ECFA18" w14:textId="30D9FCE4" w:rsidR="00C35F2C" w:rsidRPr="00CB5C5E" w:rsidRDefault="00501A98" w:rsidP="0069326F">
            <w:pPr>
              <w:pStyle w:val="TableText0"/>
              <w:jc w:val="center"/>
            </w:pPr>
            <w:r w:rsidRPr="0003046B">
              <w:t>$</w:t>
            </w:r>
            <w:r w:rsidR="004F5CF8" w:rsidRPr="004F5CF8">
              <w:rPr>
                <w:sz w:val="2"/>
                <w:highlight w:val="black"/>
              </w:rPr>
              <w:t>redacted content</w:t>
            </w:r>
            <w:r w:rsidR="008945CB" w:rsidRPr="00C328EA">
              <w:rPr>
                <w:vertAlign w:val="superscript"/>
              </w:rPr>
              <w:t>3</w:t>
            </w:r>
          </w:p>
        </w:tc>
        <w:tc>
          <w:tcPr>
            <w:tcW w:w="641" w:type="pct"/>
            <w:noWrap/>
            <w:vAlign w:val="center"/>
          </w:tcPr>
          <w:p w14:paraId="19433666" w14:textId="61FCF537" w:rsidR="00C35F2C" w:rsidRPr="00CB5C5E" w:rsidRDefault="00821F86" w:rsidP="0069326F">
            <w:pPr>
              <w:pStyle w:val="TableText0"/>
              <w:jc w:val="center"/>
            </w:pPr>
            <w:r>
              <w:t>NA</w:t>
            </w:r>
          </w:p>
        </w:tc>
        <w:tc>
          <w:tcPr>
            <w:tcW w:w="642" w:type="pct"/>
            <w:noWrap/>
            <w:vAlign w:val="center"/>
          </w:tcPr>
          <w:p w14:paraId="428AAC10" w14:textId="0FB716B6" w:rsidR="00C35F2C" w:rsidRPr="00CB5C5E" w:rsidRDefault="00821F86" w:rsidP="0069326F">
            <w:pPr>
              <w:pStyle w:val="TableText0"/>
              <w:jc w:val="center"/>
            </w:pPr>
            <w:r>
              <w:t>NA</w:t>
            </w:r>
          </w:p>
        </w:tc>
        <w:tc>
          <w:tcPr>
            <w:tcW w:w="641" w:type="pct"/>
            <w:noWrap/>
            <w:vAlign w:val="center"/>
          </w:tcPr>
          <w:p w14:paraId="5CF7C6D0" w14:textId="574F0957" w:rsidR="00C35F2C" w:rsidRDefault="00821F86" w:rsidP="0069326F">
            <w:pPr>
              <w:pStyle w:val="TableText0"/>
              <w:jc w:val="center"/>
            </w:pPr>
            <w:r>
              <w:t>NA</w:t>
            </w:r>
          </w:p>
        </w:tc>
        <w:tc>
          <w:tcPr>
            <w:tcW w:w="641" w:type="pct"/>
            <w:vAlign w:val="center"/>
          </w:tcPr>
          <w:p w14:paraId="1CA35F25" w14:textId="6CA4C426" w:rsidR="00C35F2C" w:rsidRDefault="00821F86" w:rsidP="0069326F">
            <w:pPr>
              <w:pStyle w:val="TableText0"/>
              <w:jc w:val="center"/>
            </w:pPr>
            <w:r>
              <w:t>NA</w:t>
            </w:r>
          </w:p>
        </w:tc>
      </w:tr>
      <w:tr w:rsidR="00821F86" w:rsidRPr="00261651" w14:paraId="78A3EADA" w14:textId="77777777" w:rsidTr="0069326F">
        <w:trPr>
          <w:trHeight w:val="325"/>
        </w:trPr>
        <w:tc>
          <w:tcPr>
            <w:tcW w:w="862" w:type="pct"/>
          </w:tcPr>
          <w:p w14:paraId="490C5D1E" w14:textId="6D5C5AE0" w:rsidR="00821F86" w:rsidRDefault="0063287A" w:rsidP="0069326F">
            <w:pPr>
              <w:pStyle w:val="TableText0"/>
              <w:rPr>
                <w:b/>
                <w:bCs w:val="0"/>
              </w:rPr>
            </w:pPr>
            <w:r>
              <w:rPr>
                <w:b/>
                <w:bCs w:val="0"/>
              </w:rPr>
              <w:t>P</w:t>
            </w:r>
            <w:r w:rsidR="00821F86">
              <w:rPr>
                <w:b/>
                <w:bCs w:val="0"/>
              </w:rPr>
              <w:t>ercentage of RSA cap reached</w:t>
            </w:r>
          </w:p>
        </w:tc>
        <w:tc>
          <w:tcPr>
            <w:tcW w:w="786" w:type="pct"/>
            <w:vAlign w:val="center"/>
          </w:tcPr>
          <w:p w14:paraId="7A5D19DE" w14:textId="44957B54" w:rsidR="00821F86" w:rsidRPr="00CB5C5E" w:rsidRDefault="004F5CF8" w:rsidP="0069326F">
            <w:pPr>
              <w:pStyle w:val="TableText0"/>
              <w:jc w:val="center"/>
            </w:pPr>
            <w:r w:rsidRPr="004F5CF8">
              <w:rPr>
                <w:sz w:val="2"/>
                <w:highlight w:val="black"/>
              </w:rPr>
              <w:t>redacted content</w:t>
            </w:r>
            <w:r w:rsidR="00821F86">
              <w:t>%</w:t>
            </w:r>
          </w:p>
        </w:tc>
        <w:tc>
          <w:tcPr>
            <w:tcW w:w="787" w:type="pct"/>
            <w:vAlign w:val="center"/>
          </w:tcPr>
          <w:p w14:paraId="60B64EE9" w14:textId="31F15114" w:rsidR="00821F86" w:rsidRPr="00CB5C5E" w:rsidRDefault="004F5CF8" w:rsidP="0069326F">
            <w:pPr>
              <w:pStyle w:val="TableText0"/>
              <w:jc w:val="center"/>
            </w:pPr>
            <w:r w:rsidRPr="004F5CF8">
              <w:rPr>
                <w:sz w:val="2"/>
                <w:highlight w:val="black"/>
              </w:rPr>
              <w:t>redacted content</w:t>
            </w:r>
            <w:r w:rsidR="00821F86" w:rsidRPr="0003046B">
              <w:t>%</w:t>
            </w:r>
            <w:r w:rsidR="0097478F">
              <w:rPr>
                <w:vertAlign w:val="superscript"/>
              </w:rPr>
              <w:t>3</w:t>
            </w:r>
          </w:p>
        </w:tc>
        <w:tc>
          <w:tcPr>
            <w:tcW w:w="641" w:type="pct"/>
            <w:noWrap/>
            <w:vAlign w:val="center"/>
          </w:tcPr>
          <w:p w14:paraId="4CFE24D3" w14:textId="6831FD18" w:rsidR="00821F86" w:rsidRPr="00CB5C5E" w:rsidRDefault="00821F86" w:rsidP="0069326F">
            <w:pPr>
              <w:pStyle w:val="TableText0"/>
              <w:jc w:val="center"/>
            </w:pPr>
            <w:r>
              <w:t>NA</w:t>
            </w:r>
          </w:p>
        </w:tc>
        <w:tc>
          <w:tcPr>
            <w:tcW w:w="642" w:type="pct"/>
            <w:noWrap/>
            <w:vAlign w:val="center"/>
          </w:tcPr>
          <w:p w14:paraId="4CD786DF" w14:textId="60C779E7" w:rsidR="00821F86" w:rsidRPr="00CB5C5E" w:rsidRDefault="00821F86" w:rsidP="0069326F">
            <w:pPr>
              <w:pStyle w:val="TableText0"/>
              <w:jc w:val="center"/>
            </w:pPr>
            <w:r>
              <w:t>NA</w:t>
            </w:r>
          </w:p>
        </w:tc>
        <w:tc>
          <w:tcPr>
            <w:tcW w:w="641" w:type="pct"/>
            <w:noWrap/>
            <w:vAlign w:val="center"/>
          </w:tcPr>
          <w:p w14:paraId="035DF926" w14:textId="5F9C7A3E" w:rsidR="00821F86" w:rsidRDefault="00821F86" w:rsidP="0069326F">
            <w:pPr>
              <w:pStyle w:val="TableText0"/>
              <w:jc w:val="center"/>
            </w:pPr>
            <w:r>
              <w:t>NA</w:t>
            </w:r>
          </w:p>
        </w:tc>
        <w:tc>
          <w:tcPr>
            <w:tcW w:w="641" w:type="pct"/>
            <w:vAlign w:val="center"/>
          </w:tcPr>
          <w:p w14:paraId="472BDC01" w14:textId="110A88DF" w:rsidR="00821F86" w:rsidRDefault="00821F86" w:rsidP="0069326F">
            <w:pPr>
              <w:pStyle w:val="TableText0"/>
              <w:jc w:val="center"/>
            </w:pPr>
            <w:r>
              <w:t>NA</w:t>
            </w:r>
          </w:p>
        </w:tc>
      </w:tr>
    </w:tbl>
    <w:p w14:paraId="636A00E9" w14:textId="1CCFD932" w:rsidR="00C057F9" w:rsidRDefault="00FD5A13" w:rsidP="00FD5A13">
      <w:pPr>
        <w:pStyle w:val="TableFigureFooter"/>
      </w:pPr>
      <w:r w:rsidRPr="00FD5A13">
        <w:rPr>
          <w:vertAlign w:val="superscript"/>
        </w:rPr>
        <w:t>1</w:t>
      </w:r>
      <w:r>
        <w:t xml:space="preserve"> </w:t>
      </w:r>
      <w:r w:rsidR="00C057F9">
        <w:t xml:space="preserve">Based off the revised financial estimates </w:t>
      </w:r>
      <w:r w:rsidR="00A43D1B">
        <w:t>which were redistributed over a 6-year period</w:t>
      </w:r>
    </w:p>
    <w:p w14:paraId="410C6F88" w14:textId="48D9FA8B" w:rsidR="00EE6E6B" w:rsidRDefault="00C057F9" w:rsidP="00FD5A13">
      <w:pPr>
        <w:pStyle w:val="TableFigureFooter"/>
      </w:pPr>
      <w:r w:rsidRPr="00C057F9">
        <w:rPr>
          <w:vertAlign w:val="superscript"/>
        </w:rPr>
        <w:t>2</w:t>
      </w:r>
      <w:r>
        <w:t xml:space="preserve"> </w:t>
      </w:r>
      <w:r w:rsidR="00FD5A13">
        <w:t xml:space="preserve">Current estimate </w:t>
      </w:r>
    </w:p>
    <w:p w14:paraId="3427E362" w14:textId="63E1A0D2" w:rsidR="00537D36" w:rsidRDefault="00537D36" w:rsidP="00537D36">
      <w:pPr>
        <w:pStyle w:val="TableFigureFooter"/>
      </w:pPr>
      <w:r w:rsidRPr="00537D36">
        <w:rPr>
          <w:vertAlign w:val="superscript"/>
        </w:rPr>
        <w:t>3</w:t>
      </w:r>
      <w:r>
        <w:t xml:space="preserve"> </w:t>
      </w:r>
      <w:r w:rsidR="0097478F">
        <w:t>Projection based on 4</w:t>
      </w:r>
      <w:r w:rsidR="008A2E2D" w:rsidRPr="0003046B">
        <w:t xml:space="preserve"> </w:t>
      </w:r>
      <w:r w:rsidR="00821F86" w:rsidRPr="0003046B">
        <w:t xml:space="preserve">months </w:t>
      </w:r>
      <w:r w:rsidR="00821F86">
        <w:t xml:space="preserve">available data </w:t>
      </w:r>
      <w:r w:rsidR="00EA435B">
        <w:t>(May</w:t>
      </w:r>
      <w:r w:rsidR="00B72D08">
        <w:t xml:space="preserve"> </w:t>
      </w:r>
      <w:r w:rsidR="00EA435B">
        <w:t xml:space="preserve">– </w:t>
      </w:r>
      <w:r w:rsidR="0097478F">
        <w:t xml:space="preserve">August </w:t>
      </w:r>
      <w:r w:rsidR="00EA435B">
        <w:t>2025)</w:t>
      </w:r>
      <w:r>
        <w:t xml:space="preserve"> </w:t>
      </w:r>
    </w:p>
    <w:p w14:paraId="363A85B8" w14:textId="69CC9A1B" w:rsidR="0021732D" w:rsidRDefault="00A44D03" w:rsidP="006901C9">
      <w:pPr>
        <w:pStyle w:val="3-BodyText"/>
      </w:pPr>
      <w:r>
        <w:t>T</w:t>
      </w:r>
      <w:r w:rsidR="00232376">
        <w:t xml:space="preserve">he </w:t>
      </w:r>
      <w:r w:rsidR="009117D2">
        <w:t xml:space="preserve">RSA cap for tafamidis </w:t>
      </w:r>
      <w:r w:rsidR="00397358">
        <w:t>was breached in Year 1</w:t>
      </w:r>
      <w:r>
        <w:t xml:space="preserve"> and expected to </w:t>
      </w:r>
      <w:r w:rsidR="004624BA">
        <w:t xml:space="preserve">be </w:t>
      </w:r>
      <w:r>
        <w:t>exceed</w:t>
      </w:r>
      <w:r w:rsidR="004624BA">
        <w:t>ed</w:t>
      </w:r>
      <w:r>
        <w:t xml:space="preserve"> in Year</w:t>
      </w:r>
      <w:r w:rsidR="004624BA">
        <w:t> </w:t>
      </w:r>
      <w:r>
        <w:t>2</w:t>
      </w:r>
      <w:r w:rsidR="00A67C20">
        <w:t xml:space="preserve">. The </w:t>
      </w:r>
      <w:r w:rsidR="00766B1A">
        <w:t>submission</w:t>
      </w:r>
      <w:r w:rsidR="00A67C20">
        <w:t xml:space="preserve"> </w:t>
      </w:r>
      <w:r w:rsidR="0039377C">
        <w:t xml:space="preserve">claimed </w:t>
      </w:r>
      <w:r w:rsidR="0065310A">
        <w:t xml:space="preserve">that this </w:t>
      </w:r>
      <w:r w:rsidR="000007FC">
        <w:t xml:space="preserve">is due to </w:t>
      </w:r>
      <w:r w:rsidR="008069BD">
        <w:t>increased</w:t>
      </w:r>
      <w:r w:rsidR="000007FC">
        <w:t xml:space="preserve"> </w:t>
      </w:r>
      <w:r w:rsidR="008069BD">
        <w:t xml:space="preserve">prevalence and diagnosis of </w:t>
      </w:r>
      <w:r w:rsidR="00677DCF">
        <w:t>ATTR-CM</w:t>
      </w:r>
      <w:r w:rsidR="008069BD">
        <w:t xml:space="preserve"> in Australia</w:t>
      </w:r>
      <w:r w:rsidR="000007FC">
        <w:t xml:space="preserve">. </w:t>
      </w:r>
      <w:r w:rsidR="0039377C">
        <w:t>The submission stated that the utilisation was expected to continue to significantly exceed the estimates for all remaining years of the Deed.</w:t>
      </w:r>
    </w:p>
    <w:p w14:paraId="0451D5B0" w14:textId="412082E4" w:rsidR="00433F21" w:rsidRPr="00433F21" w:rsidRDefault="005B319F" w:rsidP="002B0B00">
      <w:pPr>
        <w:pStyle w:val="3-BodyText"/>
      </w:pPr>
      <w:r>
        <w:t xml:space="preserve">The </w:t>
      </w:r>
      <w:r w:rsidR="00766B1A">
        <w:t xml:space="preserve">submission </w:t>
      </w:r>
      <w:r>
        <w:t>propo</w:t>
      </w:r>
      <w:r w:rsidR="00766B1A">
        <w:t>sed</w:t>
      </w:r>
      <w:r>
        <w:t xml:space="preserve"> </w:t>
      </w:r>
      <w:r w:rsidR="0003046B">
        <w:t xml:space="preserve">to </w:t>
      </w:r>
      <w:r>
        <w:t>increase the RSA caps</w:t>
      </w:r>
      <w:r w:rsidR="00781EE6">
        <w:t xml:space="preserve"> to account for the </w:t>
      </w:r>
      <w:r w:rsidR="00160A26">
        <w:t xml:space="preserve">unexpectedly </w:t>
      </w:r>
      <w:r w:rsidR="00781EE6">
        <w:t>high utilisation.</w:t>
      </w:r>
      <w:r w:rsidR="00920F91">
        <w:t xml:space="preserve"> </w:t>
      </w:r>
      <w:r w:rsidR="00320A6D">
        <w:fldChar w:fldCharType="begin"/>
      </w:r>
      <w:r w:rsidR="00320A6D">
        <w:instrText xml:space="preserve"> REF _Ref219456912 \h </w:instrText>
      </w:r>
      <w:r w:rsidR="00320A6D">
        <w:fldChar w:fldCharType="separate"/>
      </w:r>
      <w:r w:rsidR="002B0B00">
        <w:t xml:space="preserve">Table </w:t>
      </w:r>
      <w:r w:rsidR="002B0B00">
        <w:rPr>
          <w:noProof/>
        </w:rPr>
        <w:t>2</w:t>
      </w:r>
      <w:r w:rsidR="00320A6D">
        <w:fldChar w:fldCharType="end"/>
      </w:r>
      <w:r w:rsidR="00320A6D">
        <w:t xml:space="preserve"> </w:t>
      </w:r>
      <w:r w:rsidR="002C1540">
        <w:t>outlines the proposed su</w:t>
      </w:r>
      <w:r w:rsidR="003A79C3">
        <w:t>bsidisation caps</w:t>
      </w:r>
      <w:r w:rsidR="00A1463C">
        <w:t xml:space="preserve"> for the remainder of the Deed period</w:t>
      </w:r>
      <w:r w:rsidR="00433F21">
        <w:t xml:space="preserve"> (Deed Year 3 onwards)</w:t>
      </w:r>
      <w:r w:rsidR="00A1463C">
        <w:t xml:space="preserve">. </w:t>
      </w:r>
    </w:p>
    <w:p w14:paraId="210C0291" w14:textId="0F70C385" w:rsidR="00433F21" w:rsidRPr="005E03B5" w:rsidRDefault="00320A6D" w:rsidP="002C1999">
      <w:pPr>
        <w:pStyle w:val="TableFigureHeading"/>
      </w:pPr>
      <w:bookmarkStart w:id="1" w:name="_Ref219456912"/>
      <w:r>
        <w:t xml:space="preserve">Table </w:t>
      </w:r>
      <w:r>
        <w:fldChar w:fldCharType="begin"/>
      </w:r>
      <w:r>
        <w:instrText>SEQ Table \* ARABIC</w:instrText>
      </w:r>
      <w:r>
        <w:fldChar w:fldCharType="separate"/>
      </w:r>
      <w:r w:rsidR="003C1818">
        <w:rPr>
          <w:noProof/>
        </w:rPr>
        <w:t>2</w:t>
      </w:r>
      <w:r>
        <w:fldChar w:fldCharType="end"/>
      </w:r>
      <w:bookmarkEnd w:id="1"/>
      <w:r w:rsidR="00433F21" w:rsidRPr="00FE72F6">
        <w:t xml:space="preserve">: </w:t>
      </w:r>
      <w:r w:rsidR="00A86202">
        <w:t>Summary of the proposed subsidisation caps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2: Summary of the proposed subsidisation caps"/>
      </w:tblPr>
      <w:tblGrid>
        <w:gridCol w:w="2547"/>
        <w:gridCol w:w="1618"/>
        <w:gridCol w:w="1617"/>
        <w:gridCol w:w="1617"/>
        <w:gridCol w:w="1617"/>
      </w:tblGrid>
      <w:tr w:rsidR="006976CD" w:rsidRPr="00E50879" w14:paraId="32E9FBBB" w14:textId="77777777" w:rsidTr="00864654">
        <w:trPr>
          <w:trHeight w:val="343"/>
        </w:trPr>
        <w:tc>
          <w:tcPr>
            <w:tcW w:w="1412" w:type="pct"/>
          </w:tcPr>
          <w:p w14:paraId="64CB345D" w14:textId="77777777" w:rsidR="00E554D1" w:rsidRPr="00E50879" w:rsidRDefault="00E554D1" w:rsidP="00864654">
            <w:pPr>
              <w:pStyle w:val="TableText0"/>
              <w:rPr>
                <w:b/>
                <w:bCs w:val="0"/>
                <w:szCs w:val="20"/>
              </w:rPr>
            </w:pPr>
          </w:p>
        </w:tc>
        <w:tc>
          <w:tcPr>
            <w:tcW w:w="897" w:type="pct"/>
            <w:noWrap/>
            <w:vAlign w:val="center"/>
            <w:hideMark/>
          </w:tcPr>
          <w:p w14:paraId="62C2FD3B" w14:textId="04F82D51" w:rsidR="00E554D1" w:rsidRPr="005E1285" w:rsidRDefault="00E554D1" w:rsidP="00864654">
            <w:pPr>
              <w:pStyle w:val="TableText0"/>
              <w:rPr>
                <w:b/>
                <w:bCs w:val="0"/>
                <w:szCs w:val="20"/>
              </w:rPr>
            </w:pPr>
            <w:r w:rsidRPr="00E50879">
              <w:rPr>
                <w:b/>
                <w:bCs w:val="0"/>
                <w:szCs w:val="20"/>
              </w:rPr>
              <w:t>Y</w:t>
            </w:r>
            <w:r>
              <w:rPr>
                <w:b/>
                <w:bCs w:val="0"/>
                <w:szCs w:val="20"/>
              </w:rPr>
              <w:t>3</w:t>
            </w:r>
            <w:r w:rsidR="005E1285">
              <w:rPr>
                <w:b/>
                <w:bCs w:val="0"/>
                <w:szCs w:val="20"/>
              </w:rPr>
              <w:t xml:space="preserve"> </w:t>
            </w:r>
            <w:r w:rsidRPr="00E50879">
              <w:rPr>
                <w:b/>
                <w:bCs w:val="0"/>
                <w:szCs w:val="20"/>
              </w:rPr>
              <w:t>(M</w:t>
            </w:r>
            <w:r>
              <w:rPr>
                <w:b/>
                <w:bCs w:val="0"/>
                <w:szCs w:val="20"/>
              </w:rPr>
              <w:t>ay</w:t>
            </w:r>
            <w:r w:rsidRPr="00E50879">
              <w:rPr>
                <w:b/>
                <w:bCs w:val="0"/>
                <w:szCs w:val="20"/>
              </w:rPr>
              <w:t xml:space="preserve"> 2</w:t>
            </w:r>
            <w:r>
              <w:rPr>
                <w:b/>
                <w:bCs w:val="0"/>
                <w:szCs w:val="20"/>
              </w:rPr>
              <w:t>026</w:t>
            </w:r>
            <w:r w:rsidRPr="00E50879">
              <w:rPr>
                <w:b/>
                <w:bCs w:val="0"/>
                <w:szCs w:val="20"/>
              </w:rPr>
              <w:t>-</w:t>
            </w:r>
            <w:r>
              <w:rPr>
                <w:b/>
                <w:bCs w:val="0"/>
                <w:szCs w:val="20"/>
              </w:rPr>
              <w:t xml:space="preserve"> Apr</w:t>
            </w:r>
            <w:r w:rsidRPr="00E50879">
              <w:rPr>
                <w:b/>
                <w:bCs w:val="0"/>
                <w:szCs w:val="20"/>
              </w:rPr>
              <w:t xml:space="preserve"> 202</w:t>
            </w:r>
            <w:r>
              <w:rPr>
                <w:b/>
                <w:bCs w:val="0"/>
                <w:szCs w:val="20"/>
              </w:rPr>
              <w:t>7</w:t>
            </w:r>
            <w:r w:rsidRPr="00E50879">
              <w:rPr>
                <w:b/>
                <w:bCs w:val="0"/>
                <w:szCs w:val="20"/>
              </w:rPr>
              <w:t>)</w:t>
            </w:r>
          </w:p>
        </w:tc>
        <w:tc>
          <w:tcPr>
            <w:tcW w:w="897" w:type="pct"/>
            <w:noWrap/>
            <w:vAlign w:val="center"/>
            <w:hideMark/>
          </w:tcPr>
          <w:p w14:paraId="6D653DFF" w14:textId="35B07736" w:rsidR="00E554D1" w:rsidRPr="005E1285" w:rsidRDefault="00E554D1" w:rsidP="00864654">
            <w:pPr>
              <w:pStyle w:val="TableText0"/>
              <w:rPr>
                <w:b/>
                <w:bCs w:val="0"/>
                <w:szCs w:val="20"/>
              </w:rPr>
            </w:pPr>
            <w:r w:rsidRPr="00E50879">
              <w:rPr>
                <w:b/>
                <w:bCs w:val="0"/>
                <w:szCs w:val="20"/>
              </w:rPr>
              <w:t>Y</w:t>
            </w:r>
            <w:r>
              <w:rPr>
                <w:b/>
                <w:bCs w:val="0"/>
                <w:szCs w:val="20"/>
              </w:rPr>
              <w:t>4</w:t>
            </w:r>
            <w:r w:rsidR="005E1285">
              <w:rPr>
                <w:b/>
                <w:bCs w:val="0"/>
                <w:szCs w:val="20"/>
              </w:rPr>
              <w:t xml:space="preserve"> </w:t>
            </w:r>
            <w:r w:rsidRPr="00E50879">
              <w:rPr>
                <w:b/>
                <w:bCs w:val="0"/>
                <w:szCs w:val="20"/>
              </w:rPr>
              <w:t>(M</w:t>
            </w:r>
            <w:r>
              <w:rPr>
                <w:b/>
                <w:bCs w:val="0"/>
                <w:szCs w:val="20"/>
              </w:rPr>
              <w:t>ay</w:t>
            </w:r>
            <w:r w:rsidRPr="00E50879">
              <w:rPr>
                <w:b/>
                <w:bCs w:val="0"/>
                <w:szCs w:val="20"/>
              </w:rPr>
              <w:t xml:space="preserve"> 2</w:t>
            </w:r>
            <w:r>
              <w:rPr>
                <w:b/>
                <w:bCs w:val="0"/>
                <w:szCs w:val="20"/>
              </w:rPr>
              <w:t>027</w:t>
            </w:r>
            <w:r w:rsidRPr="00E50879">
              <w:rPr>
                <w:b/>
                <w:bCs w:val="0"/>
                <w:szCs w:val="20"/>
              </w:rPr>
              <w:t>-</w:t>
            </w:r>
            <w:r>
              <w:rPr>
                <w:b/>
                <w:bCs w:val="0"/>
                <w:szCs w:val="20"/>
              </w:rPr>
              <w:t>Apr</w:t>
            </w:r>
            <w:r w:rsidRPr="00E50879">
              <w:rPr>
                <w:b/>
                <w:bCs w:val="0"/>
                <w:szCs w:val="20"/>
              </w:rPr>
              <w:t xml:space="preserve"> 202</w:t>
            </w:r>
            <w:r>
              <w:rPr>
                <w:b/>
                <w:bCs w:val="0"/>
                <w:szCs w:val="20"/>
              </w:rPr>
              <w:t>8</w:t>
            </w:r>
            <w:r w:rsidRPr="00E50879">
              <w:rPr>
                <w:b/>
                <w:bCs w:val="0"/>
                <w:szCs w:val="20"/>
              </w:rPr>
              <w:t>)</w:t>
            </w:r>
          </w:p>
        </w:tc>
        <w:tc>
          <w:tcPr>
            <w:tcW w:w="897" w:type="pct"/>
            <w:noWrap/>
            <w:vAlign w:val="center"/>
            <w:hideMark/>
          </w:tcPr>
          <w:p w14:paraId="38F333A7" w14:textId="2420D56A" w:rsidR="00E554D1" w:rsidRPr="005E1285" w:rsidRDefault="00E554D1" w:rsidP="00864654">
            <w:pPr>
              <w:pStyle w:val="TableText0"/>
              <w:rPr>
                <w:b/>
                <w:bCs w:val="0"/>
                <w:szCs w:val="20"/>
              </w:rPr>
            </w:pPr>
            <w:r w:rsidRPr="00E50879">
              <w:rPr>
                <w:b/>
                <w:bCs w:val="0"/>
                <w:szCs w:val="20"/>
              </w:rPr>
              <w:t>Y</w:t>
            </w:r>
            <w:r>
              <w:rPr>
                <w:b/>
                <w:bCs w:val="0"/>
                <w:szCs w:val="20"/>
              </w:rPr>
              <w:t>5</w:t>
            </w:r>
            <w:r w:rsidR="005E1285">
              <w:rPr>
                <w:b/>
                <w:bCs w:val="0"/>
                <w:szCs w:val="20"/>
              </w:rPr>
              <w:t xml:space="preserve"> </w:t>
            </w:r>
            <w:r w:rsidRPr="00E50879">
              <w:rPr>
                <w:b/>
                <w:bCs w:val="0"/>
                <w:szCs w:val="20"/>
              </w:rPr>
              <w:t>(M</w:t>
            </w:r>
            <w:r>
              <w:rPr>
                <w:b/>
                <w:bCs w:val="0"/>
                <w:szCs w:val="20"/>
              </w:rPr>
              <w:t>ay</w:t>
            </w:r>
            <w:r w:rsidRPr="00E50879">
              <w:rPr>
                <w:b/>
                <w:bCs w:val="0"/>
                <w:szCs w:val="20"/>
              </w:rPr>
              <w:t xml:space="preserve"> 2</w:t>
            </w:r>
            <w:r>
              <w:rPr>
                <w:b/>
                <w:bCs w:val="0"/>
                <w:szCs w:val="20"/>
              </w:rPr>
              <w:t>028</w:t>
            </w:r>
            <w:r w:rsidRPr="00E50879">
              <w:rPr>
                <w:b/>
                <w:bCs w:val="0"/>
                <w:szCs w:val="20"/>
              </w:rPr>
              <w:t>-</w:t>
            </w:r>
            <w:r>
              <w:rPr>
                <w:b/>
                <w:bCs w:val="0"/>
                <w:szCs w:val="20"/>
              </w:rPr>
              <w:t>Apr</w:t>
            </w:r>
            <w:r w:rsidRPr="00E50879">
              <w:rPr>
                <w:b/>
                <w:bCs w:val="0"/>
                <w:szCs w:val="20"/>
              </w:rPr>
              <w:t xml:space="preserve"> 202</w:t>
            </w:r>
            <w:r>
              <w:rPr>
                <w:b/>
                <w:bCs w:val="0"/>
                <w:szCs w:val="20"/>
              </w:rPr>
              <w:t>9</w:t>
            </w:r>
            <w:r w:rsidRPr="00E50879">
              <w:rPr>
                <w:b/>
                <w:bCs w:val="0"/>
                <w:szCs w:val="20"/>
              </w:rPr>
              <w:t>)</w:t>
            </w:r>
          </w:p>
        </w:tc>
        <w:tc>
          <w:tcPr>
            <w:tcW w:w="897" w:type="pct"/>
            <w:vAlign w:val="center"/>
          </w:tcPr>
          <w:p w14:paraId="64447FDC" w14:textId="05D00EF8" w:rsidR="00E554D1" w:rsidRDefault="00E554D1" w:rsidP="00864654">
            <w:pPr>
              <w:pStyle w:val="TableText0"/>
              <w:rPr>
                <w:b/>
                <w:bCs w:val="0"/>
                <w:szCs w:val="20"/>
              </w:rPr>
            </w:pPr>
            <w:r w:rsidRPr="00E50879">
              <w:rPr>
                <w:b/>
                <w:bCs w:val="0"/>
                <w:szCs w:val="20"/>
              </w:rPr>
              <w:t>Y</w:t>
            </w:r>
            <w:r>
              <w:rPr>
                <w:b/>
                <w:bCs w:val="0"/>
                <w:szCs w:val="20"/>
              </w:rPr>
              <w:t>6</w:t>
            </w:r>
            <w:r w:rsidR="005E1285">
              <w:rPr>
                <w:b/>
                <w:bCs w:val="0"/>
                <w:szCs w:val="20"/>
              </w:rPr>
              <w:t xml:space="preserve"> </w:t>
            </w:r>
            <w:r w:rsidRPr="00E50879">
              <w:rPr>
                <w:b/>
                <w:bCs w:val="0"/>
                <w:szCs w:val="20"/>
              </w:rPr>
              <w:t>(M</w:t>
            </w:r>
            <w:r>
              <w:rPr>
                <w:b/>
                <w:bCs w:val="0"/>
                <w:szCs w:val="20"/>
              </w:rPr>
              <w:t>ay</w:t>
            </w:r>
            <w:r w:rsidRPr="00E50879">
              <w:rPr>
                <w:b/>
                <w:bCs w:val="0"/>
                <w:szCs w:val="20"/>
              </w:rPr>
              <w:t xml:space="preserve"> 2</w:t>
            </w:r>
            <w:r>
              <w:rPr>
                <w:b/>
                <w:bCs w:val="0"/>
                <w:szCs w:val="20"/>
              </w:rPr>
              <w:t>029</w:t>
            </w:r>
            <w:r w:rsidRPr="00E50879">
              <w:rPr>
                <w:b/>
                <w:bCs w:val="0"/>
                <w:szCs w:val="20"/>
              </w:rPr>
              <w:t>-</w:t>
            </w:r>
            <w:r>
              <w:rPr>
                <w:b/>
                <w:bCs w:val="0"/>
                <w:szCs w:val="20"/>
              </w:rPr>
              <w:t>Apr</w:t>
            </w:r>
            <w:r w:rsidRPr="00E50879">
              <w:rPr>
                <w:b/>
                <w:bCs w:val="0"/>
                <w:szCs w:val="20"/>
              </w:rPr>
              <w:t xml:space="preserve"> 20</w:t>
            </w:r>
            <w:r>
              <w:rPr>
                <w:b/>
                <w:bCs w:val="0"/>
                <w:szCs w:val="20"/>
              </w:rPr>
              <w:t>30</w:t>
            </w:r>
            <w:r w:rsidRPr="00E50879">
              <w:rPr>
                <w:b/>
                <w:bCs w:val="0"/>
                <w:szCs w:val="20"/>
              </w:rPr>
              <w:t>)</w:t>
            </w:r>
          </w:p>
        </w:tc>
      </w:tr>
      <w:tr w:rsidR="006976CD" w:rsidRPr="00261651" w14:paraId="56860018" w14:textId="77777777" w:rsidTr="00864654">
        <w:trPr>
          <w:trHeight w:val="343"/>
        </w:trPr>
        <w:tc>
          <w:tcPr>
            <w:tcW w:w="1412" w:type="pct"/>
          </w:tcPr>
          <w:p w14:paraId="556B027C" w14:textId="5374EC27" w:rsidR="00E554D1" w:rsidRPr="00A625C0" w:rsidRDefault="00E554D1" w:rsidP="00864654">
            <w:pPr>
              <w:pStyle w:val="TableText0"/>
              <w:rPr>
                <w:b/>
                <w:bCs w:val="0"/>
              </w:rPr>
            </w:pPr>
            <w:r>
              <w:rPr>
                <w:b/>
                <w:bCs w:val="0"/>
              </w:rPr>
              <w:t xml:space="preserve">Current </w:t>
            </w:r>
            <w:r w:rsidR="00DB66D0">
              <w:rPr>
                <w:b/>
                <w:bCs w:val="0"/>
              </w:rPr>
              <w:t xml:space="preserve">RSA </w:t>
            </w:r>
            <w:r>
              <w:rPr>
                <w:b/>
                <w:bCs w:val="0"/>
              </w:rPr>
              <w:t>caps</w:t>
            </w:r>
          </w:p>
        </w:tc>
        <w:tc>
          <w:tcPr>
            <w:tcW w:w="897" w:type="pct"/>
            <w:noWrap/>
            <w:vAlign w:val="center"/>
          </w:tcPr>
          <w:p w14:paraId="7D1DD436" w14:textId="188D88A3" w:rsidR="00E554D1" w:rsidRPr="00261651" w:rsidRDefault="00E554D1" w:rsidP="00864654">
            <w:pPr>
              <w:pStyle w:val="TableText0"/>
              <w:jc w:val="center"/>
            </w:pPr>
            <w:r w:rsidRPr="00CB5C5E">
              <w:t>$</w:t>
            </w:r>
            <w:r w:rsidR="004F5CF8" w:rsidRPr="004F5CF8">
              <w:rPr>
                <w:sz w:val="2"/>
                <w:highlight w:val="black"/>
              </w:rPr>
              <w:t>redacted content</w:t>
            </w:r>
          </w:p>
        </w:tc>
        <w:tc>
          <w:tcPr>
            <w:tcW w:w="897" w:type="pct"/>
            <w:noWrap/>
            <w:vAlign w:val="center"/>
          </w:tcPr>
          <w:p w14:paraId="7C630FD4" w14:textId="3A839697" w:rsidR="00E554D1" w:rsidRPr="00261651" w:rsidRDefault="00E554D1" w:rsidP="00864654">
            <w:pPr>
              <w:pStyle w:val="TableText0"/>
              <w:jc w:val="center"/>
            </w:pPr>
            <w:r w:rsidRPr="00CB5C5E">
              <w:t>$</w:t>
            </w:r>
            <w:r w:rsidR="004F5CF8" w:rsidRPr="004F5CF8">
              <w:rPr>
                <w:sz w:val="2"/>
                <w:highlight w:val="black"/>
              </w:rPr>
              <w:t>redacted content</w:t>
            </w:r>
          </w:p>
        </w:tc>
        <w:tc>
          <w:tcPr>
            <w:tcW w:w="897" w:type="pct"/>
            <w:noWrap/>
            <w:vAlign w:val="center"/>
          </w:tcPr>
          <w:p w14:paraId="7F632DB9" w14:textId="39FC6FF1" w:rsidR="00E554D1" w:rsidRPr="00261651" w:rsidRDefault="00E554D1" w:rsidP="00864654">
            <w:pPr>
              <w:pStyle w:val="TableText0"/>
              <w:jc w:val="center"/>
            </w:pPr>
            <w:r w:rsidRPr="00CB5C5E">
              <w:t>$</w:t>
            </w:r>
            <w:r w:rsidR="004F5CF8" w:rsidRPr="004F5CF8">
              <w:rPr>
                <w:sz w:val="2"/>
                <w:highlight w:val="black"/>
              </w:rPr>
              <w:t>redacted content</w:t>
            </w:r>
          </w:p>
        </w:tc>
        <w:tc>
          <w:tcPr>
            <w:tcW w:w="897" w:type="pct"/>
            <w:vAlign w:val="center"/>
          </w:tcPr>
          <w:p w14:paraId="1ADE2033" w14:textId="78311EED" w:rsidR="00E554D1" w:rsidRDefault="00E554D1" w:rsidP="00864654">
            <w:pPr>
              <w:pStyle w:val="TableText0"/>
              <w:jc w:val="center"/>
            </w:pPr>
            <w:r w:rsidRPr="00CB5C5E">
              <w:t>$</w:t>
            </w:r>
            <w:r w:rsidR="004F5CF8" w:rsidRPr="004F5CF8">
              <w:rPr>
                <w:sz w:val="2"/>
                <w:highlight w:val="black"/>
              </w:rPr>
              <w:t>redacted content</w:t>
            </w:r>
          </w:p>
        </w:tc>
      </w:tr>
      <w:tr w:rsidR="006976CD" w:rsidRPr="00261651" w14:paraId="487CCA20" w14:textId="77777777" w:rsidTr="00864654">
        <w:trPr>
          <w:trHeight w:val="343"/>
        </w:trPr>
        <w:tc>
          <w:tcPr>
            <w:tcW w:w="1412" w:type="pct"/>
            <w:shd w:val="clear" w:color="auto" w:fill="FDE9D9" w:themeFill="accent6" w:themeFillTint="33"/>
          </w:tcPr>
          <w:p w14:paraId="6DBE8211" w14:textId="04F5EBA5" w:rsidR="00E554D1" w:rsidRDefault="00711C1A" w:rsidP="00864654">
            <w:pPr>
              <w:pStyle w:val="TableText0"/>
              <w:rPr>
                <w:b/>
                <w:bCs w:val="0"/>
              </w:rPr>
            </w:pPr>
            <w:r>
              <w:rPr>
                <w:b/>
                <w:bCs w:val="0"/>
              </w:rPr>
              <w:t>Sponsor proposed caps</w:t>
            </w:r>
            <w:r w:rsidR="00EA2B1C">
              <w:rPr>
                <w:b/>
                <w:bCs w:val="0"/>
              </w:rPr>
              <w:t xml:space="preserve"> (</w:t>
            </w:r>
            <w:r w:rsidR="006254AE">
              <w:rPr>
                <w:b/>
                <w:bCs w:val="0"/>
              </w:rPr>
              <w:t xml:space="preserve">with revised effective </w:t>
            </w:r>
            <w:r w:rsidR="004F5E03">
              <w:rPr>
                <w:b/>
                <w:bCs w:val="0"/>
              </w:rPr>
              <w:t>price</w:t>
            </w:r>
            <w:r w:rsidR="006254AE">
              <w:rPr>
                <w:b/>
                <w:bCs w:val="0"/>
              </w:rPr>
              <w:t>)</w:t>
            </w:r>
          </w:p>
        </w:tc>
        <w:tc>
          <w:tcPr>
            <w:tcW w:w="897" w:type="pct"/>
            <w:shd w:val="clear" w:color="auto" w:fill="FDE9D9" w:themeFill="accent6" w:themeFillTint="33"/>
            <w:noWrap/>
            <w:vAlign w:val="center"/>
          </w:tcPr>
          <w:p w14:paraId="0EF9EA3D" w14:textId="31ED2A65" w:rsidR="00E554D1" w:rsidRPr="00CB5C5E" w:rsidRDefault="00277F5D" w:rsidP="00864654">
            <w:pPr>
              <w:pStyle w:val="TableText0"/>
              <w:jc w:val="center"/>
            </w:pPr>
            <w:r w:rsidRPr="00277F5D">
              <w:t>$</w:t>
            </w:r>
            <w:r w:rsidR="004F5CF8" w:rsidRPr="004F5CF8">
              <w:rPr>
                <w:sz w:val="2"/>
                <w:highlight w:val="black"/>
              </w:rPr>
              <w:t>redacted content</w:t>
            </w:r>
          </w:p>
        </w:tc>
        <w:tc>
          <w:tcPr>
            <w:tcW w:w="897" w:type="pct"/>
            <w:shd w:val="clear" w:color="auto" w:fill="FDE9D9" w:themeFill="accent6" w:themeFillTint="33"/>
            <w:noWrap/>
            <w:vAlign w:val="center"/>
          </w:tcPr>
          <w:p w14:paraId="249BEDB8" w14:textId="3B2E2D20" w:rsidR="00E554D1" w:rsidRPr="00CB5C5E" w:rsidRDefault="00277F5D" w:rsidP="00864654">
            <w:pPr>
              <w:pStyle w:val="TableText0"/>
              <w:jc w:val="center"/>
            </w:pPr>
            <w:r w:rsidRPr="00277F5D">
              <w:t>$</w:t>
            </w:r>
            <w:r w:rsidR="004F5CF8" w:rsidRPr="004F5CF8">
              <w:rPr>
                <w:sz w:val="2"/>
                <w:highlight w:val="black"/>
              </w:rPr>
              <w:t>redacted content</w:t>
            </w:r>
          </w:p>
        </w:tc>
        <w:tc>
          <w:tcPr>
            <w:tcW w:w="897" w:type="pct"/>
            <w:shd w:val="clear" w:color="auto" w:fill="FDE9D9" w:themeFill="accent6" w:themeFillTint="33"/>
            <w:noWrap/>
            <w:vAlign w:val="center"/>
          </w:tcPr>
          <w:p w14:paraId="0CFB713B" w14:textId="2E6F04B3" w:rsidR="00E554D1" w:rsidRDefault="00277F5D" w:rsidP="00864654">
            <w:pPr>
              <w:pStyle w:val="TableText0"/>
              <w:jc w:val="center"/>
            </w:pPr>
            <w:r w:rsidRPr="00277F5D">
              <w:t>$</w:t>
            </w:r>
            <w:r w:rsidR="004F5CF8" w:rsidRPr="004F5CF8">
              <w:rPr>
                <w:sz w:val="2"/>
                <w:highlight w:val="black"/>
              </w:rPr>
              <w:t>redacted content</w:t>
            </w:r>
          </w:p>
        </w:tc>
        <w:tc>
          <w:tcPr>
            <w:tcW w:w="897" w:type="pct"/>
            <w:shd w:val="clear" w:color="auto" w:fill="FDE9D9" w:themeFill="accent6" w:themeFillTint="33"/>
            <w:vAlign w:val="center"/>
          </w:tcPr>
          <w:p w14:paraId="25339F8E" w14:textId="41D9465B" w:rsidR="00E554D1" w:rsidRDefault="00277F5D" w:rsidP="00864654">
            <w:pPr>
              <w:pStyle w:val="TableText0"/>
              <w:jc w:val="center"/>
            </w:pPr>
            <w:r w:rsidRPr="00277F5D">
              <w:t>$</w:t>
            </w:r>
            <w:r w:rsidR="004F5CF8" w:rsidRPr="004F5CF8">
              <w:rPr>
                <w:sz w:val="2"/>
                <w:highlight w:val="black"/>
              </w:rPr>
              <w:t>redacted content</w:t>
            </w:r>
          </w:p>
        </w:tc>
      </w:tr>
    </w:tbl>
    <w:p w14:paraId="3712EB22" w14:textId="44B81278" w:rsidR="00F20B69" w:rsidRDefault="00F20B69" w:rsidP="00F20B69">
      <w:pPr>
        <w:pStyle w:val="TableFigureFooter"/>
      </w:pPr>
      <w:r>
        <w:t xml:space="preserve">Source: </w:t>
      </w:r>
      <w:r w:rsidR="002D5B66">
        <w:t xml:space="preserve">Extract </w:t>
      </w:r>
      <w:r w:rsidR="001E4178">
        <w:t>of Table</w:t>
      </w:r>
      <w:r w:rsidR="002D5B66">
        <w:t xml:space="preserve"> </w:t>
      </w:r>
      <w:r w:rsidR="004D2FB1">
        <w:t xml:space="preserve">2 (row titled: </w:t>
      </w:r>
      <w:r w:rsidR="004D2FB1" w:rsidRPr="004D2FB1">
        <w:t xml:space="preserve">Pfizer redistribution of annual expenditure </w:t>
      </w:r>
      <w:r w:rsidR="004D2FB1">
        <w:t xml:space="preserve">- </w:t>
      </w:r>
      <w:r w:rsidR="004D2FB1" w:rsidRPr="004D2FB1">
        <w:t>agreed RSA subsidisation caps</w:t>
      </w:r>
      <w:r w:rsidR="004D2FB1">
        <w:t>), page 16</w:t>
      </w:r>
      <w:r w:rsidR="00A82F84">
        <w:t xml:space="preserve"> of the submission</w:t>
      </w:r>
      <w:r w:rsidR="004D2FB1">
        <w:t xml:space="preserve"> and </w:t>
      </w:r>
      <w:r w:rsidR="00182AFF">
        <w:t>Table 9, page 23</w:t>
      </w:r>
      <w:r w:rsidR="00A82F84">
        <w:t xml:space="preserve"> of the submission</w:t>
      </w:r>
    </w:p>
    <w:p w14:paraId="27AC46C2" w14:textId="1657A413" w:rsidR="00F4568B" w:rsidRPr="00F4568B" w:rsidRDefault="00C7631F">
      <w:pPr>
        <w:pStyle w:val="3-BodyText"/>
      </w:pPr>
      <w:r>
        <w:t xml:space="preserve">The </w:t>
      </w:r>
      <w:r w:rsidR="00184376">
        <w:t>submission</w:t>
      </w:r>
      <w:r>
        <w:t xml:space="preserve"> has proposed a reduction to the effective </w:t>
      </w:r>
      <w:r w:rsidR="009D07B9">
        <w:t xml:space="preserve">(and published) </w:t>
      </w:r>
      <w:r w:rsidR="009F5B38">
        <w:t>ex-manufacturer prices</w:t>
      </w:r>
      <w:r>
        <w:t xml:space="preserve"> to apply from 1 May 2026. </w:t>
      </w:r>
      <w:r w:rsidR="009F5B38">
        <w:t>The proposed price ha</w:t>
      </w:r>
      <w:r w:rsidR="00290FD3">
        <w:t>s</w:t>
      </w:r>
      <w:r>
        <w:t xml:space="preserve"> been </w:t>
      </w:r>
      <w:r w:rsidR="00046CBE">
        <w:t>factored</w:t>
      </w:r>
      <w:r>
        <w:t xml:space="preserve"> in</w:t>
      </w:r>
      <w:r w:rsidR="00046CBE">
        <w:t>to</w:t>
      </w:r>
      <w:r>
        <w:t xml:space="preserve"> the RSA cap proposal </w:t>
      </w:r>
      <w:r w:rsidR="007A0F00">
        <w:t>outlined</w:t>
      </w:r>
      <w:r>
        <w:t xml:space="preserve"> in</w:t>
      </w:r>
      <w:r w:rsidR="00E74897">
        <w:t xml:space="preserve"> </w:t>
      </w:r>
      <w:r w:rsidR="00E74897">
        <w:fldChar w:fldCharType="begin"/>
      </w:r>
      <w:r w:rsidR="00E74897">
        <w:instrText xml:space="preserve"> REF _Ref219456912 \h </w:instrText>
      </w:r>
      <w:r w:rsidR="00E74897">
        <w:fldChar w:fldCharType="separate"/>
      </w:r>
      <w:r w:rsidR="0039377C">
        <w:t xml:space="preserve">Table </w:t>
      </w:r>
      <w:r w:rsidR="0039377C">
        <w:rPr>
          <w:noProof/>
        </w:rPr>
        <w:t>2</w:t>
      </w:r>
      <w:r w:rsidR="00E74897">
        <w:fldChar w:fldCharType="end"/>
      </w:r>
      <w:r>
        <w:t>.</w:t>
      </w:r>
      <w:r w:rsidR="009168CC">
        <w:rPr>
          <w:iCs/>
        </w:rPr>
        <w:t xml:space="preserve"> </w:t>
      </w:r>
    </w:p>
    <w:p w14:paraId="4BBE8A13" w14:textId="47F024F7" w:rsidR="00097E77" w:rsidRDefault="007A0F00">
      <w:pPr>
        <w:pStyle w:val="3-BodyText"/>
      </w:pPr>
      <w:r>
        <w:t xml:space="preserve">The </w:t>
      </w:r>
      <w:r w:rsidR="00F66535">
        <w:t>proposed RSA caps from Year 3 of the Deed reflect an increase of $</w:t>
      </w:r>
      <w:r w:rsidR="004F5CF8" w:rsidRPr="004F5CF8">
        <w:rPr>
          <w:sz w:val="2"/>
          <w:highlight w:val="black"/>
        </w:rPr>
        <w:t>redacted content</w:t>
      </w:r>
      <w:r w:rsidR="004F5CF8" w:rsidRPr="004F5CF8">
        <w:t xml:space="preserve"> </w:t>
      </w:r>
      <w:r w:rsidR="004F5CF8" w:rsidRPr="004F5CF8">
        <w:rPr>
          <w:sz w:val="2"/>
          <w:highlight w:val="black"/>
        </w:rPr>
        <w:t>redacted content</w:t>
      </w:r>
      <w:r w:rsidR="00F66535">
        <w:t xml:space="preserve"> </w:t>
      </w:r>
      <w:r w:rsidR="00D501E0">
        <w:t xml:space="preserve">over the 4-year period. At Year 6, the proposed RSA cap </w:t>
      </w:r>
      <w:r w:rsidR="0064151B">
        <w:t xml:space="preserve">is </w:t>
      </w:r>
      <w:r w:rsidR="00CA01E2">
        <w:t xml:space="preserve">approximately </w:t>
      </w:r>
      <w:r w:rsidR="004F5CF8" w:rsidRPr="004F5CF8">
        <w:rPr>
          <w:sz w:val="2"/>
          <w:highlight w:val="black"/>
        </w:rPr>
        <w:t>redacted content</w:t>
      </w:r>
      <w:r w:rsidR="00CA01E2">
        <w:t xml:space="preserve"> times</w:t>
      </w:r>
      <w:r w:rsidR="00D501E0">
        <w:t xml:space="preserve"> higher than </w:t>
      </w:r>
      <w:r w:rsidR="0064151B">
        <w:t>that</w:t>
      </w:r>
      <w:r w:rsidR="00D501E0">
        <w:t xml:space="preserve"> </w:t>
      </w:r>
      <w:r w:rsidR="009E1C55">
        <w:t>in the current Deed</w:t>
      </w:r>
      <w:r w:rsidR="00D501E0">
        <w:t xml:space="preserve">. </w:t>
      </w:r>
    </w:p>
    <w:p w14:paraId="0436B7D8" w14:textId="77777777" w:rsidR="00C27C1C" w:rsidRPr="00A6439B" w:rsidRDefault="00C27C1C" w:rsidP="0079250E">
      <w:pPr>
        <w:pStyle w:val="Heading1"/>
        <w:keepLines/>
        <w:numPr>
          <w:ilvl w:val="0"/>
          <w:numId w:val="2"/>
        </w:numPr>
        <w:spacing w:before="240"/>
        <w:ind w:left="709" w:hanging="709"/>
        <w:rPr>
          <w:sz w:val="32"/>
          <w:szCs w:val="32"/>
        </w:rPr>
      </w:pPr>
      <w:r w:rsidRPr="00A6439B">
        <w:rPr>
          <w:sz w:val="32"/>
          <w:szCs w:val="32"/>
        </w:rPr>
        <w:t>Consideration of the evidence</w:t>
      </w:r>
    </w:p>
    <w:p w14:paraId="3F679FE9" w14:textId="355F33B2" w:rsidR="00C27C1C" w:rsidRDefault="00C62749" w:rsidP="00C27C1C">
      <w:pPr>
        <w:pStyle w:val="4-SubsectionHeading"/>
        <w:keepNext w:val="0"/>
        <w:rPr>
          <w:lang w:eastAsia="en-US"/>
        </w:rPr>
      </w:pPr>
      <w:r>
        <w:rPr>
          <w:lang w:eastAsia="en-US"/>
        </w:rPr>
        <w:t>Pricing considerations</w:t>
      </w:r>
    </w:p>
    <w:p w14:paraId="3D710E57" w14:textId="05287FF9" w:rsidR="002010F8" w:rsidRDefault="006972CC" w:rsidP="002010F8">
      <w:pPr>
        <w:pStyle w:val="3-BodyText"/>
      </w:pPr>
      <w:r w:rsidRPr="00A6439B">
        <w:t>The</w:t>
      </w:r>
      <w:r w:rsidR="00157EA9">
        <w:t xml:space="preserve"> </w:t>
      </w:r>
      <w:r w:rsidR="00273DE9">
        <w:t xml:space="preserve">submission </w:t>
      </w:r>
      <w:r w:rsidR="00157EA9">
        <w:t xml:space="preserve">proposed </w:t>
      </w:r>
      <w:r w:rsidR="002010F8">
        <w:t>a lower effective</w:t>
      </w:r>
      <w:r w:rsidR="002F318C">
        <w:t xml:space="preserve"> </w:t>
      </w:r>
      <w:r w:rsidR="009F5B38">
        <w:t>ex-manufacturer price</w:t>
      </w:r>
      <w:r w:rsidR="000327FA">
        <w:t xml:space="preserve"> of $</w:t>
      </w:r>
      <w:r w:rsidR="004F5CF8" w:rsidRPr="004F5CF8">
        <w:rPr>
          <w:sz w:val="2"/>
          <w:highlight w:val="black"/>
        </w:rPr>
        <w:t>redacted content</w:t>
      </w:r>
      <w:r w:rsidR="00350A72">
        <w:t xml:space="preserve"> </w:t>
      </w:r>
      <w:r w:rsidR="00273DE9">
        <w:t>to</w:t>
      </w:r>
      <w:r w:rsidR="00350A72">
        <w:t xml:space="preserve"> apply from</w:t>
      </w:r>
      <w:r w:rsidR="002010F8">
        <w:t xml:space="preserve"> 1 May 2026. </w:t>
      </w:r>
    </w:p>
    <w:p w14:paraId="65348676" w14:textId="744D12AE" w:rsidR="008B7743" w:rsidRDefault="00C410C6" w:rsidP="002010F8">
      <w:pPr>
        <w:pStyle w:val="3-BodyText"/>
      </w:pPr>
      <w:r>
        <w:lastRenderedPageBreak/>
        <w:t>Based on the sponsor’s pricing proposal considered in September 2023</w:t>
      </w:r>
      <w:r w:rsidR="00515748">
        <w:t xml:space="preserve">, the effective </w:t>
      </w:r>
      <w:r w:rsidR="00350A72">
        <w:t>ex-manufacturer price</w:t>
      </w:r>
      <w:r w:rsidR="00515748">
        <w:t xml:space="preserve"> of tafamidis </w:t>
      </w:r>
      <w:r>
        <w:t xml:space="preserve">is to </w:t>
      </w:r>
      <w:r w:rsidR="00515748">
        <w:t xml:space="preserve">be reduced </w:t>
      </w:r>
      <w:r w:rsidR="00424CE9">
        <w:t>to</w:t>
      </w:r>
      <w:r w:rsidR="00515748">
        <w:t xml:space="preserve"> $</w:t>
      </w:r>
      <w:r w:rsidR="004F5CF8" w:rsidRPr="004F5CF8">
        <w:rPr>
          <w:sz w:val="2"/>
          <w:highlight w:val="black"/>
        </w:rPr>
        <w:t>redacted content</w:t>
      </w:r>
      <w:r w:rsidR="00515748">
        <w:t xml:space="preserve"> </w:t>
      </w:r>
      <w:r w:rsidR="005A762B">
        <w:t xml:space="preserve">from </w:t>
      </w:r>
      <w:r w:rsidR="00515748">
        <w:t>1 May 2026. The sponsor’s proposal of $</w:t>
      </w:r>
      <w:r w:rsidR="004F5CF8" w:rsidRPr="004F5CF8">
        <w:rPr>
          <w:sz w:val="2"/>
          <w:highlight w:val="black"/>
        </w:rPr>
        <w:t>redacted content</w:t>
      </w:r>
      <w:r w:rsidR="008B7743">
        <w:t xml:space="preserve"> represents a further </w:t>
      </w:r>
      <w:r w:rsidR="004F5CF8" w:rsidRPr="004F5CF8">
        <w:rPr>
          <w:sz w:val="2"/>
          <w:highlight w:val="black"/>
        </w:rPr>
        <w:t>redacted content</w:t>
      </w:r>
      <w:r w:rsidR="008B7743">
        <w:t xml:space="preserve">% reduction on the effective </w:t>
      </w:r>
      <w:r w:rsidR="00350A72">
        <w:t>ex-manufacturer price</w:t>
      </w:r>
      <w:r w:rsidR="005A762B">
        <w:t xml:space="preserve"> for tafamidis</w:t>
      </w:r>
      <w:r w:rsidR="008B7743">
        <w:t xml:space="preserve">. </w:t>
      </w:r>
    </w:p>
    <w:p w14:paraId="1E377798" w14:textId="299E5E72" w:rsidR="004B3EEE" w:rsidRDefault="00E74897" w:rsidP="004B3EEE">
      <w:pPr>
        <w:pStyle w:val="3-BodyText"/>
      </w:pPr>
      <w:r>
        <w:fldChar w:fldCharType="begin"/>
      </w:r>
      <w:r>
        <w:instrText xml:space="preserve"> REF _Ref219456972 \h </w:instrText>
      </w:r>
      <w:r>
        <w:fldChar w:fldCharType="separate"/>
      </w:r>
      <w:r w:rsidR="00547AC5">
        <w:t xml:space="preserve">Table </w:t>
      </w:r>
      <w:r w:rsidR="00547AC5">
        <w:rPr>
          <w:noProof/>
        </w:rPr>
        <w:t>3</w:t>
      </w:r>
      <w:r>
        <w:fldChar w:fldCharType="end"/>
      </w:r>
      <w:r>
        <w:t xml:space="preserve"> </w:t>
      </w:r>
      <w:r w:rsidR="00A01793">
        <w:t xml:space="preserve">shows the difference between the </w:t>
      </w:r>
      <w:r w:rsidR="00C12D37">
        <w:t xml:space="preserve">estimated </w:t>
      </w:r>
      <w:r w:rsidR="00A01793">
        <w:t xml:space="preserve">Commonwealth expenditure </w:t>
      </w:r>
      <w:r w:rsidR="00C12D37">
        <w:t xml:space="preserve">at </w:t>
      </w:r>
      <w:r w:rsidR="00A01793">
        <w:t xml:space="preserve">the </w:t>
      </w:r>
      <w:r w:rsidR="00535CA0">
        <w:t xml:space="preserve">current </w:t>
      </w:r>
      <w:r w:rsidR="00A01793">
        <w:t xml:space="preserve">effective </w:t>
      </w:r>
      <w:r w:rsidR="00535CA0">
        <w:t xml:space="preserve">ex-manufacturer price </w:t>
      </w:r>
      <w:r w:rsidR="00A01793">
        <w:t xml:space="preserve">and proposed </w:t>
      </w:r>
      <w:r w:rsidR="00FF3EAB">
        <w:t xml:space="preserve">effective </w:t>
      </w:r>
      <w:r w:rsidR="00350A72">
        <w:t>ex-manufacturer price</w:t>
      </w:r>
      <w:r w:rsidR="00181AC1">
        <w:t xml:space="preserve"> based on the submission’s revised estimates</w:t>
      </w:r>
      <w:r w:rsidR="00350A72">
        <w:t xml:space="preserve">. </w:t>
      </w:r>
    </w:p>
    <w:p w14:paraId="191626A2" w14:textId="2EF37886" w:rsidR="004471C6" w:rsidRDefault="00E74897" w:rsidP="00E74897">
      <w:pPr>
        <w:pStyle w:val="Caption"/>
      </w:pPr>
      <w:bookmarkStart w:id="2" w:name="_Ref219456972"/>
      <w:bookmarkStart w:id="3" w:name="_Hlk219391993"/>
      <w:r>
        <w:t xml:space="preserve">Table </w:t>
      </w:r>
      <w:r>
        <w:fldChar w:fldCharType="begin"/>
      </w:r>
      <w:r>
        <w:instrText>SEQ Table \* ARABIC</w:instrText>
      </w:r>
      <w:r>
        <w:fldChar w:fldCharType="separate"/>
      </w:r>
      <w:r w:rsidR="003C1818">
        <w:rPr>
          <w:noProof/>
        </w:rPr>
        <w:t>3</w:t>
      </w:r>
      <w:r>
        <w:fldChar w:fldCharType="end"/>
      </w:r>
      <w:bookmarkEnd w:id="2"/>
      <w:r w:rsidR="004471C6">
        <w:t xml:space="preserve">: </w:t>
      </w:r>
      <w:r w:rsidR="00637E52">
        <w:t>Commonwealth payment with 1 May 2026 effective</w:t>
      </w:r>
      <w:r w:rsidR="00350A72">
        <w:t xml:space="preserve"> price</w:t>
      </w:r>
      <w:r w:rsidR="00637E52">
        <w:t xml:space="preserve"> vs proposed </w:t>
      </w:r>
      <w:r w:rsidR="00350A72">
        <w:t>effective price</w:t>
      </w:r>
    </w:p>
    <w:tbl>
      <w:tblPr>
        <w:tblW w:w="50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3: Commonwealth payment with 1 May 2026 effective price vs proposed effective price"/>
      </w:tblPr>
      <w:tblGrid>
        <w:gridCol w:w="2252"/>
        <w:gridCol w:w="1371"/>
        <w:gridCol w:w="1371"/>
        <w:gridCol w:w="1371"/>
        <w:gridCol w:w="1371"/>
        <w:gridCol w:w="1365"/>
      </w:tblGrid>
      <w:tr w:rsidR="00AA004C" w14:paraId="251A7D94" w14:textId="09F86744" w:rsidTr="00864654">
        <w:trPr>
          <w:trHeight w:val="340"/>
        </w:trPr>
        <w:tc>
          <w:tcPr>
            <w:tcW w:w="1237" w:type="pct"/>
          </w:tcPr>
          <w:p w14:paraId="4B862787" w14:textId="77777777" w:rsidR="00AA004C" w:rsidRPr="006E344A" w:rsidRDefault="00AA004C" w:rsidP="00864654">
            <w:pPr>
              <w:pStyle w:val="TableText0"/>
            </w:pPr>
          </w:p>
        </w:tc>
        <w:tc>
          <w:tcPr>
            <w:tcW w:w="753" w:type="pct"/>
            <w:noWrap/>
            <w:vAlign w:val="center"/>
            <w:hideMark/>
          </w:tcPr>
          <w:p w14:paraId="74A74E31" w14:textId="77777777" w:rsidR="00AA004C" w:rsidRPr="006E344A" w:rsidRDefault="00AA004C" w:rsidP="00864654">
            <w:pPr>
              <w:pStyle w:val="TableText0"/>
              <w:rPr>
                <w:b/>
                <w:bCs w:val="0"/>
              </w:rPr>
            </w:pPr>
            <w:r w:rsidRPr="006E344A">
              <w:rPr>
                <w:b/>
                <w:bCs w:val="0"/>
              </w:rPr>
              <w:t>Y3 (May 2026- Apr 2027)</w:t>
            </w:r>
          </w:p>
        </w:tc>
        <w:tc>
          <w:tcPr>
            <w:tcW w:w="753" w:type="pct"/>
            <w:noWrap/>
            <w:vAlign w:val="center"/>
            <w:hideMark/>
          </w:tcPr>
          <w:p w14:paraId="516F9A12" w14:textId="77777777" w:rsidR="00AA004C" w:rsidRPr="006E344A" w:rsidRDefault="00AA004C" w:rsidP="00864654">
            <w:pPr>
              <w:pStyle w:val="TableText0"/>
              <w:rPr>
                <w:b/>
                <w:bCs w:val="0"/>
              </w:rPr>
            </w:pPr>
            <w:r w:rsidRPr="006E344A">
              <w:rPr>
                <w:b/>
                <w:bCs w:val="0"/>
              </w:rPr>
              <w:t>Y4 (May 2027-Apr 2028)</w:t>
            </w:r>
          </w:p>
        </w:tc>
        <w:tc>
          <w:tcPr>
            <w:tcW w:w="753" w:type="pct"/>
            <w:noWrap/>
            <w:vAlign w:val="center"/>
            <w:hideMark/>
          </w:tcPr>
          <w:p w14:paraId="41769083" w14:textId="77777777" w:rsidR="00AA004C" w:rsidRPr="006E344A" w:rsidRDefault="00AA004C" w:rsidP="00864654">
            <w:pPr>
              <w:pStyle w:val="TableText0"/>
              <w:rPr>
                <w:b/>
                <w:bCs w:val="0"/>
              </w:rPr>
            </w:pPr>
            <w:r w:rsidRPr="006E344A">
              <w:rPr>
                <w:b/>
                <w:bCs w:val="0"/>
              </w:rPr>
              <w:t>Y5 (May 2028-Apr 2029)</w:t>
            </w:r>
          </w:p>
        </w:tc>
        <w:tc>
          <w:tcPr>
            <w:tcW w:w="753" w:type="pct"/>
            <w:vAlign w:val="center"/>
          </w:tcPr>
          <w:p w14:paraId="7C92C19C" w14:textId="77777777" w:rsidR="00AA004C" w:rsidRPr="006E344A" w:rsidRDefault="00AA004C" w:rsidP="00864654">
            <w:pPr>
              <w:pStyle w:val="TableText0"/>
              <w:rPr>
                <w:b/>
                <w:bCs w:val="0"/>
              </w:rPr>
            </w:pPr>
            <w:r w:rsidRPr="006E344A">
              <w:rPr>
                <w:b/>
                <w:bCs w:val="0"/>
              </w:rPr>
              <w:t>Y6 (May 2029-Apr 2030)</w:t>
            </w:r>
          </w:p>
        </w:tc>
        <w:tc>
          <w:tcPr>
            <w:tcW w:w="750" w:type="pct"/>
          </w:tcPr>
          <w:p w14:paraId="199E5926" w14:textId="564C4DCC" w:rsidR="00AA004C" w:rsidRPr="006E344A" w:rsidRDefault="006E344A" w:rsidP="00864654">
            <w:pPr>
              <w:pStyle w:val="TableText0"/>
              <w:rPr>
                <w:b/>
                <w:bCs w:val="0"/>
              </w:rPr>
            </w:pPr>
            <w:r w:rsidRPr="006E344A">
              <w:rPr>
                <w:b/>
                <w:bCs w:val="0"/>
              </w:rPr>
              <w:t>Total over 4 years</w:t>
            </w:r>
          </w:p>
        </w:tc>
      </w:tr>
      <w:tr w:rsidR="00AA004C" w:rsidRPr="00CB5C5E" w14:paraId="0F8EF848" w14:textId="25B0629E" w:rsidTr="00864654">
        <w:trPr>
          <w:trHeight w:val="340"/>
        </w:trPr>
        <w:tc>
          <w:tcPr>
            <w:tcW w:w="1237" w:type="pct"/>
          </w:tcPr>
          <w:p w14:paraId="30CAAD65" w14:textId="4C9084E6" w:rsidR="00AA004C" w:rsidRPr="006E344A" w:rsidRDefault="006E344A" w:rsidP="00864654">
            <w:pPr>
              <w:pStyle w:val="TableText0"/>
              <w:rPr>
                <w:b/>
                <w:bCs w:val="0"/>
              </w:rPr>
            </w:pPr>
            <w:r w:rsidRPr="006E344A">
              <w:rPr>
                <w:b/>
                <w:bCs w:val="0"/>
              </w:rPr>
              <w:t xml:space="preserve">Commonwealth Payment with </w:t>
            </w:r>
            <w:r w:rsidR="002B0CA8">
              <w:rPr>
                <w:b/>
                <w:bCs w:val="0"/>
              </w:rPr>
              <w:t xml:space="preserve">effective </w:t>
            </w:r>
            <w:r w:rsidR="00535CA0">
              <w:rPr>
                <w:b/>
                <w:bCs w:val="0"/>
              </w:rPr>
              <w:t xml:space="preserve">price </w:t>
            </w:r>
            <w:r w:rsidRPr="006E344A">
              <w:rPr>
                <w:b/>
                <w:bCs w:val="0"/>
              </w:rPr>
              <w:t xml:space="preserve">which </w:t>
            </w:r>
            <w:r w:rsidR="002B0CA8">
              <w:rPr>
                <w:b/>
                <w:bCs w:val="0"/>
              </w:rPr>
              <w:t xml:space="preserve">will be </w:t>
            </w:r>
            <w:r w:rsidRPr="006E344A">
              <w:rPr>
                <w:b/>
                <w:bCs w:val="0"/>
              </w:rPr>
              <w:t>applied from 1 May 2026</w:t>
            </w:r>
          </w:p>
        </w:tc>
        <w:tc>
          <w:tcPr>
            <w:tcW w:w="753" w:type="pct"/>
            <w:noWrap/>
            <w:vAlign w:val="center"/>
          </w:tcPr>
          <w:p w14:paraId="6A6AC3C5" w14:textId="6924864E" w:rsidR="00AA004C" w:rsidRPr="006E344A" w:rsidRDefault="00AA004C" w:rsidP="00864654">
            <w:pPr>
              <w:pStyle w:val="TableText0"/>
              <w:jc w:val="center"/>
            </w:pPr>
            <w:r w:rsidRPr="006E344A">
              <w:t>$</w:t>
            </w:r>
            <w:r w:rsidR="004F5CF8" w:rsidRPr="004F5CF8">
              <w:rPr>
                <w:sz w:val="2"/>
                <w:highlight w:val="black"/>
              </w:rPr>
              <w:t>redacted content</w:t>
            </w:r>
          </w:p>
        </w:tc>
        <w:tc>
          <w:tcPr>
            <w:tcW w:w="753" w:type="pct"/>
            <w:noWrap/>
            <w:vAlign w:val="center"/>
          </w:tcPr>
          <w:p w14:paraId="1CE552BB" w14:textId="1A0B9A5F" w:rsidR="00AA004C" w:rsidRPr="006E344A" w:rsidRDefault="00AA004C" w:rsidP="00864654">
            <w:pPr>
              <w:pStyle w:val="TableText0"/>
              <w:jc w:val="center"/>
            </w:pPr>
            <w:r w:rsidRPr="006E344A">
              <w:t>$</w:t>
            </w:r>
            <w:r w:rsidR="004F5CF8" w:rsidRPr="004F5CF8">
              <w:rPr>
                <w:sz w:val="2"/>
                <w:highlight w:val="black"/>
              </w:rPr>
              <w:t>redacted content</w:t>
            </w:r>
          </w:p>
        </w:tc>
        <w:tc>
          <w:tcPr>
            <w:tcW w:w="753" w:type="pct"/>
            <w:noWrap/>
            <w:vAlign w:val="center"/>
          </w:tcPr>
          <w:p w14:paraId="24A39492" w14:textId="5DA8140E" w:rsidR="00AA004C" w:rsidRPr="006E344A" w:rsidRDefault="00AA004C" w:rsidP="00864654">
            <w:pPr>
              <w:pStyle w:val="TableText0"/>
              <w:jc w:val="center"/>
            </w:pPr>
            <w:r w:rsidRPr="006E344A">
              <w:t>$</w:t>
            </w:r>
            <w:r w:rsidR="004F5CF8" w:rsidRPr="004F5CF8">
              <w:rPr>
                <w:sz w:val="2"/>
                <w:highlight w:val="black"/>
              </w:rPr>
              <w:t>redacted content</w:t>
            </w:r>
          </w:p>
        </w:tc>
        <w:tc>
          <w:tcPr>
            <w:tcW w:w="753" w:type="pct"/>
            <w:vAlign w:val="center"/>
          </w:tcPr>
          <w:p w14:paraId="32876734" w14:textId="349644A4" w:rsidR="00AA004C" w:rsidRPr="006E344A" w:rsidRDefault="00AA004C" w:rsidP="00864654">
            <w:pPr>
              <w:pStyle w:val="TableText0"/>
              <w:jc w:val="center"/>
            </w:pPr>
            <w:r w:rsidRPr="006E344A">
              <w:t>$</w:t>
            </w:r>
            <w:r w:rsidR="004F5CF8" w:rsidRPr="004F5CF8">
              <w:rPr>
                <w:sz w:val="2"/>
                <w:highlight w:val="black"/>
              </w:rPr>
              <w:t>redacted content</w:t>
            </w:r>
          </w:p>
        </w:tc>
        <w:tc>
          <w:tcPr>
            <w:tcW w:w="750" w:type="pct"/>
            <w:vAlign w:val="center"/>
          </w:tcPr>
          <w:p w14:paraId="7AC41911" w14:textId="78BD1DF3" w:rsidR="00AA004C" w:rsidRPr="006E344A" w:rsidRDefault="004471C6" w:rsidP="00864654">
            <w:pPr>
              <w:pStyle w:val="TableText0"/>
              <w:jc w:val="center"/>
            </w:pPr>
            <w:r w:rsidRPr="004471C6">
              <w:t>$</w:t>
            </w:r>
            <w:r w:rsidR="004F5CF8" w:rsidRPr="004F5CF8">
              <w:rPr>
                <w:sz w:val="2"/>
                <w:highlight w:val="black"/>
              </w:rPr>
              <w:t>redacted content</w:t>
            </w:r>
          </w:p>
        </w:tc>
      </w:tr>
      <w:bookmarkEnd w:id="3"/>
      <w:tr w:rsidR="00AA004C" w14:paraId="215B912A" w14:textId="4FC5438F" w:rsidTr="00864654">
        <w:trPr>
          <w:trHeight w:val="340"/>
        </w:trPr>
        <w:tc>
          <w:tcPr>
            <w:tcW w:w="1237" w:type="pct"/>
          </w:tcPr>
          <w:p w14:paraId="7AD79315" w14:textId="2E8B0846" w:rsidR="00AA004C" w:rsidRPr="006E344A" w:rsidRDefault="006E344A" w:rsidP="00864654">
            <w:pPr>
              <w:pStyle w:val="TableText0"/>
              <w:rPr>
                <w:b/>
                <w:bCs w:val="0"/>
              </w:rPr>
            </w:pPr>
            <w:r w:rsidRPr="006E344A">
              <w:rPr>
                <w:b/>
                <w:bCs w:val="0"/>
              </w:rPr>
              <w:t xml:space="preserve">Commonwealth Payment with revised effective </w:t>
            </w:r>
            <w:r w:rsidR="00535CA0">
              <w:rPr>
                <w:b/>
                <w:bCs w:val="0"/>
              </w:rPr>
              <w:t>price</w:t>
            </w:r>
          </w:p>
        </w:tc>
        <w:tc>
          <w:tcPr>
            <w:tcW w:w="753" w:type="pct"/>
            <w:noWrap/>
            <w:vAlign w:val="center"/>
          </w:tcPr>
          <w:p w14:paraId="3B327DEC" w14:textId="2AE05197" w:rsidR="00AA004C" w:rsidRPr="006E344A" w:rsidRDefault="00AA004C" w:rsidP="00864654">
            <w:pPr>
              <w:pStyle w:val="TableText0"/>
              <w:jc w:val="center"/>
            </w:pPr>
            <w:r w:rsidRPr="006E344A">
              <w:t>$</w:t>
            </w:r>
            <w:r w:rsidR="004F5CF8" w:rsidRPr="004F5CF8">
              <w:rPr>
                <w:sz w:val="2"/>
                <w:highlight w:val="black"/>
              </w:rPr>
              <w:t>redacted content</w:t>
            </w:r>
          </w:p>
        </w:tc>
        <w:tc>
          <w:tcPr>
            <w:tcW w:w="753" w:type="pct"/>
            <w:noWrap/>
            <w:vAlign w:val="center"/>
          </w:tcPr>
          <w:p w14:paraId="1B1592CA" w14:textId="6B9E3CAD" w:rsidR="00AA004C" w:rsidRPr="006E344A" w:rsidRDefault="00AA004C" w:rsidP="00864654">
            <w:pPr>
              <w:pStyle w:val="TableText0"/>
              <w:jc w:val="center"/>
            </w:pPr>
            <w:r w:rsidRPr="006E344A">
              <w:t>$</w:t>
            </w:r>
            <w:r w:rsidR="004F5CF8" w:rsidRPr="004F5CF8">
              <w:rPr>
                <w:sz w:val="2"/>
                <w:highlight w:val="black"/>
              </w:rPr>
              <w:t>redacted content</w:t>
            </w:r>
          </w:p>
        </w:tc>
        <w:tc>
          <w:tcPr>
            <w:tcW w:w="753" w:type="pct"/>
            <w:noWrap/>
            <w:vAlign w:val="center"/>
          </w:tcPr>
          <w:p w14:paraId="25AD10DF" w14:textId="52D35186" w:rsidR="00AA004C" w:rsidRPr="006E344A" w:rsidRDefault="00AA004C" w:rsidP="00864654">
            <w:pPr>
              <w:pStyle w:val="TableText0"/>
              <w:jc w:val="center"/>
            </w:pPr>
            <w:r w:rsidRPr="006E344A">
              <w:t>$</w:t>
            </w:r>
            <w:r w:rsidR="004F5CF8" w:rsidRPr="004F5CF8">
              <w:rPr>
                <w:sz w:val="2"/>
                <w:highlight w:val="black"/>
              </w:rPr>
              <w:t>redacted content</w:t>
            </w:r>
          </w:p>
        </w:tc>
        <w:tc>
          <w:tcPr>
            <w:tcW w:w="753" w:type="pct"/>
            <w:vAlign w:val="center"/>
          </w:tcPr>
          <w:p w14:paraId="7B6D0B68" w14:textId="54002507" w:rsidR="00AA004C" w:rsidRPr="006E344A" w:rsidRDefault="00AA004C" w:rsidP="00864654">
            <w:pPr>
              <w:pStyle w:val="TableText0"/>
              <w:jc w:val="center"/>
            </w:pPr>
            <w:r w:rsidRPr="006E344A">
              <w:t>$</w:t>
            </w:r>
            <w:r w:rsidR="004F5CF8" w:rsidRPr="004F5CF8">
              <w:rPr>
                <w:sz w:val="2"/>
                <w:highlight w:val="black"/>
              </w:rPr>
              <w:t>redacted content</w:t>
            </w:r>
          </w:p>
        </w:tc>
        <w:tc>
          <w:tcPr>
            <w:tcW w:w="750" w:type="pct"/>
            <w:vAlign w:val="center"/>
          </w:tcPr>
          <w:p w14:paraId="5DBDB32B" w14:textId="2DD90CD0" w:rsidR="00AA004C" w:rsidRPr="006E344A" w:rsidRDefault="004471C6" w:rsidP="00864654">
            <w:pPr>
              <w:pStyle w:val="TableText0"/>
              <w:jc w:val="center"/>
            </w:pPr>
            <w:r w:rsidRPr="004471C6">
              <w:t>$</w:t>
            </w:r>
            <w:r w:rsidR="004F5CF8" w:rsidRPr="004F5CF8">
              <w:rPr>
                <w:sz w:val="2"/>
                <w:highlight w:val="black"/>
              </w:rPr>
              <w:t>redacted content</w:t>
            </w:r>
          </w:p>
        </w:tc>
      </w:tr>
      <w:tr w:rsidR="00AA004C" w14:paraId="3AB0D568" w14:textId="28825CB3" w:rsidTr="00864654">
        <w:trPr>
          <w:trHeight w:val="340"/>
        </w:trPr>
        <w:tc>
          <w:tcPr>
            <w:tcW w:w="1237" w:type="pct"/>
          </w:tcPr>
          <w:p w14:paraId="4A8D82A3" w14:textId="4DD01179" w:rsidR="00AA004C" w:rsidRPr="006E344A" w:rsidRDefault="00AA004C" w:rsidP="00864654">
            <w:pPr>
              <w:pStyle w:val="TableText0"/>
              <w:rPr>
                <w:b/>
                <w:bCs w:val="0"/>
              </w:rPr>
            </w:pPr>
            <w:r w:rsidRPr="006E344A">
              <w:rPr>
                <w:b/>
                <w:bCs w:val="0"/>
              </w:rPr>
              <w:t>Difference</w:t>
            </w:r>
          </w:p>
        </w:tc>
        <w:tc>
          <w:tcPr>
            <w:tcW w:w="753" w:type="pct"/>
            <w:noWrap/>
            <w:vAlign w:val="center"/>
          </w:tcPr>
          <w:p w14:paraId="31D980D5" w14:textId="319D7AEE" w:rsidR="00AA004C" w:rsidRPr="006E344A" w:rsidRDefault="00AA004C" w:rsidP="00864654">
            <w:pPr>
              <w:pStyle w:val="TableText0"/>
              <w:jc w:val="center"/>
            </w:pPr>
            <w:r w:rsidRPr="006E344A">
              <w:t>$</w:t>
            </w:r>
            <w:r w:rsidR="004F5CF8" w:rsidRPr="004F5CF8">
              <w:rPr>
                <w:sz w:val="2"/>
                <w:highlight w:val="black"/>
              </w:rPr>
              <w:t>redacted content</w:t>
            </w:r>
          </w:p>
        </w:tc>
        <w:tc>
          <w:tcPr>
            <w:tcW w:w="753" w:type="pct"/>
            <w:noWrap/>
            <w:vAlign w:val="center"/>
          </w:tcPr>
          <w:p w14:paraId="00302826" w14:textId="6CB69D43" w:rsidR="00AA004C" w:rsidRPr="006E344A" w:rsidRDefault="00AA004C" w:rsidP="00864654">
            <w:pPr>
              <w:pStyle w:val="TableText0"/>
              <w:jc w:val="center"/>
            </w:pPr>
            <w:r w:rsidRPr="006E344A">
              <w:t>$</w:t>
            </w:r>
            <w:r w:rsidR="004F5CF8" w:rsidRPr="004F5CF8">
              <w:rPr>
                <w:sz w:val="2"/>
                <w:highlight w:val="black"/>
              </w:rPr>
              <w:t>redacted content</w:t>
            </w:r>
          </w:p>
        </w:tc>
        <w:tc>
          <w:tcPr>
            <w:tcW w:w="753" w:type="pct"/>
            <w:noWrap/>
            <w:vAlign w:val="center"/>
          </w:tcPr>
          <w:p w14:paraId="5280F931" w14:textId="2E40D90B" w:rsidR="00AA004C" w:rsidRPr="006E344A" w:rsidRDefault="00AA004C" w:rsidP="00864654">
            <w:pPr>
              <w:pStyle w:val="TableText0"/>
              <w:jc w:val="center"/>
            </w:pPr>
            <w:r w:rsidRPr="006E344A">
              <w:t>$</w:t>
            </w:r>
            <w:r w:rsidR="004F5CF8" w:rsidRPr="004F5CF8">
              <w:rPr>
                <w:sz w:val="2"/>
                <w:highlight w:val="black"/>
              </w:rPr>
              <w:t>redacted content</w:t>
            </w:r>
          </w:p>
        </w:tc>
        <w:tc>
          <w:tcPr>
            <w:tcW w:w="753" w:type="pct"/>
            <w:vAlign w:val="center"/>
          </w:tcPr>
          <w:p w14:paraId="38E4C044" w14:textId="2AB8B1F7" w:rsidR="00AA004C" w:rsidRPr="006E344A" w:rsidRDefault="00AA004C" w:rsidP="00864654">
            <w:pPr>
              <w:pStyle w:val="TableText0"/>
              <w:jc w:val="center"/>
            </w:pPr>
            <w:r w:rsidRPr="006E344A">
              <w:t>$</w:t>
            </w:r>
            <w:r w:rsidR="004F5CF8" w:rsidRPr="004F5CF8">
              <w:rPr>
                <w:sz w:val="2"/>
                <w:highlight w:val="black"/>
              </w:rPr>
              <w:t>redacted content</w:t>
            </w:r>
          </w:p>
        </w:tc>
        <w:tc>
          <w:tcPr>
            <w:tcW w:w="750" w:type="pct"/>
            <w:vAlign w:val="center"/>
          </w:tcPr>
          <w:p w14:paraId="2C2B0BFB" w14:textId="53E40112" w:rsidR="00AA004C" w:rsidRPr="006E344A" w:rsidRDefault="00AA004C" w:rsidP="00864654">
            <w:pPr>
              <w:pStyle w:val="TableText0"/>
              <w:jc w:val="center"/>
            </w:pPr>
            <w:r w:rsidRPr="006E344A">
              <w:t>$</w:t>
            </w:r>
            <w:r w:rsidR="004F5CF8" w:rsidRPr="004F5CF8">
              <w:rPr>
                <w:sz w:val="2"/>
                <w:highlight w:val="black"/>
              </w:rPr>
              <w:t>redacted content</w:t>
            </w:r>
          </w:p>
        </w:tc>
      </w:tr>
    </w:tbl>
    <w:p w14:paraId="3522F5CD" w14:textId="11CE9F99" w:rsidR="0096155A" w:rsidRDefault="0096155A" w:rsidP="0096155A">
      <w:pPr>
        <w:pStyle w:val="TableFigureFooter"/>
        <w:rPr>
          <w:lang w:eastAsia="en-US"/>
        </w:rPr>
      </w:pPr>
      <w:r>
        <w:rPr>
          <w:lang w:eastAsia="en-US"/>
        </w:rPr>
        <w:t xml:space="preserve">Source: </w:t>
      </w:r>
      <w:r w:rsidR="00A86258">
        <w:rPr>
          <w:lang w:eastAsia="en-US"/>
        </w:rPr>
        <w:t>Submission Table 13, page 24</w:t>
      </w:r>
    </w:p>
    <w:p w14:paraId="27123556" w14:textId="7DCDB711" w:rsidR="00E654B3" w:rsidRDefault="00B40B42" w:rsidP="00E654B3">
      <w:pPr>
        <w:pStyle w:val="3-BodyText"/>
        <w:rPr>
          <w:lang w:eastAsia="en-US"/>
        </w:rPr>
      </w:pPr>
      <w:r>
        <w:rPr>
          <w:lang w:eastAsia="en-US"/>
        </w:rPr>
        <w:t>After</w:t>
      </w:r>
      <w:r w:rsidR="007D3DFA" w:rsidRPr="007D3DFA">
        <w:rPr>
          <w:lang w:eastAsia="en-US"/>
        </w:rPr>
        <w:t xml:space="preserve"> factoring in the</w:t>
      </w:r>
      <w:r w:rsidR="00E654B3" w:rsidRPr="007D3DFA">
        <w:rPr>
          <w:lang w:eastAsia="en-US"/>
        </w:rPr>
        <w:t xml:space="preserve"> </w:t>
      </w:r>
      <w:r>
        <w:rPr>
          <w:lang w:eastAsia="en-US"/>
        </w:rPr>
        <w:t xml:space="preserve">proposed </w:t>
      </w:r>
      <w:r w:rsidR="00E654B3" w:rsidRPr="007D3DFA">
        <w:rPr>
          <w:lang w:eastAsia="en-US"/>
        </w:rPr>
        <w:t>price reduction</w:t>
      </w:r>
      <w:r w:rsidR="007D3DFA" w:rsidRPr="007D3DFA">
        <w:rPr>
          <w:lang w:eastAsia="en-US"/>
        </w:rPr>
        <w:t>,</w:t>
      </w:r>
      <w:r w:rsidR="00E654B3" w:rsidRPr="007D3DFA">
        <w:rPr>
          <w:lang w:eastAsia="en-US"/>
        </w:rPr>
        <w:t xml:space="preserve"> the increase to the RSA caps </w:t>
      </w:r>
      <w:r w:rsidR="007D3DFA" w:rsidRPr="007D3DFA">
        <w:rPr>
          <w:lang w:eastAsia="en-US"/>
        </w:rPr>
        <w:t>is still expected</w:t>
      </w:r>
      <w:r w:rsidR="00E654B3" w:rsidRPr="007D3DFA">
        <w:rPr>
          <w:lang w:eastAsia="en-US"/>
        </w:rPr>
        <w:t xml:space="preserve"> to </w:t>
      </w:r>
      <w:r w:rsidR="00846D45">
        <w:rPr>
          <w:lang w:eastAsia="en-US"/>
        </w:rPr>
        <w:t xml:space="preserve">significantly </w:t>
      </w:r>
      <w:r w:rsidR="007D3DFA" w:rsidRPr="007D3DFA">
        <w:rPr>
          <w:lang w:eastAsia="en-US"/>
        </w:rPr>
        <w:t>increase the Commonwealth expenditure</w:t>
      </w:r>
      <w:r w:rsidR="00D859F4">
        <w:rPr>
          <w:lang w:eastAsia="en-US"/>
        </w:rPr>
        <w:t xml:space="preserve"> for tafamidis</w:t>
      </w:r>
      <w:r w:rsidR="00D0328A">
        <w:rPr>
          <w:lang w:eastAsia="en-US"/>
        </w:rPr>
        <w:t xml:space="preserve"> </w:t>
      </w:r>
      <w:r w:rsidR="00D859F4">
        <w:rPr>
          <w:lang w:eastAsia="en-US"/>
        </w:rPr>
        <w:t xml:space="preserve">each year </w:t>
      </w:r>
      <w:r w:rsidR="007D3DFA" w:rsidRPr="007D3DFA">
        <w:rPr>
          <w:lang w:eastAsia="en-US"/>
        </w:rPr>
        <w:t>compared to the previously agreed financial estimates</w:t>
      </w:r>
      <w:r w:rsidR="00C17DC0">
        <w:rPr>
          <w:lang w:eastAsia="en-US"/>
        </w:rPr>
        <w:t xml:space="preserve"> (refer to </w:t>
      </w:r>
      <w:r w:rsidR="00C17DC0">
        <w:rPr>
          <w:lang w:eastAsia="en-US"/>
        </w:rPr>
        <w:fldChar w:fldCharType="begin"/>
      </w:r>
      <w:r w:rsidR="00C17DC0">
        <w:rPr>
          <w:lang w:eastAsia="en-US"/>
        </w:rPr>
        <w:instrText xml:space="preserve"> REF _Ref219456912 \h </w:instrText>
      </w:r>
      <w:r w:rsidR="00C17DC0">
        <w:rPr>
          <w:lang w:eastAsia="en-US"/>
        </w:rPr>
      </w:r>
      <w:r w:rsidR="00C17DC0">
        <w:rPr>
          <w:lang w:eastAsia="en-US"/>
        </w:rPr>
        <w:fldChar w:fldCharType="separate"/>
      </w:r>
      <w:r w:rsidR="003E3EC1">
        <w:t xml:space="preserve">Table </w:t>
      </w:r>
      <w:r w:rsidR="003E3EC1">
        <w:rPr>
          <w:noProof/>
        </w:rPr>
        <w:t>2</w:t>
      </w:r>
      <w:r w:rsidR="00C17DC0">
        <w:rPr>
          <w:lang w:eastAsia="en-US"/>
        </w:rPr>
        <w:fldChar w:fldCharType="end"/>
      </w:r>
      <w:r w:rsidR="00C17DC0">
        <w:rPr>
          <w:lang w:eastAsia="en-US"/>
        </w:rPr>
        <w:t>)</w:t>
      </w:r>
      <w:r w:rsidR="007D3DFA" w:rsidRPr="007D3DFA">
        <w:rPr>
          <w:lang w:eastAsia="en-US"/>
        </w:rPr>
        <w:t>.</w:t>
      </w:r>
    </w:p>
    <w:p w14:paraId="602EC4C2" w14:textId="513258F6" w:rsidR="00EE6B0C" w:rsidRDefault="0092112F" w:rsidP="00E654B3">
      <w:pPr>
        <w:pStyle w:val="3-BodyText"/>
        <w:rPr>
          <w:lang w:eastAsia="en-US"/>
        </w:rPr>
      </w:pPr>
      <w:r>
        <w:rPr>
          <w:lang w:eastAsia="en-US"/>
        </w:rPr>
        <w:t>In the</w:t>
      </w:r>
      <w:r w:rsidR="00EE6B0C">
        <w:rPr>
          <w:lang w:eastAsia="en-US"/>
        </w:rPr>
        <w:t xml:space="preserve"> pre-PBAC response</w:t>
      </w:r>
      <w:r>
        <w:rPr>
          <w:lang w:eastAsia="en-US"/>
        </w:rPr>
        <w:t xml:space="preserve"> the sponsor</w:t>
      </w:r>
      <w:r w:rsidR="00EE6B0C">
        <w:rPr>
          <w:lang w:eastAsia="en-US"/>
        </w:rPr>
        <w:t xml:space="preserve"> stated that the</w:t>
      </w:r>
      <w:r w:rsidR="00042B72">
        <w:rPr>
          <w:lang w:eastAsia="en-US"/>
        </w:rPr>
        <w:t xml:space="preserve"> existing</w:t>
      </w:r>
      <w:r w:rsidR="00EE6B0C">
        <w:rPr>
          <w:lang w:eastAsia="en-US"/>
        </w:rPr>
        <w:t xml:space="preserve"> </w:t>
      </w:r>
      <w:r w:rsidR="004F5CF8" w:rsidRPr="004F5CF8">
        <w:rPr>
          <w:sz w:val="2"/>
          <w:highlight w:val="black"/>
          <w:lang w:eastAsia="en-US"/>
        </w:rPr>
        <w:t>redacted content</w:t>
      </w:r>
      <w:r w:rsidR="00042B72">
        <w:rPr>
          <w:lang w:eastAsia="en-US"/>
        </w:rPr>
        <w:t xml:space="preserve">% rebate for expenditure above the caps </w:t>
      </w:r>
      <w:r w:rsidR="00C905AF">
        <w:rPr>
          <w:lang w:eastAsia="en-US"/>
        </w:rPr>
        <w:t xml:space="preserve">meant that the risk </w:t>
      </w:r>
      <w:r w:rsidR="00815C02">
        <w:rPr>
          <w:lang w:eastAsia="en-US"/>
        </w:rPr>
        <w:t>was not balanced. T</w:t>
      </w:r>
      <w:r w:rsidR="00C87510">
        <w:rPr>
          <w:lang w:eastAsia="en-US"/>
        </w:rPr>
        <w:t xml:space="preserve">he pre-PBAC </w:t>
      </w:r>
      <w:r>
        <w:rPr>
          <w:lang w:eastAsia="en-US"/>
        </w:rPr>
        <w:t xml:space="preserve">response </w:t>
      </w:r>
      <w:r w:rsidR="00C87510">
        <w:rPr>
          <w:lang w:eastAsia="en-US"/>
        </w:rPr>
        <w:t xml:space="preserve">proposed </w:t>
      </w:r>
      <w:r w:rsidR="0016074A">
        <w:rPr>
          <w:lang w:eastAsia="en-US"/>
        </w:rPr>
        <w:t xml:space="preserve">a </w:t>
      </w:r>
      <w:r w:rsidR="004F5CF8" w:rsidRPr="004F5CF8">
        <w:rPr>
          <w:sz w:val="2"/>
          <w:highlight w:val="black"/>
          <w:lang w:eastAsia="en-US"/>
        </w:rPr>
        <w:t>redacted content</w:t>
      </w:r>
      <w:r w:rsidR="0016074A">
        <w:rPr>
          <w:lang w:eastAsia="en-US"/>
        </w:rPr>
        <w:t xml:space="preserve">% rebate above the subsidisation </w:t>
      </w:r>
      <w:r w:rsidR="0098741D">
        <w:rPr>
          <w:lang w:eastAsia="en-US"/>
        </w:rPr>
        <w:t>caps and</w:t>
      </w:r>
      <w:r w:rsidR="005940B8">
        <w:rPr>
          <w:lang w:eastAsia="en-US"/>
        </w:rPr>
        <w:t xml:space="preserve"> considered that the </w:t>
      </w:r>
      <w:r w:rsidR="0098741D">
        <w:rPr>
          <w:lang w:eastAsia="en-US"/>
        </w:rPr>
        <w:t xml:space="preserve">rebate should not exceed </w:t>
      </w:r>
      <w:r w:rsidR="004F5CF8" w:rsidRPr="004F5CF8">
        <w:rPr>
          <w:sz w:val="2"/>
          <w:highlight w:val="black"/>
          <w:lang w:eastAsia="en-US"/>
        </w:rPr>
        <w:t>redacted content</w:t>
      </w:r>
      <w:r w:rsidR="0098741D">
        <w:rPr>
          <w:lang w:eastAsia="en-US"/>
        </w:rPr>
        <w:t xml:space="preserve">%. </w:t>
      </w:r>
    </w:p>
    <w:p w14:paraId="3B0F64FB" w14:textId="355DDC4B" w:rsidR="00395B32" w:rsidRDefault="00457638" w:rsidP="00E654B3">
      <w:pPr>
        <w:pStyle w:val="3-BodyText"/>
        <w:rPr>
          <w:lang w:eastAsia="en-US"/>
        </w:rPr>
      </w:pPr>
      <w:r>
        <w:rPr>
          <w:lang w:eastAsia="en-US"/>
        </w:rPr>
        <w:t>In the</w:t>
      </w:r>
      <w:r w:rsidR="00395B32">
        <w:rPr>
          <w:lang w:eastAsia="en-US"/>
        </w:rPr>
        <w:t xml:space="preserve"> pre-PBAC response</w:t>
      </w:r>
      <w:r>
        <w:rPr>
          <w:lang w:eastAsia="en-US"/>
        </w:rPr>
        <w:t xml:space="preserve"> the sponsor</w:t>
      </w:r>
      <w:r w:rsidR="00395B32">
        <w:rPr>
          <w:lang w:eastAsia="en-US"/>
        </w:rPr>
        <w:t xml:space="preserve"> </w:t>
      </w:r>
      <w:r w:rsidR="008D1473" w:rsidRPr="008D1473">
        <w:rPr>
          <w:lang w:eastAsia="en-US"/>
        </w:rPr>
        <w:t>stated that the lower proposed effective ex-manufacturer price result</w:t>
      </w:r>
      <w:r>
        <w:rPr>
          <w:lang w:eastAsia="en-US"/>
        </w:rPr>
        <w:t>ed in</w:t>
      </w:r>
      <w:r w:rsidR="008D1473" w:rsidRPr="008D1473">
        <w:rPr>
          <w:lang w:eastAsia="en-US"/>
        </w:rPr>
        <w:t xml:space="preserve"> an ICER of $</w:t>
      </w:r>
      <w:r w:rsidR="0000680D" w:rsidRPr="0000680D">
        <w:rPr>
          <w:lang w:eastAsia="en-US"/>
        </w:rPr>
        <w:t>55,000 to &lt; $75,000</w:t>
      </w:r>
      <w:r w:rsidR="008D1473" w:rsidRPr="008D1473">
        <w:rPr>
          <w:lang w:eastAsia="en-US"/>
        </w:rPr>
        <w:t>per QALY gained.</w:t>
      </w:r>
    </w:p>
    <w:p w14:paraId="174520C3" w14:textId="5A86A9A0" w:rsidR="003223D5" w:rsidRDefault="00CD00BA" w:rsidP="003223D5">
      <w:pPr>
        <w:pStyle w:val="3-BodyText"/>
        <w:rPr>
          <w:lang w:eastAsia="en-US"/>
        </w:rPr>
      </w:pPr>
      <w:r>
        <w:t xml:space="preserve">While not a matter for PBAC, </w:t>
      </w:r>
      <w:r w:rsidR="00CC7F84">
        <w:t>t</w:t>
      </w:r>
      <w:r w:rsidR="003223D5">
        <w:t xml:space="preserve">he </w:t>
      </w:r>
      <w:r w:rsidR="0071050B">
        <w:t xml:space="preserve">submission also </w:t>
      </w:r>
      <w:r w:rsidR="003223D5">
        <w:t xml:space="preserve">proposed </w:t>
      </w:r>
      <w:r w:rsidR="0071050B">
        <w:t xml:space="preserve">a reduction in the published </w:t>
      </w:r>
      <w:r w:rsidR="003223D5">
        <w:t xml:space="preserve">ex-manufacturer price </w:t>
      </w:r>
      <w:r w:rsidR="0000283C">
        <w:t>from $</w:t>
      </w:r>
      <w:r w:rsidR="004F5CF8" w:rsidRPr="004F5CF8">
        <w:rPr>
          <w:sz w:val="2"/>
          <w:highlight w:val="black"/>
        </w:rPr>
        <w:t>redacted content</w:t>
      </w:r>
      <w:r w:rsidR="0000283C">
        <w:t xml:space="preserve"> to</w:t>
      </w:r>
      <w:r w:rsidR="003223D5">
        <w:t xml:space="preserve"> $</w:t>
      </w:r>
      <w:r w:rsidR="004F5CF8" w:rsidRPr="004F5CF8">
        <w:rPr>
          <w:sz w:val="2"/>
          <w:highlight w:val="black"/>
        </w:rPr>
        <w:t>redacted content</w:t>
      </w:r>
      <w:r w:rsidR="003223D5">
        <w:t xml:space="preserve">. </w:t>
      </w:r>
    </w:p>
    <w:p w14:paraId="5EB16602" w14:textId="26A67E45" w:rsidR="00D70349" w:rsidRPr="00A6439B" w:rsidRDefault="00D70349" w:rsidP="00D70349">
      <w:pPr>
        <w:pStyle w:val="4-SubsectionHeading"/>
        <w:rPr>
          <w:lang w:eastAsia="en-US"/>
        </w:rPr>
      </w:pPr>
      <w:r w:rsidRPr="00A6439B">
        <w:rPr>
          <w:lang w:eastAsia="en-US"/>
        </w:rPr>
        <w:t xml:space="preserve">Estimated PBS </w:t>
      </w:r>
      <w:r w:rsidR="00276BE3" w:rsidRPr="00A6439B">
        <w:rPr>
          <w:lang w:eastAsia="en-US"/>
        </w:rPr>
        <w:t>usage</w:t>
      </w:r>
      <w:r w:rsidRPr="00A6439B">
        <w:rPr>
          <w:lang w:eastAsia="en-US"/>
        </w:rPr>
        <w:t xml:space="preserve"> and financial implications</w:t>
      </w:r>
    </w:p>
    <w:p w14:paraId="05668F47" w14:textId="77777777" w:rsidR="001F06E4" w:rsidRPr="001F06E4" w:rsidRDefault="00302902" w:rsidP="001F06E4">
      <w:pPr>
        <w:pStyle w:val="3-BodyText"/>
      </w:pPr>
      <w:r w:rsidRPr="00C17DC0">
        <w:t xml:space="preserve">The </w:t>
      </w:r>
      <w:r>
        <w:t>submission</w:t>
      </w:r>
      <w:r w:rsidR="001629D0" w:rsidRPr="00C17DC0">
        <w:t xml:space="preserve"> used</w:t>
      </w:r>
      <w:r w:rsidR="001629D0">
        <w:t xml:space="preserve"> PBS utilisation data</w:t>
      </w:r>
      <w:r w:rsidR="00371741">
        <w:t xml:space="preserve"> for the period May 2024 to August 2025 (provided by the Department)</w:t>
      </w:r>
      <w:r w:rsidR="001629D0">
        <w:t xml:space="preserve">, </w:t>
      </w:r>
      <w:r w:rsidR="001629D0" w:rsidRPr="00C17DC0">
        <w:t>and the findings from a meta-analysis of the estimated ATTR-CM prevalence in patients with HFpEF to estimate the future use of tafamidis</w:t>
      </w:r>
      <w:r w:rsidR="00371741">
        <w:t xml:space="preserve">. </w:t>
      </w:r>
      <w:r w:rsidR="00E74897" w:rsidRPr="00C17DC0">
        <w:fldChar w:fldCharType="begin"/>
      </w:r>
      <w:r w:rsidR="00E74897" w:rsidRPr="00C17DC0">
        <w:instrText xml:space="preserve"> REF _Ref219456995 \h  \* MERGEFORMAT </w:instrText>
      </w:r>
      <w:r w:rsidR="00E74897" w:rsidRPr="00C17DC0">
        <w:fldChar w:fldCharType="separate"/>
      </w:r>
    </w:p>
    <w:p w14:paraId="7D43010E" w14:textId="6C0F5E17" w:rsidR="001E4178" w:rsidRDefault="001F06E4" w:rsidP="005C3566">
      <w:pPr>
        <w:pStyle w:val="3-BodyText"/>
      </w:pPr>
      <w:r w:rsidRPr="001F06E4">
        <w:t>Table</w:t>
      </w:r>
      <w:r w:rsidRPr="001F06E4">
        <w:rPr>
          <w:noProof/>
        </w:rPr>
        <w:t xml:space="preserve"> 4</w:t>
      </w:r>
      <w:r w:rsidR="00E74897" w:rsidRPr="00C17DC0">
        <w:fldChar w:fldCharType="end"/>
      </w:r>
      <w:r w:rsidR="00E74897" w:rsidRPr="00C17DC0">
        <w:t xml:space="preserve"> </w:t>
      </w:r>
      <w:r w:rsidR="00371741">
        <w:t>provides</w:t>
      </w:r>
      <w:r w:rsidR="004815F0" w:rsidRPr="00C17DC0">
        <w:t xml:space="preserve"> </w:t>
      </w:r>
      <w:r w:rsidR="001629D0">
        <w:t>PBS utilisation</w:t>
      </w:r>
      <w:r w:rsidR="004815F0" w:rsidRPr="00C17DC0">
        <w:t xml:space="preserve"> data </w:t>
      </w:r>
      <w:r w:rsidR="001629D0">
        <w:t>(</w:t>
      </w:r>
      <w:r w:rsidR="004815F0" w:rsidRPr="00C17DC0">
        <w:t>patient numbers</w:t>
      </w:r>
      <w:r w:rsidR="001629D0">
        <w:t>)</w:t>
      </w:r>
      <w:r w:rsidR="004815F0" w:rsidRPr="00C17DC0">
        <w:t xml:space="preserve"> for tafamidis</w:t>
      </w:r>
      <w:r w:rsidR="00110D52" w:rsidRPr="00C17DC0">
        <w:t xml:space="preserve">, </w:t>
      </w:r>
      <w:r w:rsidR="001629D0">
        <w:t xml:space="preserve">for the period </w:t>
      </w:r>
      <w:r w:rsidR="00BB6770">
        <w:t>May</w:t>
      </w:r>
      <w:r w:rsidR="001629D0">
        <w:t xml:space="preserve"> 2024</w:t>
      </w:r>
      <w:r w:rsidR="00BB6770">
        <w:t xml:space="preserve"> to December 2025</w:t>
      </w:r>
      <w:r w:rsidR="004815F0" w:rsidRPr="00C17DC0">
        <w:t>.</w:t>
      </w:r>
    </w:p>
    <w:p w14:paraId="39D2061E" w14:textId="4AA3FD8C" w:rsidR="004F5CF8" w:rsidRDefault="004F5CF8">
      <w:pPr>
        <w:jc w:val="left"/>
        <w:rPr>
          <w:rFonts w:ascii="Arial Narrow" w:hAnsi="Arial Narrow"/>
          <w:b/>
          <w:i/>
          <w:color w:val="000000" w:themeColor="text1"/>
          <w:sz w:val="20"/>
          <w:szCs w:val="18"/>
        </w:rPr>
      </w:pPr>
      <w:bookmarkStart w:id="4" w:name="_Ref219456995"/>
      <w:r>
        <w:rPr>
          <w:i/>
          <w:iCs/>
        </w:rPr>
        <w:br w:type="page"/>
      </w:r>
    </w:p>
    <w:p w14:paraId="2D36432C" w14:textId="33EE92BA" w:rsidR="004815F0" w:rsidRPr="005965FB" w:rsidRDefault="00E74897" w:rsidP="004F5CF8">
      <w:pPr>
        <w:pStyle w:val="TableFigureHeading"/>
        <w:rPr>
          <w:iCs/>
        </w:rPr>
      </w:pPr>
      <w:r w:rsidRPr="005965FB">
        <w:lastRenderedPageBreak/>
        <w:t xml:space="preserve">Table </w:t>
      </w:r>
      <w:r w:rsidRPr="00A32BD6">
        <w:rPr>
          <w:iCs/>
        </w:rPr>
        <w:fldChar w:fldCharType="begin"/>
      </w:r>
      <w:r w:rsidRPr="005965FB">
        <w:instrText xml:space="preserve"> SEQ Table \* ARABIC </w:instrText>
      </w:r>
      <w:r w:rsidRPr="00A32BD6">
        <w:rPr>
          <w:iCs/>
        </w:rPr>
        <w:fldChar w:fldCharType="separate"/>
      </w:r>
      <w:r w:rsidR="003C1818">
        <w:rPr>
          <w:noProof/>
        </w:rPr>
        <w:t>4</w:t>
      </w:r>
      <w:r w:rsidRPr="00A32BD6">
        <w:rPr>
          <w:iCs/>
        </w:rPr>
        <w:fldChar w:fldCharType="end"/>
      </w:r>
      <w:bookmarkEnd w:id="4"/>
      <w:r w:rsidRPr="005965FB">
        <w:t>:</w:t>
      </w:r>
      <w:r w:rsidR="004815F0" w:rsidRPr="005965FB">
        <w:t xml:space="preserve"> </w:t>
      </w:r>
      <w:r w:rsidR="001629D0" w:rsidRPr="005965FB">
        <w:t>PBS utilisation</w:t>
      </w:r>
      <w:r w:rsidR="004815F0" w:rsidRPr="005965FB">
        <w:t xml:space="preserve"> data </w:t>
      </w:r>
      <w:r w:rsidR="001629D0" w:rsidRPr="005965FB">
        <w:t>for</w:t>
      </w:r>
      <w:r w:rsidR="004815F0" w:rsidRPr="005965FB">
        <w:t xml:space="preserve"> tafamidis </w:t>
      </w:r>
      <w:r w:rsidR="001629D0" w:rsidRPr="005965FB">
        <w:t xml:space="preserve">- </w:t>
      </w:r>
      <w:r w:rsidR="004815F0" w:rsidRPr="005965FB">
        <w:t>patient numbers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4: PBS utilisation data for tafamidis - patient numbers"/>
      </w:tblPr>
      <w:tblGrid>
        <w:gridCol w:w="3004"/>
        <w:gridCol w:w="3004"/>
        <w:gridCol w:w="3008"/>
      </w:tblGrid>
      <w:tr w:rsidR="00EC6EF0" w:rsidRPr="008B5CA0" w14:paraId="3A67426E" w14:textId="77777777" w:rsidTr="00864654">
        <w:trPr>
          <w:trHeight w:val="351"/>
        </w:trPr>
        <w:tc>
          <w:tcPr>
            <w:tcW w:w="1666" w:type="pct"/>
          </w:tcPr>
          <w:p w14:paraId="36ABD9C8" w14:textId="77777777" w:rsidR="00EC6EF0" w:rsidRPr="005965FB" w:rsidRDefault="00EC6EF0" w:rsidP="00864654">
            <w:pPr>
              <w:pStyle w:val="TableText0"/>
              <w:rPr>
                <w:i/>
              </w:rPr>
            </w:pPr>
          </w:p>
        </w:tc>
        <w:tc>
          <w:tcPr>
            <w:tcW w:w="1666" w:type="pct"/>
            <w:noWrap/>
            <w:vAlign w:val="center"/>
            <w:hideMark/>
          </w:tcPr>
          <w:p w14:paraId="79CEAD30" w14:textId="08B73B1A" w:rsidR="00EC6EF0" w:rsidRPr="005965FB" w:rsidRDefault="00EC6EF0" w:rsidP="00864654">
            <w:pPr>
              <w:pStyle w:val="TableText0"/>
              <w:rPr>
                <w:b/>
                <w:bCs w:val="0"/>
                <w:i/>
              </w:rPr>
            </w:pPr>
            <w:r w:rsidRPr="005965FB">
              <w:rPr>
                <w:b/>
                <w:bCs w:val="0"/>
                <w:i/>
              </w:rPr>
              <w:t>Y</w:t>
            </w:r>
            <w:r w:rsidR="00331A6D">
              <w:rPr>
                <w:b/>
                <w:bCs w:val="0"/>
                <w:i/>
              </w:rPr>
              <w:t xml:space="preserve">ear </w:t>
            </w:r>
            <w:r w:rsidRPr="005965FB">
              <w:rPr>
                <w:b/>
                <w:bCs w:val="0"/>
                <w:i/>
              </w:rPr>
              <w:t>1 (May 2024- Apr 2025)</w:t>
            </w:r>
          </w:p>
        </w:tc>
        <w:tc>
          <w:tcPr>
            <w:tcW w:w="1667" w:type="pct"/>
            <w:noWrap/>
            <w:vAlign w:val="center"/>
            <w:hideMark/>
          </w:tcPr>
          <w:p w14:paraId="08D6FAFC" w14:textId="7EF5CB73" w:rsidR="00EC6EF0" w:rsidRPr="005965FB" w:rsidRDefault="00EC6EF0" w:rsidP="00864654">
            <w:pPr>
              <w:pStyle w:val="TableText0"/>
              <w:rPr>
                <w:b/>
                <w:bCs w:val="0"/>
                <w:i/>
              </w:rPr>
            </w:pPr>
            <w:r w:rsidRPr="005965FB">
              <w:rPr>
                <w:b/>
                <w:bCs w:val="0"/>
                <w:i/>
              </w:rPr>
              <w:t>Y</w:t>
            </w:r>
            <w:r w:rsidR="00331A6D">
              <w:rPr>
                <w:b/>
                <w:bCs w:val="0"/>
                <w:i/>
              </w:rPr>
              <w:t xml:space="preserve">ear </w:t>
            </w:r>
            <w:r w:rsidRPr="005965FB">
              <w:rPr>
                <w:b/>
                <w:bCs w:val="0"/>
                <w:i/>
              </w:rPr>
              <w:t>2 (May 2025-Dec 2025)</w:t>
            </w:r>
          </w:p>
        </w:tc>
      </w:tr>
      <w:tr w:rsidR="00EC6EF0" w:rsidRPr="008B5CA0" w14:paraId="497E4E20" w14:textId="77777777" w:rsidTr="00864654">
        <w:trPr>
          <w:trHeight w:val="351"/>
        </w:trPr>
        <w:tc>
          <w:tcPr>
            <w:tcW w:w="1666" w:type="pct"/>
          </w:tcPr>
          <w:p w14:paraId="266C483C" w14:textId="4EDC6CFF" w:rsidR="00EC6EF0" w:rsidRPr="005965FB" w:rsidRDefault="00813A92" w:rsidP="00864654">
            <w:pPr>
              <w:pStyle w:val="TableText0"/>
              <w:rPr>
                <w:b/>
                <w:bCs w:val="0"/>
                <w:i/>
              </w:rPr>
            </w:pPr>
            <w:r>
              <w:rPr>
                <w:b/>
                <w:bCs w:val="0"/>
                <w:i/>
              </w:rPr>
              <w:t>Patient counts by list year</w:t>
            </w:r>
            <w:r w:rsidR="00B82CD8" w:rsidRPr="005965FB">
              <w:rPr>
                <w:b/>
                <w:bCs w:val="0"/>
                <w:i/>
              </w:rPr>
              <w:t xml:space="preserve"> </w:t>
            </w:r>
          </w:p>
        </w:tc>
        <w:tc>
          <w:tcPr>
            <w:tcW w:w="1666" w:type="pct"/>
            <w:noWrap/>
            <w:vAlign w:val="center"/>
          </w:tcPr>
          <w:p w14:paraId="231BEA35" w14:textId="07A8A7C6" w:rsidR="00EC6EF0" w:rsidRPr="004F5CF8" w:rsidRDefault="004F5CF8" w:rsidP="00864654">
            <w:pPr>
              <w:pStyle w:val="TableText0"/>
              <w:jc w:val="center"/>
              <w:rPr>
                <w:i/>
                <w:vertAlign w:val="superscript"/>
              </w:rPr>
            </w:pPr>
            <w:r w:rsidRPr="004F5CF8">
              <w:rPr>
                <w:i/>
                <w:sz w:val="2"/>
                <w:highlight w:val="black"/>
              </w:rPr>
              <w:t>redacted content</w:t>
            </w:r>
            <w:r w:rsidR="007E6D1F">
              <w:rPr>
                <w:i/>
                <w:vertAlign w:val="superscript"/>
              </w:rPr>
              <w:t>1</w:t>
            </w:r>
          </w:p>
        </w:tc>
        <w:tc>
          <w:tcPr>
            <w:tcW w:w="1667" w:type="pct"/>
            <w:noWrap/>
            <w:vAlign w:val="center"/>
          </w:tcPr>
          <w:p w14:paraId="00F4C6E1" w14:textId="61C45B4C" w:rsidR="00EC6EF0" w:rsidRPr="005965FB" w:rsidRDefault="004F5CF8" w:rsidP="00864654">
            <w:pPr>
              <w:pStyle w:val="TableText0"/>
              <w:jc w:val="center"/>
              <w:rPr>
                <w:i/>
              </w:rPr>
            </w:pPr>
            <w:r w:rsidRPr="004F5CF8">
              <w:rPr>
                <w:i/>
                <w:sz w:val="2"/>
                <w:highlight w:val="black"/>
              </w:rPr>
              <w:t>redacted content</w:t>
            </w:r>
            <w:r w:rsidR="005965FB">
              <w:rPr>
                <w:i/>
              </w:rPr>
              <w:t>*</w:t>
            </w:r>
            <w:r w:rsidR="007E6D1F">
              <w:rPr>
                <w:i/>
                <w:vertAlign w:val="superscript"/>
              </w:rPr>
              <w:t>1</w:t>
            </w:r>
          </w:p>
        </w:tc>
      </w:tr>
      <w:tr w:rsidR="00813A92" w:rsidRPr="008B5CA0" w14:paraId="069DDF4D" w14:textId="77777777" w:rsidTr="00864654">
        <w:trPr>
          <w:trHeight w:val="351"/>
        </w:trPr>
        <w:tc>
          <w:tcPr>
            <w:tcW w:w="1666" w:type="pct"/>
          </w:tcPr>
          <w:p w14:paraId="6A3D4C64" w14:textId="1EF50C5A" w:rsidR="00813A92" w:rsidRPr="000D6FFD" w:rsidRDefault="00813A92" w:rsidP="00864654">
            <w:pPr>
              <w:pStyle w:val="TableText0"/>
              <w:rPr>
                <w:b/>
                <w:bCs w:val="0"/>
                <w:i/>
              </w:rPr>
            </w:pPr>
            <w:r>
              <w:rPr>
                <w:b/>
                <w:bCs w:val="0"/>
                <w:i/>
              </w:rPr>
              <w:t>Total number of patients</w:t>
            </w:r>
          </w:p>
        </w:tc>
        <w:tc>
          <w:tcPr>
            <w:tcW w:w="3334" w:type="pct"/>
            <w:gridSpan w:val="2"/>
            <w:noWrap/>
            <w:vAlign w:val="center"/>
          </w:tcPr>
          <w:p w14:paraId="7747553C" w14:textId="300073A7" w:rsidR="00813A92" w:rsidRPr="000D6FFD" w:rsidRDefault="004F5CF8" w:rsidP="00864654">
            <w:pPr>
              <w:pStyle w:val="TableText0"/>
              <w:jc w:val="center"/>
              <w:rPr>
                <w:i/>
              </w:rPr>
            </w:pPr>
            <w:r w:rsidRPr="004F5CF8">
              <w:rPr>
                <w:i/>
                <w:sz w:val="2"/>
                <w:highlight w:val="black"/>
              </w:rPr>
              <w:t>redacted content</w:t>
            </w:r>
            <w:r w:rsidR="007E6D1F">
              <w:rPr>
                <w:i/>
                <w:vertAlign w:val="superscript"/>
              </w:rPr>
              <w:t>1</w:t>
            </w:r>
          </w:p>
        </w:tc>
      </w:tr>
    </w:tbl>
    <w:p w14:paraId="28588A58" w14:textId="655EE632" w:rsidR="008D7B8E" w:rsidRPr="004F5CF8" w:rsidRDefault="005965FB" w:rsidP="004363BA">
      <w:pPr>
        <w:pStyle w:val="TableFigureFooter"/>
      </w:pPr>
      <w:r w:rsidRPr="004F5CF8">
        <w:t xml:space="preserve">*The initiating patient count for the period May 2025 to December 2025 was </w:t>
      </w:r>
      <w:r w:rsidR="004F5CF8" w:rsidRPr="004F5CF8">
        <w:rPr>
          <w:sz w:val="2"/>
          <w:highlight w:val="black"/>
        </w:rPr>
        <w:t xml:space="preserve">redacted </w:t>
      </w:r>
      <w:proofErr w:type="spellStart"/>
      <w:proofErr w:type="gramStart"/>
      <w:r w:rsidR="004F5CF8" w:rsidRPr="004F5CF8">
        <w:rPr>
          <w:sz w:val="2"/>
          <w:highlight w:val="black"/>
        </w:rPr>
        <w:t>content</w:t>
      </w:r>
      <w:r w:rsidRPr="004F5CF8">
        <w:t>.</w:t>
      </w:r>
      <w:r w:rsidR="0096155A" w:rsidRPr="004F5CF8">
        <w:rPr>
          <w:snapToGrid/>
        </w:rPr>
        <w:t>Source</w:t>
      </w:r>
      <w:proofErr w:type="spellEnd"/>
      <w:proofErr w:type="gramEnd"/>
      <w:r w:rsidR="0096155A" w:rsidRPr="004F5CF8">
        <w:rPr>
          <w:snapToGrid/>
        </w:rPr>
        <w:t>: DUSC Secretariat data sourced from Services Australia and provided to the</w:t>
      </w:r>
      <w:r w:rsidR="00B82CD8" w:rsidRPr="004F5CF8">
        <w:rPr>
          <w:snapToGrid/>
        </w:rPr>
        <w:t xml:space="preserve"> </w:t>
      </w:r>
      <w:r w:rsidR="0096155A" w:rsidRPr="004F5CF8">
        <w:rPr>
          <w:snapToGrid/>
        </w:rPr>
        <w:t xml:space="preserve">Department on </w:t>
      </w:r>
      <w:r w:rsidR="00D167CC" w:rsidRPr="004F5CF8">
        <w:rPr>
          <w:snapToGrid/>
        </w:rPr>
        <w:t xml:space="preserve">27 </w:t>
      </w:r>
      <w:r w:rsidR="0096155A" w:rsidRPr="004F5CF8">
        <w:rPr>
          <w:snapToGrid/>
        </w:rPr>
        <w:t>January 2026</w:t>
      </w:r>
      <w:r w:rsidR="00D167CC" w:rsidRPr="004F5CF8">
        <w:rPr>
          <w:snapToGrid/>
        </w:rPr>
        <w:t xml:space="preserve">. Data is </w:t>
      </w:r>
      <w:r w:rsidR="007478EF" w:rsidRPr="004F5CF8">
        <w:rPr>
          <w:snapToGrid/>
        </w:rPr>
        <w:t xml:space="preserve">for </w:t>
      </w:r>
      <w:r w:rsidR="001E4178" w:rsidRPr="004F5CF8">
        <w:rPr>
          <w:snapToGrid/>
        </w:rPr>
        <w:t>the period</w:t>
      </w:r>
      <w:r w:rsidR="007478EF" w:rsidRPr="004F5CF8">
        <w:rPr>
          <w:snapToGrid/>
        </w:rPr>
        <w:t xml:space="preserve"> May 2024 to December 2025, inclusive.</w:t>
      </w:r>
      <w:r w:rsidR="007478EF" w:rsidRPr="004F5CF8">
        <w:t xml:space="preserve"> </w:t>
      </w:r>
    </w:p>
    <w:p w14:paraId="7F658F07" w14:textId="77777777" w:rsidR="00073017" w:rsidRDefault="00DE29A2">
      <w:pPr>
        <w:pStyle w:val="TableFigureFooter"/>
        <w:rPr>
          <w:i/>
          <w:szCs w:val="18"/>
        </w:rPr>
      </w:pPr>
      <w:r w:rsidRPr="00DE29A2">
        <w:rPr>
          <w:i/>
          <w:szCs w:val="18"/>
        </w:rPr>
        <w:t>The redacted values correspond to the following ranges:</w:t>
      </w:r>
    </w:p>
    <w:p w14:paraId="7307F3F0" w14:textId="1F8A5421" w:rsidR="00EC6EF0" w:rsidRPr="00073017" w:rsidRDefault="00DE29A2" w:rsidP="00B82CD8">
      <w:pPr>
        <w:pStyle w:val="TableFigureFooter"/>
        <w:rPr>
          <w:i/>
          <w:szCs w:val="18"/>
        </w:rPr>
      </w:pPr>
      <w:r w:rsidRPr="00DE29A2">
        <w:rPr>
          <w:i/>
          <w:szCs w:val="18"/>
        </w:rPr>
        <w:t xml:space="preserve"> </w:t>
      </w:r>
      <w:r w:rsidRPr="00DE29A2">
        <w:rPr>
          <w:i/>
          <w:szCs w:val="18"/>
          <w:vertAlign w:val="superscript"/>
        </w:rPr>
        <w:t>1</w:t>
      </w:r>
      <w:r w:rsidRPr="00DE29A2">
        <w:rPr>
          <w:i/>
          <w:szCs w:val="18"/>
        </w:rPr>
        <w:t xml:space="preserve"> </w:t>
      </w:r>
      <w:r w:rsidR="007E6D1F" w:rsidRPr="007E6D1F">
        <w:rPr>
          <w:i/>
          <w:szCs w:val="18"/>
        </w:rPr>
        <w:t>500 to &lt; 5,000</w:t>
      </w:r>
    </w:p>
    <w:p w14:paraId="092213ED" w14:textId="391D6647" w:rsidR="00415591" w:rsidRDefault="00E74897" w:rsidP="006A1F16">
      <w:pPr>
        <w:pStyle w:val="3-BodyText"/>
      </w:pPr>
      <w:r>
        <w:t>In</w:t>
      </w:r>
      <w:r w:rsidR="004815F0" w:rsidRPr="002D1232">
        <w:t xml:space="preserve"> the first year of listing (1 May 2024 to 30 April 2025) there was a higher number of patients treated</w:t>
      </w:r>
      <w:r w:rsidR="00C17DC0">
        <w:t xml:space="preserve"> with tafamidis</w:t>
      </w:r>
      <w:r w:rsidR="004815F0" w:rsidRPr="002D1232">
        <w:t xml:space="preserve"> than expected</w:t>
      </w:r>
      <w:r w:rsidR="00AA7860">
        <w:t xml:space="preserve"> </w:t>
      </w:r>
      <w:r w:rsidR="00AA7860" w:rsidRPr="00F43CD6">
        <w:t>(</w:t>
      </w:r>
      <w:r w:rsidR="00EF0DF8" w:rsidRPr="00EF0DF8">
        <w:t>500 to &lt; 5,000</w:t>
      </w:r>
      <w:r w:rsidR="00F43CD6">
        <w:t xml:space="preserve">treated </w:t>
      </w:r>
      <w:r w:rsidR="00AA7860">
        <w:t xml:space="preserve">compared to the estimated </w:t>
      </w:r>
      <w:r w:rsidR="00EF0DF8" w:rsidRPr="00EF0DF8">
        <w:t>500 to &lt; 5,000</w:t>
      </w:r>
      <w:r w:rsidR="00AA7860">
        <w:t xml:space="preserve"> patients)</w:t>
      </w:r>
      <w:r w:rsidR="00D53DA9">
        <w:t xml:space="preserve">. The </w:t>
      </w:r>
      <w:r w:rsidR="00D70790">
        <w:t xml:space="preserve">submission </w:t>
      </w:r>
      <w:r w:rsidR="0078529B">
        <w:t>stated</w:t>
      </w:r>
      <w:r w:rsidR="00D53DA9">
        <w:t xml:space="preserve"> that </w:t>
      </w:r>
      <w:r w:rsidR="00C0707D">
        <w:t xml:space="preserve">a </w:t>
      </w:r>
      <w:r w:rsidR="00F01DB4">
        <w:t xml:space="preserve">proportion </w:t>
      </w:r>
      <w:r w:rsidR="00D53DA9">
        <w:t xml:space="preserve">of this </w:t>
      </w:r>
      <w:r w:rsidR="0078529B">
        <w:t>increase</w:t>
      </w:r>
      <w:r w:rsidR="006A3B2A">
        <w:t xml:space="preserve"> in Year</w:t>
      </w:r>
      <w:r w:rsidR="00CB789E">
        <w:t> </w:t>
      </w:r>
      <w:r w:rsidR="006A3B2A">
        <w:t>1</w:t>
      </w:r>
      <w:r w:rsidR="0078529B">
        <w:t xml:space="preserve"> is </w:t>
      </w:r>
      <w:r w:rsidR="00D53DA9">
        <w:t xml:space="preserve">due to </w:t>
      </w:r>
      <w:r w:rsidR="0078529B">
        <w:t xml:space="preserve">patients moving from </w:t>
      </w:r>
      <w:r w:rsidR="00D53DA9">
        <w:t xml:space="preserve">their patient access program, but </w:t>
      </w:r>
      <w:r w:rsidR="0078529B">
        <w:t xml:space="preserve">also that there is a much higher prevalence of ATTR-CM than </w:t>
      </w:r>
      <w:r w:rsidR="0003306E">
        <w:t>proposed</w:t>
      </w:r>
      <w:r w:rsidR="0078529B">
        <w:t xml:space="preserve"> in the July 2023 PBAC submission.</w:t>
      </w:r>
    </w:p>
    <w:p w14:paraId="5543E096" w14:textId="5B66FA15" w:rsidR="006A1F16" w:rsidRDefault="00415591" w:rsidP="00415591">
      <w:pPr>
        <w:pStyle w:val="3-BodyText"/>
      </w:pPr>
      <w:r>
        <w:t xml:space="preserve">The </w:t>
      </w:r>
      <w:r w:rsidR="00D70790">
        <w:t>submission</w:t>
      </w:r>
      <w:r>
        <w:t xml:space="preserve"> states that greater patient numbers than originally assumed in the July</w:t>
      </w:r>
      <w:r w:rsidR="00D70790">
        <w:t> </w:t>
      </w:r>
      <w:r>
        <w:t xml:space="preserve">2023 submission </w:t>
      </w:r>
      <w:r w:rsidR="00D70790">
        <w:t xml:space="preserve">are anticipated </w:t>
      </w:r>
      <w:r>
        <w:t>for the remaining years of the Deed</w:t>
      </w:r>
      <w:r w:rsidRPr="002D1232">
        <w:t>.</w:t>
      </w:r>
    </w:p>
    <w:p w14:paraId="0D389C30" w14:textId="1BEAB369" w:rsidR="005F4842" w:rsidRDefault="006A1F16" w:rsidP="00796A29">
      <w:pPr>
        <w:pStyle w:val="3-BodyText"/>
      </w:pPr>
      <w:r>
        <w:t xml:space="preserve">As </w:t>
      </w:r>
      <w:r w:rsidR="000E6381">
        <w:t xml:space="preserve">of </w:t>
      </w:r>
      <w:r w:rsidR="001E4178">
        <w:t>December 2025,</w:t>
      </w:r>
      <w:r w:rsidR="000E6381">
        <w:t xml:space="preserve"> </w:t>
      </w:r>
      <w:r w:rsidR="001E4178">
        <w:t xml:space="preserve">there were </w:t>
      </w:r>
      <w:r w:rsidR="00EF0DF8" w:rsidRPr="00EF0DF8">
        <w:t>500 to &lt; 5,000</w:t>
      </w:r>
      <w:r w:rsidR="000E6381">
        <w:t xml:space="preserve">unique patients </w:t>
      </w:r>
      <w:r w:rsidR="001E4178">
        <w:t xml:space="preserve">that </w:t>
      </w:r>
      <w:r w:rsidR="000E6381">
        <w:t>had used tafamidis</w:t>
      </w:r>
      <w:r>
        <w:t xml:space="preserve"> </w:t>
      </w:r>
      <w:r w:rsidR="000E6381">
        <w:t xml:space="preserve">(refer to </w:t>
      </w:r>
      <w:r w:rsidRPr="00C17DC0">
        <w:fldChar w:fldCharType="begin"/>
      </w:r>
      <w:r w:rsidRPr="00C17DC0">
        <w:instrText xml:space="preserve"> REF _Ref219456995 \h  \* MERGEFORMAT </w:instrText>
      </w:r>
      <w:r w:rsidRPr="00C17DC0">
        <w:fldChar w:fldCharType="separate"/>
      </w:r>
      <w:r w:rsidR="00796A29" w:rsidRPr="00796A29">
        <w:t>Table</w:t>
      </w:r>
      <w:r w:rsidR="00796A29" w:rsidRPr="00796A29">
        <w:rPr>
          <w:noProof/>
        </w:rPr>
        <w:t xml:space="preserve"> 4</w:t>
      </w:r>
      <w:r w:rsidRPr="00C17DC0">
        <w:fldChar w:fldCharType="end"/>
      </w:r>
      <w:r w:rsidR="000E6381">
        <w:t>).</w:t>
      </w:r>
      <w:r>
        <w:t xml:space="preserve"> </w:t>
      </w:r>
      <w:r w:rsidR="008A050E" w:rsidRPr="008A050E">
        <w:t>For</w:t>
      </w:r>
      <w:r w:rsidR="005F4842" w:rsidRPr="008A050E">
        <w:t xml:space="preserve"> Year 2</w:t>
      </w:r>
      <w:r w:rsidR="008A050E" w:rsidRPr="008A050E">
        <w:t xml:space="preserve"> </w:t>
      </w:r>
      <w:r w:rsidR="00724B8B">
        <w:t>at time of analysis</w:t>
      </w:r>
      <w:r w:rsidR="008A050E" w:rsidRPr="008A050E">
        <w:t xml:space="preserve"> (i.e. from 1 May 2025 up to </w:t>
      </w:r>
      <w:r w:rsidR="00E71B5E">
        <w:t>31</w:t>
      </w:r>
      <w:r w:rsidR="008A050E" w:rsidRPr="008A050E">
        <w:t xml:space="preserve"> Dec 2025) there were </w:t>
      </w:r>
      <w:r w:rsidR="00EF0DF8" w:rsidRPr="00EF0DF8">
        <w:t>500 to &lt; 5,000</w:t>
      </w:r>
      <w:r w:rsidR="00073017">
        <w:t xml:space="preserve"> </w:t>
      </w:r>
      <w:r w:rsidR="008A050E" w:rsidRPr="008A050E">
        <w:t xml:space="preserve">patients in total, </w:t>
      </w:r>
      <w:r w:rsidR="00EF0DF8" w:rsidRPr="00EF0DF8">
        <w:t>500 to &lt; 5,000</w:t>
      </w:r>
      <w:r w:rsidR="008A050E" w:rsidRPr="008A050E">
        <w:t xml:space="preserve"> of these were initiating patients</w:t>
      </w:r>
      <w:r w:rsidR="00D0328A" w:rsidRPr="008A050E">
        <w:t>.</w:t>
      </w:r>
      <w:r w:rsidR="00D3631B" w:rsidRPr="008A050E">
        <w:t xml:space="preserve"> </w:t>
      </w:r>
      <w:r w:rsidR="00EE3031">
        <w:t>T</w:t>
      </w:r>
      <w:r w:rsidR="00632740">
        <w:t xml:space="preserve">he </w:t>
      </w:r>
      <w:r w:rsidR="00EE3031">
        <w:t>submission’s</w:t>
      </w:r>
      <w:r w:rsidR="00256F4A">
        <w:t xml:space="preserve"> estimate</w:t>
      </w:r>
      <w:r w:rsidR="00ED52B1">
        <w:t>d number of tafamidis</w:t>
      </w:r>
      <w:r w:rsidR="002D335C">
        <w:t>-treated patients</w:t>
      </w:r>
      <w:r w:rsidR="00A900F8">
        <w:t xml:space="preserve"> (all patients treated in a year)</w:t>
      </w:r>
      <w:r w:rsidR="002D335C">
        <w:t xml:space="preserve"> </w:t>
      </w:r>
      <w:r w:rsidR="00F763B7">
        <w:t xml:space="preserve">in Year 2 </w:t>
      </w:r>
      <w:r w:rsidR="001E4178">
        <w:t xml:space="preserve">was </w:t>
      </w:r>
      <w:r w:rsidR="00EF0DF8" w:rsidRPr="00EF0DF8">
        <w:t>500 to &lt; 5,000</w:t>
      </w:r>
      <w:r w:rsidR="00073017">
        <w:t xml:space="preserve"> </w:t>
      </w:r>
      <w:r w:rsidR="00EE3031">
        <w:t xml:space="preserve">(see </w:t>
      </w:r>
      <w:r w:rsidR="00256F4A">
        <w:fldChar w:fldCharType="begin"/>
      </w:r>
      <w:r w:rsidR="00256F4A">
        <w:instrText xml:space="preserve"> REF _Ref219457043 \h </w:instrText>
      </w:r>
      <w:r w:rsidR="00256F4A">
        <w:fldChar w:fldCharType="separate"/>
      </w:r>
      <w:r w:rsidR="00796A29">
        <w:t xml:space="preserve">Table </w:t>
      </w:r>
      <w:r w:rsidR="00796A29">
        <w:rPr>
          <w:noProof/>
        </w:rPr>
        <w:t>5</w:t>
      </w:r>
      <w:r w:rsidR="00256F4A">
        <w:fldChar w:fldCharType="end"/>
      </w:r>
      <w:r w:rsidR="001E4178">
        <w:t>)</w:t>
      </w:r>
      <w:r w:rsidR="00415591">
        <w:t>.</w:t>
      </w:r>
    </w:p>
    <w:p w14:paraId="0AE400C2" w14:textId="3A60E88D" w:rsidR="00217BEC" w:rsidRDefault="00DE1F5C" w:rsidP="00217BEC">
      <w:pPr>
        <w:pStyle w:val="3-BodyText"/>
      </w:pPr>
      <w:r>
        <w:fldChar w:fldCharType="begin"/>
      </w:r>
      <w:r>
        <w:instrText xml:space="preserve"> REF _Ref219457043 \h </w:instrText>
      </w:r>
      <w:r>
        <w:fldChar w:fldCharType="separate"/>
      </w:r>
      <w:r w:rsidR="00796A29">
        <w:t xml:space="preserve">Table </w:t>
      </w:r>
      <w:r w:rsidR="00796A29">
        <w:rPr>
          <w:noProof/>
        </w:rPr>
        <w:t>5</w:t>
      </w:r>
      <w:r>
        <w:fldChar w:fldCharType="end"/>
      </w:r>
      <w:r w:rsidR="00224452">
        <w:t xml:space="preserve"> </w:t>
      </w:r>
      <w:r w:rsidR="009546C2">
        <w:t>shows the sponsor’s estimate of the number of patients eligible for treat</w:t>
      </w:r>
      <w:r w:rsidR="0003306E">
        <w:t xml:space="preserve">ment </w:t>
      </w:r>
      <w:r w:rsidR="009546C2">
        <w:t>with tafamidis from</w:t>
      </w:r>
      <w:r w:rsidR="00666847">
        <w:t xml:space="preserve"> 1 May 2026 to 1 April 2030. </w:t>
      </w:r>
      <w:r w:rsidR="00ED5E07">
        <w:t xml:space="preserve">The </w:t>
      </w:r>
      <w:r w:rsidR="00791173">
        <w:t xml:space="preserve">percentage of patients </w:t>
      </w:r>
      <w:r w:rsidR="00000BFF">
        <w:t xml:space="preserve">treated with tafamidis </w:t>
      </w:r>
      <w:r w:rsidR="00ED5E07">
        <w:t>in years 2 to 6 w</w:t>
      </w:r>
      <w:r w:rsidR="00000BFF">
        <w:t xml:space="preserve">as </w:t>
      </w:r>
      <w:r w:rsidR="00ED5E07">
        <w:t>extrapolated from the</w:t>
      </w:r>
      <w:r w:rsidR="00791173">
        <w:t xml:space="preserve"> </w:t>
      </w:r>
      <w:r w:rsidR="00A54429">
        <w:t>actual patient number</w:t>
      </w:r>
      <w:r w:rsidR="00791173">
        <w:t xml:space="preserve"> in year 1</w:t>
      </w:r>
      <w:r w:rsidR="00000BFF">
        <w:t xml:space="preserve">, which was </w:t>
      </w:r>
      <w:r w:rsidR="006070D0" w:rsidRPr="006070D0">
        <w:t>500 to &lt; 5,000</w:t>
      </w:r>
      <w:r w:rsidR="00A54429">
        <w:t xml:space="preserve">(representing </w:t>
      </w:r>
      <w:r w:rsidR="004F5CF8" w:rsidRPr="004F5CF8">
        <w:rPr>
          <w:sz w:val="2"/>
          <w:highlight w:val="black"/>
        </w:rPr>
        <w:t>redacted content</w:t>
      </w:r>
      <w:r w:rsidR="00A54429">
        <w:t xml:space="preserve">% of patients with </w:t>
      </w:r>
      <w:r w:rsidR="00B03A49">
        <w:t>NYHA class I and II</w:t>
      </w:r>
      <w:r w:rsidR="00A54429">
        <w:t xml:space="preserve">). </w:t>
      </w:r>
    </w:p>
    <w:p w14:paraId="43DFC08F" w14:textId="002DE23C" w:rsidR="003F5AC0" w:rsidRDefault="00DE1F5C" w:rsidP="00796A29">
      <w:pPr>
        <w:pStyle w:val="Caption"/>
        <w:spacing w:before="240"/>
      </w:pPr>
      <w:bookmarkStart w:id="5" w:name="_Ref219457043"/>
      <w:r>
        <w:t xml:space="preserve">Table </w:t>
      </w:r>
      <w:r>
        <w:fldChar w:fldCharType="begin"/>
      </w:r>
      <w:r>
        <w:instrText>SEQ Table \* ARABIC</w:instrText>
      </w:r>
      <w:r>
        <w:fldChar w:fldCharType="separate"/>
      </w:r>
      <w:r w:rsidR="003C1818">
        <w:rPr>
          <w:noProof/>
        </w:rPr>
        <w:t>5</w:t>
      </w:r>
      <w:r>
        <w:fldChar w:fldCharType="end"/>
      </w:r>
      <w:bookmarkEnd w:id="5"/>
      <w:r w:rsidR="003F5AC0">
        <w:t xml:space="preserve">: </w:t>
      </w:r>
      <w:r w:rsidR="009765A8">
        <w:t>November 2025 submission e</w:t>
      </w:r>
      <w:r w:rsidR="003F5AC0">
        <w:t>st</w:t>
      </w:r>
      <w:r w:rsidR="007A2731">
        <w:t xml:space="preserve">imated </w:t>
      </w:r>
      <w:r w:rsidR="000541D9">
        <w:t xml:space="preserve">ATTR-CM prevalence </w:t>
      </w:r>
      <w:r w:rsidR="009765A8">
        <w:t>and tafamidis utilisation estimates</w:t>
      </w:r>
    </w:p>
    <w:tbl>
      <w:tblPr>
        <w:tblW w:w="50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5: November 2025 submission estimated ATTR-CM prevalence and tafamidis utilisation estimates"/>
      </w:tblPr>
      <w:tblGrid>
        <w:gridCol w:w="2123"/>
        <w:gridCol w:w="1156"/>
        <w:gridCol w:w="1155"/>
        <w:gridCol w:w="1155"/>
        <w:gridCol w:w="1155"/>
        <w:gridCol w:w="1155"/>
        <w:gridCol w:w="1155"/>
      </w:tblGrid>
      <w:tr w:rsidR="00FC3096" w:rsidRPr="00D07584" w14:paraId="60B2D651" w14:textId="77777777" w:rsidTr="00864654">
        <w:trPr>
          <w:trHeight w:val="331"/>
        </w:trPr>
        <w:tc>
          <w:tcPr>
            <w:tcW w:w="1172" w:type="pct"/>
          </w:tcPr>
          <w:p w14:paraId="4E0EAF24" w14:textId="77777777" w:rsidR="00FC3096" w:rsidRPr="00D07584" w:rsidRDefault="00FC3096" w:rsidP="00864654">
            <w:pPr>
              <w:pStyle w:val="TableText0"/>
              <w:rPr>
                <w:b/>
                <w:bCs w:val="0"/>
                <w:szCs w:val="20"/>
              </w:rPr>
            </w:pPr>
          </w:p>
        </w:tc>
        <w:tc>
          <w:tcPr>
            <w:tcW w:w="638" w:type="pct"/>
            <w:vAlign w:val="center"/>
          </w:tcPr>
          <w:p w14:paraId="45E98D64" w14:textId="43573E9E" w:rsidR="00FC3096" w:rsidRPr="00D07584" w:rsidRDefault="00FC3096" w:rsidP="00864654">
            <w:pPr>
              <w:pStyle w:val="TableText0"/>
              <w:rPr>
                <w:b/>
              </w:rPr>
            </w:pPr>
            <w:r w:rsidRPr="00D07584">
              <w:rPr>
                <w:b/>
              </w:rPr>
              <w:t>1 May 24 - 30 Apr 25</w:t>
            </w:r>
          </w:p>
        </w:tc>
        <w:tc>
          <w:tcPr>
            <w:tcW w:w="638" w:type="pct"/>
            <w:noWrap/>
            <w:vAlign w:val="center"/>
            <w:hideMark/>
          </w:tcPr>
          <w:p w14:paraId="2461E088" w14:textId="7CBBE59E" w:rsidR="00FC3096" w:rsidRPr="00D07584" w:rsidRDefault="00FC3096" w:rsidP="00864654">
            <w:pPr>
              <w:pStyle w:val="TableText0"/>
              <w:rPr>
                <w:b/>
              </w:rPr>
            </w:pPr>
            <w:r w:rsidRPr="00D07584">
              <w:rPr>
                <w:b/>
              </w:rPr>
              <w:t>1 May 25 - 30 Apr 26</w:t>
            </w:r>
          </w:p>
        </w:tc>
        <w:tc>
          <w:tcPr>
            <w:tcW w:w="638" w:type="pct"/>
            <w:noWrap/>
            <w:vAlign w:val="center"/>
            <w:hideMark/>
          </w:tcPr>
          <w:p w14:paraId="59EF7CD3" w14:textId="609EFBB9" w:rsidR="00FC3096" w:rsidRPr="00D07584" w:rsidRDefault="00FC3096" w:rsidP="00864654">
            <w:pPr>
              <w:pStyle w:val="TableText0"/>
              <w:rPr>
                <w:b/>
              </w:rPr>
            </w:pPr>
            <w:r w:rsidRPr="00D07584">
              <w:rPr>
                <w:b/>
              </w:rPr>
              <w:t>1 May 26 - 30 Apr 27</w:t>
            </w:r>
          </w:p>
        </w:tc>
        <w:tc>
          <w:tcPr>
            <w:tcW w:w="638" w:type="pct"/>
            <w:noWrap/>
            <w:vAlign w:val="center"/>
            <w:hideMark/>
          </w:tcPr>
          <w:p w14:paraId="53948610" w14:textId="1C62BF05" w:rsidR="00FC3096" w:rsidRPr="00D07584" w:rsidRDefault="00FC3096" w:rsidP="00864654">
            <w:pPr>
              <w:pStyle w:val="TableText0"/>
              <w:rPr>
                <w:b/>
              </w:rPr>
            </w:pPr>
            <w:r w:rsidRPr="00D07584">
              <w:rPr>
                <w:b/>
              </w:rPr>
              <w:t>1 May 27 - 30 Apr 28</w:t>
            </w:r>
          </w:p>
        </w:tc>
        <w:tc>
          <w:tcPr>
            <w:tcW w:w="638" w:type="pct"/>
            <w:vAlign w:val="center"/>
          </w:tcPr>
          <w:p w14:paraId="03E804BC" w14:textId="1F38F130" w:rsidR="00FC3096" w:rsidRPr="00D07584" w:rsidRDefault="00FC3096" w:rsidP="00864654">
            <w:pPr>
              <w:pStyle w:val="TableText0"/>
              <w:rPr>
                <w:b/>
              </w:rPr>
            </w:pPr>
            <w:r w:rsidRPr="00D07584">
              <w:rPr>
                <w:b/>
              </w:rPr>
              <w:t>1 May 28 - 30 Apr 29</w:t>
            </w:r>
          </w:p>
        </w:tc>
        <w:tc>
          <w:tcPr>
            <w:tcW w:w="638" w:type="pct"/>
            <w:vAlign w:val="center"/>
          </w:tcPr>
          <w:p w14:paraId="770A4981" w14:textId="7985ABC0" w:rsidR="00FC3096" w:rsidRPr="00D07584" w:rsidRDefault="00FC3096" w:rsidP="00864654">
            <w:pPr>
              <w:pStyle w:val="TableText0"/>
              <w:rPr>
                <w:b/>
              </w:rPr>
            </w:pPr>
            <w:r w:rsidRPr="00D07584">
              <w:rPr>
                <w:b/>
              </w:rPr>
              <w:t>1 May 29 - 30 Apr 30</w:t>
            </w:r>
          </w:p>
        </w:tc>
      </w:tr>
      <w:tr w:rsidR="00FC3096" w:rsidRPr="00D07584" w14:paraId="0D6C49CE" w14:textId="77777777" w:rsidTr="00864654">
        <w:trPr>
          <w:trHeight w:val="331"/>
        </w:trPr>
        <w:tc>
          <w:tcPr>
            <w:tcW w:w="1172" w:type="pct"/>
          </w:tcPr>
          <w:p w14:paraId="47D4D664" w14:textId="515FB838" w:rsidR="00FC3096" w:rsidRPr="00D07584" w:rsidRDefault="00FC3096" w:rsidP="00864654">
            <w:pPr>
              <w:pStyle w:val="TableText0"/>
              <w:rPr>
                <w:b/>
              </w:rPr>
            </w:pPr>
            <w:r w:rsidRPr="00D07584">
              <w:rPr>
                <w:b/>
              </w:rPr>
              <w:t>Patients with ATTR-CM</w:t>
            </w:r>
          </w:p>
        </w:tc>
        <w:tc>
          <w:tcPr>
            <w:tcW w:w="638" w:type="pct"/>
          </w:tcPr>
          <w:p w14:paraId="0A663CC6" w14:textId="7821EFD9" w:rsidR="00FC3096" w:rsidRPr="00AC312A" w:rsidRDefault="004F5CF8" w:rsidP="00864654">
            <w:pPr>
              <w:pStyle w:val="TableText0"/>
              <w:jc w:val="center"/>
              <w:rPr>
                <w:szCs w:val="20"/>
                <w:highlight w:val="lightGray"/>
              </w:rPr>
            </w:pPr>
            <w:r w:rsidRPr="004F5CF8">
              <w:rPr>
                <w:sz w:val="2"/>
                <w:szCs w:val="20"/>
                <w:highlight w:val="black"/>
              </w:rPr>
              <w:t>redacted content</w:t>
            </w:r>
            <w:r w:rsidR="0073273D" w:rsidRPr="00AC312A">
              <w:rPr>
                <w:szCs w:val="20"/>
                <w:vertAlign w:val="superscript"/>
              </w:rPr>
              <w:t>3</w:t>
            </w:r>
          </w:p>
        </w:tc>
        <w:tc>
          <w:tcPr>
            <w:tcW w:w="638" w:type="pct"/>
            <w:noWrap/>
          </w:tcPr>
          <w:p w14:paraId="4B31828F" w14:textId="6BB836AC" w:rsidR="00FC3096" w:rsidRPr="00AC312A" w:rsidRDefault="004F5CF8" w:rsidP="00864654">
            <w:pPr>
              <w:pStyle w:val="TableText0"/>
              <w:jc w:val="center"/>
              <w:rPr>
                <w:highlight w:val="lightGray"/>
              </w:rPr>
            </w:pPr>
            <w:r w:rsidRPr="004F5CF8">
              <w:rPr>
                <w:sz w:val="2"/>
                <w:szCs w:val="20"/>
                <w:highlight w:val="black"/>
              </w:rPr>
              <w:t>redacted content</w:t>
            </w:r>
            <w:r w:rsidR="0073273D" w:rsidRPr="00AC312A">
              <w:rPr>
                <w:szCs w:val="20"/>
                <w:vertAlign w:val="superscript"/>
              </w:rPr>
              <w:t>3</w:t>
            </w:r>
          </w:p>
        </w:tc>
        <w:tc>
          <w:tcPr>
            <w:tcW w:w="638" w:type="pct"/>
            <w:noWrap/>
          </w:tcPr>
          <w:p w14:paraId="456A85AF" w14:textId="143EC700" w:rsidR="00FC3096" w:rsidRPr="00AC312A" w:rsidRDefault="004F5CF8" w:rsidP="00864654">
            <w:pPr>
              <w:pStyle w:val="TableText0"/>
              <w:jc w:val="center"/>
              <w:rPr>
                <w:highlight w:val="lightGray"/>
              </w:rPr>
            </w:pPr>
            <w:r w:rsidRPr="004F5CF8">
              <w:rPr>
                <w:sz w:val="2"/>
                <w:szCs w:val="20"/>
                <w:highlight w:val="black"/>
              </w:rPr>
              <w:t>redacted content</w:t>
            </w:r>
            <w:r w:rsidR="0073273D" w:rsidRPr="00AC312A">
              <w:rPr>
                <w:szCs w:val="20"/>
                <w:vertAlign w:val="superscript"/>
              </w:rPr>
              <w:t>3</w:t>
            </w:r>
          </w:p>
        </w:tc>
        <w:tc>
          <w:tcPr>
            <w:tcW w:w="638" w:type="pct"/>
            <w:noWrap/>
          </w:tcPr>
          <w:p w14:paraId="22976D55" w14:textId="084702B6" w:rsidR="00FC3096" w:rsidRPr="00AC312A" w:rsidRDefault="004F5CF8" w:rsidP="00864654">
            <w:pPr>
              <w:pStyle w:val="TableText0"/>
              <w:jc w:val="center"/>
              <w:rPr>
                <w:highlight w:val="lightGray"/>
              </w:rPr>
            </w:pPr>
            <w:r w:rsidRPr="004F5CF8">
              <w:rPr>
                <w:sz w:val="2"/>
                <w:szCs w:val="20"/>
                <w:highlight w:val="black"/>
              </w:rPr>
              <w:t>redacted content</w:t>
            </w:r>
            <w:r w:rsidR="0073273D" w:rsidRPr="00AC312A">
              <w:rPr>
                <w:szCs w:val="20"/>
                <w:vertAlign w:val="superscript"/>
              </w:rPr>
              <w:t>3</w:t>
            </w:r>
          </w:p>
        </w:tc>
        <w:tc>
          <w:tcPr>
            <w:tcW w:w="638" w:type="pct"/>
          </w:tcPr>
          <w:p w14:paraId="264A18CB" w14:textId="5340EFB9" w:rsidR="00FC3096" w:rsidRPr="00AC312A" w:rsidRDefault="004F5CF8" w:rsidP="00864654">
            <w:pPr>
              <w:pStyle w:val="TableText0"/>
              <w:jc w:val="center"/>
              <w:rPr>
                <w:highlight w:val="lightGray"/>
              </w:rPr>
            </w:pPr>
            <w:r w:rsidRPr="004F5CF8">
              <w:rPr>
                <w:sz w:val="2"/>
                <w:szCs w:val="20"/>
                <w:highlight w:val="black"/>
              </w:rPr>
              <w:t>redacted content</w:t>
            </w:r>
            <w:r w:rsidR="0073273D" w:rsidRPr="00AC312A">
              <w:rPr>
                <w:szCs w:val="20"/>
                <w:vertAlign w:val="superscript"/>
              </w:rPr>
              <w:t>3</w:t>
            </w:r>
          </w:p>
        </w:tc>
        <w:tc>
          <w:tcPr>
            <w:tcW w:w="638" w:type="pct"/>
          </w:tcPr>
          <w:p w14:paraId="03A5DF18" w14:textId="2145A6EB" w:rsidR="00FC3096" w:rsidRPr="00AC312A" w:rsidRDefault="004F5CF8" w:rsidP="00864654">
            <w:pPr>
              <w:pStyle w:val="TableText0"/>
              <w:jc w:val="center"/>
              <w:rPr>
                <w:highlight w:val="lightGray"/>
              </w:rPr>
            </w:pPr>
            <w:r w:rsidRPr="004F5CF8">
              <w:rPr>
                <w:sz w:val="2"/>
                <w:highlight w:val="black"/>
              </w:rPr>
              <w:t>redacted content</w:t>
            </w:r>
            <w:r w:rsidR="0073273D" w:rsidRPr="00AC312A">
              <w:rPr>
                <w:szCs w:val="20"/>
                <w:vertAlign w:val="superscript"/>
              </w:rPr>
              <w:t>3</w:t>
            </w:r>
          </w:p>
        </w:tc>
      </w:tr>
      <w:tr w:rsidR="00FC3096" w:rsidRPr="00D07584" w14:paraId="5EE037DC" w14:textId="77777777" w:rsidTr="00864654">
        <w:trPr>
          <w:trHeight w:val="331"/>
        </w:trPr>
        <w:tc>
          <w:tcPr>
            <w:tcW w:w="1172" w:type="pct"/>
          </w:tcPr>
          <w:p w14:paraId="0E580C27" w14:textId="7A4EA3B1" w:rsidR="00FC3096" w:rsidRPr="00D07584" w:rsidRDefault="00E62181" w:rsidP="00864654">
            <w:pPr>
              <w:pStyle w:val="TableText0"/>
              <w:rPr>
                <w:b/>
              </w:rPr>
            </w:pPr>
            <w:r>
              <w:rPr>
                <w:b/>
                <w:bCs w:val="0"/>
                <w:szCs w:val="20"/>
              </w:rPr>
              <w:t>% patients</w:t>
            </w:r>
            <w:r w:rsidR="00FC3096" w:rsidRPr="00D07584">
              <w:rPr>
                <w:b/>
                <w:bCs w:val="0"/>
                <w:szCs w:val="20"/>
              </w:rPr>
              <w:t xml:space="preserve"> with NYHA class I</w:t>
            </w:r>
            <w:r>
              <w:rPr>
                <w:b/>
                <w:bCs w:val="0"/>
                <w:szCs w:val="20"/>
              </w:rPr>
              <w:t xml:space="preserve"> and</w:t>
            </w:r>
            <w:r w:rsidR="00A138DE">
              <w:rPr>
                <w:b/>
                <w:bCs w:val="0"/>
                <w:szCs w:val="20"/>
              </w:rPr>
              <w:t xml:space="preserve"> </w:t>
            </w:r>
            <w:r w:rsidR="00FC3096" w:rsidRPr="00D07584">
              <w:rPr>
                <w:b/>
                <w:bCs w:val="0"/>
                <w:szCs w:val="20"/>
              </w:rPr>
              <w:t xml:space="preserve">II </w:t>
            </w:r>
            <w:r>
              <w:rPr>
                <w:b/>
                <w:bCs w:val="0"/>
                <w:szCs w:val="20"/>
              </w:rPr>
              <w:t>H</w:t>
            </w:r>
            <w:r w:rsidR="00A138DE">
              <w:rPr>
                <w:b/>
                <w:bCs w:val="0"/>
                <w:szCs w:val="20"/>
              </w:rPr>
              <w:t>FpEF</w:t>
            </w:r>
          </w:p>
        </w:tc>
        <w:tc>
          <w:tcPr>
            <w:tcW w:w="638" w:type="pct"/>
          </w:tcPr>
          <w:p w14:paraId="5363A752" w14:textId="7E7A63E5" w:rsidR="00FC3096" w:rsidRPr="00AC312A" w:rsidRDefault="004F5CF8" w:rsidP="00864654">
            <w:pPr>
              <w:pStyle w:val="TableText0"/>
              <w:jc w:val="center"/>
              <w:rPr>
                <w:szCs w:val="20"/>
                <w:highlight w:val="lightGray"/>
              </w:rPr>
            </w:pPr>
            <w:r w:rsidRPr="004F5CF8">
              <w:rPr>
                <w:sz w:val="2"/>
                <w:szCs w:val="20"/>
                <w:highlight w:val="black"/>
              </w:rPr>
              <w:t>redacted content</w:t>
            </w:r>
            <w:r w:rsidR="00AC312A" w:rsidRPr="00AC312A">
              <w:rPr>
                <w:szCs w:val="20"/>
              </w:rPr>
              <w:t>%</w:t>
            </w:r>
          </w:p>
        </w:tc>
        <w:tc>
          <w:tcPr>
            <w:tcW w:w="638" w:type="pct"/>
            <w:noWrap/>
          </w:tcPr>
          <w:p w14:paraId="62D6DD01" w14:textId="0889908B" w:rsidR="00FC3096" w:rsidRPr="00AC312A" w:rsidRDefault="004F5CF8" w:rsidP="00864654">
            <w:pPr>
              <w:pStyle w:val="TableText0"/>
              <w:jc w:val="center"/>
              <w:rPr>
                <w:highlight w:val="lightGray"/>
              </w:rPr>
            </w:pPr>
            <w:r w:rsidRPr="004F5CF8">
              <w:rPr>
                <w:sz w:val="2"/>
                <w:szCs w:val="20"/>
                <w:highlight w:val="black"/>
              </w:rPr>
              <w:t>redacted content</w:t>
            </w:r>
            <w:r w:rsidR="00AC312A" w:rsidRPr="00AC312A">
              <w:rPr>
                <w:szCs w:val="20"/>
              </w:rPr>
              <w:t>%</w:t>
            </w:r>
          </w:p>
        </w:tc>
        <w:tc>
          <w:tcPr>
            <w:tcW w:w="638" w:type="pct"/>
            <w:noWrap/>
          </w:tcPr>
          <w:p w14:paraId="67E948FA" w14:textId="2562CA1F" w:rsidR="00FC3096" w:rsidRPr="00AC312A" w:rsidRDefault="004F5CF8" w:rsidP="00864654">
            <w:pPr>
              <w:pStyle w:val="TableText0"/>
              <w:jc w:val="center"/>
              <w:rPr>
                <w:highlight w:val="lightGray"/>
              </w:rPr>
            </w:pPr>
            <w:r w:rsidRPr="004F5CF8">
              <w:rPr>
                <w:sz w:val="2"/>
                <w:szCs w:val="20"/>
                <w:highlight w:val="black"/>
              </w:rPr>
              <w:t>redacted content</w:t>
            </w:r>
            <w:r w:rsidR="00AC312A" w:rsidRPr="00AC312A">
              <w:rPr>
                <w:szCs w:val="20"/>
              </w:rPr>
              <w:t>%</w:t>
            </w:r>
          </w:p>
        </w:tc>
        <w:tc>
          <w:tcPr>
            <w:tcW w:w="638" w:type="pct"/>
            <w:noWrap/>
          </w:tcPr>
          <w:p w14:paraId="7BA181F2" w14:textId="045B0946" w:rsidR="00FC3096" w:rsidRPr="00AC312A" w:rsidRDefault="004F5CF8" w:rsidP="00864654">
            <w:pPr>
              <w:pStyle w:val="TableText0"/>
              <w:jc w:val="center"/>
              <w:rPr>
                <w:highlight w:val="lightGray"/>
              </w:rPr>
            </w:pPr>
            <w:r w:rsidRPr="004F5CF8">
              <w:rPr>
                <w:sz w:val="2"/>
                <w:szCs w:val="20"/>
                <w:highlight w:val="black"/>
              </w:rPr>
              <w:t>redacted content</w:t>
            </w:r>
            <w:r w:rsidR="00AC312A" w:rsidRPr="00AC312A">
              <w:rPr>
                <w:szCs w:val="20"/>
              </w:rPr>
              <w:t>%</w:t>
            </w:r>
          </w:p>
        </w:tc>
        <w:tc>
          <w:tcPr>
            <w:tcW w:w="638" w:type="pct"/>
          </w:tcPr>
          <w:p w14:paraId="7E032D07" w14:textId="3CA72DC5" w:rsidR="00FC3096" w:rsidRPr="00AC312A" w:rsidRDefault="004F5CF8" w:rsidP="00864654">
            <w:pPr>
              <w:pStyle w:val="TableText0"/>
              <w:jc w:val="center"/>
              <w:rPr>
                <w:highlight w:val="lightGray"/>
              </w:rPr>
            </w:pPr>
            <w:r w:rsidRPr="004F5CF8">
              <w:rPr>
                <w:sz w:val="2"/>
                <w:szCs w:val="20"/>
                <w:highlight w:val="black"/>
              </w:rPr>
              <w:t>redacted content</w:t>
            </w:r>
            <w:r w:rsidR="00AC312A" w:rsidRPr="00AC312A">
              <w:rPr>
                <w:szCs w:val="20"/>
              </w:rPr>
              <w:t>%</w:t>
            </w:r>
          </w:p>
        </w:tc>
        <w:tc>
          <w:tcPr>
            <w:tcW w:w="638" w:type="pct"/>
          </w:tcPr>
          <w:p w14:paraId="5AE35928" w14:textId="642A0787" w:rsidR="00FC3096" w:rsidRPr="00AC312A" w:rsidRDefault="004F5CF8" w:rsidP="00864654">
            <w:pPr>
              <w:pStyle w:val="TableText0"/>
              <w:jc w:val="center"/>
              <w:rPr>
                <w:highlight w:val="lightGray"/>
              </w:rPr>
            </w:pPr>
            <w:r w:rsidRPr="004F5CF8">
              <w:rPr>
                <w:sz w:val="2"/>
                <w:szCs w:val="20"/>
                <w:highlight w:val="black"/>
              </w:rPr>
              <w:t>redacted content</w:t>
            </w:r>
            <w:r w:rsidR="00AC312A" w:rsidRPr="00AC312A">
              <w:rPr>
                <w:szCs w:val="20"/>
              </w:rPr>
              <w:t>%</w:t>
            </w:r>
          </w:p>
        </w:tc>
      </w:tr>
      <w:tr w:rsidR="00FC3096" w:rsidRPr="00D07584" w14:paraId="31AD3253" w14:textId="77777777" w:rsidTr="00864654">
        <w:trPr>
          <w:trHeight w:val="331"/>
        </w:trPr>
        <w:tc>
          <w:tcPr>
            <w:tcW w:w="1172" w:type="pct"/>
          </w:tcPr>
          <w:p w14:paraId="5ACBD514" w14:textId="1A5263A0" w:rsidR="00FC3096" w:rsidRPr="00D07584" w:rsidRDefault="00A138DE" w:rsidP="00864654">
            <w:pPr>
              <w:pStyle w:val="TableText0"/>
              <w:rPr>
                <w:b/>
              </w:rPr>
            </w:pPr>
            <w:r w:rsidRPr="00A138DE">
              <w:rPr>
                <w:b/>
                <w:bCs w:val="0"/>
                <w:szCs w:val="20"/>
              </w:rPr>
              <w:t>Number of patients with NYHA class I and II HFpEF</w:t>
            </w:r>
          </w:p>
        </w:tc>
        <w:tc>
          <w:tcPr>
            <w:tcW w:w="638" w:type="pct"/>
          </w:tcPr>
          <w:p w14:paraId="7A15B3B6" w14:textId="4501EB04" w:rsidR="00FC3096" w:rsidRPr="004F5CF8" w:rsidRDefault="004F5CF8" w:rsidP="00864654">
            <w:pPr>
              <w:pStyle w:val="TableText0"/>
              <w:jc w:val="center"/>
              <w:rPr>
                <w:szCs w:val="20"/>
                <w:vertAlign w:val="superscript"/>
              </w:rPr>
            </w:pPr>
            <w:r w:rsidRPr="004F5CF8">
              <w:rPr>
                <w:sz w:val="2"/>
                <w:szCs w:val="20"/>
                <w:highlight w:val="black"/>
              </w:rPr>
              <w:t>redacted content</w:t>
            </w:r>
            <w:r w:rsidR="0073273D" w:rsidRPr="00AC312A">
              <w:rPr>
                <w:szCs w:val="20"/>
                <w:vertAlign w:val="superscript"/>
              </w:rPr>
              <w:t>2</w:t>
            </w:r>
          </w:p>
        </w:tc>
        <w:tc>
          <w:tcPr>
            <w:tcW w:w="638" w:type="pct"/>
            <w:noWrap/>
          </w:tcPr>
          <w:p w14:paraId="58BA3828" w14:textId="596CB72E" w:rsidR="00FC3096" w:rsidRPr="004F5CF8" w:rsidRDefault="004F5CF8" w:rsidP="00864654">
            <w:pPr>
              <w:pStyle w:val="TableText0"/>
              <w:jc w:val="center"/>
              <w:rPr>
                <w:vertAlign w:val="superscript"/>
              </w:rPr>
            </w:pPr>
            <w:r w:rsidRPr="004F5CF8">
              <w:rPr>
                <w:sz w:val="2"/>
                <w:szCs w:val="20"/>
                <w:highlight w:val="black"/>
              </w:rPr>
              <w:t>redacted content</w:t>
            </w:r>
            <w:r w:rsidR="0073273D" w:rsidRPr="00AC312A">
              <w:rPr>
                <w:szCs w:val="20"/>
                <w:vertAlign w:val="superscript"/>
              </w:rPr>
              <w:t>2</w:t>
            </w:r>
          </w:p>
        </w:tc>
        <w:tc>
          <w:tcPr>
            <w:tcW w:w="638" w:type="pct"/>
            <w:noWrap/>
          </w:tcPr>
          <w:p w14:paraId="7B0932D7" w14:textId="62B09F9E" w:rsidR="00FC3096" w:rsidRPr="004F5CF8" w:rsidRDefault="004F5CF8" w:rsidP="00864654">
            <w:pPr>
              <w:pStyle w:val="TableText0"/>
              <w:jc w:val="center"/>
              <w:rPr>
                <w:vertAlign w:val="superscript"/>
              </w:rPr>
            </w:pPr>
            <w:r w:rsidRPr="004F5CF8">
              <w:rPr>
                <w:sz w:val="2"/>
                <w:szCs w:val="20"/>
                <w:highlight w:val="black"/>
              </w:rPr>
              <w:t>redacted content</w:t>
            </w:r>
            <w:r w:rsidR="0073273D" w:rsidRPr="00AC312A">
              <w:rPr>
                <w:szCs w:val="20"/>
                <w:vertAlign w:val="superscript"/>
              </w:rPr>
              <w:t>2</w:t>
            </w:r>
          </w:p>
        </w:tc>
        <w:tc>
          <w:tcPr>
            <w:tcW w:w="638" w:type="pct"/>
            <w:noWrap/>
          </w:tcPr>
          <w:p w14:paraId="2AF059EB" w14:textId="671B9054" w:rsidR="00FC3096" w:rsidRPr="004F5CF8" w:rsidRDefault="004F5CF8" w:rsidP="00864654">
            <w:pPr>
              <w:pStyle w:val="TableText0"/>
              <w:jc w:val="center"/>
              <w:rPr>
                <w:vertAlign w:val="superscript"/>
              </w:rPr>
            </w:pPr>
            <w:r w:rsidRPr="004F5CF8">
              <w:rPr>
                <w:sz w:val="2"/>
                <w:szCs w:val="20"/>
                <w:highlight w:val="black"/>
              </w:rPr>
              <w:t>redacted content</w:t>
            </w:r>
            <w:r w:rsidR="0073273D" w:rsidRPr="00AC312A">
              <w:rPr>
                <w:szCs w:val="20"/>
                <w:vertAlign w:val="superscript"/>
              </w:rPr>
              <w:t>2</w:t>
            </w:r>
          </w:p>
        </w:tc>
        <w:tc>
          <w:tcPr>
            <w:tcW w:w="638" w:type="pct"/>
          </w:tcPr>
          <w:p w14:paraId="61B650EE" w14:textId="7C47828C" w:rsidR="00FC3096" w:rsidRPr="004F5CF8" w:rsidRDefault="004F5CF8" w:rsidP="00864654">
            <w:pPr>
              <w:pStyle w:val="TableText0"/>
              <w:jc w:val="center"/>
              <w:rPr>
                <w:vertAlign w:val="superscript"/>
              </w:rPr>
            </w:pPr>
            <w:r w:rsidRPr="004F5CF8">
              <w:rPr>
                <w:sz w:val="2"/>
                <w:szCs w:val="20"/>
                <w:highlight w:val="black"/>
              </w:rPr>
              <w:t>redacted content</w:t>
            </w:r>
            <w:r w:rsidR="0073273D" w:rsidRPr="00AC312A">
              <w:rPr>
                <w:szCs w:val="20"/>
                <w:vertAlign w:val="superscript"/>
              </w:rPr>
              <w:t>3</w:t>
            </w:r>
          </w:p>
        </w:tc>
        <w:tc>
          <w:tcPr>
            <w:tcW w:w="638" w:type="pct"/>
          </w:tcPr>
          <w:p w14:paraId="2A4B9C05" w14:textId="608EA420" w:rsidR="00FC3096" w:rsidRPr="00AC312A" w:rsidRDefault="004F5CF8" w:rsidP="00864654">
            <w:pPr>
              <w:pStyle w:val="TableText0"/>
              <w:jc w:val="center"/>
              <w:rPr>
                <w:highlight w:val="lightGray"/>
              </w:rPr>
            </w:pPr>
            <w:r w:rsidRPr="004F5CF8">
              <w:rPr>
                <w:sz w:val="2"/>
                <w:highlight w:val="black"/>
              </w:rPr>
              <w:t>redacted content</w:t>
            </w:r>
            <w:r w:rsidR="0073273D" w:rsidRPr="00AC312A">
              <w:rPr>
                <w:szCs w:val="20"/>
                <w:vertAlign w:val="superscript"/>
              </w:rPr>
              <w:t>3</w:t>
            </w:r>
          </w:p>
        </w:tc>
      </w:tr>
      <w:tr w:rsidR="00FC3096" w:rsidRPr="00D07584" w14:paraId="369BDA46" w14:textId="77777777" w:rsidTr="00864654">
        <w:trPr>
          <w:trHeight w:val="331"/>
        </w:trPr>
        <w:tc>
          <w:tcPr>
            <w:tcW w:w="1172" w:type="pct"/>
          </w:tcPr>
          <w:p w14:paraId="3CFBC290" w14:textId="79D3BF91" w:rsidR="00FC3096" w:rsidRPr="00D07584" w:rsidRDefault="002E7D0E" w:rsidP="00864654">
            <w:pPr>
              <w:pStyle w:val="TableText0"/>
              <w:rPr>
                <w:b/>
                <w:bCs w:val="0"/>
                <w:szCs w:val="20"/>
              </w:rPr>
            </w:pPr>
            <w:r w:rsidRPr="002E7D0E">
              <w:rPr>
                <w:b/>
                <w:bCs w:val="0"/>
                <w:szCs w:val="20"/>
              </w:rPr>
              <w:t>Percentage of tafamidis-treated patients</w:t>
            </w:r>
          </w:p>
        </w:tc>
        <w:tc>
          <w:tcPr>
            <w:tcW w:w="638" w:type="pct"/>
          </w:tcPr>
          <w:p w14:paraId="6F83B1F0" w14:textId="0B3AAED8" w:rsidR="004F5CF8" w:rsidRPr="004F5CF8" w:rsidRDefault="004F5CF8" w:rsidP="00864654">
            <w:pPr>
              <w:pStyle w:val="TableText0"/>
              <w:jc w:val="center"/>
              <w:rPr>
                <w:szCs w:val="20"/>
              </w:rPr>
            </w:pPr>
            <w:r w:rsidRPr="004F5CF8">
              <w:rPr>
                <w:sz w:val="2"/>
                <w:szCs w:val="20"/>
                <w:highlight w:val="black"/>
              </w:rPr>
              <w:t>redacted content</w:t>
            </w:r>
            <w:r w:rsidR="00AC312A" w:rsidRPr="00AC312A">
              <w:rPr>
                <w:szCs w:val="20"/>
              </w:rPr>
              <w:t>%</w:t>
            </w:r>
          </w:p>
          <w:p w14:paraId="11C7A498" w14:textId="76E5F8B8" w:rsidR="00FC3096" w:rsidRPr="00AC312A" w:rsidRDefault="00FC3096" w:rsidP="00864654">
            <w:pPr>
              <w:pStyle w:val="TableText0"/>
              <w:jc w:val="center"/>
              <w:rPr>
                <w:szCs w:val="20"/>
                <w:highlight w:val="lightGray"/>
              </w:rPr>
            </w:pPr>
          </w:p>
        </w:tc>
        <w:tc>
          <w:tcPr>
            <w:tcW w:w="638" w:type="pct"/>
            <w:noWrap/>
          </w:tcPr>
          <w:p w14:paraId="7F84E788" w14:textId="216AF768" w:rsidR="004F5CF8" w:rsidRPr="004F5CF8" w:rsidRDefault="004F5CF8" w:rsidP="00864654">
            <w:pPr>
              <w:pStyle w:val="TableText0"/>
              <w:jc w:val="center"/>
              <w:rPr>
                <w:szCs w:val="20"/>
              </w:rPr>
            </w:pPr>
            <w:r w:rsidRPr="004F5CF8">
              <w:rPr>
                <w:sz w:val="2"/>
                <w:szCs w:val="20"/>
                <w:highlight w:val="black"/>
              </w:rPr>
              <w:t>redacted content</w:t>
            </w:r>
            <w:r w:rsidR="00AC312A" w:rsidRPr="00AC312A">
              <w:rPr>
                <w:szCs w:val="20"/>
              </w:rPr>
              <w:t>%</w:t>
            </w:r>
          </w:p>
          <w:p w14:paraId="2163D19A" w14:textId="09FB0F41" w:rsidR="00FC3096" w:rsidRPr="00AC312A" w:rsidRDefault="00FC3096" w:rsidP="00864654">
            <w:pPr>
              <w:pStyle w:val="TableText0"/>
              <w:jc w:val="center"/>
              <w:rPr>
                <w:szCs w:val="20"/>
                <w:highlight w:val="lightGray"/>
              </w:rPr>
            </w:pPr>
          </w:p>
        </w:tc>
        <w:tc>
          <w:tcPr>
            <w:tcW w:w="638" w:type="pct"/>
            <w:noWrap/>
          </w:tcPr>
          <w:p w14:paraId="1ADE7974" w14:textId="279DF1BA" w:rsidR="004F5CF8" w:rsidRPr="004F5CF8" w:rsidRDefault="004F5CF8" w:rsidP="00864654">
            <w:pPr>
              <w:pStyle w:val="TableText0"/>
              <w:jc w:val="center"/>
              <w:rPr>
                <w:szCs w:val="20"/>
              </w:rPr>
            </w:pPr>
            <w:r w:rsidRPr="004F5CF8">
              <w:rPr>
                <w:sz w:val="2"/>
                <w:szCs w:val="20"/>
                <w:highlight w:val="black"/>
              </w:rPr>
              <w:t>redacted content</w:t>
            </w:r>
            <w:r w:rsidR="00AC312A" w:rsidRPr="00AC312A">
              <w:rPr>
                <w:szCs w:val="20"/>
              </w:rPr>
              <w:t>%</w:t>
            </w:r>
          </w:p>
          <w:p w14:paraId="0D6CB8C5" w14:textId="50A31160" w:rsidR="00FC3096" w:rsidRPr="00AC312A" w:rsidRDefault="00FC3096" w:rsidP="00864654">
            <w:pPr>
              <w:pStyle w:val="TableText0"/>
              <w:jc w:val="center"/>
              <w:rPr>
                <w:szCs w:val="20"/>
                <w:highlight w:val="lightGray"/>
              </w:rPr>
            </w:pPr>
          </w:p>
        </w:tc>
        <w:tc>
          <w:tcPr>
            <w:tcW w:w="638" w:type="pct"/>
            <w:noWrap/>
          </w:tcPr>
          <w:p w14:paraId="2B4617D7" w14:textId="0436D668" w:rsidR="004F5CF8" w:rsidRPr="004F5CF8" w:rsidRDefault="004F5CF8" w:rsidP="00864654">
            <w:pPr>
              <w:pStyle w:val="TableText0"/>
              <w:jc w:val="center"/>
              <w:rPr>
                <w:szCs w:val="20"/>
              </w:rPr>
            </w:pPr>
            <w:r w:rsidRPr="004F5CF8">
              <w:rPr>
                <w:sz w:val="2"/>
                <w:szCs w:val="20"/>
                <w:highlight w:val="black"/>
              </w:rPr>
              <w:t>redacted content</w:t>
            </w:r>
            <w:r w:rsidR="00AC312A" w:rsidRPr="00AC312A">
              <w:rPr>
                <w:szCs w:val="20"/>
              </w:rPr>
              <w:t>%</w:t>
            </w:r>
          </w:p>
          <w:p w14:paraId="1EF91D68" w14:textId="47FC0B30" w:rsidR="00FC3096" w:rsidRPr="00AC312A" w:rsidRDefault="00FC3096" w:rsidP="00864654">
            <w:pPr>
              <w:pStyle w:val="TableText0"/>
              <w:jc w:val="center"/>
              <w:rPr>
                <w:szCs w:val="20"/>
                <w:highlight w:val="lightGray"/>
              </w:rPr>
            </w:pPr>
          </w:p>
        </w:tc>
        <w:tc>
          <w:tcPr>
            <w:tcW w:w="638" w:type="pct"/>
          </w:tcPr>
          <w:p w14:paraId="66BD8973" w14:textId="1A3F97AC" w:rsidR="004F5CF8" w:rsidRPr="004F5CF8" w:rsidRDefault="004F5CF8" w:rsidP="00864654">
            <w:pPr>
              <w:pStyle w:val="TableText0"/>
              <w:jc w:val="center"/>
              <w:rPr>
                <w:szCs w:val="20"/>
              </w:rPr>
            </w:pPr>
            <w:r w:rsidRPr="004F5CF8">
              <w:rPr>
                <w:sz w:val="2"/>
                <w:szCs w:val="20"/>
                <w:highlight w:val="black"/>
              </w:rPr>
              <w:t>redacted content</w:t>
            </w:r>
            <w:r w:rsidR="00AC312A" w:rsidRPr="00AC312A">
              <w:rPr>
                <w:szCs w:val="20"/>
              </w:rPr>
              <w:t>%</w:t>
            </w:r>
          </w:p>
          <w:p w14:paraId="55E9EF54" w14:textId="080C9BB1" w:rsidR="00FC3096" w:rsidRPr="00AC312A" w:rsidRDefault="00FC3096" w:rsidP="00864654">
            <w:pPr>
              <w:pStyle w:val="TableText0"/>
              <w:jc w:val="center"/>
              <w:rPr>
                <w:szCs w:val="20"/>
                <w:highlight w:val="lightGray"/>
              </w:rPr>
            </w:pPr>
          </w:p>
        </w:tc>
        <w:tc>
          <w:tcPr>
            <w:tcW w:w="638" w:type="pct"/>
          </w:tcPr>
          <w:p w14:paraId="0A8F4D79" w14:textId="662B2BCB" w:rsidR="00FC3096" w:rsidRPr="00AC312A" w:rsidRDefault="004F5CF8" w:rsidP="00864654">
            <w:pPr>
              <w:pStyle w:val="TableText0"/>
              <w:jc w:val="center"/>
              <w:rPr>
                <w:szCs w:val="20"/>
                <w:highlight w:val="lightGray"/>
              </w:rPr>
            </w:pPr>
            <w:r w:rsidRPr="004F5CF8">
              <w:rPr>
                <w:sz w:val="2"/>
                <w:szCs w:val="20"/>
                <w:highlight w:val="black"/>
              </w:rPr>
              <w:t>redacted content</w:t>
            </w:r>
            <w:r w:rsidR="00AC312A" w:rsidRPr="00AC312A">
              <w:rPr>
                <w:szCs w:val="20"/>
              </w:rPr>
              <w:t>%</w:t>
            </w:r>
          </w:p>
        </w:tc>
      </w:tr>
      <w:tr w:rsidR="00FC3096" w:rsidRPr="00D07584" w14:paraId="2A42DAE2" w14:textId="77777777" w:rsidTr="00864654">
        <w:trPr>
          <w:trHeight w:val="331"/>
        </w:trPr>
        <w:tc>
          <w:tcPr>
            <w:tcW w:w="1172" w:type="pct"/>
          </w:tcPr>
          <w:p w14:paraId="3F41F71C" w14:textId="1DE8D4C5" w:rsidR="00FC3096" w:rsidRPr="00D07584" w:rsidRDefault="002E7D0E" w:rsidP="00864654">
            <w:pPr>
              <w:pStyle w:val="TableText0"/>
              <w:rPr>
                <w:b/>
                <w:bCs w:val="0"/>
                <w:szCs w:val="20"/>
              </w:rPr>
            </w:pPr>
            <w:r w:rsidRPr="002E7D0E">
              <w:rPr>
                <w:b/>
                <w:bCs w:val="0"/>
                <w:szCs w:val="20"/>
              </w:rPr>
              <w:t>Number of tafamidis-treated patients (all patients treated in year)</w:t>
            </w:r>
          </w:p>
        </w:tc>
        <w:tc>
          <w:tcPr>
            <w:tcW w:w="638" w:type="pct"/>
          </w:tcPr>
          <w:p w14:paraId="58812330" w14:textId="17549FC3" w:rsidR="00D07584" w:rsidRPr="004F5CF8" w:rsidRDefault="004F5CF8" w:rsidP="00864654">
            <w:pPr>
              <w:pStyle w:val="TableText0"/>
              <w:jc w:val="center"/>
              <w:rPr>
                <w:szCs w:val="20"/>
                <w:vertAlign w:val="superscript"/>
              </w:rPr>
            </w:pPr>
            <w:r w:rsidRPr="004F5CF8">
              <w:rPr>
                <w:sz w:val="2"/>
                <w:szCs w:val="20"/>
                <w:highlight w:val="black"/>
              </w:rPr>
              <w:t>redacted content</w:t>
            </w:r>
            <w:r w:rsidR="00100E04" w:rsidRPr="00AC312A">
              <w:rPr>
                <w:szCs w:val="20"/>
                <w:vertAlign w:val="superscript"/>
              </w:rPr>
              <w:t>1</w:t>
            </w:r>
          </w:p>
          <w:p w14:paraId="23725119" w14:textId="77777777" w:rsidR="00FC3096" w:rsidRPr="00AC312A" w:rsidRDefault="00FC3096" w:rsidP="00864654">
            <w:pPr>
              <w:pStyle w:val="TableText0"/>
              <w:jc w:val="center"/>
              <w:rPr>
                <w:szCs w:val="20"/>
                <w:highlight w:val="lightGray"/>
              </w:rPr>
            </w:pPr>
          </w:p>
        </w:tc>
        <w:tc>
          <w:tcPr>
            <w:tcW w:w="638" w:type="pct"/>
            <w:noWrap/>
          </w:tcPr>
          <w:p w14:paraId="23209C7C" w14:textId="2103E782" w:rsidR="004F5CF8" w:rsidRPr="004F5CF8" w:rsidRDefault="004F5CF8" w:rsidP="00864654">
            <w:pPr>
              <w:pStyle w:val="TableText0"/>
              <w:jc w:val="center"/>
              <w:rPr>
                <w:szCs w:val="20"/>
              </w:rPr>
            </w:pPr>
            <w:r w:rsidRPr="004F5CF8">
              <w:rPr>
                <w:sz w:val="2"/>
                <w:szCs w:val="20"/>
                <w:highlight w:val="black"/>
              </w:rPr>
              <w:t>redacted content</w:t>
            </w:r>
            <w:r w:rsidR="00100E04" w:rsidRPr="00AC312A">
              <w:rPr>
                <w:szCs w:val="20"/>
                <w:vertAlign w:val="superscript"/>
              </w:rPr>
              <w:t>1</w:t>
            </w:r>
          </w:p>
          <w:p w14:paraId="60B1D09A" w14:textId="18703151" w:rsidR="00FC3096" w:rsidRPr="00AC312A" w:rsidRDefault="00FC3096" w:rsidP="00864654">
            <w:pPr>
              <w:pStyle w:val="TableText0"/>
              <w:jc w:val="center"/>
              <w:rPr>
                <w:szCs w:val="20"/>
                <w:highlight w:val="lightGray"/>
              </w:rPr>
            </w:pPr>
          </w:p>
        </w:tc>
        <w:tc>
          <w:tcPr>
            <w:tcW w:w="638" w:type="pct"/>
            <w:noWrap/>
          </w:tcPr>
          <w:p w14:paraId="7818C5C1" w14:textId="688EE347" w:rsidR="004F5CF8" w:rsidRPr="004F5CF8" w:rsidRDefault="004F5CF8" w:rsidP="00864654">
            <w:pPr>
              <w:pStyle w:val="TableText0"/>
              <w:jc w:val="center"/>
              <w:rPr>
                <w:szCs w:val="20"/>
              </w:rPr>
            </w:pPr>
            <w:r w:rsidRPr="004F5CF8">
              <w:rPr>
                <w:sz w:val="2"/>
                <w:szCs w:val="20"/>
                <w:highlight w:val="black"/>
              </w:rPr>
              <w:t>redacted content</w:t>
            </w:r>
            <w:r w:rsidR="00100E04" w:rsidRPr="00AC312A">
              <w:rPr>
                <w:szCs w:val="20"/>
                <w:vertAlign w:val="superscript"/>
              </w:rPr>
              <w:t>1</w:t>
            </w:r>
          </w:p>
          <w:p w14:paraId="209C7F36" w14:textId="2ABEE30A" w:rsidR="00FC3096" w:rsidRPr="00AC312A" w:rsidRDefault="00FC3096" w:rsidP="00864654">
            <w:pPr>
              <w:pStyle w:val="TableText0"/>
              <w:jc w:val="center"/>
              <w:rPr>
                <w:szCs w:val="20"/>
                <w:highlight w:val="lightGray"/>
              </w:rPr>
            </w:pPr>
          </w:p>
        </w:tc>
        <w:tc>
          <w:tcPr>
            <w:tcW w:w="638" w:type="pct"/>
            <w:noWrap/>
          </w:tcPr>
          <w:p w14:paraId="06854C9C" w14:textId="64E29B6A" w:rsidR="004F5CF8" w:rsidRPr="004F5CF8" w:rsidRDefault="004F5CF8" w:rsidP="00864654">
            <w:pPr>
              <w:pStyle w:val="TableText0"/>
              <w:jc w:val="center"/>
              <w:rPr>
                <w:szCs w:val="20"/>
              </w:rPr>
            </w:pPr>
            <w:r w:rsidRPr="004F5CF8">
              <w:rPr>
                <w:sz w:val="2"/>
                <w:szCs w:val="20"/>
                <w:highlight w:val="black"/>
              </w:rPr>
              <w:t>redacted content</w:t>
            </w:r>
            <w:r w:rsidR="00100E04" w:rsidRPr="00AC312A">
              <w:rPr>
                <w:szCs w:val="20"/>
                <w:vertAlign w:val="superscript"/>
              </w:rPr>
              <w:t>1</w:t>
            </w:r>
          </w:p>
          <w:p w14:paraId="2EC8F73C" w14:textId="39A4E8D7" w:rsidR="00FC3096" w:rsidRPr="00AC312A" w:rsidRDefault="00FC3096" w:rsidP="00864654">
            <w:pPr>
              <w:pStyle w:val="TableText0"/>
              <w:jc w:val="center"/>
              <w:rPr>
                <w:szCs w:val="20"/>
                <w:highlight w:val="lightGray"/>
              </w:rPr>
            </w:pPr>
          </w:p>
        </w:tc>
        <w:tc>
          <w:tcPr>
            <w:tcW w:w="638" w:type="pct"/>
          </w:tcPr>
          <w:p w14:paraId="65CD5B96" w14:textId="629BC6AC" w:rsidR="004F5CF8" w:rsidRPr="004F5CF8" w:rsidRDefault="004F5CF8" w:rsidP="00864654">
            <w:pPr>
              <w:pStyle w:val="TableText0"/>
              <w:jc w:val="center"/>
              <w:rPr>
                <w:szCs w:val="20"/>
              </w:rPr>
            </w:pPr>
            <w:r w:rsidRPr="004F5CF8">
              <w:rPr>
                <w:sz w:val="2"/>
                <w:szCs w:val="20"/>
                <w:highlight w:val="black"/>
              </w:rPr>
              <w:t>redacted content</w:t>
            </w:r>
            <w:r w:rsidR="00100E04" w:rsidRPr="00AC312A">
              <w:rPr>
                <w:szCs w:val="20"/>
                <w:vertAlign w:val="superscript"/>
              </w:rPr>
              <w:t>1</w:t>
            </w:r>
          </w:p>
          <w:p w14:paraId="6EC1909C" w14:textId="5473493C" w:rsidR="00FC3096" w:rsidRPr="00AC312A" w:rsidRDefault="00FC3096" w:rsidP="00864654">
            <w:pPr>
              <w:pStyle w:val="TableText0"/>
              <w:jc w:val="center"/>
              <w:rPr>
                <w:szCs w:val="20"/>
                <w:highlight w:val="lightGray"/>
              </w:rPr>
            </w:pPr>
          </w:p>
        </w:tc>
        <w:tc>
          <w:tcPr>
            <w:tcW w:w="638" w:type="pct"/>
          </w:tcPr>
          <w:p w14:paraId="12D5AC62" w14:textId="5C214F07" w:rsidR="00FC3096" w:rsidRPr="00AC312A" w:rsidRDefault="004F5CF8" w:rsidP="00864654">
            <w:pPr>
              <w:pStyle w:val="TableText0"/>
              <w:jc w:val="center"/>
              <w:rPr>
                <w:szCs w:val="20"/>
                <w:highlight w:val="lightGray"/>
              </w:rPr>
            </w:pPr>
            <w:r w:rsidRPr="004F5CF8">
              <w:rPr>
                <w:sz w:val="2"/>
                <w:szCs w:val="20"/>
                <w:highlight w:val="black"/>
              </w:rPr>
              <w:t>redacted content</w:t>
            </w:r>
            <w:r w:rsidR="00100E04" w:rsidRPr="00AC312A">
              <w:rPr>
                <w:szCs w:val="20"/>
                <w:vertAlign w:val="superscript"/>
              </w:rPr>
              <w:t>1</w:t>
            </w:r>
          </w:p>
        </w:tc>
      </w:tr>
    </w:tbl>
    <w:p w14:paraId="06DCB09D" w14:textId="77777777" w:rsidR="008D7B8E" w:rsidRDefault="00AF2015" w:rsidP="008D7B8E">
      <w:pPr>
        <w:pStyle w:val="TableFigureFooter"/>
      </w:pPr>
      <w:r w:rsidRPr="001010E9">
        <w:t xml:space="preserve">Source: </w:t>
      </w:r>
      <w:r w:rsidR="00A86258">
        <w:t>Extract of s</w:t>
      </w:r>
      <w:r w:rsidR="001010E9" w:rsidRPr="001010E9">
        <w:t>ubmission Table 5 (Nov25 PBAC Submission)</w:t>
      </w:r>
      <w:r w:rsidR="004A2128" w:rsidRPr="001010E9">
        <w:t xml:space="preserve">, page </w:t>
      </w:r>
      <w:r w:rsidR="001010E9" w:rsidRPr="001010E9">
        <w:t>21</w:t>
      </w:r>
      <w:r w:rsidR="008D7B8E">
        <w:t xml:space="preserve"> </w:t>
      </w:r>
    </w:p>
    <w:p w14:paraId="4AE1FFBA" w14:textId="77777777" w:rsidR="008D7B8E" w:rsidRDefault="008D7B8E" w:rsidP="008D7B8E">
      <w:pPr>
        <w:pStyle w:val="TableFigureFooter"/>
        <w:rPr>
          <w:i/>
          <w:szCs w:val="18"/>
        </w:rPr>
      </w:pPr>
      <w:r w:rsidRPr="008D7B8E">
        <w:rPr>
          <w:i/>
          <w:szCs w:val="18"/>
        </w:rPr>
        <w:t>The redacted values correspond to the following ranges:</w:t>
      </w:r>
    </w:p>
    <w:p w14:paraId="7EFB6950" w14:textId="77777777" w:rsidR="00100E04" w:rsidRPr="00100E04" w:rsidRDefault="008D7B8E" w:rsidP="00100E04">
      <w:pPr>
        <w:pStyle w:val="TableFigureFooter"/>
        <w:rPr>
          <w:i/>
          <w:szCs w:val="18"/>
        </w:rPr>
      </w:pPr>
      <w:r w:rsidRPr="008D7B8E">
        <w:rPr>
          <w:i/>
          <w:szCs w:val="18"/>
          <w:vertAlign w:val="superscript"/>
        </w:rPr>
        <w:t>1</w:t>
      </w:r>
      <w:r w:rsidRPr="008D7B8E">
        <w:rPr>
          <w:i/>
          <w:szCs w:val="18"/>
        </w:rPr>
        <w:t xml:space="preserve"> </w:t>
      </w:r>
      <w:r w:rsidR="00100E04" w:rsidRPr="00100E04">
        <w:rPr>
          <w:i/>
          <w:szCs w:val="18"/>
        </w:rPr>
        <w:t>500 to &lt; 5,000</w:t>
      </w:r>
    </w:p>
    <w:p w14:paraId="0E042C4F" w14:textId="011F9709" w:rsidR="00100E04" w:rsidRPr="00100E04" w:rsidRDefault="00100E04" w:rsidP="00100E04">
      <w:pPr>
        <w:pStyle w:val="TableFigureFooter"/>
        <w:rPr>
          <w:i/>
          <w:szCs w:val="18"/>
        </w:rPr>
      </w:pPr>
      <w:r>
        <w:rPr>
          <w:i/>
          <w:szCs w:val="18"/>
          <w:vertAlign w:val="superscript"/>
        </w:rPr>
        <w:t xml:space="preserve">2 </w:t>
      </w:r>
      <w:r w:rsidRPr="00100E04">
        <w:rPr>
          <w:i/>
          <w:szCs w:val="18"/>
        </w:rPr>
        <w:t>5,000 to &lt; 10,000</w:t>
      </w:r>
    </w:p>
    <w:p w14:paraId="582CC142" w14:textId="6A5714DF" w:rsidR="008D7B8E" w:rsidRPr="008D7B8E" w:rsidRDefault="0073273D" w:rsidP="00AC312A">
      <w:pPr>
        <w:pStyle w:val="TableFigureFooter"/>
        <w:rPr>
          <w:i/>
          <w:szCs w:val="18"/>
        </w:rPr>
      </w:pPr>
      <w:r>
        <w:rPr>
          <w:i/>
          <w:szCs w:val="18"/>
          <w:vertAlign w:val="superscript"/>
        </w:rPr>
        <w:t>3</w:t>
      </w:r>
      <w:r w:rsidR="00100E04">
        <w:rPr>
          <w:i/>
          <w:szCs w:val="18"/>
          <w:vertAlign w:val="superscript"/>
        </w:rPr>
        <w:t xml:space="preserve"> </w:t>
      </w:r>
      <w:r w:rsidR="00100E04" w:rsidRPr="00100E04">
        <w:rPr>
          <w:i/>
          <w:szCs w:val="18"/>
        </w:rPr>
        <w:t>10,000 to &lt; 20,000</w:t>
      </w:r>
      <w:r w:rsidR="008D7B8E" w:rsidRPr="008D7B8E">
        <w:rPr>
          <w:i/>
          <w:szCs w:val="18"/>
        </w:rPr>
        <w:t xml:space="preserve"> </w:t>
      </w:r>
    </w:p>
    <w:p w14:paraId="467DEFB8" w14:textId="47FEEAED" w:rsidR="00666847" w:rsidRPr="004815F0" w:rsidRDefault="00666847" w:rsidP="00CE5CB8">
      <w:pPr>
        <w:pStyle w:val="TableFigureFooter"/>
      </w:pPr>
    </w:p>
    <w:p w14:paraId="2E45D83D" w14:textId="1A2C0EA0" w:rsidR="0067461C" w:rsidRDefault="0067461C" w:rsidP="0067461C">
      <w:pPr>
        <w:pStyle w:val="3-BodyText"/>
      </w:pPr>
      <w:r w:rsidRPr="00A6439B">
        <w:lastRenderedPageBreak/>
        <w:t>The submission</w:t>
      </w:r>
      <w:r w:rsidR="004A23B8">
        <w:t xml:space="preserve"> </w:t>
      </w:r>
      <w:r w:rsidRPr="00A6439B">
        <w:t xml:space="preserve">estimated that </w:t>
      </w:r>
      <w:r>
        <w:t>a tot</w:t>
      </w:r>
      <w:r w:rsidR="004A23B8">
        <w:t xml:space="preserve">al of </w:t>
      </w:r>
      <w:r w:rsidR="00BB5168" w:rsidRPr="00BB5168">
        <w:t>10,000 to &lt; 20,000</w:t>
      </w:r>
      <w:r w:rsidRPr="00627FCC">
        <w:t>patients</w:t>
      </w:r>
      <w:r w:rsidRPr="004B5D32">
        <w:rPr>
          <w:color w:val="FF0000"/>
        </w:rPr>
        <w:t xml:space="preserve"> </w:t>
      </w:r>
      <w:r w:rsidRPr="00A6439B">
        <w:t>would be supplied</w:t>
      </w:r>
      <w:r>
        <w:t xml:space="preserve"> tafamidis</w:t>
      </w:r>
      <w:r w:rsidRPr="00A6439B">
        <w:t xml:space="preserve"> over the first six years of listing (</w:t>
      </w:r>
      <w:r w:rsidR="00655D85" w:rsidRPr="00655D85">
        <w:t>500 to &lt; 5,000</w:t>
      </w:r>
      <w:r w:rsidR="00073017">
        <w:t xml:space="preserve"> </w:t>
      </w:r>
      <w:r w:rsidRPr="00A6439B">
        <w:t xml:space="preserve">in Year 1 to </w:t>
      </w:r>
      <w:r w:rsidR="00655D85" w:rsidRPr="00655D85">
        <w:t>500 to &lt; 5,000</w:t>
      </w:r>
      <w:r w:rsidR="00073017">
        <w:t xml:space="preserve"> </w:t>
      </w:r>
      <w:r w:rsidRPr="00A6439B">
        <w:t>in Year 6).</w:t>
      </w:r>
      <w:r w:rsidR="004A23B8">
        <w:t xml:space="preserve"> </w:t>
      </w:r>
    </w:p>
    <w:p w14:paraId="30677FD6" w14:textId="2D4665FD" w:rsidR="004815F0" w:rsidRPr="00D315FA" w:rsidRDefault="001E4178" w:rsidP="00796A29">
      <w:pPr>
        <w:pStyle w:val="3-BodyText"/>
        <w:rPr>
          <w:rFonts w:cstheme="minorHAnsi"/>
          <w:szCs w:val="24"/>
        </w:rPr>
      </w:pPr>
      <w:r w:rsidRPr="00D315FA">
        <w:rPr>
          <w:rFonts w:cstheme="minorHAnsi"/>
          <w:szCs w:val="24"/>
        </w:rPr>
        <w:t>The higher</w:t>
      </w:r>
      <w:r w:rsidR="00DA625C" w:rsidRPr="00D315FA">
        <w:rPr>
          <w:rFonts w:cstheme="minorHAnsi"/>
          <w:szCs w:val="24"/>
        </w:rPr>
        <w:t xml:space="preserve"> utilisation of tafamidis</w:t>
      </w:r>
      <w:r w:rsidR="00DF35E4" w:rsidRPr="00D315FA">
        <w:rPr>
          <w:rFonts w:cstheme="minorHAnsi"/>
          <w:szCs w:val="24"/>
        </w:rPr>
        <w:t xml:space="preserve"> presented in the submission was informed</w:t>
      </w:r>
      <w:r w:rsidR="00DA625C" w:rsidRPr="00D315FA">
        <w:rPr>
          <w:rFonts w:cstheme="minorHAnsi"/>
          <w:szCs w:val="24"/>
        </w:rPr>
        <w:t xml:space="preserve"> </w:t>
      </w:r>
      <w:r w:rsidR="00DF35E4" w:rsidRPr="00D315FA">
        <w:rPr>
          <w:rFonts w:cstheme="minorHAnsi"/>
          <w:szCs w:val="24"/>
        </w:rPr>
        <w:t>by</w:t>
      </w:r>
      <w:r w:rsidR="00F01D71" w:rsidRPr="00D315FA">
        <w:rPr>
          <w:rFonts w:cstheme="minorHAnsi"/>
          <w:szCs w:val="24"/>
        </w:rPr>
        <w:t xml:space="preserve"> </w:t>
      </w:r>
      <w:r w:rsidR="00DF35E4" w:rsidRPr="00D315FA">
        <w:rPr>
          <w:rFonts w:cstheme="minorHAnsi"/>
          <w:szCs w:val="24"/>
        </w:rPr>
        <w:t xml:space="preserve">the estimated prevalence of ATTR-CM </w:t>
      </w:r>
      <w:r w:rsidR="009F5263" w:rsidRPr="00D315FA">
        <w:rPr>
          <w:rFonts w:cstheme="minorHAnsi"/>
          <w:szCs w:val="24"/>
        </w:rPr>
        <w:t>provided by</w:t>
      </w:r>
      <w:r w:rsidR="00460675" w:rsidRPr="00D315FA">
        <w:rPr>
          <w:rFonts w:cstheme="minorHAnsi"/>
          <w:szCs w:val="24"/>
        </w:rPr>
        <w:t xml:space="preserve"> </w:t>
      </w:r>
      <w:r w:rsidR="00DF35E4" w:rsidRPr="00D315FA">
        <w:rPr>
          <w:rFonts w:cstheme="minorHAnsi"/>
          <w:szCs w:val="24"/>
        </w:rPr>
        <w:t>a</w:t>
      </w:r>
      <w:r w:rsidR="004815F0" w:rsidRPr="00D315FA">
        <w:rPr>
          <w:rFonts w:cstheme="minorHAnsi"/>
          <w:szCs w:val="24"/>
        </w:rPr>
        <w:t xml:space="preserve"> </w:t>
      </w:r>
      <w:r w:rsidR="009E133A">
        <w:rPr>
          <w:rFonts w:cstheme="minorHAnsi"/>
          <w:szCs w:val="24"/>
        </w:rPr>
        <w:t xml:space="preserve">sponsor conducted </w:t>
      </w:r>
      <w:r w:rsidR="004815F0" w:rsidRPr="00D315FA">
        <w:rPr>
          <w:rFonts w:cstheme="minorHAnsi"/>
          <w:szCs w:val="24"/>
        </w:rPr>
        <w:t>meta-analysis</w:t>
      </w:r>
      <w:r w:rsidR="006913E5" w:rsidRPr="00D315FA">
        <w:rPr>
          <w:rFonts w:cstheme="minorHAnsi"/>
          <w:szCs w:val="24"/>
        </w:rPr>
        <w:t xml:space="preserve"> of </w:t>
      </w:r>
      <w:r w:rsidR="009E133A">
        <w:rPr>
          <w:rFonts w:cstheme="minorHAnsi"/>
          <w:szCs w:val="24"/>
        </w:rPr>
        <w:t>epidemiological studies in patients with heart failure with preserved ejection fraction (</w:t>
      </w:r>
      <w:r w:rsidR="006913E5" w:rsidRPr="00D315FA">
        <w:rPr>
          <w:rFonts w:cstheme="minorHAnsi"/>
          <w:szCs w:val="24"/>
        </w:rPr>
        <w:t>HFpEF</w:t>
      </w:r>
      <w:r w:rsidR="009E133A">
        <w:rPr>
          <w:rFonts w:cstheme="minorHAnsi"/>
          <w:szCs w:val="24"/>
        </w:rPr>
        <w:t>)</w:t>
      </w:r>
      <w:r w:rsidR="00DF35E4" w:rsidRPr="00D315FA">
        <w:rPr>
          <w:rFonts w:cstheme="minorHAnsi"/>
          <w:szCs w:val="24"/>
        </w:rPr>
        <w:t>.</w:t>
      </w:r>
      <w:r w:rsidR="00BE5223" w:rsidRPr="00D315FA">
        <w:rPr>
          <w:rFonts w:cstheme="minorHAnsi"/>
          <w:szCs w:val="24"/>
        </w:rPr>
        <w:t xml:space="preserve"> </w:t>
      </w:r>
      <w:r w:rsidR="00563C8D" w:rsidRPr="00D315FA">
        <w:rPr>
          <w:rFonts w:cstheme="minorHAnsi"/>
          <w:szCs w:val="24"/>
        </w:rPr>
        <w:t>The meta-analysis provided su</w:t>
      </w:r>
      <w:r w:rsidR="00AC380D" w:rsidRPr="00D315FA">
        <w:rPr>
          <w:rFonts w:cstheme="minorHAnsi"/>
          <w:szCs w:val="24"/>
        </w:rPr>
        <w:t xml:space="preserve">ggested a </w:t>
      </w:r>
      <w:r w:rsidR="004F5CF8" w:rsidRPr="004F5CF8">
        <w:rPr>
          <w:rFonts w:cstheme="minorHAnsi"/>
          <w:sz w:val="2"/>
          <w:szCs w:val="24"/>
          <w:highlight w:val="black"/>
        </w:rPr>
        <w:t>redacted content</w:t>
      </w:r>
      <w:r w:rsidR="004815F0" w:rsidRPr="00D315FA">
        <w:rPr>
          <w:rFonts w:cstheme="minorHAnsi"/>
          <w:szCs w:val="24"/>
        </w:rPr>
        <w:t xml:space="preserve">% </w:t>
      </w:r>
      <w:r w:rsidR="00AC380D" w:rsidRPr="00D315FA">
        <w:rPr>
          <w:rFonts w:cstheme="minorHAnsi"/>
          <w:szCs w:val="24"/>
        </w:rPr>
        <w:t xml:space="preserve">prevalence of ATTR-CM </w:t>
      </w:r>
      <w:r w:rsidR="007F3D93">
        <w:rPr>
          <w:rFonts w:cstheme="minorHAnsi"/>
          <w:szCs w:val="24"/>
        </w:rPr>
        <w:t xml:space="preserve">in HFpEF, </w:t>
      </w:r>
      <w:r w:rsidR="004815F0" w:rsidRPr="00D315FA">
        <w:rPr>
          <w:rFonts w:cstheme="minorHAnsi"/>
          <w:szCs w:val="24"/>
        </w:rPr>
        <w:t xml:space="preserve">with an increasing trend over time. </w:t>
      </w:r>
      <w:r w:rsidR="009E133A" w:rsidRPr="004A778D">
        <w:t>The</w:t>
      </w:r>
      <w:r w:rsidR="009E133A">
        <w:t xml:space="preserve"> submission</w:t>
      </w:r>
      <w:r w:rsidR="009E133A" w:rsidRPr="004A778D">
        <w:t xml:space="preserve"> stated that this estimated prevalence is higher than the previous estimates, </w:t>
      </w:r>
      <w:r w:rsidR="009E133A">
        <w:t xml:space="preserve">which </w:t>
      </w:r>
      <w:r w:rsidR="009E133A" w:rsidRPr="004A778D">
        <w:t xml:space="preserve">ranged from </w:t>
      </w:r>
      <w:r w:rsidR="004F5CF8" w:rsidRPr="004F5CF8">
        <w:rPr>
          <w:sz w:val="2"/>
          <w:highlight w:val="black"/>
        </w:rPr>
        <w:t>redacted content</w:t>
      </w:r>
      <w:r w:rsidR="009E133A" w:rsidRPr="004A778D">
        <w:t xml:space="preserve">% to </w:t>
      </w:r>
      <w:r w:rsidR="004F5CF8" w:rsidRPr="004F5CF8">
        <w:rPr>
          <w:sz w:val="2"/>
          <w:highlight w:val="black"/>
        </w:rPr>
        <w:t>redacted content</w:t>
      </w:r>
      <w:r w:rsidR="009E133A" w:rsidRPr="004A778D">
        <w:t>% depending on age and sex</w:t>
      </w:r>
      <w:r w:rsidR="009E133A">
        <w:t xml:space="preserve">, and that </w:t>
      </w:r>
      <w:r w:rsidR="009E133A" w:rsidRPr="004A778D">
        <w:t>increased prevalence is due to</w:t>
      </w:r>
      <w:r w:rsidR="009E133A">
        <w:t xml:space="preserve"> both</w:t>
      </w:r>
      <w:r w:rsidR="009E133A" w:rsidRPr="004A778D">
        <w:t xml:space="preserve"> increased awareness of ATTR-CM among cardiologists and development of non-invasive diagnostic techniques. </w:t>
      </w:r>
      <w:r w:rsidR="004815F0" w:rsidRPr="00D315FA">
        <w:rPr>
          <w:rFonts w:cstheme="minorHAnsi"/>
          <w:szCs w:val="24"/>
        </w:rPr>
        <w:t xml:space="preserve">The </w:t>
      </w:r>
      <w:r w:rsidR="00F571B3" w:rsidRPr="00D315FA">
        <w:rPr>
          <w:rFonts w:cstheme="minorHAnsi"/>
          <w:szCs w:val="24"/>
        </w:rPr>
        <w:t xml:space="preserve">submission </w:t>
      </w:r>
      <w:r w:rsidR="004815F0" w:rsidRPr="00D315FA">
        <w:rPr>
          <w:rFonts w:cstheme="minorHAnsi"/>
          <w:szCs w:val="24"/>
        </w:rPr>
        <w:t xml:space="preserve">stated that while none of the studies included Australian patients, the disease characteristics of the patients are generalisable to the Australian population. </w:t>
      </w:r>
    </w:p>
    <w:p w14:paraId="2A3C24F2" w14:textId="54AAAA72" w:rsidR="004815F0" w:rsidRPr="002D1232" w:rsidRDefault="0078018B" w:rsidP="0E9D69FD">
      <w:pPr>
        <w:pStyle w:val="3-BodyText"/>
      </w:pPr>
      <w:r>
        <w:t>The sponsor conducted meta-analysis</w:t>
      </w:r>
      <w:r w:rsidR="00EE1D99">
        <w:t xml:space="preserve"> </w:t>
      </w:r>
      <w:r w:rsidR="602E8B5E">
        <w:t>included</w:t>
      </w:r>
      <w:r>
        <w:t xml:space="preserve"> 7 studies. The years</w:t>
      </w:r>
      <w:r w:rsidR="00EE3031">
        <w:t xml:space="preserve"> over which the studies were conducted</w:t>
      </w:r>
      <w:r>
        <w:t xml:space="preserve"> ranged from 2014 to 2023</w:t>
      </w:r>
      <w:r w:rsidR="00EE3031">
        <w:t>. The included studies</w:t>
      </w:r>
      <w:r w:rsidR="003F3D22">
        <w:t xml:space="preserve"> varied in patient setting (outpatient verses inpatient setting) and study design. The starting age of patients across studies ranged from ≥50 years to 84-85 years. Three of the 7 studies </w:t>
      </w:r>
      <w:r w:rsidR="007F3D93">
        <w:t>included</w:t>
      </w:r>
      <w:r w:rsidR="19F05EFA">
        <w:t xml:space="preserve"> patients </w:t>
      </w:r>
      <w:r w:rsidR="007F3D93">
        <w:t xml:space="preserve">with </w:t>
      </w:r>
      <w:r w:rsidR="00D02332">
        <w:t>a</w:t>
      </w:r>
      <w:r w:rsidR="003F3D22">
        <w:t xml:space="preserve"> moderately reduced left ventricular ejection fraction (LVEF ≥40%</w:t>
      </w:r>
      <w:r w:rsidR="007F3D93">
        <w:t xml:space="preserve">) or </w:t>
      </w:r>
      <w:proofErr w:type="spellStart"/>
      <w:r w:rsidR="007F3D93">
        <w:t>HFmrEF</w:t>
      </w:r>
      <w:proofErr w:type="spellEnd"/>
      <w:r w:rsidR="003F3D22">
        <w:t>. The remaining studies only included patients with HFpEF with LVEF ≥50</w:t>
      </w:r>
      <w:r w:rsidR="007F3D93">
        <w:t>%</w:t>
      </w:r>
      <w:r>
        <w:t xml:space="preserve">. </w:t>
      </w:r>
      <w:r w:rsidR="003F3D22">
        <w:t>The eligibility criteria for left ventricular wall thickness</w:t>
      </w:r>
      <w:r w:rsidR="008C0CB2">
        <w:t xml:space="preserve"> </w:t>
      </w:r>
      <w:r w:rsidR="00EC5142">
        <w:t xml:space="preserve">(LVWT) </w:t>
      </w:r>
      <w:r w:rsidR="008C0CB2">
        <w:t xml:space="preserve">varied between </w:t>
      </w:r>
      <w:r w:rsidR="00EC5142">
        <w:t>t</w:t>
      </w:r>
      <w:r w:rsidR="008C0CB2">
        <w:t xml:space="preserve">he included </w:t>
      </w:r>
      <w:r w:rsidR="00EC5142">
        <w:t xml:space="preserve">studies. </w:t>
      </w:r>
      <w:r w:rsidR="004815F0">
        <w:t>The sample sizes of the studies comprising the meta-analysis varied (lowest was 59 and highest 422</w:t>
      </w:r>
      <w:r w:rsidR="004815F0" w:rsidRPr="00784703">
        <w:t>).</w:t>
      </w:r>
      <w:r w:rsidR="00D02332" w:rsidRPr="00784703">
        <w:t xml:space="preserve"> A total of 1692 patients (pooled across all studies) were included in the meta-analysis.</w:t>
      </w:r>
      <w:r w:rsidR="004815F0" w:rsidRPr="00784703">
        <w:t xml:space="preserve"> </w:t>
      </w:r>
      <w:r w:rsidR="00735FFC" w:rsidRPr="00FE2853">
        <w:t>The I</w:t>
      </w:r>
      <w:r w:rsidR="00735FFC" w:rsidRPr="00FE2853">
        <w:rPr>
          <w:vertAlign w:val="superscript"/>
        </w:rPr>
        <w:t>2</w:t>
      </w:r>
      <w:r w:rsidR="00735FFC" w:rsidRPr="00FE2853">
        <w:t xml:space="preserve"> value specified in the meta-analysis was 67% (CI 28%-85%)</w:t>
      </w:r>
      <w:r w:rsidR="2A30CF3C" w:rsidRPr="00FE2853">
        <w:t xml:space="preserve"> indicating moderate heterogeneity</w:t>
      </w:r>
      <w:r w:rsidR="00735FFC" w:rsidRPr="00FE2853">
        <w:t>.</w:t>
      </w:r>
      <w:r w:rsidR="00735FFC" w:rsidRPr="00784703">
        <w:t xml:space="preserve"> </w:t>
      </w:r>
      <w:r w:rsidR="2FA4A236" w:rsidRPr="00FE2853">
        <w:t>Pooling of the studies may therefore not be appropriate.</w:t>
      </w:r>
      <w:r w:rsidR="00224452">
        <w:t xml:space="preserve"> </w:t>
      </w:r>
      <w:r w:rsidR="6C057B86" w:rsidRPr="00FE2853">
        <w:t xml:space="preserve">No independent </w:t>
      </w:r>
      <w:r w:rsidR="684E7CEA" w:rsidRPr="00FE2853">
        <w:t>attempt</w:t>
      </w:r>
      <w:r w:rsidR="6C057B86" w:rsidRPr="00FE2853">
        <w:t xml:space="preserve"> to reproduce these results </w:t>
      </w:r>
      <w:r w:rsidR="007F3D93">
        <w:t xml:space="preserve">or to perform an independent meta-analysis </w:t>
      </w:r>
      <w:r w:rsidR="6C057B86" w:rsidRPr="00FE2853">
        <w:t>has been undertaken</w:t>
      </w:r>
      <w:r w:rsidR="004815F0" w:rsidRPr="00784703">
        <w:t>.</w:t>
      </w:r>
    </w:p>
    <w:p w14:paraId="0FB967D8" w14:textId="374DACA3" w:rsidR="00A32BD6" w:rsidRDefault="00772805" w:rsidP="00DE1F5C">
      <w:pPr>
        <w:pStyle w:val="3-BodyText"/>
        <w:rPr>
          <w:szCs w:val="24"/>
        </w:rPr>
      </w:pPr>
      <w:r w:rsidRPr="00577FAC">
        <w:rPr>
          <w:szCs w:val="24"/>
        </w:rPr>
        <w:t xml:space="preserve">The </w:t>
      </w:r>
      <w:r w:rsidR="00331A6D" w:rsidRPr="00577FAC">
        <w:rPr>
          <w:szCs w:val="24"/>
        </w:rPr>
        <w:t>submission</w:t>
      </w:r>
      <w:r w:rsidR="00BA6C4C" w:rsidRPr="00577FAC">
        <w:rPr>
          <w:szCs w:val="24"/>
        </w:rPr>
        <w:t xml:space="preserve"> </w:t>
      </w:r>
      <w:r w:rsidR="00331A6D" w:rsidRPr="00577FAC">
        <w:rPr>
          <w:szCs w:val="24"/>
        </w:rPr>
        <w:t>states that the usage pattern is expected to be</w:t>
      </w:r>
      <w:r w:rsidR="005C7396" w:rsidRPr="00577FAC">
        <w:rPr>
          <w:szCs w:val="24"/>
        </w:rPr>
        <w:t xml:space="preserve"> </w:t>
      </w:r>
      <w:r w:rsidR="001E4178" w:rsidRPr="00577FAC">
        <w:rPr>
          <w:szCs w:val="24"/>
        </w:rPr>
        <w:t>differen</w:t>
      </w:r>
      <w:r w:rsidR="001E4178">
        <w:rPr>
          <w:szCs w:val="24"/>
        </w:rPr>
        <w:t>t</w:t>
      </w:r>
      <w:r w:rsidR="001E4178" w:rsidRPr="00577FAC">
        <w:rPr>
          <w:szCs w:val="24"/>
        </w:rPr>
        <w:t xml:space="preserve"> compared</w:t>
      </w:r>
      <w:r w:rsidR="00E63838" w:rsidRPr="00577FAC">
        <w:rPr>
          <w:szCs w:val="24"/>
        </w:rPr>
        <w:t xml:space="preserve"> to</w:t>
      </w:r>
      <w:r w:rsidR="00C71213">
        <w:rPr>
          <w:szCs w:val="24"/>
        </w:rPr>
        <w:t xml:space="preserve"> utilisation in</w:t>
      </w:r>
      <w:r w:rsidR="00E63838" w:rsidRPr="00577FAC">
        <w:rPr>
          <w:szCs w:val="24"/>
        </w:rPr>
        <w:t xml:space="preserve"> the </w:t>
      </w:r>
      <w:r w:rsidR="002D1232" w:rsidRPr="00577FAC">
        <w:rPr>
          <w:szCs w:val="24"/>
        </w:rPr>
        <w:t xml:space="preserve">July </w:t>
      </w:r>
      <w:r w:rsidR="00E63838" w:rsidRPr="00577FAC">
        <w:rPr>
          <w:szCs w:val="24"/>
        </w:rPr>
        <w:t>2023 PBAC submission.</w:t>
      </w:r>
      <w:r w:rsidR="005C7396" w:rsidRPr="00577FAC">
        <w:rPr>
          <w:szCs w:val="24"/>
        </w:rPr>
        <w:t xml:space="preserve"> </w:t>
      </w:r>
      <w:r w:rsidR="00331A6D" w:rsidRPr="00577FAC">
        <w:rPr>
          <w:szCs w:val="24"/>
        </w:rPr>
        <w:t>The</w:t>
      </w:r>
      <w:r w:rsidR="00BA6C4C" w:rsidRPr="00577FAC">
        <w:rPr>
          <w:szCs w:val="24"/>
        </w:rPr>
        <w:t xml:space="preserve"> </w:t>
      </w:r>
      <w:r w:rsidR="002D1232" w:rsidRPr="00577FAC">
        <w:rPr>
          <w:szCs w:val="24"/>
        </w:rPr>
        <w:t>July</w:t>
      </w:r>
      <w:r w:rsidR="001907F3" w:rsidRPr="00577FAC">
        <w:rPr>
          <w:szCs w:val="24"/>
        </w:rPr>
        <w:t xml:space="preserve"> 2023</w:t>
      </w:r>
      <w:r w:rsidR="00331A6D" w:rsidRPr="00577FAC">
        <w:rPr>
          <w:szCs w:val="24"/>
        </w:rPr>
        <w:t xml:space="preserve"> submission</w:t>
      </w:r>
      <w:r w:rsidR="001907F3" w:rsidRPr="00577FAC">
        <w:rPr>
          <w:szCs w:val="24"/>
        </w:rPr>
        <w:t xml:space="preserve"> assumed that usage would increase from 2025</w:t>
      </w:r>
      <w:r w:rsidR="00621F90" w:rsidRPr="00577FAC">
        <w:rPr>
          <w:szCs w:val="24"/>
        </w:rPr>
        <w:t xml:space="preserve"> to </w:t>
      </w:r>
      <w:r w:rsidR="001907F3" w:rsidRPr="00577FAC">
        <w:rPr>
          <w:szCs w:val="24"/>
        </w:rPr>
        <w:t xml:space="preserve">2027 </w:t>
      </w:r>
      <w:r w:rsidR="00331A6D" w:rsidRPr="00577FAC">
        <w:rPr>
          <w:szCs w:val="24"/>
        </w:rPr>
        <w:t>and</w:t>
      </w:r>
      <w:r w:rsidR="001907F3" w:rsidRPr="00577FAC">
        <w:rPr>
          <w:szCs w:val="24"/>
        </w:rPr>
        <w:t xml:space="preserve"> decrease from 2028</w:t>
      </w:r>
      <w:r w:rsidR="00621F90" w:rsidRPr="00577FAC">
        <w:rPr>
          <w:szCs w:val="24"/>
        </w:rPr>
        <w:t xml:space="preserve"> to </w:t>
      </w:r>
      <w:r w:rsidR="001907F3" w:rsidRPr="00577FAC">
        <w:rPr>
          <w:szCs w:val="24"/>
        </w:rPr>
        <w:t>20</w:t>
      </w:r>
      <w:r w:rsidR="002F3AA2" w:rsidRPr="00577FAC">
        <w:rPr>
          <w:szCs w:val="24"/>
        </w:rPr>
        <w:t>29.</w:t>
      </w:r>
      <w:r w:rsidR="00224452">
        <w:rPr>
          <w:szCs w:val="24"/>
        </w:rPr>
        <w:t xml:space="preserve"> </w:t>
      </w:r>
      <w:r w:rsidR="00331A6D" w:rsidRPr="00577FAC">
        <w:rPr>
          <w:szCs w:val="24"/>
        </w:rPr>
        <w:t>T</w:t>
      </w:r>
      <w:r w:rsidR="005D7C2E" w:rsidRPr="00577FAC">
        <w:rPr>
          <w:szCs w:val="24"/>
        </w:rPr>
        <w:t>he</w:t>
      </w:r>
      <w:r w:rsidR="002F3AA2" w:rsidRPr="00577FAC">
        <w:rPr>
          <w:szCs w:val="24"/>
        </w:rPr>
        <w:t xml:space="preserve"> revised estimates</w:t>
      </w:r>
      <w:r w:rsidR="00331A6D" w:rsidRPr="00577FAC">
        <w:rPr>
          <w:szCs w:val="24"/>
        </w:rPr>
        <w:t xml:space="preserve"> </w:t>
      </w:r>
      <w:r w:rsidR="001E4178" w:rsidRPr="00577FAC">
        <w:rPr>
          <w:szCs w:val="24"/>
        </w:rPr>
        <w:t>have</w:t>
      </w:r>
      <w:r w:rsidR="008D00A6" w:rsidRPr="00577FAC">
        <w:rPr>
          <w:szCs w:val="24"/>
        </w:rPr>
        <w:t xml:space="preserve"> </w:t>
      </w:r>
      <w:r w:rsidR="007F3D93">
        <w:rPr>
          <w:szCs w:val="24"/>
        </w:rPr>
        <w:t xml:space="preserve">now </w:t>
      </w:r>
      <w:r w:rsidR="008D00A6" w:rsidRPr="00577FAC">
        <w:rPr>
          <w:szCs w:val="24"/>
        </w:rPr>
        <w:t>assume</w:t>
      </w:r>
      <w:r w:rsidR="00577FAC" w:rsidRPr="00577FAC">
        <w:rPr>
          <w:szCs w:val="24"/>
        </w:rPr>
        <w:t>d</w:t>
      </w:r>
      <w:r w:rsidR="008D00A6" w:rsidRPr="00577FAC">
        <w:rPr>
          <w:szCs w:val="24"/>
        </w:rPr>
        <w:t xml:space="preserve"> that the number of patients treated with tafamidis will continue to grow from 2026 to 2029. </w:t>
      </w:r>
      <w:r w:rsidR="001E4178">
        <w:rPr>
          <w:szCs w:val="24"/>
        </w:rPr>
        <w:t xml:space="preserve">The submission stated that the pattern of usage considered in July 2023 was </w:t>
      </w:r>
      <w:r w:rsidR="001E4178" w:rsidRPr="001E4178">
        <w:rPr>
          <w:szCs w:val="24"/>
        </w:rPr>
        <w:t xml:space="preserve">due to an assumption that there was a pool of prevalent patients awaiting treatment that would be treated in the early years and that </w:t>
      </w:r>
      <w:r w:rsidR="007F3D93">
        <w:rPr>
          <w:szCs w:val="24"/>
        </w:rPr>
        <w:t xml:space="preserve">new </w:t>
      </w:r>
      <w:r w:rsidR="001E4178" w:rsidRPr="001E4178">
        <w:rPr>
          <w:szCs w:val="24"/>
        </w:rPr>
        <w:t xml:space="preserve">incident patients </w:t>
      </w:r>
      <w:r w:rsidR="007F3D93">
        <w:rPr>
          <w:szCs w:val="24"/>
        </w:rPr>
        <w:t>would not replace this prevalent pool</w:t>
      </w:r>
      <w:r w:rsidR="001E4178" w:rsidRPr="001E4178">
        <w:rPr>
          <w:szCs w:val="24"/>
        </w:rPr>
        <w:t xml:space="preserve">. Additionally, </w:t>
      </w:r>
      <w:r w:rsidR="001E4178">
        <w:rPr>
          <w:szCs w:val="24"/>
        </w:rPr>
        <w:t xml:space="preserve">it was </w:t>
      </w:r>
      <w:r w:rsidR="001E4178" w:rsidRPr="001E4178">
        <w:rPr>
          <w:szCs w:val="24"/>
        </w:rPr>
        <w:t xml:space="preserve">assumed discontinuation and mortality rates </w:t>
      </w:r>
      <w:r w:rsidR="00F04590">
        <w:rPr>
          <w:szCs w:val="24"/>
        </w:rPr>
        <w:t>would be</w:t>
      </w:r>
      <w:r w:rsidR="00F04590" w:rsidRPr="001E4178">
        <w:rPr>
          <w:szCs w:val="24"/>
        </w:rPr>
        <w:t xml:space="preserve"> </w:t>
      </w:r>
      <w:r w:rsidR="001E4178" w:rsidRPr="001E4178">
        <w:rPr>
          <w:szCs w:val="24"/>
        </w:rPr>
        <w:t>relatively high. Utilisation of tafamidis in other countries, including those where the product has already been available for several years, has shown that this is not the case.</w:t>
      </w:r>
    </w:p>
    <w:p w14:paraId="1CBFBE77" w14:textId="4FF6598C" w:rsidR="00E62D68" w:rsidRPr="00796A29" w:rsidRDefault="005C42BD" w:rsidP="00796A29">
      <w:pPr>
        <w:pStyle w:val="3-BodyText"/>
        <w:rPr>
          <w:szCs w:val="24"/>
        </w:rPr>
      </w:pPr>
      <w:r w:rsidRPr="00577FAC">
        <w:rPr>
          <w:szCs w:val="24"/>
        </w:rPr>
        <w:t xml:space="preserve">The submission </w:t>
      </w:r>
      <w:r w:rsidR="004E5F37" w:rsidRPr="00577FAC">
        <w:rPr>
          <w:szCs w:val="24"/>
        </w:rPr>
        <w:t>stated that the expected growth is</w:t>
      </w:r>
      <w:r w:rsidRPr="00577FAC">
        <w:rPr>
          <w:szCs w:val="24"/>
        </w:rPr>
        <w:t xml:space="preserve"> due to the </w:t>
      </w:r>
      <w:r w:rsidR="00751F87" w:rsidRPr="00577FAC">
        <w:rPr>
          <w:szCs w:val="24"/>
        </w:rPr>
        <w:t>heightened awareness and understanding of ATTR-CM amongst cardiologists</w:t>
      </w:r>
      <w:r w:rsidR="00577FAC">
        <w:rPr>
          <w:szCs w:val="24"/>
        </w:rPr>
        <w:t>,</w:t>
      </w:r>
      <w:r w:rsidR="00751F87" w:rsidRPr="00577FAC">
        <w:rPr>
          <w:szCs w:val="24"/>
        </w:rPr>
        <w:t xml:space="preserve"> increasing recognition of the clinical red flags for the condition and availability of advanced, non-invasive diagnostic </w:t>
      </w:r>
      <w:r w:rsidR="00577FAC">
        <w:rPr>
          <w:szCs w:val="24"/>
        </w:rPr>
        <w:lastRenderedPageBreak/>
        <w:t>tools</w:t>
      </w:r>
      <w:r w:rsidR="00751F87" w:rsidRPr="00577FAC">
        <w:rPr>
          <w:szCs w:val="24"/>
        </w:rPr>
        <w:t xml:space="preserve"> to enable accurate and more accessible diagnoses.</w:t>
      </w:r>
      <w:r w:rsidR="006054A3">
        <w:rPr>
          <w:szCs w:val="24"/>
        </w:rPr>
        <w:t xml:space="preserve"> </w:t>
      </w:r>
      <w:r w:rsidR="003C1818">
        <w:rPr>
          <w:szCs w:val="24"/>
        </w:rPr>
        <w:fldChar w:fldCharType="begin"/>
      </w:r>
      <w:r w:rsidR="003C1818">
        <w:rPr>
          <w:szCs w:val="24"/>
        </w:rPr>
        <w:instrText xml:space="preserve"> REF _Ref222915495 \h </w:instrText>
      </w:r>
      <w:r w:rsidR="003C1818">
        <w:rPr>
          <w:szCs w:val="24"/>
        </w:rPr>
      </w:r>
      <w:r w:rsidR="003C1818">
        <w:rPr>
          <w:szCs w:val="24"/>
        </w:rPr>
        <w:fldChar w:fldCharType="separate"/>
      </w:r>
      <w:r w:rsidR="003C1818">
        <w:t xml:space="preserve">Table </w:t>
      </w:r>
      <w:r w:rsidR="003C1818">
        <w:rPr>
          <w:noProof/>
        </w:rPr>
        <w:t>6</w:t>
      </w:r>
      <w:r w:rsidR="003C1818">
        <w:rPr>
          <w:szCs w:val="24"/>
        </w:rPr>
        <w:fldChar w:fldCharType="end"/>
      </w:r>
      <w:r w:rsidRPr="00577FAC">
        <w:rPr>
          <w:szCs w:val="24"/>
        </w:rPr>
        <w:t xml:space="preserve"> </w:t>
      </w:r>
      <w:r w:rsidR="00331A6D" w:rsidRPr="00577FAC">
        <w:rPr>
          <w:szCs w:val="24"/>
        </w:rPr>
        <w:t>compares the pre</w:t>
      </w:r>
      <w:r w:rsidR="003702C9" w:rsidRPr="00577FAC">
        <w:rPr>
          <w:szCs w:val="24"/>
        </w:rPr>
        <w:t xml:space="preserve">valence </w:t>
      </w:r>
      <w:r w:rsidR="00A0330A" w:rsidRPr="00577FAC">
        <w:rPr>
          <w:szCs w:val="24"/>
        </w:rPr>
        <w:t>estimates compare</w:t>
      </w:r>
      <w:r w:rsidR="009C0F3C">
        <w:rPr>
          <w:szCs w:val="24"/>
        </w:rPr>
        <w:t>d</w:t>
      </w:r>
      <w:r w:rsidR="00A0330A" w:rsidRPr="00577FAC">
        <w:rPr>
          <w:szCs w:val="24"/>
        </w:rPr>
        <w:t xml:space="preserve"> to the July 2023 PBAC submission.</w:t>
      </w:r>
    </w:p>
    <w:p w14:paraId="2414FD5D" w14:textId="50C87B45" w:rsidR="00E62D68" w:rsidRDefault="003C1818" w:rsidP="003C1818">
      <w:pPr>
        <w:pStyle w:val="Caption"/>
        <w:keepNext/>
      </w:pPr>
      <w:bookmarkStart w:id="6" w:name="_Ref222915495"/>
      <w:bookmarkStart w:id="7" w:name="_Ref219457071"/>
      <w:r w:rsidRPr="00131A48">
        <w:t xml:space="preserve">Table </w:t>
      </w:r>
      <w:r>
        <w:fldChar w:fldCharType="begin"/>
      </w:r>
      <w:r>
        <w:instrText>SEQ Table \* ARABIC</w:instrText>
      </w:r>
      <w:r>
        <w:fldChar w:fldCharType="separate"/>
      </w:r>
      <w:r w:rsidRPr="00131A48">
        <w:rPr>
          <w:noProof/>
        </w:rPr>
        <w:t>6</w:t>
      </w:r>
      <w:r>
        <w:fldChar w:fldCharType="end"/>
      </w:r>
      <w:bookmarkEnd w:id="6"/>
      <w:r w:rsidRPr="00131A48">
        <w:t xml:space="preserve">: Comparison of ATTR-CM prevalence estimates from July 2023 PBAC submission and November 2025 submission </w:t>
      </w:r>
      <w:bookmarkEnd w:id="7"/>
    </w:p>
    <w:tbl>
      <w:tblPr>
        <w:tblW w:w="50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6: Comparison of ATTR-CM prevalence estimates from July 2023 PBAC submission and November 2025 submission "/>
      </w:tblPr>
      <w:tblGrid>
        <w:gridCol w:w="2692"/>
        <w:gridCol w:w="1059"/>
        <w:gridCol w:w="1061"/>
        <w:gridCol w:w="1061"/>
        <w:gridCol w:w="1059"/>
        <w:gridCol w:w="1061"/>
        <w:gridCol w:w="1061"/>
      </w:tblGrid>
      <w:tr w:rsidR="009F706C" w:rsidRPr="00D07584" w14:paraId="7CB4F8D5" w14:textId="77777777" w:rsidTr="00864654">
        <w:trPr>
          <w:trHeight w:val="331"/>
        </w:trPr>
        <w:tc>
          <w:tcPr>
            <w:tcW w:w="1486" w:type="pct"/>
          </w:tcPr>
          <w:p w14:paraId="004CA4B7" w14:textId="77777777" w:rsidR="00E62D68" w:rsidRPr="00D01DD9" w:rsidRDefault="00E62D68" w:rsidP="00864654">
            <w:pPr>
              <w:pStyle w:val="TableText0"/>
              <w:rPr>
                <w:b/>
                <w:bCs w:val="0"/>
              </w:rPr>
            </w:pPr>
          </w:p>
        </w:tc>
        <w:tc>
          <w:tcPr>
            <w:tcW w:w="585" w:type="pct"/>
            <w:vAlign w:val="center"/>
          </w:tcPr>
          <w:p w14:paraId="1757A56C" w14:textId="77777777" w:rsidR="00E62D68" w:rsidRPr="00D01DD9" w:rsidRDefault="00E62D68" w:rsidP="00864654">
            <w:pPr>
              <w:pStyle w:val="TableText0"/>
              <w:rPr>
                <w:b/>
                <w:bCs w:val="0"/>
              </w:rPr>
            </w:pPr>
            <w:r w:rsidRPr="00D01DD9">
              <w:rPr>
                <w:b/>
                <w:bCs w:val="0"/>
              </w:rPr>
              <w:t>1 May 24 - 30 Apr 25</w:t>
            </w:r>
          </w:p>
        </w:tc>
        <w:tc>
          <w:tcPr>
            <w:tcW w:w="586" w:type="pct"/>
            <w:noWrap/>
            <w:vAlign w:val="center"/>
            <w:hideMark/>
          </w:tcPr>
          <w:p w14:paraId="1871E8C5" w14:textId="77777777" w:rsidR="00E62D68" w:rsidRPr="00D01DD9" w:rsidRDefault="00E62D68" w:rsidP="00864654">
            <w:pPr>
              <w:pStyle w:val="TableText0"/>
              <w:rPr>
                <w:b/>
                <w:bCs w:val="0"/>
              </w:rPr>
            </w:pPr>
            <w:r w:rsidRPr="00D01DD9">
              <w:rPr>
                <w:b/>
                <w:bCs w:val="0"/>
              </w:rPr>
              <w:t>1 May 25 - 30 Apr 26</w:t>
            </w:r>
          </w:p>
        </w:tc>
        <w:tc>
          <w:tcPr>
            <w:tcW w:w="586" w:type="pct"/>
            <w:noWrap/>
            <w:vAlign w:val="center"/>
            <w:hideMark/>
          </w:tcPr>
          <w:p w14:paraId="64FB88D0" w14:textId="77777777" w:rsidR="00E62D68" w:rsidRPr="00D01DD9" w:rsidRDefault="00E62D68" w:rsidP="00864654">
            <w:pPr>
              <w:pStyle w:val="TableText0"/>
              <w:rPr>
                <w:b/>
                <w:bCs w:val="0"/>
              </w:rPr>
            </w:pPr>
            <w:r w:rsidRPr="00D01DD9">
              <w:rPr>
                <w:b/>
                <w:bCs w:val="0"/>
              </w:rPr>
              <w:t>1 May 26 - 30 Apr 27</w:t>
            </w:r>
          </w:p>
        </w:tc>
        <w:tc>
          <w:tcPr>
            <w:tcW w:w="585" w:type="pct"/>
            <w:noWrap/>
            <w:vAlign w:val="center"/>
            <w:hideMark/>
          </w:tcPr>
          <w:p w14:paraId="20BC8F41" w14:textId="77777777" w:rsidR="00E62D68" w:rsidRPr="00D01DD9" w:rsidRDefault="00E62D68" w:rsidP="00864654">
            <w:pPr>
              <w:pStyle w:val="TableText0"/>
              <w:rPr>
                <w:b/>
                <w:bCs w:val="0"/>
              </w:rPr>
            </w:pPr>
            <w:r w:rsidRPr="00D01DD9">
              <w:rPr>
                <w:b/>
                <w:bCs w:val="0"/>
              </w:rPr>
              <w:t>1 May 27 - 30 Apr 28</w:t>
            </w:r>
          </w:p>
        </w:tc>
        <w:tc>
          <w:tcPr>
            <w:tcW w:w="586" w:type="pct"/>
            <w:vAlign w:val="center"/>
          </w:tcPr>
          <w:p w14:paraId="7CD067AF" w14:textId="77777777" w:rsidR="00E62D68" w:rsidRPr="00D01DD9" w:rsidRDefault="00E62D68" w:rsidP="00864654">
            <w:pPr>
              <w:pStyle w:val="TableText0"/>
              <w:rPr>
                <w:b/>
                <w:bCs w:val="0"/>
              </w:rPr>
            </w:pPr>
            <w:r w:rsidRPr="00D01DD9">
              <w:rPr>
                <w:b/>
                <w:bCs w:val="0"/>
              </w:rPr>
              <w:t>1 May 28 - 30 Apr 29</w:t>
            </w:r>
          </w:p>
        </w:tc>
        <w:tc>
          <w:tcPr>
            <w:tcW w:w="586" w:type="pct"/>
            <w:vAlign w:val="center"/>
          </w:tcPr>
          <w:p w14:paraId="622691D1" w14:textId="77777777" w:rsidR="00E62D68" w:rsidRPr="00D01DD9" w:rsidRDefault="00E62D68" w:rsidP="00864654">
            <w:pPr>
              <w:pStyle w:val="TableText0"/>
              <w:rPr>
                <w:b/>
                <w:bCs w:val="0"/>
              </w:rPr>
            </w:pPr>
            <w:r w:rsidRPr="00D01DD9">
              <w:rPr>
                <w:b/>
                <w:bCs w:val="0"/>
              </w:rPr>
              <w:t>1 May 29 - 30 Apr 30</w:t>
            </w:r>
          </w:p>
        </w:tc>
      </w:tr>
      <w:tr w:rsidR="00D01DD9" w:rsidRPr="00D07584" w14:paraId="2DDCE390" w14:textId="77777777" w:rsidTr="00864654">
        <w:trPr>
          <w:trHeight w:val="331"/>
        </w:trPr>
        <w:tc>
          <w:tcPr>
            <w:tcW w:w="1486" w:type="pct"/>
          </w:tcPr>
          <w:p w14:paraId="45BAF186" w14:textId="55B121B3" w:rsidR="00D01DD9" w:rsidRPr="00D01DD9" w:rsidRDefault="00D01DD9" w:rsidP="00864654">
            <w:pPr>
              <w:pStyle w:val="TableText0"/>
              <w:rPr>
                <w:b/>
                <w:bCs w:val="0"/>
              </w:rPr>
            </w:pPr>
            <w:r w:rsidRPr="00D01DD9">
              <w:rPr>
                <w:b/>
                <w:bCs w:val="0"/>
              </w:rPr>
              <w:t xml:space="preserve">ATTR-CM prevalence estimate – </w:t>
            </w:r>
            <w:r w:rsidR="00394479">
              <w:rPr>
                <w:b/>
                <w:bCs w:val="0"/>
              </w:rPr>
              <w:t>Jul</w:t>
            </w:r>
            <w:r w:rsidRPr="00D01DD9">
              <w:rPr>
                <w:b/>
                <w:bCs w:val="0"/>
              </w:rPr>
              <w:t xml:space="preserve"> 23 PBAC </w:t>
            </w:r>
          </w:p>
        </w:tc>
        <w:tc>
          <w:tcPr>
            <w:tcW w:w="585" w:type="pct"/>
          </w:tcPr>
          <w:p w14:paraId="2FD07C1F" w14:textId="61356B88" w:rsidR="00D01DD9" w:rsidRPr="004F5CF8" w:rsidRDefault="004F5CF8" w:rsidP="00864654">
            <w:pPr>
              <w:pStyle w:val="TableText0"/>
              <w:jc w:val="center"/>
              <w:rPr>
                <w:vertAlign w:val="superscript"/>
              </w:rPr>
            </w:pPr>
            <w:r w:rsidRPr="004F5CF8">
              <w:rPr>
                <w:sz w:val="2"/>
                <w:highlight w:val="black"/>
              </w:rPr>
              <w:t>redacted content</w:t>
            </w:r>
            <w:r w:rsidR="00032059" w:rsidRPr="00032059">
              <w:rPr>
                <w:vertAlign w:val="superscript"/>
              </w:rPr>
              <w:t>1</w:t>
            </w:r>
          </w:p>
        </w:tc>
        <w:tc>
          <w:tcPr>
            <w:tcW w:w="586" w:type="pct"/>
            <w:noWrap/>
          </w:tcPr>
          <w:p w14:paraId="6C366DF4" w14:textId="7C900362" w:rsidR="00D01DD9" w:rsidRPr="004F5CF8" w:rsidRDefault="004F5CF8" w:rsidP="00864654">
            <w:pPr>
              <w:pStyle w:val="TableText0"/>
              <w:jc w:val="center"/>
              <w:rPr>
                <w:highlight w:val="lightGray"/>
              </w:rPr>
            </w:pPr>
            <w:r w:rsidRPr="004F5CF8">
              <w:rPr>
                <w:sz w:val="2"/>
                <w:highlight w:val="black"/>
              </w:rPr>
              <w:t>redacted content</w:t>
            </w:r>
            <w:r w:rsidR="00032059" w:rsidRPr="00032059">
              <w:rPr>
                <w:vertAlign w:val="superscript"/>
              </w:rPr>
              <w:t>1</w:t>
            </w:r>
          </w:p>
        </w:tc>
        <w:tc>
          <w:tcPr>
            <w:tcW w:w="586" w:type="pct"/>
            <w:noWrap/>
          </w:tcPr>
          <w:p w14:paraId="7F25086C" w14:textId="6A081AD4" w:rsidR="00D01DD9" w:rsidRPr="004F5CF8" w:rsidRDefault="004F5CF8" w:rsidP="00864654">
            <w:pPr>
              <w:pStyle w:val="TableText0"/>
              <w:jc w:val="center"/>
              <w:rPr>
                <w:highlight w:val="lightGray"/>
              </w:rPr>
            </w:pPr>
            <w:r w:rsidRPr="004F5CF8">
              <w:rPr>
                <w:sz w:val="2"/>
                <w:highlight w:val="black"/>
              </w:rPr>
              <w:t>redacted content</w:t>
            </w:r>
            <w:r w:rsidR="00032059" w:rsidRPr="00032059">
              <w:rPr>
                <w:vertAlign w:val="superscript"/>
              </w:rPr>
              <w:t>1</w:t>
            </w:r>
          </w:p>
        </w:tc>
        <w:tc>
          <w:tcPr>
            <w:tcW w:w="585" w:type="pct"/>
            <w:noWrap/>
          </w:tcPr>
          <w:p w14:paraId="4AC10EE5" w14:textId="3E597138" w:rsidR="00D01DD9" w:rsidRPr="004F5CF8" w:rsidRDefault="004F5CF8" w:rsidP="00864654">
            <w:pPr>
              <w:pStyle w:val="TableText0"/>
              <w:jc w:val="center"/>
              <w:rPr>
                <w:vertAlign w:val="superscript"/>
              </w:rPr>
            </w:pPr>
            <w:r w:rsidRPr="004F5CF8">
              <w:rPr>
                <w:sz w:val="2"/>
                <w:highlight w:val="black"/>
              </w:rPr>
              <w:t>redacted content</w:t>
            </w:r>
            <w:r w:rsidR="00032059" w:rsidRPr="00032059">
              <w:rPr>
                <w:vertAlign w:val="superscript"/>
              </w:rPr>
              <w:t>2</w:t>
            </w:r>
          </w:p>
        </w:tc>
        <w:tc>
          <w:tcPr>
            <w:tcW w:w="586" w:type="pct"/>
          </w:tcPr>
          <w:p w14:paraId="6B65442D" w14:textId="63220D34" w:rsidR="00D01DD9" w:rsidRPr="004F5CF8" w:rsidRDefault="004F5CF8" w:rsidP="00864654">
            <w:pPr>
              <w:pStyle w:val="TableText0"/>
              <w:jc w:val="center"/>
              <w:rPr>
                <w:highlight w:val="lightGray"/>
              </w:rPr>
            </w:pPr>
            <w:r w:rsidRPr="004F5CF8">
              <w:rPr>
                <w:sz w:val="2"/>
                <w:highlight w:val="black"/>
              </w:rPr>
              <w:t>redacted content</w:t>
            </w:r>
            <w:r w:rsidR="00032059" w:rsidRPr="00032059">
              <w:rPr>
                <w:vertAlign w:val="superscript"/>
              </w:rPr>
              <w:t>2</w:t>
            </w:r>
          </w:p>
        </w:tc>
        <w:tc>
          <w:tcPr>
            <w:tcW w:w="586" w:type="pct"/>
          </w:tcPr>
          <w:p w14:paraId="26F55C26" w14:textId="31272025" w:rsidR="00D01DD9" w:rsidRPr="004F5CF8" w:rsidRDefault="004F5CF8" w:rsidP="00864654">
            <w:pPr>
              <w:pStyle w:val="TableText0"/>
              <w:jc w:val="center"/>
              <w:rPr>
                <w:highlight w:val="lightGray"/>
              </w:rPr>
            </w:pPr>
            <w:r w:rsidRPr="004F5CF8">
              <w:rPr>
                <w:sz w:val="2"/>
                <w:highlight w:val="black"/>
              </w:rPr>
              <w:t>redacted content</w:t>
            </w:r>
            <w:r w:rsidR="00032059" w:rsidRPr="00032059">
              <w:rPr>
                <w:vertAlign w:val="superscript"/>
              </w:rPr>
              <w:t>2</w:t>
            </w:r>
          </w:p>
        </w:tc>
      </w:tr>
      <w:tr w:rsidR="00D01DD9" w:rsidRPr="00D07584" w14:paraId="49122960" w14:textId="77777777" w:rsidTr="00864654">
        <w:trPr>
          <w:trHeight w:val="331"/>
        </w:trPr>
        <w:tc>
          <w:tcPr>
            <w:tcW w:w="1486" w:type="pct"/>
          </w:tcPr>
          <w:p w14:paraId="0E12E947" w14:textId="7369EA68" w:rsidR="00D01DD9" w:rsidRPr="00D01DD9" w:rsidRDefault="00D01DD9" w:rsidP="00864654">
            <w:pPr>
              <w:pStyle w:val="TableText0"/>
              <w:rPr>
                <w:b/>
                <w:bCs w:val="0"/>
              </w:rPr>
            </w:pPr>
            <w:r w:rsidRPr="00D01DD9">
              <w:rPr>
                <w:b/>
                <w:bCs w:val="0"/>
              </w:rPr>
              <w:t xml:space="preserve">ATTR-CM prevalence estimate – Nov 25 </w:t>
            </w:r>
            <w:r w:rsidR="00B74742">
              <w:rPr>
                <w:b/>
                <w:bCs w:val="0"/>
              </w:rPr>
              <w:t>submission</w:t>
            </w:r>
            <w:r w:rsidRPr="00D01DD9">
              <w:rPr>
                <w:b/>
                <w:bCs w:val="0"/>
              </w:rPr>
              <w:t xml:space="preserve"> </w:t>
            </w:r>
          </w:p>
        </w:tc>
        <w:tc>
          <w:tcPr>
            <w:tcW w:w="585" w:type="pct"/>
          </w:tcPr>
          <w:p w14:paraId="068BF3BB" w14:textId="0641CB27" w:rsidR="00D01DD9" w:rsidRPr="004F5CF8" w:rsidRDefault="004F5CF8" w:rsidP="00864654">
            <w:pPr>
              <w:pStyle w:val="TableText0"/>
              <w:jc w:val="center"/>
              <w:rPr>
                <w:highlight w:val="lightGray"/>
              </w:rPr>
            </w:pPr>
            <w:r w:rsidRPr="004F5CF8">
              <w:rPr>
                <w:sz w:val="2"/>
                <w:highlight w:val="black"/>
              </w:rPr>
              <w:t>redacted content</w:t>
            </w:r>
            <w:r w:rsidR="00032059" w:rsidRPr="00032059">
              <w:rPr>
                <w:vertAlign w:val="superscript"/>
              </w:rPr>
              <w:t>2</w:t>
            </w:r>
          </w:p>
        </w:tc>
        <w:tc>
          <w:tcPr>
            <w:tcW w:w="586" w:type="pct"/>
            <w:noWrap/>
          </w:tcPr>
          <w:p w14:paraId="4212037B" w14:textId="20B2A8A5" w:rsidR="00D01DD9" w:rsidRPr="004F5CF8" w:rsidRDefault="004F5CF8" w:rsidP="00864654">
            <w:pPr>
              <w:pStyle w:val="TableText0"/>
              <w:jc w:val="center"/>
              <w:rPr>
                <w:highlight w:val="lightGray"/>
              </w:rPr>
            </w:pPr>
            <w:r w:rsidRPr="004F5CF8">
              <w:rPr>
                <w:sz w:val="2"/>
                <w:highlight w:val="black"/>
              </w:rPr>
              <w:t>redacted content</w:t>
            </w:r>
            <w:r w:rsidR="00032059" w:rsidRPr="00032059">
              <w:rPr>
                <w:vertAlign w:val="superscript"/>
              </w:rPr>
              <w:t>2</w:t>
            </w:r>
          </w:p>
        </w:tc>
        <w:tc>
          <w:tcPr>
            <w:tcW w:w="586" w:type="pct"/>
            <w:noWrap/>
          </w:tcPr>
          <w:p w14:paraId="481C6884" w14:textId="72B81E71" w:rsidR="00D01DD9" w:rsidRPr="004F5CF8" w:rsidRDefault="004F5CF8" w:rsidP="00864654">
            <w:pPr>
              <w:pStyle w:val="TableText0"/>
              <w:jc w:val="center"/>
              <w:rPr>
                <w:highlight w:val="lightGray"/>
              </w:rPr>
            </w:pPr>
            <w:r w:rsidRPr="004F5CF8">
              <w:rPr>
                <w:sz w:val="2"/>
                <w:highlight w:val="black"/>
              </w:rPr>
              <w:t>redacted content</w:t>
            </w:r>
            <w:r w:rsidR="00032059" w:rsidRPr="00032059">
              <w:rPr>
                <w:vertAlign w:val="superscript"/>
              </w:rPr>
              <w:t>2</w:t>
            </w:r>
          </w:p>
        </w:tc>
        <w:tc>
          <w:tcPr>
            <w:tcW w:w="585" w:type="pct"/>
            <w:noWrap/>
          </w:tcPr>
          <w:p w14:paraId="04E259D6" w14:textId="481AA7DA" w:rsidR="00D01DD9" w:rsidRPr="004F5CF8" w:rsidRDefault="004F5CF8" w:rsidP="00864654">
            <w:pPr>
              <w:pStyle w:val="TableText0"/>
              <w:jc w:val="center"/>
              <w:rPr>
                <w:highlight w:val="lightGray"/>
              </w:rPr>
            </w:pPr>
            <w:r w:rsidRPr="004F5CF8">
              <w:rPr>
                <w:sz w:val="2"/>
                <w:highlight w:val="black"/>
              </w:rPr>
              <w:t>redacted content</w:t>
            </w:r>
            <w:r w:rsidR="00032059" w:rsidRPr="00032059">
              <w:rPr>
                <w:vertAlign w:val="superscript"/>
              </w:rPr>
              <w:t>2</w:t>
            </w:r>
          </w:p>
        </w:tc>
        <w:tc>
          <w:tcPr>
            <w:tcW w:w="586" w:type="pct"/>
          </w:tcPr>
          <w:p w14:paraId="7A9D1DF6" w14:textId="1F45BE2D" w:rsidR="00D01DD9" w:rsidRPr="004F5CF8" w:rsidRDefault="004F5CF8" w:rsidP="00864654">
            <w:pPr>
              <w:pStyle w:val="TableText0"/>
              <w:jc w:val="center"/>
              <w:rPr>
                <w:highlight w:val="lightGray"/>
              </w:rPr>
            </w:pPr>
            <w:r w:rsidRPr="004F5CF8">
              <w:rPr>
                <w:sz w:val="2"/>
                <w:highlight w:val="black"/>
              </w:rPr>
              <w:t>redacted content</w:t>
            </w:r>
            <w:r w:rsidR="00032059" w:rsidRPr="00032059">
              <w:rPr>
                <w:vertAlign w:val="superscript"/>
              </w:rPr>
              <w:t>2</w:t>
            </w:r>
          </w:p>
        </w:tc>
        <w:tc>
          <w:tcPr>
            <w:tcW w:w="586" w:type="pct"/>
          </w:tcPr>
          <w:p w14:paraId="7893618C" w14:textId="24EA5EB5" w:rsidR="00D01DD9" w:rsidRPr="004F5CF8" w:rsidRDefault="004F5CF8" w:rsidP="00864654">
            <w:pPr>
              <w:pStyle w:val="TableText0"/>
              <w:jc w:val="center"/>
              <w:rPr>
                <w:highlight w:val="lightGray"/>
              </w:rPr>
            </w:pPr>
            <w:r w:rsidRPr="004F5CF8">
              <w:rPr>
                <w:sz w:val="2"/>
                <w:highlight w:val="black"/>
              </w:rPr>
              <w:t>redacted content</w:t>
            </w:r>
            <w:r w:rsidR="00032059" w:rsidRPr="00032059">
              <w:rPr>
                <w:vertAlign w:val="superscript"/>
              </w:rPr>
              <w:t>2</w:t>
            </w:r>
          </w:p>
        </w:tc>
      </w:tr>
    </w:tbl>
    <w:p w14:paraId="5C57CB8D" w14:textId="6FBC755C" w:rsidR="00A3497A" w:rsidRDefault="00735D24" w:rsidP="00A3497A">
      <w:pPr>
        <w:pStyle w:val="TableFigureFooter"/>
      </w:pPr>
      <w:r w:rsidRPr="00011808">
        <w:t>Source</w:t>
      </w:r>
      <w:r w:rsidR="00011808" w:rsidRPr="00011808">
        <w:t>:</w:t>
      </w:r>
      <w:r w:rsidR="00011808">
        <w:t xml:space="preserve"> Submission</w:t>
      </w:r>
      <w:r w:rsidR="007879FB">
        <w:t xml:space="preserve"> Table </w:t>
      </w:r>
      <w:r w:rsidR="00011808">
        <w:t>4</w:t>
      </w:r>
      <w:r w:rsidR="007879FB">
        <w:t xml:space="preserve">, page </w:t>
      </w:r>
      <w:r w:rsidR="00011808">
        <w:t>19</w:t>
      </w:r>
    </w:p>
    <w:p w14:paraId="709F4F96" w14:textId="77777777" w:rsidR="00073017" w:rsidRDefault="00A3497A" w:rsidP="00032059">
      <w:pPr>
        <w:pStyle w:val="TableFigureFooter"/>
        <w:rPr>
          <w:i/>
          <w:szCs w:val="18"/>
        </w:rPr>
      </w:pPr>
      <w:r w:rsidRPr="00A3497A">
        <w:rPr>
          <w:i/>
          <w:szCs w:val="18"/>
        </w:rPr>
        <w:t>The redacted values correspond to the following ranges:</w:t>
      </w:r>
    </w:p>
    <w:p w14:paraId="48AB7800" w14:textId="062FBE2C" w:rsidR="00032059" w:rsidRPr="00032059" w:rsidRDefault="00A3497A" w:rsidP="00032059">
      <w:pPr>
        <w:pStyle w:val="TableFigureFooter"/>
        <w:rPr>
          <w:i/>
          <w:szCs w:val="18"/>
        </w:rPr>
      </w:pPr>
      <w:r w:rsidRPr="00A3497A">
        <w:rPr>
          <w:i/>
          <w:szCs w:val="18"/>
        </w:rPr>
        <w:t xml:space="preserve"> </w:t>
      </w:r>
      <w:r w:rsidRPr="00A3497A">
        <w:rPr>
          <w:i/>
          <w:szCs w:val="18"/>
          <w:vertAlign w:val="superscript"/>
        </w:rPr>
        <w:t>1</w:t>
      </w:r>
      <w:r w:rsidRPr="00A3497A">
        <w:rPr>
          <w:i/>
          <w:szCs w:val="18"/>
        </w:rPr>
        <w:t xml:space="preserve"> </w:t>
      </w:r>
      <w:r w:rsidR="00032059" w:rsidRPr="00032059">
        <w:rPr>
          <w:i/>
          <w:szCs w:val="18"/>
        </w:rPr>
        <w:t>500 to &lt; 5,000</w:t>
      </w:r>
    </w:p>
    <w:p w14:paraId="0ADAC34E" w14:textId="5D39DCE4" w:rsidR="00A0330A" w:rsidRDefault="00032059" w:rsidP="00D01DD9">
      <w:pPr>
        <w:pStyle w:val="TableFigureFooter"/>
      </w:pPr>
      <w:r>
        <w:rPr>
          <w:i/>
          <w:szCs w:val="18"/>
          <w:vertAlign w:val="superscript"/>
        </w:rPr>
        <w:t xml:space="preserve">2 </w:t>
      </w:r>
      <w:r w:rsidRPr="00032059">
        <w:rPr>
          <w:i/>
          <w:szCs w:val="18"/>
        </w:rPr>
        <w:t>5,000 to &lt; 10,000</w:t>
      </w:r>
    </w:p>
    <w:p w14:paraId="206394AE" w14:textId="720CBC0A" w:rsidR="00DA625C" w:rsidRPr="008D00A6" w:rsidRDefault="00DA625C" w:rsidP="00DA625C">
      <w:pPr>
        <w:pStyle w:val="3-BodyText"/>
      </w:pPr>
      <w:r>
        <w:t xml:space="preserve">The </w:t>
      </w:r>
      <w:r w:rsidR="0084164F">
        <w:t>submission</w:t>
      </w:r>
      <w:r>
        <w:t xml:space="preserve"> provided an updated financial model for the 6-year period from May</w:t>
      </w:r>
      <w:r w:rsidR="003B5C32">
        <w:t> </w:t>
      </w:r>
      <w:r>
        <w:t>2024 to April 2030, which incorporate</w:t>
      </w:r>
      <w:r w:rsidR="00F600DF">
        <w:t>d</w:t>
      </w:r>
      <w:r>
        <w:t xml:space="preserve"> the revised utilisation estimates. </w:t>
      </w:r>
    </w:p>
    <w:p w14:paraId="097455FD" w14:textId="79D012DE" w:rsidR="00E20EDC" w:rsidRDefault="0084164F" w:rsidP="00E20EDC">
      <w:pPr>
        <w:pStyle w:val="3-BodyText"/>
      </w:pPr>
      <w:r>
        <w:t>The revised utilisation and net financial implications are summarised in</w:t>
      </w:r>
      <w:r w:rsidR="00D23A3B">
        <w:t xml:space="preserve"> </w:t>
      </w:r>
      <w:r w:rsidR="00DE1F5C">
        <w:fldChar w:fldCharType="begin"/>
      </w:r>
      <w:r w:rsidR="00DE1F5C">
        <w:instrText xml:space="preserve"> REF _Ref219457115 \h </w:instrText>
      </w:r>
      <w:r w:rsidR="00DE1F5C">
        <w:fldChar w:fldCharType="separate"/>
      </w:r>
      <w:r w:rsidR="008060CB" w:rsidRPr="00DE1F5C">
        <w:t xml:space="preserve">Table </w:t>
      </w:r>
      <w:r w:rsidR="008060CB">
        <w:rPr>
          <w:noProof/>
        </w:rPr>
        <w:t>7</w:t>
      </w:r>
      <w:r w:rsidR="00DE1F5C">
        <w:fldChar w:fldCharType="end"/>
      </w:r>
      <w:r>
        <w:t>.</w:t>
      </w:r>
      <w:r w:rsidR="00E20EDC">
        <w:t xml:space="preserve"> </w:t>
      </w:r>
      <w:r w:rsidR="00E20EDC" w:rsidRPr="00A6439B">
        <w:t>The financial impact to Services Australia will be determined by that agency as part of the post PBAC process.</w:t>
      </w:r>
    </w:p>
    <w:p w14:paraId="221BB876" w14:textId="44F7F40C" w:rsidR="00E20EDC" w:rsidRPr="00DE1F5C" w:rsidRDefault="00DE1F5C" w:rsidP="00032059">
      <w:pPr>
        <w:pStyle w:val="Caption"/>
        <w:keepNext/>
        <w:rPr>
          <w:rFonts w:cstheme="minorHAnsi"/>
          <w:szCs w:val="24"/>
        </w:rPr>
      </w:pPr>
      <w:bookmarkStart w:id="8" w:name="_Ref219457115"/>
      <w:bookmarkStart w:id="9" w:name="_Hlk121755068"/>
      <w:r w:rsidRPr="00DE1F5C">
        <w:t xml:space="preserve">Table </w:t>
      </w:r>
      <w:r>
        <w:fldChar w:fldCharType="begin"/>
      </w:r>
      <w:r>
        <w:instrText>SEQ Table \* ARABIC</w:instrText>
      </w:r>
      <w:r>
        <w:fldChar w:fldCharType="separate"/>
      </w:r>
      <w:r w:rsidR="003C1818">
        <w:rPr>
          <w:noProof/>
        </w:rPr>
        <w:t>7</w:t>
      </w:r>
      <w:r>
        <w:fldChar w:fldCharType="end"/>
      </w:r>
      <w:bookmarkEnd w:id="8"/>
      <w:r w:rsidR="00E20EDC" w:rsidRPr="00DE1F5C">
        <w:rPr>
          <w:rStyle w:val="TableFigureHeadingChar"/>
          <w:b/>
          <w:bCs w:val="0"/>
          <w:szCs w:val="20"/>
        </w:rPr>
        <w:t>:</w:t>
      </w:r>
      <w:bookmarkEnd w:id="9"/>
      <w:r w:rsidR="00E20EDC" w:rsidRPr="00DE1F5C">
        <w:rPr>
          <w:rStyle w:val="TableFigureHeadingChar"/>
          <w:b/>
          <w:bCs w:val="0"/>
          <w:szCs w:val="20"/>
        </w:rPr>
        <w:t xml:space="preserve"> </w:t>
      </w:r>
      <w:r w:rsidR="00B55A00">
        <w:rPr>
          <w:rStyle w:val="TableFigureHeadingChar"/>
          <w:b/>
          <w:bCs w:val="0"/>
          <w:szCs w:val="20"/>
        </w:rPr>
        <w:t>Sponsor</w:t>
      </w:r>
      <w:r w:rsidR="003E1E40">
        <w:rPr>
          <w:rStyle w:val="TableFigureHeadingChar"/>
          <w:b/>
          <w:bCs w:val="0"/>
          <w:szCs w:val="20"/>
        </w:rPr>
        <w:t xml:space="preserve"> e</w:t>
      </w:r>
      <w:r w:rsidR="00E20EDC" w:rsidRPr="00DE1F5C">
        <w:rPr>
          <w:rStyle w:val="TableFigureHeadingChar"/>
          <w:b/>
          <w:bCs w:val="0"/>
          <w:szCs w:val="20"/>
        </w:rPr>
        <w:t>stimated use and financial implications</w:t>
      </w:r>
      <w:r w:rsidR="00E20EDC" w:rsidRPr="00DE1F5C">
        <w:rPr>
          <w:rStyle w:val="CommentReference"/>
          <w:sz w:val="20"/>
          <w:szCs w:val="22"/>
        </w:rPr>
        <w:t xml:space="preserve"> </w:t>
      </w:r>
    </w:p>
    <w:tbl>
      <w:tblPr>
        <w:tblW w:w="49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7: Sponsor estimated use and financial implications "/>
      </w:tblPr>
      <w:tblGrid>
        <w:gridCol w:w="2121"/>
        <w:gridCol w:w="1031"/>
        <w:gridCol w:w="1157"/>
        <w:gridCol w:w="1157"/>
        <w:gridCol w:w="1157"/>
        <w:gridCol w:w="1157"/>
        <w:gridCol w:w="1158"/>
      </w:tblGrid>
      <w:tr w:rsidR="00F503E2" w:rsidRPr="00A6439B" w14:paraId="1F24D30A" w14:textId="77777777" w:rsidTr="00BA340E">
        <w:trPr>
          <w:cantSplit/>
          <w:tblHeader/>
          <w:jc w:val="center"/>
        </w:trPr>
        <w:tc>
          <w:tcPr>
            <w:tcW w:w="1187" w:type="pct"/>
            <w:vAlign w:val="center"/>
          </w:tcPr>
          <w:p w14:paraId="1C805578" w14:textId="77777777" w:rsidR="00E20EDC" w:rsidRPr="00A6439B" w:rsidRDefault="00E20EDC">
            <w:pPr>
              <w:pStyle w:val="TableText0"/>
              <w:keepLines/>
            </w:pPr>
          </w:p>
        </w:tc>
        <w:tc>
          <w:tcPr>
            <w:tcW w:w="577" w:type="pct"/>
            <w:vAlign w:val="center"/>
          </w:tcPr>
          <w:p w14:paraId="025BA4D4" w14:textId="77777777" w:rsidR="00E20EDC" w:rsidRPr="00A6439B" w:rsidRDefault="00E20EDC" w:rsidP="009F706C">
            <w:pPr>
              <w:pStyle w:val="TableText0"/>
              <w:keepLines/>
              <w:rPr>
                <w:b/>
              </w:rPr>
            </w:pPr>
            <w:r w:rsidRPr="00A6439B">
              <w:rPr>
                <w:b/>
              </w:rPr>
              <w:t>Year 1</w:t>
            </w:r>
          </w:p>
        </w:tc>
        <w:tc>
          <w:tcPr>
            <w:tcW w:w="647" w:type="pct"/>
            <w:vAlign w:val="center"/>
          </w:tcPr>
          <w:p w14:paraId="10CF1064" w14:textId="77777777" w:rsidR="00E20EDC" w:rsidRPr="00A6439B" w:rsidRDefault="00E20EDC" w:rsidP="009F706C">
            <w:pPr>
              <w:pStyle w:val="TableText0"/>
              <w:keepLines/>
              <w:rPr>
                <w:b/>
              </w:rPr>
            </w:pPr>
            <w:r w:rsidRPr="00A6439B">
              <w:rPr>
                <w:b/>
              </w:rPr>
              <w:t>Year 2</w:t>
            </w:r>
          </w:p>
        </w:tc>
        <w:tc>
          <w:tcPr>
            <w:tcW w:w="647" w:type="pct"/>
            <w:vAlign w:val="center"/>
          </w:tcPr>
          <w:p w14:paraId="72B488B8" w14:textId="77777777" w:rsidR="00E20EDC" w:rsidRPr="00A6439B" w:rsidRDefault="00E20EDC" w:rsidP="009F706C">
            <w:pPr>
              <w:pStyle w:val="TableText0"/>
              <w:keepLines/>
              <w:rPr>
                <w:b/>
              </w:rPr>
            </w:pPr>
            <w:r w:rsidRPr="00A6439B">
              <w:rPr>
                <w:b/>
              </w:rPr>
              <w:t>Year 3</w:t>
            </w:r>
          </w:p>
        </w:tc>
        <w:tc>
          <w:tcPr>
            <w:tcW w:w="647" w:type="pct"/>
            <w:vAlign w:val="center"/>
          </w:tcPr>
          <w:p w14:paraId="12EDFB20" w14:textId="77777777" w:rsidR="00E20EDC" w:rsidRPr="00A6439B" w:rsidRDefault="00E20EDC" w:rsidP="009F706C">
            <w:pPr>
              <w:pStyle w:val="TableText0"/>
              <w:keepLines/>
              <w:rPr>
                <w:b/>
              </w:rPr>
            </w:pPr>
            <w:r w:rsidRPr="00A6439B">
              <w:rPr>
                <w:b/>
              </w:rPr>
              <w:t>Year 4</w:t>
            </w:r>
          </w:p>
        </w:tc>
        <w:tc>
          <w:tcPr>
            <w:tcW w:w="647" w:type="pct"/>
            <w:vAlign w:val="center"/>
          </w:tcPr>
          <w:p w14:paraId="4EC7ACE7" w14:textId="77777777" w:rsidR="00E20EDC" w:rsidRPr="00A6439B" w:rsidRDefault="00E20EDC" w:rsidP="009F706C">
            <w:pPr>
              <w:pStyle w:val="TableText0"/>
              <w:keepLines/>
              <w:rPr>
                <w:b/>
              </w:rPr>
            </w:pPr>
            <w:r w:rsidRPr="00A6439B">
              <w:rPr>
                <w:b/>
              </w:rPr>
              <w:t>Year 5</w:t>
            </w:r>
          </w:p>
        </w:tc>
        <w:tc>
          <w:tcPr>
            <w:tcW w:w="647" w:type="pct"/>
          </w:tcPr>
          <w:p w14:paraId="5D40EF2F" w14:textId="77777777" w:rsidR="00E20EDC" w:rsidRPr="00A6439B" w:rsidRDefault="00E20EDC" w:rsidP="009F706C">
            <w:pPr>
              <w:pStyle w:val="TableText0"/>
              <w:keepLines/>
              <w:rPr>
                <w:b/>
              </w:rPr>
            </w:pPr>
            <w:r w:rsidRPr="00A6439B">
              <w:rPr>
                <w:b/>
              </w:rPr>
              <w:t>Year 6</w:t>
            </w:r>
          </w:p>
        </w:tc>
      </w:tr>
      <w:tr w:rsidR="00E20EDC" w:rsidRPr="00A6439B" w14:paraId="1E987206" w14:textId="77777777">
        <w:trPr>
          <w:cantSplit/>
          <w:jc w:val="center"/>
        </w:trPr>
        <w:tc>
          <w:tcPr>
            <w:tcW w:w="5000" w:type="pct"/>
            <w:gridSpan w:val="7"/>
            <w:vAlign w:val="center"/>
          </w:tcPr>
          <w:p w14:paraId="62C0EEDD" w14:textId="77777777" w:rsidR="00E20EDC" w:rsidRPr="00A6439B" w:rsidRDefault="00E20EDC">
            <w:pPr>
              <w:pStyle w:val="TableText0"/>
              <w:keepLines/>
              <w:rPr>
                <w:b/>
                <w:color w:val="000000"/>
              </w:rPr>
            </w:pPr>
            <w:r w:rsidRPr="00A6439B">
              <w:rPr>
                <w:b/>
                <w:color w:val="000000"/>
              </w:rPr>
              <w:t>Estimated extent of use</w:t>
            </w:r>
          </w:p>
        </w:tc>
      </w:tr>
      <w:tr w:rsidR="00F503E2" w:rsidRPr="00A6439B" w14:paraId="62957A64" w14:textId="77777777" w:rsidTr="00BA340E">
        <w:trPr>
          <w:cantSplit/>
          <w:jc w:val="center"/>
        </w:trPr>
        <w:tc>
          <w:tcPr>
            <w:tcW w:w="1187" w:type="pct"/>
            <w:vAlign w:val="center"/>
          </w:tcPr>
          <w:p w14:paraId="14FE2651" w14:textId="1AB1F7DD" w:rsidR="00334E35" w:rsidRPr="00A6439B" w:rsidRDefault="00334E35" w:rsidP="00334E35">
            <w:pPr>
              <w:pStyle w:val="TableText0"/>
              <w:keepLines/>
            </w:pPr>
            <w:r w:rsidRPr="00A6439B">
              <w:t>Number of patients treated</w:t>
            </w:r>
          </w:p>
        </w:tc>
        <w:tc>
          <w:tcPr>
            <w:tcW w:w="577" w:type="pct"/>
            <w:tcBorders>
              <w:top w:val="single" w:sz="4" w:space="0" w:color="auto"/>
              <w:left w:val="single" w:sz="4" w:space="0" w:color="auto"/>
              <w:bottom w:val="single" w:sz="4" w:space="0" w:color="auto"/>
              <w:right w:val="single" w:sz="4" w:space="0" w:color="auto"/>
            </w:tcBorders>
            <w:vAlign w:val="center"/>
          </w:tcPr>
          <w:p w14:paraId="7510ACC4" w14:textId="0C9E80AE" w:rsidR="00334E35" w:rsidRPr="004F5CF8" w:rsidRDefault="004F5CF8" w:rsidP="00BA340E">
            <w:pPr>
              <w:pStyle w:val="TableText0"/>
              <w:jc w:val="center"/>
              <w:rPr>
                <w:vertAlign w:val="superscript"/>
              </w:rPr>
            </w:pPr>
            <w:r w:rsidRPr="004F5CF8">
              <w:rPr>
                <w:sz w:val="2"/>
                <w:highlight w:val="black"/>
              </w:rPr>
              <w:t>redacted content</w:t>
            </w:r>
            <w:r w:rsidR="003C508C" w:rsidRPr="004561A2">
              <w:rPr>
                <w:vertAlign w:val="superscript"/>
              </w:rPr>
              <w:t>1</w:t>
            </w:r>
          </w:p>
        </w:tc>
        <w:tc>
          <w:tcPr>
            <w:tcW w:w="647" w:type="pct"/>
            <w:tcBorders>
              <w:top w:val="single" w:sz="4" w:space="0" w:color="auto"/>
              <w:left w:val="nil"/>
              <w:bottom w:val="single" w:sz="4" w:space="0" w:color="auto"/>
              <w:right w:val="single" w:sz="4" w:space="0" w:color="auto"/>
            </w:tcBorders>
            <w:vAlign w:val="center"/>
          </w:tcPr>
          <w:p w14:paraId="1BC0D603" w14:textId="265D0212" w:rsidR="00334E35" w:rsidRPr="004F5CF8" w:rsidRDefault="004F5CF8" w:rsidP="00BA340E">
            <w:pPr>
              <w:pStyle w:val="TableText0"/>
              <w:jc w:val="center"/>
              <w:rPr>
                <w:vertAlign w:val="superscript"/>
              </w:rPr>
            </w:pPr>
            <w:r w:rsidRPr="004F5CF8">
              <w:rPr>
                <w:sz w:val="2"/>
                <w:highlight w:val="black"/>
              </w:rPr>
              <w:t>redacted content</w:t>
            </w:r>
            <w:r w:rsidR="003C508C" w:rsidRPr="004561A2">
              <w:rPr>
                <w:vertAlign w:val="superscript"/>
              </w:rPr>
              <w:t>1</w:t>
            </w:r>
          </w:p>
        </w:tc>
        <w:tc>
          <w:tcPr>
            <w:tcW w:w="647" w:type="pct"/>
            <w:tcBorders>
              <w:top w:val="single" w:sz="4" w:space="0" w:color="auto"/>
              <w:left w:val="nil"/>
              <w:bottom w:val="single" w:sz="4" w:space="0" w:color="auto"/>
              <w:right w:val="single" w:sz="4" w:space="0" w:color="auto"/>
            </w:tcBorders>
            <w:vAlign w:val="center"/>
          </w:tcPr>
          <w:p w14:paraId="4FDEFFD7" w14:textId="00752930" w:rsidR="00334E35" w:rsidRPr="004F5CF8" w:rsidRDefault="004F5CF8" w:rsidP="00BA340E">
            <w:pPr>
              <w:pStyle w:val="TableText0"/>
              <w:jc w:val="center"/>
              <w:rPr>
                <w:vertAlign w:val="superscript"/>
              </w:rPr>
            </w:pPr>
            <w:r w:rsidRPr="004F5CF8">
              <w:rPr>
                <w:sz w:val="2"/>
                <w:highlight w:val="black"/>
              </w:rPr>
              <w:t>redacted content</w:t>
            </w:r>
            <w:r w:rsidR="003C508C" w:rsidRPr="004561A2">
              <w:rPr>
                <w:vertAlign w:val="superscript"/>
              </w:rPr>
              <w:t>1</w:t>
            </w:r>
          </w:p>
        </w:tc>
        <w:tc>
          <w:tcPr>
            <w:tcW w:w="647" w:type="pct"/>
            <w:tcBorders>
              <w:top w:val="single" w:sz="4" w:space="0" w:color="auto"/>
              <w:left w:val="nil"/>
              <w:bottom w:val="single" w:sz="4" w:space="0" w:color="auto"/>
              <w:right w:val="single" w:sz="4" w:space="0" w:color="auto"/>
            </w:tcBorders>
            <w:vAlign w:val="center"/>
          </w:tcPr>
          <w:p w14:paraId="3909B146" w14:textId="59AEAEB8" w:rsidR="00334E35" w:rsidRPr="004F5CF8" w:rsidRDefault="004F5CF8" w:rsidP="00BA340E">
            <w:pPr>
              <w:pStyle w:val="TableText0"/>
              <w:jc w:val="center"/>
              <w:rPr>
                <w:vertAlign w:val="superscript"/>
              </w:rPr>
            </w:pPr>
            <w:r w:rsidRPr="004F5CF8">
              <w:rPr>
                <w:sz w:val="2"/>
                <w:highlight w:val="black"/>
              </w:rPr>
              <w:t>redacted content</w:t>
            </w:r>
            <w:r w:rsidR="003C508C" w:rsidRPr="004561A2">
              <w:rPr>
                <w:vertAlign w:val="superscript"/>
              </w:rPr>
              <w:t>1</w:t>
            </w:r>
          </w:p>
        </w:tc>
        <w:tc>
          <w:tcPr>
            <w:tcW w:w="647" w:type="pct"/>
            <w:tcBorders>
              <w:top w:val="single" w:sz="4" w:space="0" w:color="auto"/>
              <w:left w:val="nil"/>
              <w:bottom w:val="single" w:sz="4" w:space="0" w:color="auto"/>
              <w:right w:val="single" w:sz="4" w:space="0" w:color="auto"/>
            </w:tcBorders>
            <w:vAlign w:val="center"/>
          </w:tcPr>
          <w:p w14:paraId="43E29FEC" w14:textId="2EACB06B" w:rsidR="00334E35" w:rsidRPr="004F5CF8" w:rsidRDefault="004F5CF8" w:rsidP="00BA340E">
            <w:pPr>
              <w:pStyle w:val="TableText0"/>
              <w:jc w:val="center"/>
              <w:rPr>
                <w:vertAlign w:val="superscript"/>
              </w:rPr>
            </w:pPr>
            <w:r w:rsidRPr="004F5CF8">
              <w:rPr>
                <w:sz w:val="2"/>
                <w:highlight w:val="black"/>
              </w:rPr>
              <w:t>redacted content</w:t>
            </w:r>
            <w:r w:rsidR="003C508C" w:rsidRPr="004561A2">
              <w:rPr>
                <w:vertAlign w:val="superscript"/>
              </w:rPr>
              <w:t>1</w:t>
            </w:r>
          </w:p>
        </w:tc>
        <w:tc>
          <w:tcPr>
            <w:tcW w:w="647" w:type="pct"/>
            <w:tcBorders>
              <w:top w:val="single" w:sz="4" w:space="0" w:color="auto"/>
              <w:left w:val="nil"/>
              <w:bottom w:val="single" w:sz="4" w:space="0" w:color="auto"/>
              <w:right w:val="single" w:sz="4" w:space="0" w:color="auto"/>
            </w:tcBorders>
            <w:vAlign w:val="center"/>
          </w:tcPr>
          <w:p w14:paraId="681E043D" w14:textId="2DE70DC3" w:rsidR="00334E35" w:rsidRPr="004F5CF8" w:rsidRDefault="004F5CF8" w:rsidP="00BA340E">
            <w:pPr>
              <w:pStyle w:val="TableText0"/>
              <w:jc w:val="center"/>
              <w:rPr>
                <w:vertAlign w:val="superscript"/>
              </w:rPr>
            </w:pPr>
            <w:r w:rsidRPr="004F5CF8">
              <w:rPr>
                <w:sz w:val="2"/>
                <w:highlight w:val="black"/>
              </w:rPr>
              <w:t>redacted content</w:t>
            </w:r>
            <w:r w:rsidR="003C508C" w:rsidRPr="004561A2">
              <w:rPr>
                <w:vertAlign w:val="superscript"/>
              </w:rPr>
              <w:t>1</w:t>
            </w:r>
          </w:p>
        </w:tc>
      </w:tr>
      <w:tr w:rsidR="00F503E2" w:rsidRPr="00BA340E" w14:paraId="54284FFC" w14:textId="77777777" w:rsidTr="00BA340E">
        <w:trPr>
          <w:cantSplit/>
          <w:jc w:val="center"/>
        </w:trPr>
        <w:tc>
          <w:tcPr>
            <w:tcW w:w="1187" w:type="pct"/>
            <w:vAlign w:val="center"/>
          </w:tcPr>
          <w:p w14:paraId="1B852D31" w14:textId="482B514E" w:rsidR="00BA340E" w:rsidRPr="00A6439B" w:rsidRDefault="00BA340E" w:rsidP="00BA340E">
            <w:pPr>
              <w:pStyle w:val="TableText0"/>
              <w:keepLines/>
              <w:rPr>
                <w:vertAlign w:val="superscript"/>
              </w:rPr>
            </w:pPr>
            <w:r w:rsidRPr="00A6439B">
              <w:t>Number of scripts dispensed</w:t>
            </w:r>
            <w:r w:rsidR="00702CF3" w:rsidRPr="00702CF3">
              <w:rPr>
                <w:vertAlign w:val="superscript"/>
              </w:rPr>
              <w:t>1</w:t>
            </w:r>
          </w:p>
        </w:tc>
        <w:tc>
          <w:tcPr>
            <w:tcW w:w="577" w:type="pct"/>
            <w:tcBorders>
              <w:top w:val="single" w:sz="4" w:space="0" w:color="auto"/>
              <w:left w:val="single" w:sz="4" w:space="0" w:color="auto"/>
              <w:bottom w:val="single" w:sz="4" w:space="0" w:color="auto"/>
              <w:right w:val="single" w:sz="4" w:space="0" w:color="auto"/>
            </w:tcBorders>
            <w:vAlign w:val="center"/>
          </w:tcPr>
          <w:p w14:paraId="5F2362A0" w14:textId="074F0438" w:rsidR="00BA340E" w:rsidRPr="004F5CF8" w:rsidRDefault="004F5CF8" w:rsidP="00BA340E">
            <w:pPr>
              <w:pStyle w:val="TableText0"/>
              <w:jc w:val="center"/>
              <w:rPr>
                <w:vertAlign w:val="superscript"/>
              </w:rPr>
            </w:pPr>
            <w:r w:rsidRPr="004F5CF8">
              <w:rPr>
                <w:sz w:val="2"/>
                <w:highlight w:val="black"/>
              </w:rPr>
              <w:t>redacted content</w:t>
            </w:r>
            <w:r w:rsidR="00E320D3" w:rsidRPr="004561A2">
              <w:rPr>
                <w:vertAlign w:val="superscript"/>
              </w:rPr>
              <w:t>2</w:t>
            </w:r>
          </w:p>
        </w:tc>
        <w:tc>
          <w:tcPr>
            <w:tcW w:w="647" w:type="pct"/>
            <w:tcBorders>
              <w:top w:val="single" w:sz="4" w:space="0" w:color="auto"/>
              <w:left w:val="nil"/>
              <w:bottom w:val="single" w:sz="4" w:space="0" w:color="auto"/>
              <w:right w:val="single" w:sz="4" w:space="0" w:color="auto"/>
            </w:tcBorders>
            <w:vAlign w:val="center"/>
          </w:tcPr>
          <w:p w14:paraId="6B8B8C4F" w14:textId="2157D34F" w:rsidR="00BA340E" w:rsidRPr="004F5CF8" w:rsidRDefault="004F5CF8" w:rsidP="00BA340E">
            <w:pPr>
              <w:pStyle w:val="TableText0"/>
              <w:jc w:val="center"/>
              <w:rPr>
                <w:vertAlign w:val="superscript"/>
              </w:rPr>
            </w:pPr>
            <w:r w:rsidRPr="004F5CF8">
              <w:rPr>
                <w:sz w:val="2"/>
                <w:highlight w:val="black"/>
              </w:rPr>
              <w:t>redacted content</w:t>
            </w:r>
            <w:r w:rsidR="00E320D3" w:rsidRPr="004561A2">
              <w:rPr>
                <w:vertAlign w:val="superscript"/>
              </w:rPr>
              <w:t>3</w:t>
            </w:r>
          </w:p>
        </w:tc>
        <w:tc>
          <w:tcPr>
            <w:tcW w:w="647" w:type="pct"/>
            <w:tcBorders>
              <w:top w:val="single" w:sz="4" w:space="0" w:color="auto"/>
              <w:left w:val="nil"/>
              <w:bottom w:val="single" w:sz="4" w:space="0" w:color="auto"/>
              <w:right w:val="single" w:sz="4" w:space="0" w:color="auto"/>
            </w:tcBorders>
            <w:vAlign w:val="center"/>
          </w:tcPr>
          <w:p w14:paraId="63929A06" w14:textId="0C93B63A" w:rsidR="00BA340E" w:rsidRPr="004F5CF8" w:rsidRDefault="004F5CF8" w:rsidP="00BA340E">
            <w:pPr>
              <w:pStyle w:val="TableText0"/>
              <w:jc w:val="center"/>
              <w:rPr>
                <w:vertAlign w:val="superscript"/>
              </w:rPr>
            </w:pPr>
            <w:r w:rsidRPr="004F5CF8">
              <w:rPr>
                <w:sz w:val="2"/>
                <w:highlight w:val="black"/>
              </w:rPr>
              <w:t>redacted content</w:t>
            </w:r>
            <w:r w:rsidR="00E320D3" w:rsidRPr="004561A2">
              <w:rPr>
                <w:vertAlign w:val="superscript"/>
              </w:rPr>
              <w:t>3</w:t>
            </w:r>
          </w:p>
        </w:tc>
        <w:tc>
          <w:tcPr>
            <w:tcW w:w="647" w:type="pct"/>
            <w:tcBorders>
              <w:top w:val="single" w:sz="4" w:space="0" w:color="auto"/>
              <w:left w:val="nil"/>
              <w:bottom w:val="single" w:sz="4" w:space="0" w:color="auto"/>
              <w:right w:val="single" w:sz="4" w:space="0" w:color="auto"/>
            </w:tcBorders>
            <w:vAlign w:val="center"/>
          </w:tcPr>
          <w:p w14:paraId="0A2BC49B" w14:textId="54B8564F" w:rsidR="00BA340E" w:rsidRPr="004F5CF8" w:rsidRDefault="004F5CF8" w:rsidP="00BA340E">
            <w:pPr>
              <w:pStyle w:val="TableText0"/>
              <w:jc w:val="center"/>
              <w:rPr>
                <w:vertAlign w:val="superscript"/>
              </w:rPr>
            </w:pPr>
            <w:r w:rsidRPr="004F5CF8">
              <w:rPr>
                <w:sz w:val="2"/>
                <w:highlight w:val="black"/>
              </w:rPr>
              <w:t>redacted content</w:t>
            </w:r>
            <w:r w:rsidR="00E320D3" w:rsidRPr="004561A2">
              <w:rPr>
                <w:vertAlign w:val="superscript"/>
              </w:rPr>
              <w:t>4</w:t>
            </w:r>
          </w:p>
        </w:tc>
        <w:tc>
          <w:tcPr>
            <w:tcW w:w="647" w:type="pct"/>
            <w:tcBorders>
              <w:top w:val="single" w:sz="4" w:space="0" w:color="auto"/>
              <w:left w:val="nil"/>
              <w:bottom w:val="single" w:sz="4" w:space="0" w:color="auto"/>
              <w:right w:val="single" w:sz="4" w:space="0" w:color="auto"/>
            </w:tcBorders>
            <w:vAlign w:val="center"/>
          </w:tcPr>
          <w:p w14:paraId="4C221B6A" w14:textId="63FCEF98" w:rsidR="00BA340E" w:rsidRPr="004F5CF8" w:rsidRDefault="004F5CF8" w:rsidP="00BA340E">
            <w:pPr>
              <w:pStyle w:val="TableText0"/>
              <w:jc w:val="center"/>
              <w:rPr>
                <w:vertAlign w:val="superscript"/>
              </w:rPr>
            </w:pPr>
            <w:r w:rsidRPr="004F5CF8">
              <w:rPr>
                <w:sz w:val="2"/>
                <w:highlight w:val="black"/>
              </w:rPr>
              <w:t>redacted content</w:t>
            </w:r>
            <w:r w:rsidR="00E320D3" w:rsidRPr="004561A2">
              <w:rPr>
                <w:vertAlign w:val="superscript"/>
              </w:rPr>
              <w:t>5</w:t>
            </w:r>
          </w:p>
        </w:tc>
        <w:tc>
          <w:tcPr>
            <w:tcW w:w="647" w:type="pct"/>
            <w:tcBorders>
              <w:top w:val="single" w:sz="4" w:space="0" w:color="auto"/>
              <w:left w:val="nil"/>
              <w:bottom w:val="single" w:sz="4" w:space="0" w:color="auto"/>
              <w:right w:val="single" w:sz="4" w:space="0" w:color="auto"/>
            </w:tcBorders>
            <w:vAlign w:val="center"/>
          </w:tcPr>
          <w:p w14:paraId="538298AF" w14:textId="54B9BE07" w:rsidR="00BA340E" w:rsidRPr="004F5CF8" w:rsidRDefault="004F5CF8" w:rsidP="00BA340E">
            <w:pPr>
              <w:pStyle w:val="TableText0"/>
              <w:jc w:val="center"/>
              <w:rPr>
                <w:vertAlign w:val="superscript"/>
              </w:rPr>
            </w:pPr>
            <w:r w:rsidRPr="004F5CF8">
              <w:rPr>
                <w:sz w:val="2"/>
                <w:highlight w:val="black"/>
              </w:rPr>
              <w:t>redacted content</w:t>
            </w:r>
            <w:r w:rsidR="00E320D3" w:rsidRPr="004561A2">
              <w:rPr>
                <w:vertAlign w:val="superscript"/>
              </w:rPr>
              <w:t>5</w:t>
            </w:r>
          </w:p>
        </w:tc>
      </w:tr>
      <w:tr w:rsidR="00BA340E" w:rsidRPr="00A6439B" w14:paraId="61680115" w14:textId="77777777">
        <w:trPr>
          <w:cantSplit/>
          <w:jc w:val="center"/>
        </w:trPr>
        <w:tc>
          <w:tcPr>
            <w:tcW w:w="5000" w:type="pct"/>
            <w:gridSpan w:val="7"/>
            <w:vAlign w:val="center"/>
          </w:tcPr>
          <w:p w14:paraId="6EAF9806" w14:textId="77777777" w:rsidR="00BA340E" w:rsidRPr="00A6439B" w:rsidRDefault="00BA340E" w:rsidP="00BA340E">
            <w:pPr>
              <w:pStyle w:val="TableText0"/>
              <w:keepLines/>
              <w:rPr>
                <w:b/>
                <w:bCs w:val="0"/>
                <w:color w:val="000000"/>
              </w:rPr>
            </w:pPr>
            <w:r w:rsidRPr="00A6439B">
              <w:rPr>
                <w:b/>
                <w:bCs w:val="0"/>
                <w:color w:val="000000"/>
              </w:rPr>
              <w:t>Net financial implications</w:t>
            </w:r>
          </w:p>
        </w:tc>
      </w:tr>
      <w:tr w:rsidR="00F503E2" w:rsidRPr="00A6439B" w14:paraId="53241AEB" w14:textId="77777777" w:rsidTr="00BA340E">
        <w:trPr>
          <w:cantSplit/>
          <w:jc w:val="center"/>
        </w:trPr>
        <w:tc>
          <w:tcPr>
            <w:tcW w:w="1187" w:type="pct"/>
            <w:vAlign w:val="center"/>
          </w:tcPr>
          <w:p w14:paraId="6DFE79D6" w14:textId="4ADC5993" w:rsidR="00BA340E" w:rsidRPr="00A6439B" w:rsidRDefault="00BA340E" w:rsidP="00BA340E">
            <w:pPr>
              <w:pStyle w:val="TableText0"/>
              <w:keepLines/>
            </w:pPr>
            <w:r w:rsidRPr="00A6439B">
              <w:t>Net cost to PBS/RPBS</w:t>
            </w:r>
            <w:r w:rsidRPr="003C371B">
              <w:rPr>
                <w:vertAlign w:val="superscript"/>
              </w:rPr>
              <w:t>2</w:t>
            </w:r>
          </w:p>
        </w:tc>
        <w:tc>
          <w:tcPr>
            <w:tcW w:w="577" w:type="pct"/>
            <w:vAlign w:val="center"/>
          </w:tcPr>
          <w:p w14:paraId="56950692" w14:textId="69B5AE45" w:rsidR="00BA340E" w:rsidRPr="004F5CF8" w:rsidRDefault="004561A2" w:rsidP="00BA340E">
            <w:pPr>
              <w:pStyle w:val="TableText0"/>
              <w:keepLines/>
              <w:jc w:val="center"/>
              <w:rPr>
                <w:color w:val="000000"/>
                <w:vertAlign w:val="superscript"/>
              </w:rPr>
            </w:pPr>
            <w:r w:rsidRPr="004561A2">
              <w:t>$</w:t>
            </w:r>
            <w:r w:rsidR="004F5CF8" w:rsidRPr="004F5CF8">
              <w:rPr>
                <w:sz w:val="2"/>
                <w:highlight w:val="black"/>
              </w:rPr>
              <w:t>redacted content</w:t>
            </w:r>
            <w:r w:rsidR="00CC3232" w:rsidRPr="004561A2">
              <w:rPr>
                <w:vertAlign w:val="superscript"/>
              </w:rPr>
              <w:t>6</w:t>
            </w:r>
          </w:p>
        </w:tc>
        <w:tc>
          <w:tcPr>
            <w:tcW w:w="647" w:type="pct"/>
            <w:vAlign w:val="center"/>
          </w:tcPr>
          <w:p w14:paraId="2E29E462" w14:textId="59E580C6" w:rsidR="00BA340E" w:rsidRPr="004F5CF8" w:rsidRDefault="004561A2" w:rsidP="00BA340E">
            <w:pPr>
              <w:pStyle w:val="TableText0"/>
              <w:keepLines/>
              <w:jc w:val="center"/>
              <w:rPr>
                <w:color w:val="000000"/>
                <w:vertAlign w:val="superscript"/>
              </w:rPr>
            </w:pPr>
            <w:r w:rsidRPr="004561A2">
              <w:t>$</w:t>
            </w:r>
            <w:r w:rsidR="004F5CF8" w:rsidRPr="004F5CF8">
              <w:rPr>
                <w:sz w:val="2"/>
                <w:highlight w:val="black"/>
              </w:rPr>
              <w:t>redacted content</w:t>
            </w:r>
            <w:r w:rsidR="00CC3232" w:rsidRPr="004561A2">
              <w:rPr>
                <w:vertAlign w:val="superscript"/>
              </w:rPr>
              <w:t>7</w:t>
            </w:r>
          </w:p>
        </w:tc>
        <w:tc>
          <w:tcPr>
            <w:tcW w:w="647" w:type="pct"/>
            <w:vAlign w:val="center"/>
          </w:tcPr>
          <w:p w14:paraId="182B592C" w14:textId="527E7506" w:rsidR="00BA340E" w:rsidRPr="004F5CF8" w:rsidRDefault="004561A2" w:rsidP="00BA340E">
            <w:pPr>
              <w:pStyle w:val="TableText0"/>
              <w:keepLines/>
              <w:jc w:val="center"/>
              <w:rPr>
                <w:color w:val="000000"/>
                <w:vertAlign w:val="superscript"/>
              </w:rPr>
            </w:pPr>
            <w:r w:rsidRPr="004561A2">
              <w:t>$</w:t>
            </w:r>
            <w:r w:rsidR="004F5CF8" w:rsidRPr="004F5CF8">
              <w:rPr>
                <w:sz w:val="2"/>
                <w:highlight w:val="black"/>
              </w:rPr>
              <w:t>redacted content</w:t>
            </w:r>
            <w:r w:rsidR="00CC3232" w:rsidRPr="004561A2">
              <w:rPr>
                <w:vertAlign w:val="superscript"/>
              </w:rPr>
              <w:t>7</w:t>
            </w:r>
          </w:p>
        </w:tc>
        <w:tc>
          <w:tcPr>
            <w:tcW w:w="647" w:type="pct"/>
            <w:vAlign w:val="center"/>
          </w:tcPr>
          <w:p w14:paraId="5208B118" w14:textId="68CC50BE" w:rsidR="00BA340E" w:rsidRPr="004F5CF8" w:rsidRDefault="004561A2" w:rsidP="00BA340E">
            <w:pPr>
              <w:pStyle w:val="TableText0"/>
              <w:keepLines/>
              <w:jc w:val="center"/>
              <w:rPr>
                <w:color w:val="000000"/>
                <w:vertAlign w:val="superscript"/>
              </w:rPr>
            </w:pPr>
            <w:r w:rsidRPr="004561A2">
              <w:t>$</w:t>
            </w:r>
            <w:r w:rsidR="004F5CF8" w:rsidRPr="004F5CF8">
              <w:rPr>
                <w:sz w:val="2"/>
                <w:highlight w:val="black"/>
              </w:rPr>
              <w:t>redacted content</w:t>
            </w:r>
            <w:r w:rsidR="0061540A" w:rsidRPr="004561A2">
              <w:rPr>
                <w:vertAlign w:val="superscript"/>
              </w:rPr>
              <w:t>8</w:t>
            </w:r>
          </w:p>
        </w:tc>
        <w:tc>
          <w:tcPr>
            <w:tcW w:w="647" w:type="pct"/>
            <w:vAlign w:val="center"/>
          </w:tcPr>
          <w:p w14:paraId="327EC3D4" w14:textId="6C757755" w:rsidR="00BA340E" w:rsidRPr="004F5CF8" w:rsidRDefault="004561A2" w:rsidP="00BA340E">
            <w:pPr>
              <w:pStyle w:val="TableText0"/>
              <w:keepLines/>
              <w:jc w:val="center"/>
              <w:rPr>
                <w:color w:val="000000"/>
                <w:vertAlign w:val="superscript"/>
              </w:rPr>
            </w:pPr>
            <w:r w:rsidRPr="004561A2">
              <w:t>$</w:t>
            </w:r>
            <w:r w:rsidR="004F5CF8" w:rsidRPr="004F5CF8">
              <w:rPr>
                <w:sz w:val="2"/>
                <w:highlight w:val="black"/>
              </w:rPr>
              <w:t>redacted content</w:t>
            </w:r>
            <w:r w:rsidR="0061540A" w:rsidRPr="004561A2">
              <w:rPr>
                <w:vertAlign w:val="superscript"/>
              </w:rPr>
              <w:t>9</w:t>
            </w:r>
          </w:p>
        </w:tc>
        <w:tc>
          <w:tcPr>
            <w:tcW w:w="647" w:type="pct"/>
            <w:vAlign w:val="center"/>
          </w:tcPr>
          <w:p w14:paraId="442B7B40" w14:textId="6CC9FABA" w:rsidR="00BA340E" w:rsidRPr="004F5CF8" w:rsidRDefault="004561A2" w:rsidP="00BA340E">
            <w:pPr>
              <w:pStyle w:val="TableText0"/>
              <w:keepLines/>
              <w:jc w:val="center"/>
              <w:rPr>
                <w:color w:val="000000"/>
                <w:vertAlign w:val="superscript"/>
              </w:rPr>
            </w:pPr>
            <w:r w:rsidRPr="004561A2">
              <w:t>$</w:t>
            </w:r>
            <w:r w:rsidR="004F5CF8" w:rsidRPr="004F5CF8">
              <w:rPr>
                <w:sz w:val="2"/>
                <w:highlight w:val="black"/>
              </w:rPr>
              <w:t>redacted content</w:t>
            </w:r>
            <w:r w:rsidR="0061540A" w:rsidRPr="004561A2">
              <w:rPr>
                <w:vertAlign w:val="superscript"/>
              </w:rPr>
              <w:t>10</w:t>
            </w:r>
          </w:p>
        </w:tc>
      </w:tr>
    </w:tbl>
    <w:p w14:paraId="2B298CF4" w14:textId="67FC6FD3" w:rsidR="00E20EDC" w:rsidRDefault="00702CF3" w:rsidP="00E20EDC">
      <w:pPr>
        <w:pStyle w:val="TableFigureFooter"/>
        <w:keepNext/>
        <w:jc w:val="left"/>
      </w:pPr>
      <w:r>
        <w:rPr>
          <w:vertAlign w:val="superscript"/>
        </w:rPr>
        <w:t>1</w:t>
      </w:r>
      <w:r w:rsidR="00E20EDC" w:rsidRPr="00A6439B">
        <w:t xml:space="preserve"> </w:t>
      </w:r>
      <w:r w:rsidR="00E20EDC" w:rsidRPr="009B304B">
        <w:t xml:space="preserve">Assuming </w:t>
      </w:r>
      <w:r w:rsidR="009B304B" w:rsidRPr="009B304B">
        <w:t>10.06 scripts</w:t>
      </w:r>
      <w:r w:rsidR="00E20EDC" w:rsidRPr="009B304B">
        <w:t xml:space="preserve"> per patient per year as estimated by the submission. </w:t>
      </w:r>
    </w:p>
    <w:p w14:paraId="7FE19A10" w14:textId="660BA969" w:rsidR="003C371B" w:rsidRPr="003C371B" w:rsidRDefault="003C371B" w:rsidP="00DB5421">
      <w:pPr>
        <w:pStyle w:val="TableFigureFooter"/>
      </w:pPr>
      <w:r w:rsidRPr="00DB5421">
        <w:rPr>
          <w:vertAlign w:val="superscript"/>
        </w:rPr>
        <w:t xml:space="preserve">2 </w:t>
      </w:r>
      <w:r>
        <w:t xml:space="preserve">There are no costs associated with the changed </w:t>
      </w:r>
      <w:r w:rsidR="00DB5421">
        <w:t xml:space="preserve">listing, so the proposed impact is the same as the net impact </w:t>
      </w:r>
    </w:p>
    <w:p w14:paraId="74112F79" w14:textId="77777777" w:rsidR="00E20EDC" w:rsidRPr="00A6439B" w:rsidRDefault="00E20EDC" w:rsidP="00E20EDC">
      <w:pPr>
        <w:pStyle w:val="TableFigureFooter"/>
        <w:keepNext/>
        <w:jc w:val="left"/>
      </w:pPr>
      <w:r w:rsidRPr="00A6439B">
        <w:t>Abbreviations: MBS = Medical Benefits Scheme; PBS = Pharmaceutical Benefits Scheme; RPBS = Repatriation Pharmaceutical Benefits Scheme.</w:t>
      </w:r>
    </w:p>
    <w:p w14:paraId="4B59A71B" w14:textId="77777777" w:rsidR="00910195" w:rsidRDefault="00E20EDC" w:rsidP="00910195">
      <w:pPr>
        <w:pStyle w:val="TableFigureFooter"/>
      </w:pPr>
      <w:r w:rsidRPr="00A6439B">
        <w:t>Source:</w:t>
      </w:r>
      <w:r w:rsidR="004F5E9E">
        <w:t xml:space="preserve"> Appendix 7 - </w:t>
      </w:r>
      <w:r w:rsidR="00B45483">
        <w:t>Section 4 UCM workbook (</w:t>
      </w:r>
      <w:r w:rsidR="00726F5E">
        <w:t>Sheet 2b</w:t>
      </w:r>
      <w:r w:rsidR="004F5E9E">
        <w:t xml:space="preserve"> and</w:t>
      </w:r>
      <w:r w:rsidR="00726F5E">
        <w:t xml:space="preserve"> Sheet 5)</w:t>
      </w:r>
      <w:r w:rsidRPr="00A6439B">
        <w:t xml:space="preserve"> </w:t>
      </w:r>
    </w:p>
    <w:p w14:paraId="2C2A2EAB" w14:textId="77777777" w:rsidR="00910195" w:rsidRDefault="00910195" w:rsidP="00910195">
      <w:pPr>
        <w:pStyle w:val="TableFigureFooter"/>
        <w:rPr>
          <w:i/>
          <w:szCs w:val="18"/>
        </w:rPr>
      </w:pPr>
      <w:r w:rsidRPr="00A3497A">
        <w:rPr>
          <w:i/>
          <w:szCs w:val="18"/>
        </w:rPr>
        <w:t>The redacted values correspond to the following ranges:</w:t>
      </w:r>
    </w:p>
    <w:p w14:paraId="1814F9A9" w14:textId="159CC9E0" w:rsidR="00910195" w:rsidRPr="00032059" w:rsidRDefault="00910195" w:rsidP="00910195">
      <w:pPr>
        <w:pStyle w:val="TableFigureFooter"/>
        <w:rPr>
          <w:i/>
          <w:szCs w:val="18"/>
        </w:rPr>
      </w:pPr>
      <w:r w:rsidRPr="00A3497A">
        <w:rPr>
          <w:i/>
          <w:szCs w:val="18"/>
          <w:vertAlign w:val="superscript"/>
        </w:rPr>
        <w:t>1</w:t>
      </w:r>
      <w:r w:rsidRPr="00A3497A">
        <w:rPr>
          <w:i/>
          <w:szCs w:val="18"/>
        </w:rPr>
        <w:t xml:space="preserve"> </w:t>
      </w:r>
      <w:r w:rsidRPr="00032059">
        <w:rPr>
          <w:i/>
          <w:szCs w:val="18"/>
        </w:rPr>
        <w:t>500 to &lt; 5,000</w:t>
      </w:r>
    </w:p>
    <w:p w14:paraId="137DF879" w14:textId="768BD899" w:rsidR="003C508C" w:rsidRPr="004F5CF8" w:rsidRDefault="00E320D3" w:rsidP="003C508C">
      <w:pPr>
        <w:pStyle w:val="TableFigureFooter"/>
        <w:rPr>
          <w:i/>
          <w:szCs w:val="18"/>
        </w:rPr>
      </w:pPr>
      <w:r>
        <w:rPr>
          <w:i/>
          <w:szCs w:val="18"/>
          <w:vertAlign w:val="superscript"/>
        </w:rPr>
        <w:t>2</w:t>
      </w:r>
      <w:r w:rsidR="003C508C">
        <w:rPr>
          <w:i/>
          <w:szCs w:val="18"/>
          <w:vertAlign w:val="superscript"/>
        </w:rPr>
        <w:t xml:space="preserve"> </w:t>
      </w:r>
      <w:r w:rsidR="003C508C" w:rsidRPr="004F5CF8">
        <w:rPr>
          <w:i/>
          <w:szCs w:val="18"/>
        </w:rPr>
        <w:t>10,000 to &lt; 20,000</w:t>
      </w:r>
    </w:p>
    <w:p w14:paraId="62B207BB" w14:textId="76B35F42" w:rsidR="003C508C" w:rsidRPr="004F5CF8" w:rsidRDefault="00E320D3" w:rsidP="003C508C">
      <w:pPr>
        <w:pStyle w:val="TableFigureFooter"/>
        <w:rPr>
          <w:i/>
          <w:szCs w:val="18"/>
        </w:rPr>
      </w:pPr>
      <w:r>
        <w:rPr>
          <w:i/>
          <w:szCs w:val="18"/>
          <w:vertAlign w:val="superscript"/>
        </w:rPr>
        <w:t xml:space="preserve">3 </w:t>
      </w:r>
      <w:r w:rsidR="003C508C" w:rsidRPr="004F5CF8">
        <w:rPr>
          <w:i/>
          <w:szCs w:val="18"/>
        </w:rPr>
        <w:t>20,000 to &lt; 30,000</w:t>
      </w:r>
    </w:p>
    <w:p w14:paraId="62DF7F9A" w14:textId="560F6422" w:rsidR="003C508C" w:rsidRPr="004F5CF8" w:rsidRDefault="00E320D3" w:rsidP="003C508C">
      <w:pPr>
        <w:pStyle w:val="TableFigureFooter"/>
        <w:rPr>
          <w:i/>
          <w:szCs w:val="18"/>
        </w:rPr>
      </w:pPr>
      <w:r>
        <w:rPr>
          <w:i/>
          <w:szCs w:val="18"/>
          <w:vertAlign w:val="superscript"/>
        </w:rPr>
        <w:t xml:space="preserve">4 </w:t>
      </w:r>
      <w:r w:rsidR="003C508C" w:rsidRPr="004F5CF8">
        <w:rPr>
          <w:i/>
          <w:szCs w:val="18"/>
        </w:rPr>
        <w:t>30,000 to &lt; 40,000</w:t>
      </w:r>
    </w:p>
    <w:p w14:paraId="2B467E09" w14:textId="77777777" w:rsidR="00CC3232" w:rsidRDefault="00E320D3" w:rsidP="00CC3232">
      <w:pPr>
        <w:pStyle w:val="TableFigureFooter"/>
        <w:rPr>
          <w:i/>
          <w:szCs w:val="18"/>
        </w:rPr>
      </w:pPr>
      <w:r>
        <w:rPr>
          <w:i/>
          <w:szCs w:val="18"/>
          <w:vertAlign w:val="superscript"/>
        </w:rPr>
        <w:t xml:space="preserve">5 </w:t>
      </w:r>
      <w:r w:rsidR="003C508C" w:rsidRPr="004F5CF8">
        <w:rPr>
          <w:i/>
          <w:szCs w:val="18"/>
        </w:rPr>
        <w:t>40,000 to &lt; 50,000</w:t>
      </w:r>
      <w:r w:rsidR="00CC3232">
        <w:rPr>
          <w:i/>
          <w:szCs w:val="18"/>
        </w:rPr>
        <w:t xml:space="preserve"> </w:t>
      </w:r>
    </w:p>
    <w:p w14:paraId="0F4A2E3A" w14:textId="3C4C823E" w:rsidR="00CC3232" w:rsidRPr="00CC3232" w:rsidRDefault="00CC3232" w:rsidP="00CC3232">
      <w:pPr>
        <w:pStyle w:val="TableFigureFooter"/>
        <w:rPr>
          <w:i/>
          <w:szCs w:val="18"/>
        </w:rPr>
      </w:pPr>
      <w:r>
        <w:rPr>
          <w:i/>
          <w:szCs w:val="18"/>
          <w:vertAlign w:val="superscript"/>
        </w:rPr>
        <w:t xml:space="preserve">6 </w:t>
      </w:r>
      <w:r w:rsidRPr="00CC3232">
        <w:rPr>
          <w:i/>
          <w:szCs w:val="18"/>
        </w:rPr>
        <w:t>$30 million to &lt; $40 million</w:t>
      </w:r>
    </w:p>
    <w:p w14:paraId="64FBE4D1" w14:textId="6C873047" w:rsidR="00CC3232" w:rsidRPr="00CC3232" w:rsidRDefault="00CC3232" w:rsidP="00CC3232">
      <w:pPr>
        <w:pStyle w:val="TableFigureFooter"/>
        <w:rPr>
          <w:i/>
          <w:szCs w:val="18"/>
        </w:rPr>
      </w:pPr>
      <w:r>
        <w:rPr>
          <w:i/>
          <w:szCs w:val="18"/>
          <w:vertAlign w:val="superscript"/>
        </w:rPr>
        <w:t xml:space="preserve">7 </w:t>
      </w:r>
      <w:r w:rsidRPr="00CC3232">
        <w:rPr>
          <w:i/>
          <w:szCs w:val="18"/>
        </w:rPr>
        <w:t>$60 million to &lt; $70 million</w:t>
      </w:r>
    </w:p>
    <w:p w14:paraId="2E861918" w14:textId="1DE87892" w:rsidR="00CC3232" w:rsidRPr="00CC3232" w:rsidRDefault="00CC3232" w:rsidP="00CC3232">
      <w:pPr>
        <w:pStyle w:val="TableFigureFooter"/>
        <w:rPr>
          <w:i/>
          <w:szCs w:val="18"/>
        </w:rPr>
      </w:pPr>
      <w:r>
        <w:rPr>
          <w:i/>
          <w:szCs w:val="18"/>
          <w:vertAlign w:val="superscript"/>
        </w:rPr>
        <w:t>8</w:t>
      </w:r>
      <w:r w:rsidR="004561A2">
        <w:rPr>
          <w:i/>
          <w:szCs w:val="18"/>
          <w:vertAlign w:val="superscript"/>
        </w:rPr>
        <w:t xml:space="preserve"> </w:t>
      </w:r>
      <w:r w:rsidRPr="00CC3232">
        <w:rPr>
          <w:i/>
          <w:szCs w:val="18"/>
        </w:rPr>
        <w:t>$70 million to &lt; $80 million</w:t>
      </w:r>
    </w:p>
    <w:p w14:paraId="697D6829" w14:textId="1CA5473C" w:rsidR="00CC3232" w:rsidRPr="00CC3232" w:rsidRDefault="0061540A" w:rsidP="00CC3232">
      <w:pPr>
        <w:pStyle w:val="TableFigureFooter"/>
        <w:rPr>
          <w:i/>
          <w:szCs w:val="18"/>
        </w:rPr>
      </w:pPr>
      <w:r>
        <w:rPr>
          <w:i/>
          <w:szCs w:val="18"/>
          <w:vertAlign w:val="superscript"/>
        </w:rPr>
        <w:t>9</w:t>
      </w:r>
      <w:r w:rsidR="004561A2">
        <w:rPr>
          <w:i/>
          <w:szCs w:val="18"/>
          <w:vertAlign w:val="superscript"/>
        </w:rPr>
        <w:t xml:space="preserve"> </w:t>
      </w:r>
      <w:r w:rsidR="00CC3232" w:rsidRPr="00CC3232">
        <w:rPr>
          <w:i/>
          <w:szCs w:val="18"/>
        </w:rPr>
        <w:t>$80 million to &lt; $90 million</w:t>
      </w:r>
    </w:p>
    <w:p w14:paraId="77BA75B9" w14:textId="5055D05F" w:rsidR="00910195" w:rsidRPr="003C508C" w:rsidRDefault="0061540A" w:rsidP="00CC3232">
      <w:pPr>
        <w:pStyle w:val="TableFigureFooter"/>
      </w:pPr>
      <w:r>
        <w:rPr>
          <w:i/>
          <w:szCs w:val="18"/>
          <w:vertAlign w:val="superscript"/>
        </w:rPr>
        <w:t>10</w:t>
      </w:r>
      <w:r w:rsidR="004561A2">
        <w:rPr>
          <w:i/>
          <w:szCs w:val="18"/>
          <w:vertAlign w:val="superscript"/>
        </w:rPr>
        <w:t xml:space="preserve"> </w:t>
      </w:r>
      <w:r w:rsidR="00CC3232" w:rsidRPr="00CC3232">
        <w:rPr>
          <w:i/>
          <w:szCs w:val="18"/>
        </w:rPr>
        <w:t>$100 million to &lt; $200 million</w:t>
      </w:r>
    </w:p>
    <w:p w14:paraId="5257360F" w14:textId="4743364A" w:rsidR="00E20EDC" w:rsidRPr="00E00BC8" w:rsidRDefault="00E20EDC" w:rsidP="00E20EDC">
      <w:pPr>
        <w:pStyle w:val="TableFigureFooter"/>
        <w:keepNext/>
        <w:rPr>
          <w:color w:val="FF0000"/>
        </w:rPr>
      </w:pPr>
    </w:p>
    <w:p w14:paraId="2FA288D4" w14:textId="1A174568" w:rsidR="001E1AE8" w:rsidRPr="00717787" w:rsidRDefault="00717787" w:rsidP="007C0139">
      <w:pPr>
        <w:pStyle w:val="3-BodyText"/>
        <w:rPr>
          <w:rFonts w:cstheme="minorHAnsi"/>
          <w:szCs w:val="24"/>
        </w:rPr>
      </w:pPr>
      <w:r w:rsidRPr="00A6439B">
        <w:t xml:space="preserve">The </w:t>
      </w:r>
      <w:r w:rsidRPr="0046737B">
        <w:t>submission</w:t>
      </w:r>
      <w:r w:rsidRPr="00A6439B">
        <w:t xml:space="preserve"> stated that the estimated net financial impact to the PBS/RPBS for </w:t>
      </w:r>
      <w:r w:rsidRPr="0046737B">
        <w:t>the</w:t>
      </w:r>
      <w:r w:rsidRPr="00A6439B">
        <w:t xml:space="preserve"> listing of </w:t>
      </w:r>
      <w:r>
        <w:t>tafamidis</w:t>
      </w:r>
      <w:r w:rsidRPr="00A6439B">
        <w:t xml:space="preserve"> is </w:t>
      </w:r>
      <w:r w:rsidRPr="00AE388C">
        <w:t>$</w:t>
      </w:r>
      <w:r w:rsidR="00393E8D" w:rsidRPr="00393E8D">
        <w:t>300 million to &lt; $400 million</w:t>
      </w:r>
      <w:r w:rsidR="00393E8D">
        <w:t xml:space="preserve"> </w:t>
      </w:r>
      <w:r w:rsidR="000A266A">
        <w:t xml:space="preserve">over </w:t>
      </w:r>
      <w:r w:rsidR="00DB59DA">
        <w:t xml:space="preserve">the remaining </w:t>
      </w:r>
      <w:r w:rsidR="000A266A">
        <w:t xml:space="preserve">four years </w:t>
      </w:r>
      <w:r w:rsidRPr="00A6439B">
        <w:t xml:space="preserve">(Year </w:t>
      </w:r>
      <w:r w:rsidR="003E5FEE">
        <w:t>3</w:t>
      </w:r>
      <w:r w:rsidR="003E5FEE" w:rsidRPr="00A6439B">
        <w:t xml:space="preserve"> </w:t>
      </w:r>
      <w:r w:rsidRPr="00E75302">
        <w:t>$</w:t>
      </w:r>
      <w:r w:rsidR="0063788A" w:rsidRPr="0063788A">
        <w:t>60 million to &lt; $70 million</w:t>
      </w:r>
      <w:r w:rsidR="00977CAB">
        <w:t xml:space="preserve"> </w:t>
      </w:r>
      <w:r w:rsidRPr="00A6439B">
        <w:t>to Year 6 $</w:t>
      </w:r>
      <w:r w:rsidR="00977CAB" w:rsidRPr="00977CAB">
        <w:t>100 million to &lt; $200 million</w:t>
      </w:r>
      <w:r w:rsidRPr="00A6439B">
        <w:t xml:space="preserve">). </w:t>
      </w:r>
      <w:r w:rsidR="00F04590">
        <w:t xml:space="preserve">As the proposed </w:t>
      </w:r>
      <w:proofErr w:type="spellStart"/>
      <w:r w:rsidR="00F04590">
        <w:t>amendents</w:t>
      </w:r>
      <w:proofErr w:type="spellEnd"/>
      <w:r w:rsidR="00F04590">
        <w:t xml:space="preserve"> to the RSA caps affect only from Year 3 onwards, this compares to the agreed caps under the current RSA of $</w:t>
      </w:r>
      <w:r w:rsidR="0015492B" w:rsidRPr="0015492B">
        <w:t>100 million to &lt; $200 million</w:t>
      </w:r>
      <w:r w:rsidR="0015492B">
        <w:t xml:space="preserve"> </w:t>
      </w:r>
      <w:r w:rsidR="00F04590">
        <w:t>over the remaining four years (Year 3 $</w:t>
      </w:r>
      <w:r w:rsidR="002E001E" w:rsidRPr="002E001E">
        <w:t>30 million to &lt; $40 million</w:t>
      </w:r>
      <w:r w:rsidR="002E001E">
        <w:t xml:space="preserve"> </w:t>
      </w:r>
      <w:r w:rsidR="00F04590">
        <w:t>to Year 6 $</w:t>
      </w:r>
      <w:r w:rsidR="00061215" w:rsidRPr="00061215">
        <w:t>20 million to &lt; $30 million</w:t>
      </w:r>
      <w:r w:rsidR="00F04590">
        <w:t>).</w:t>
      </w:r>
    </w:p>
    <w:p w14:paraId="7151B64F" w14:textId="77777777" w:rsidR="00962EBA" w:rsidRDefault="00962EBA">
      <w:pPr>
        <w:pStyle w:val="4-SubsectionHeading"/>
      </w:pPr>
      <w:r w:rsidRPr="00962EBA">
        <w:lastRenderedPageBreak/>
        <w:t xml:space="preserve">Sponsor hearing </w:t>
      </w:r>
    </w:p>
    <w:p w14:paraId="2CFA188D" w14:textId="27F516EF" w:rsidR="00962EBA" w:rsidRDefault="00962EBA" w:rsidP="00FE2853">
      <w:pPr>
        <w:pStyle w:val="3-BodyText"/>
      </w:pPr>
      <w:r w:rsidRPr="00962EBA">
        <w:t>There was no hearing for this item</w:t>
      </w:r>
      <w:r>
        <w:t>.</w:t>
      </w:r>
    </w:p>
    <w:p w14:paraId="6CB81F53" w14:textId="771EFB46" w:rsidR="00F417FF" w:rsidRDefault="00F417FF" w:rsidP="00FE2853">
      <w:pPr>
        <w:pStyle w:val="4-SubsectionHeading"/>
      </w:pPr>
      <w:r w:rsidRPr="00F417FF">
        <w:t xml:space="preserve">Consumer </w:t>
      </w:r>
      <w:r w:rsidR="008541BD">
        <w:t>inputs</w:t>
      </w:r>
    </w:p>
    <w:p w14:paraId="72EBDFE2" w14:textId="0C1469DD" w:rsidR="00182A3A" w:rsidRPr="002E64BE" w:rsidRDefault="00182A3A" w:rsidP="00E72BB7">
      <w:pPr>
        <w:pStyle w:val="3-BodyText"/>
        <w:rPr>
          <w:snapToGrid w:val="0"/>
        </w:rPr>
      </w:pPr>
      <w:r w:rsidRPr="002E64BE">
        <w:rPr>
          <w:snapToGrid w:val="0"/>
        </w:rPr>
        <w:t>The PBAC noted and welcomed the input from health care professionals (</w:t>
      </w:r>
      <w:r w:rsidR="00635151" w:rsidRPr="002E64BE">
        <w:rPr>
          <w:snapToGrid w:val="0"/>
        </w:rPr>
        <w:t>6</w:t>
      </w:r>
      <w:r w:rsidRPr="002E64BE">
        <w:rPr>
          <w:snapToGrid w:val="0"/>
        </w:rPr>
        <w:t>) and organisations (</w:t>
      </w:r>
      <w:r w:rsidR="00635151" w:rsidRPr="002E64BE">
        <w:rPr>
          <w:snapToGrid w:val="0"/>
        </w:rPr>
        <w:t>3</w:t>
      </w:r>
      <w:r w:rsidRPr="002E64BE">
        <w:rPr>
          <w:snapToGrid w:val="0"/>
        </w:rPr>
        <w:t>) via the Office of Health Technology Assessment Consultation Hub.</w:t>
      </w:r>
      <w:r w:rsidR="00224452">
        <w:rPr>
          <w:snapToGrid w:val="0"/>
        </w:rPr>
        <w:t xml:space="preserve"> </w:t>
      </w:r>
      <w:r w:rsidRPr="002E64BE">
        <w:rPr>
          <w:snapToGrid w:val="0"/>
        </w:rPr>
        <w:t xml:space="preserve">The inputs described a range of benefits of treatment with </w:t>
      </w:r>
      <w:r w:rsidR="00923C2F" w:rsidRPr="00FE2853">
        <w:rPr>
          <w:snapToGrid w:val="0"/>
        </w:rPr>
        <w:t>tafamidis</w:t>
      </w:r>
      <w:r w:rsidRPr="002E64BE">
        <w:rPr>
          <w:snapToGrid w:val="0"/>
        </w:rPr>
        <w:t xml:space="preserve"> including the </w:t>
      </w:r>
      <w:r w:rsidR="0084583A" w:rsidRPr="002E64BE">
        <w:rPr>
          <w:snapToGrid w:val="0"/>
        </w:rPr>
        <w:t>ability of patients to maintain physical function, experience fewer symptoms and remain more independent</w:t>
      </w:r>
      <w:r w:rsidR="00D20F97" w:rsidRPr="002E64BE">
        <w:rPr>
          <w:snapToGrid w:val="0"/>
        </w:rPr>
        <w:t xml:space="preserve">. </w:t>
      </w:r>
      <w:r w:rsidR="00CB75A5" w:rsidRPr="002E64BE">
        <w:rPr>
          <w:snapToGrid w:val="0"/>
        </w:rPr>
        <w:t xml:space="preserve">The </w:t>
      </w:r>
      <w:r w:rsidR="00D20F97" w:rsidRPr="002E64BE">
        <w:rPr>
          <w:snapToGrid w:val="0"/>
        </w:rPr>
        <w:t xml:space="preserve">health care professionals </w:t>
      </w:r>
      <w:r w:rsidR="00CB75A5" w:rsidRPr="002E64BE">
        <w:rPr>
          <w:snapToGrid w:val="0"/>
        </w:rPr>
        <w:t>acknowledged</w:t>
      </w:r>
      <w:r w:rsidR="000F0335" w:rsidRPr="002E64BE">
        <w:rPr>
          <w:snapToGrid w:val="0"/>
        </w:rPr>
        <w:t xml:space="preserve"> that</w:t>
      </w:r>
      <w:r w:rsidR="00EF4B63" w:rsidRPr="002E64BE">
        <w:rPr>
          <w:snapToGrid w:val="0"/>
        </w:rPr>
        <w:t xml:space="preserve"> </w:t>
      </w:r>
      <w:r w:rsidR="000F0335" w:rsidRPr="002E64BE">
        <w:rPr>
          <w:snapToGrid w:val="0"/>
        </w:rPr>
        <w:t>tafamidis is the only disease-modifying therapy for ATTR-</w:t>
      </w:r>
      <w:r w:rsidR="00064657" w:rsidRPr="002E64BE">
        <w:rPr>
          <w:snapToGrid w:val="0"/>
        </w:rPr>
        <w:t>CM and</w:t>
      </w:r>
      <w:r w:rsidR="00CB75A5" w:rsidRPr="002E64BE">
        <w:rPr>
          <w:snapToGrid w:val="0"/>
        </w:rPr>
        <w:t xml:space="preserve"> noted </w:t>
      </w:r>
      <w:r w:rsidR="009A600D" w:rsidRPr="002E64BE">
        <w:rPr>
          <w:snapToGrid w:val="0"/>
        </w:rPr>
        <w:t>that there is</w:t>
      </w:r>
      <w:r w:rsidR="00CB75A5" w:rsidRPr="002E64BE">
        <w:rPr>
          <w:snapToGrid w:val="0"/>
        </w:rPr>
        <w:t xml:space="preserve"> </w:t>
      </w:r>
      <w:r w:rsidR="00006819" w:rsidRPr="002E64BE">
        <w:rPr>
          <w:snapToGrid w:val="0"/>
        </w:rPr>
        <w:t>high adherence</w:t>
      </w:r>
      <w:r w:rsidR="009A600D" w:rsidRPr="002E64BE">
        <w:rPr>
          <w:snapToGrid w:val="0"/>
        </w:rPr>
        <w:t xml:space="preserve"> to treatment. </w:t>
      </w:r>
      <w:r w:rsidR="004203E4" w:rsidRPr="002E64BE">
        <w:rPr>
          <w:snapToGrid w:val="0"/>
        </w:rPr>
        <w:t xml:space="preserve">One </w:t>
      </w:r>
      <w:r w:rsidR="007F531A" w:rsidRPr="002E64BE">
        <w:rPr>
          <w:snapToGrid w:val="0"/>
        </w:rPr>
        <w:t>health care professional stated that the prevalence of ATTR-CM is underestimated</w:t>
      </w:r>
      <w:r w:rsidR="003E61CE" w:rsidRPr="002E64BE">
        <w:rPr>
          <w:snapToGrid w:val="0"/>
        </w:rPr>
        <w:t xml:space="preserve">. </w:t>
      </w:r>
      <w:r w:rsidR="00AB30BD" w:rsidRPr="002E64BE">
        <w:rPr>
          <w:snapToGrid w:val="0"/>
        </w:rPr>
        <w:t xml:space="preserve">Input expressed concern </w:t>
      </w:r>
      <w:r w:rsidR="002E64BE" w:rsidRPr="002E64BE">
        <w:rPr>
          <w:snapToGrid w:val="0"/>
        </w:rPr>
        <w:t>about current PBS eligibility criteria being too strict and may unfairly exclude certain groups</w:t>
      </w:r>
      <w:r w:rsidR="002E64BE">
        <w:rPr>
          <w:snapToGrid w:val="0"/>
        </w:rPr>
        <w:t>.</w:t>
      </w:r>
    </w:p>
    <w:p w14:paraId="0F078C67" w14:textId="75ECA79A" w:rsidR="00061B95" w:rsidRDefault="006825EF">
      <w:pPr>
        <w:pStyle w:val="3-BodyText"/>
      </w:pPr>
      <w:r>
        <w:t>I</w:t>
      </w:r>
      <w:r w:rsidR="00DE44EB">
        <w:t xml:space="preserve">nput received from </w:t>
      </w:r>
      <w:r w:rsidR="00DE44EB" w:rsidRPr="00DE44EB">
        <w:t>Cardiomyopathy Australia New Zealand (CMANZ)</w:t>
      </w:r>
      <w:r w:rsidR="00DE44EB">
        <w:t xml:space="preserve">, </w:t>
      </w:r>
      <w:r w:rsidR="00A1601A">
        <w:t xml:space="preserve">stated that </w:t>
      </w:r>
      <w:r w:rsidR="009C01B9">
        <w:t xml:space="preserve">the uncertainty </w:t>
      </w:r>
      <w:r w:rsidR="00663E23">
        <w:t>of the prevalence</w:t>
      </w:r>
      <w:r w:rsidR="00547AA3">
        <w:t xml:space="preserve"> of </w:t>
      </w:r>
      <w:r w:rsidR="007934A2">
        <w:t>ATTR-CM</w:t>
      </w:r>
      <w:r w:rsidR="00663E23">
        <w:t xml:space="preserve"> in clinical practice reflect </w:t>
      </w:r>
      <w:proofErr w:type="gramStart"/>
      <w:r w:rsidR="00663E23">
        <w:t>that historical challenges</w:t>
      </w:r>
      <w:proofErr w:type="gramEnd"/>
      <w:r w:rsidR="00663E23">
        <w:t xml:space="preserve"> </w:t>
      </w:r>
      <w:r w:rsidR="00320A35">
        <w:t>of recognising and diagnosing the condition.</w:t>
      </w:r>
      <w:r w:rsidR="007934A2">
        <w:t xml:space="preserve"> Input from CMANZ presented anecdotal evidence </w:t>
      </w:r>
      <w:r w:rsidR="000C23D3">
        <w:t>of</w:t>
      </w:r>
      <w:r w:rsidR="007934A2">
        <w:t xml:space="preserve"> patients who were treated with </w:t>
      </w:r>
      <w:r w:rsidR="000A3D4F" w:rsidRPr="000A3D4F">
        <w:t>heart failure or diagnosed with cardiomyopathy for several years</w:t>
      </w:r>
      <w:r w:rsidR="00103A12">
        <w:t xml:space="preserve"> which a</w:t>
      </w:r>
      <w:r w:rsidR="000A3D4F" w:rsidRPr="000A3D4F">
        <w:t>re only now being tested for cardiac amyloid.</w:t>
      </w:r>
      <w:r w:rsidR="000A3D4F" w:rsidRPr="000A3D4F" w:rsidDel="000A3D4F">
        <w:t xml:space="preserve"> </w:t>
      </w:r>
      <w:r w:rsidR="000C23D3">
        <w:t xml:space="preserve">The CMANZ </w:t>
      </w:r>
      <w:r w:rsidR="003B4F27">
        <w:t xml:space="preserve">noted </w:t>
      </w:r>
      <w:r w:rsidR="00E40F19">
        <w:t xml:space="preserve">the importance of ongoing access to tafamidis, especially </w:t>
      </w:r>
      <w:r w:rsidR="00103E06">
        <w:t xml:space="preserve">with improved </w:t>
      </w:r>
      <w:r w:rsidR="00E40F19">
        <w:t>diagnostic pathwa</w:t>
      </w:r>
      <w:r w:rsidR="00103E06">
        <w:t>ys and disease understanding.</w:t>
      </w:r>
      <w:r w:rsidR="005D0B6F">
        <w:t xml:space="preserve"> </w:t>
      </w:r>
    </w:p>
    <w:p w14:paraId="6425CF95" w14:textId="182ACC3D" w:rsidR="00B778FD" w:rsidRDefault="00250B9F" w:rsidP="00D96013">
      <w:pPr>
        <w:pStyle w:val="3-BodyText"/>
      </w:pPr>
      <w:r>
        <w:t>Input</w:t>
      </w:r>
      <w:r w:rsidR="005D0B6F">
        <w:t xml:space="preserve"> received from Hearts4heart</w:t>
      </w:r>
      <w:r w:rsidR="00407D9F">
        <w:t xml:space="preserve"> describ</w:t>
      </w:r>
      <w:r>
        <w:t>ed</w:t>
      </w:r>
      <w:r w:rsidR="00407D9F">
        <w:t xml:space="preserve"> the</w:t>
      </w:r>
      <w:r w:rsidR="00B778FD">
        <w:t xml:space="preserve"> life-changing</w:t>
      </w:r>
      <w:r w:rsidR="00407D9F">
        <w:t xml:space="preserve"> benefits</w:t>
      </w:r>
      <w:r w:rsidR="0010225C">
        <w:t xml:space="preserve"> that tafamidis has had for </w:t>
      </w:r>
      <w:r w:rsidR="00505C05">
        <w:t>people living with ATTR-CM and their families</w:t>
      </w:r>
      <w:r w:rsidR="00B778FD">
        <w:t>. Hearts4heart noted t</w:t>
      </w:r>
      <w:r w:rsidR="002F41E9">
        <w:t>he importance of continued public</w:t>
      </w:r>
      <w:r w:rsidR="00B778FD">
        <w:t xml:space="preserve"> subsidy </w:t>
      </w:r>
      <w:r w:rsidR="002F41E9">
        <w:t xml:space="preserve">of tafamidis, due to </w:t>
      </w:r>
      <w:r w:rsidR="00880B74">
        <w:t xml:space="preserve">the high cost of the treatment. The input </w:t>
      </w:r>
      <w:r w:rsidR="00BA665D">
        <w:t>referenced</w:t>
      </w:r>
      <w:r w:rsidR="00880B74">
        <w:t xml:space="preserve"> a cardiologist who </w:t>
      </w:r>
      <w:r w:rsidR="00BA665D">
        <w:t xml:space="preserve">treats 45 patients with tafamidis, </w:t>
      </w:r>
      <w:r w:rsidR="00180073">
        <w:t>who stated that the</w:t>
      </w:r>
      <w:r w:rsidR="005D1CAD">
        <w:t xml:space="preserve"> </w:t>
      </w:r>
      <w:r w:rsidR="00180073">
        <w:t xml:space="preserve">higher-than-expected use of tafamidis reflects improved awareness and diagnosis of ATTR-CM rather than overuse. </w:t>
      </w:r>
      <w:r w:rsidR="00386675">
        <w:t xml:space="preserve">The cardiologist identified that </w:t>
      </w:r>
      <w:r w:rsidR="004520B8">
        <w:t xml:space="preserve">both </w:t>
      </w:r>
      <w:r w:rsidR="00386675">
        <w:t>increased awareness among clinicians and the</w:t>
      </w:r>
      <w:r w:rsidR="00180073">
        <w:t xml:space="preserve"> non-invasive nuclear scintigraphy (bone scan)</w:t>
      </w:r>
      <w:r w:rsidR="00386675">
        <w:t xml:space="preserve"> </w:t>
      </w:r>
      <w:r w:rsidR="00D96013">
        <w:t>diagnosis has enabled</w:t>
      </w:r>
      <w:r w:rsidR="00180073">
        <w:t xml:space="preserve"> </w:t>
      </w:r>
      <w:r w:rsidR="004520B8">
        <w:t xml:space="preserve">earlier </w:t>
      </w:r>
      <w:r w:rsidR="00180073">
        <w:t>diagnosis and appropriate treatment for more patients.</w:t>
      </w:r>
    </w:p>
    <w:p w14:paraId="03CA4066" w14:textId="7CCDA257" w:rsidR="0098741D" w:rsidRDefault="00250B9F" w:rsidP="00864654">
      <w:pPr>
        <w:pStyle w:val="3-BodyText"/>
      </w:pPr>
      <w:r>
        <w:t>Input</w:t>
      </w:r>
      <w:r w:rsidR="005D0B6F">
        <w:t xml:space="preserve"> received from the Australian Amyloidosis Network</w:t>
      </w:r>
      <w:r w:rsidR="00632915">
        <w:t xml:space="preserve"> </w:t>
      </w:r>
      <w:r w:rsidR="00120B1E">
        <w:t xml:space="preserve">re-affirmed support for </w:t>
      </w:r>
      <w:r w:rsidR="000537B6">
        <w:t xml:space="preserve">equitable access </w:t>
      </w:r>
      <w:r w:rsidR="0008046C">
        <w:t xml:space="preserve">to effective ATTR-CM </w:t>
      </w:r>
      <w:r w:rsidR="00CA1DF9">
        <w:t>treatments.</w:t>
      </w:r>
    </w:p>
    <w:p w14:paraId="75CCF98C" w14:textId="3C44F6D9" w:rsidR="0098741D" w:rsidRPr="0090150D" w:rsidRDefault="007C0139" w:rsidP="00FE2853">
      <w:pPr>
        <w:pStyle w:val="2-SectionHeading"/>
      </w:pPr>
      <w:bookmarkStart w:id="10" w:name="_Hlk76381249"/>
      <w:bookmarkStart w:id="11" w:name="_Hlk76377955"/>
      <w:r w:rsidRPr="0090150D">
        <w:t>PBAC Outcome</w:t>
      </w:r>
    </w:p>
    <w:p w14:paraId="2C44316A" w14:textId="6264CE8C" w:rsidR="0077053F" w:rsidRPr="00E3692C" w:rsidRDefault="007C0139" w:rsidP="00820CA9">
      <w:pPr>
        <w:pStyle w:val="3-BodyText"/>
        <w:rPr>
          <w:bCs/>
          <w:snapToGrid w:val="0"/>
          <w:lang w:val="en-GB"/>
        </w:rPr>
      </w:pPr>
      <w:r w:rsidRPr="00CE42B4">
        <w:rPr>
          <w:snapToGrid w:val="0"/>
          <w:lang w:val="en-GB"/>
        </w:rPr>
        <w:t>The PBAC did not recommend</w:t>
      </w:r>
      <w:r w:rsidR="00FD21BB">
        <w:rPr>
          <w:snapToGrid w:val="0"/>
          <w:lang w:val="en-GB"/>
        </w:rPr>
        <w:t xml:space="preserve"> </w:t>
      </w:r>
      <w:r w:rsidR="00CE641A">
        <w:rPr>
          <w:snapToGrid w:val="0"/>
          <w:lang w:val="en-GB"/>
        </w:rPr>
        <w:t>amending</w:t>
      </w:r>
      <w:r w:rsidR="003163B9">
        <w:rPr>
          <w:snapToGrid w:val="0"/>
          <w:lang w:val="en-GB"/>
        </w:rPr>
        <w:t xml:space="preserve"> the financial estimates </w:t>
      </w:r>
      <w:r w:rsidR="004E1CB0">
        <w:rPr>
          <w:snapToGrid w:val="0"/>
          <w:lang w:val="en-GB"/>
        </w:rPr>
        <w:t>and the</w:t>
      </w:r>
      <w:r w:rsidR="0021385A">
        <w:rPr>
          <w:snapToGrid w:val="0"/>
          <w:lang w:val="en-GB"/>
        </w:rPr>
        <w:t xml:space="preserve"> RSA </w:t>
      </w:r>
      <w:r w:rsidR="004E1CB0">
        <w:rPr>
          <w:snapToGrid w:val="0"/>
          <w:lang w:val="en-GB"/>
        </w:rPr>
        <w:t>expenditure</w:t>
      </w:r>
      <w:r w:rsidR="0021385A">
        <w:rPr>
          <w:snapToGrid w:val="0"/>
          <w:lang w:val="en-GB"/>
        </w:rPr>
        <w:t xml:space="preserve"> caps for tafamidis for the</w:t>
      </w:r>
      <w:r w:rsidR="007A5622">
        <w:rPr>
          <w:snapToGrid w:val="0"/>
          <w:lang w:val="en-GB"/>
        </w:rPr>
        <w:t xml:space="preserve"> </w:t>
      </w:r>
      <w:r w:rsidR="00BE5865" w:rsidRPr="0021385A">
        <w:rPr>
          <w:snapToGrid w:val="0"/>
          <w:lang w:val="en-GB"/>
        </w:rPr>
        <w:t>treatment of ATTR-CM</w:t>
      </w:r>
      <w:r w:rsidR="00586CA5">
        <w:rPr>
          <w:snapToGrid w:val="0"/>
          <w:lang w:val="en-GB"/>
        </w:rPr>
        <w:t xml:space="preserve">. </w:t>
      </w:r>
      <w:r w:rsidR="00397ACB">
        <w:rPr>
          <w:snapToGrid w:val="0"/>
          <w:lang w:val="en-GB"/>
        </w:rPr>
        <w:t>The PBAC</w:t>
      </w:r>
      <w:r w:rsidR="001E193A">
        <w:rPr>
          <w:snapToGrid w:val="0"/>
          <w:lang w:val="en-GB"/>
        </w:rPr>
        <w:t xml:space="preserve"> </w:t>
      </w:r>
      <w:r w:rsidR="00E75C85">
        <w:rPr>
          <w:snapToGrid w:val="0"/>
          <w:lang w:val="en-GB"/>
        </w:rPr>
        <w:t>agreed</w:t>
      </w:r>
      <w:r w:rsidR="001F3582">
        <w:rPr>
          <w:snapToGrid w:val="0"/>
          <w:lang w:val="en-GB"/>
        </w:rPr>
        <w:t xml:space="preserve"> that the current RSA </w:t>
      </w:r>
      <w:r w:rsidR="00F04590">
        <w:rPr>
          <w:snapToGrid w:val="0"/>
          <w:lang w:val="en-GB"/>
        </w:rPr>
        <w:t xml:space="preserve">very likely </w:t>
      </w:r>
      <w:r w:rsidR="001F3582">
        <w:rPr>
          <w:snapToGrid w:val="0"/>
          <w:lang w:val="en-GB"/>
        </w:rPr>
        <w:t xml:space="preserve">underestimates the eligible </w:t>
      </w:r>
      <w:r w:rsidR="00E75C85">
        <w:rPr>
          <w:snapToGrid w:val="0"/>
          <w:lang w:val="en-GB"/>
        </w:rPr>
        <w:t xml:space="preserve">population of </w:t>
      </w:r>
      <w:r w:rsidR="007E4820">
        <w:rPr>
          <w:snapToGrid w:val="0"/>
          <w:lang w:val="en-GB"/>
        </w:rPr>
        <w:t xml:space="preserve">patients with </w:t>
      </w:r>
      <w:r w:rsidR="001F3582">
        <w:rPr>
          <w:snapToGrid w:val="0"/>
          <w:lang w:val="en-GB"/>
        </w:rPr>
        <w:t xml:space="preserve">ATTR-CM </w:t>
      </w:r>
      <w:r w:rsidR="00EC6ED1">
        <w:rPr>
          <w:snapToGrid w:val="0"/>
          <w:lang w:val="en-GB"/>
        </w:rPr>
        <w:t>and that</w:t>
      </w:r>
      <w:r w:rsidR="00297E46">
        <w:rPr>
          <w:snapToGrid w:val="0"/>
          <w:lang w:val="en-GB"/>
        </w:rPr>
        <w:t xml:space="preserve"> </w:t>
      </w:r>
      <w:r w:rsidR="00EC6ED1">
        <w:rPr>
          <w:snapToGrid w:val="0"/>
          <w:lang w:val="en-GB"/>
        </w:rPr>
        <w:t xml:space="preserve">revision to the subsidisation caps </w:t>
      </w:r>
      <w:r w:rsidR="001719CA">
        <w:rPr>
          <w:snapToGrid w:val="0"/>
          <w:lang w:val="en-GB"/>
        </w:rPr>
        <w:t xml:space="preserve">may </w:t>
      </w:r>
      <w:r w:rsidR="00EC6ED1">
        <w:rPr>
          <w:snapToGrid w:val="0"/>
          <w:lang w:val="en-GB"/>
        </w:rPr>
        <w:t xml:space="preserve">be appropriate, </w:t>
      </w:r>
      <w:r w:rsidR="00645305">
        <w:rPr>
          <w:snapToGrid w:val="0"/>
          <w:lang w:val="en-GB"/>
        </w:rPr>
        <w:t>although</w:t>
      </w:r>
      <w:r w:rsidR="00297E46">
        <w:rPr>
          <w:snapToGrid w:val="0"/>
          <w:lang w:val="en-GB"/>
        </w:rPr>
        <w:t xml:space="preserve"> not to the magnitude the </w:t>
      </w:r>
      <w:r w:rsidR="000C28DE">
        <w:rPr>
          <w:snapToGrid w:val="0"/>
          <w:lang w:val="en-GB"/>
        </w:rPr>
        <w:t>submission</w:t>
      </w:r>
      <w:r w:rsidR="00297E46">
        <w:rPr>
          <w:snapToGrid w:val="0"/>
          <w:lang w:val="en-GB"/>
        </w:rPr>
        <w:t xml:space="preserve"> proposed.</w:t>
      </w:r>
    </w:p>
    <w:p w14:paraId="252828B2" w14:textId="50B54943" w:rsidR="00B071F4" w:rsidRPr="002057C6" w:rsidRDefault="009D2474" w:rsidP="00B071F4">
      <w:pPr>
        <w:pStyle w:val="3-BodyText"/>
        <w:rPr>
          <w:bCs/>
          <w:snapToGrid w:val="0"/>
          <w:lang w:val="en-GB"/>
        </w:rPr>
      </w:pPr>
      <w:r w:rsidRPr="00820CA9">
        <w:rPr>
          <w:snapToGrid w:val="0"/>
          <w:lang w:val="en-GB"/>
        </w:rPr>
        <w:t xml:space="preserve">The PBAC </w:t>
      </w:r>
      <w:r w:rsidR="0029255A">
        <w:rPr>
          <w:snapToGrid w:val="0"/>
          <w:lang w:val="en-GB"/>
        </w:rPr>
        <w:t>noted</w:t>
      </w:r>
      <w:r w:rsidR="005E007F">
        <w:rPr>
          <w:snapToGrid w:val="0"/>
          <w:lang w:val="en-GB"/>
        </w:rPr>
        <w:t xml:space="preserve"> th</w:t>
      </w:r>
      <w:r w:rsidR="009403C9">
        <w:rPr>
          <w:snapToGrid w:val="0"/>
          <w:lang w:val="en-GB"/>
        </w:rPr>
        <w:t xml:space="preserve">at the prevalence of </w:t>
      </w:r>
      <w:r w:rsidR="004F5CF8" w:rsidRPr="004F5CF8">
        <w:rPr>
          <w:snapToGrid w:val="0"/>
          <w:sz w:val="2"/>
          <w:highlight w:val="black"/>
          <w:lang w:val="en-GB"/>
        </w:rPr>
        <w:t>redacted content</w:t>
      </w:r>
      <w:r w:rsidR="00402CD2">
        <w:rPr>
          <w:snapToGrid w:val="0"/>
          <w:lang w:val="en-GB"/>
        </w:rPr>
        <w:t>%</w:t>
      </w:r>
      <w:r w:rsidR="009403C9">
        <w:rPr>
          <w:snapToGrid w:val="0"/>
          <w:lang w:val="en-GB"/>
        </w:rPr>
        <w:t xml:space="preserve"> estimated using a meta</w:t>
      </w:r>
      <w:r w:rsidR="00185B2D">
        <w:rPr>
          <w:snapToGrid w:val="0"/>
          <w:lang w:val="en-GB"/>
        </w:rPr>
        <w:t>-a</w:t>
      </w:r>
      <w:r w:rsidR="009403C9">
        <w:rPr>
          <w:snapToGrid w:val="0"/>
          <w:lang w:val="en-GB"/>
        </w:rPr>
        <w:t xml:space="preserve">nalysis, </w:t>
      </w:r>
      <w:r w:rsidR="001D4F27">
        <w:rPr>
          <w:snapToGrid w:val="0"/>
          <w:lang w:val="en-GB"/>
        </w:rPr>
        <w:t xml:space="preserve">and </w:t>
      </w:r>
      <w:r w:rsidR="009403C9">
        <w:rPr>
          <w:snapToGrid w:val="0"/>
          <w:lang w:val="en-GB"/>
        </w:rPr>
        <w:t>used to inform the utilisation of tafamidis</w:t>
      </w:r>
      <w:r w:rsidR="001D4F27">
        <w:rPr>
          <w:snapToGrid w:val="0"/>
          <w:lang w:val="en-GB"/>
        </w:rPr>
        <w:t>,</w:t>
      </w:r>
      <w:r w:rsidR="009403C9">
        <w:rPr>
          <w:snapToGrid w:val="0"/>
          <w:lang w:val="en-GB"/>
        </w:rPr>
        <w:t xml:space="preserve"> was significantly higher than the previous prevalence estimates (</w:t>
      </w:r>
      <w:r w:rsidR="009403C9" w:rsidRPr="009403C9">
        <w:rPr>
          <w:snapToGrid w:val="0"/>
        </w:rPr>
        <w:t xml:space="preserve">which ranged from </w:t>
      </w:r>
      <w:r w:rsidR="004F5CF8" w:rsidRPr="004F5CF8">
        <w:rPr>
          <w:snapToGrid w:val="0"/>
          <w:sz w:val="2"/>
          <w:highlight w:val="black"/>
        </w:rPr>
        <w:t>redacted content</w:t>
      </w:r>
      <w:r w:rsidR="009403C9" w:rsidRPr="009403C9">
        <w:rPr>
          <w:snapToGrid w:val="0"/>
        </w:rPr>
        <w:t xml:space="preserve">% to </w:t>
      </w:r>
      <w:r w:rsidR="004F5CF8" w:rsidRPr="004F5CF8">
        <w:rPr>
          <w:snapToGrid w:val="0"/>
          <w:sz w:val="2"/>
          <w:highlight w:val="black"/>
        </w:rPr>
        <w:t>redacted content</w:t>
      </w:r>
      <w:r w:rsidR="009403C9" w:rsidRPr="009403C9">
        <w:rPr>
          <w:snapToGrid w:val="0"/>
        </w:rPr>
        <w:t>% depending on age and sex</w:t>
      </w:r>
      <w:r w:rsidR="009403C9">
        <w:rPr>
          <w:snapToGrid w:val="0"/>
        </w:rPr>
        <w:t>).</w:t>
      </w:r>
      <w:r w:rsidR="005E007F">
        <w:rPr>
          <w:snapToGrid w:val="0"/>
          <w:lang w:val="en-GB"/>
        </w:rPr>
        <w:t xml:space="preserve"> </w:t>
      </w:r>
      <w:r w:rsidR="00B071F4">
        <w:rPr>
          <w:snapToGrid w:val="0"/>
          <w:lang w:val="en-GB"/>
        </w:rPr>
        <w:t xml:space="preserve">The </w:t>
      </w:r>
      <w:r w:rsidR="00B071F4">
        <w:rPr>
          <w:snapToGrid w:val="0"/>
          <w:lang w:val="en-GB"/>
        </w:rPr>
        <w:lastRenderedPageBreak/>
        <w:t xml:space="preserve">PBAC noted </w:t>
      </w:r>
      <w:r w:rsidR="00E07FB0">
        <w:rPr>
          <w:snapToGrid w:val="0"/>
          <w:lang w:val="en-GB"/>
        </w:rPr>
        <w:t xml:space="preserve">that the </w:t>
      </w:r>
      <w:r w:rsidR="00B071F4">
        <w:rPr>
          <w:bCs/>
          <w:snapToGrid w:val="0"/>
          <w:lang w:val="en-GB"/>
        </w:rPr>
        <w:t xml:space="preserve">higher </w:t>
      </w:r>
      <w:r w:rsidR="00E07FB0">
        <w:rPr>
          <w:bCs/>
          <w:snapToGrid w:val="0"/>
          <w:lang w:val="en-GB"/>
        </w:rPr>
        <w:t>prevalence estimate</w:t>
      </w:r>
      <w:r w:rsidR="00B071F4">
        <w:rPr>
          <w:bCs/>
          <w:snapToGrid w:val="0"/>
          <w:lang w:val="en-GB"/>
        </w:rPr>
        <w:t xml:space="preserve"> was due to increased </w:t>
      </w:r>
      <w:r w:rsidR="00B071F4" w:rsidRPr="004A778D">
        <w:t xml:space="preserve">awareness of ATTR-CM among cardiologists and </w:t>
      </w:r>
      <w:r w:rsidR="00F04590">
        <w:t>increased utilisation</w:t>
      </w:r>
      <w:r w:rsidR="00F04590" w:rsidRPr="004A778D">
        <w:t xml:space="preserve"> </w:t>
      </w:r>
      <w:r w:rsidR="00B071F4" w:rsidRPr="004A778D">
        <w:t>of non-invasive diagnostic techniques.</w:t>
      </w:r>
    </w:p>
    <w:p w14:paraId="563A5B0D" w14:textId="5D70E448" w:rsidR="003825D8" w:rsidRPr="005430C3" w:rsidRDefault="003825D8" w:rsidP="00B071F4">
      <w:pPr>
        <w:pStyle w:val="3-BodyText"/>
        <w:rPr>
          <w:bCs/>
          <w:snapToGrid w:val="0"/>
          <w:lang w:val="en-GB"/>
        </w:rPr>
      </w:pPr>
      <w:r>
        <w:t>The PBAC noted and welcomed input from consumers describing the benefits of treatment with tafamidis and supporting equitable access. The PBAC notes some input stated that the prevalence of</w:t>
      </w:r>
      <w:r w:rsidR="00224452">
        <w:t xml:space="preserve"> </w:t>
      </w:r>
      <w:r>
        <w:t>ATTR-CM is underestimated.</w:t>
      </w:r>
    </w:p>
    <w:p w14:paraId="0AF7254A" w14:textId="5F9A98B7" w:rsidR="008A6E89" w:rsidRPr="001D4F27" w:rsidRDefault="008A6E89">
      <w:pPr>
        <w:pStyle w:val="3-BodyText"/>
        <w:rPr>
          <w:bCs/>
          <w:snapToGrid w:val="0"/>
          <w:lang w:val="en-GB"/>
        </w:rPr>
      </w:pPr>
      <w:r w:rsidRPr="001D4F27">
        <w:rPr>
          <w:bCs/>
          <w:snapToGrid w:val="0"/>
          <w:lang w:val="en-GB"/>
        </w:rPr>
        <w:t xml:space="preserve">The PBAC noted the </w:t>
      </w:r>
      <w:r w:rsidR="0023329D" w:rsidRPr="001D4F27">
        <w:rPr>
          <w:bCs/>
          <w:snapToGrid w:val="0"/>
          <w:lang w:val="en-GB"/>
        </w:rPr>
        <w:t>financial estimates presented</w:t>
      </w:r>
      <w:r w:rsidR="00B071F4" w:rsidRPr="001D4F27">
        <w:rPr>
          <w:bCs/>
          <w:snapToGrid w:val="0"/>
          <w:lang w:val="en-GB"/>
        </w:rPr>
        <w:t>, based on the higher prevalence estimate,</w:t>
      </w:r>
      <w:r w:rsidR="0023329D" w:rsidRPr="001D4F27">
        <w:rPr>
          <w:bCs/>
          <w:snapToGrid w:val="0"/>
          <w:lang w:val="en-GB"/>
        </w:rPr>
        <w:t xml:space="preserve"> </w:t>
      </w:r>
      <w:r w:rsidR="00FF5767" w:rsidRPr="001D4F27">
        <w:rPr>
          <w:bCs/>
          <w:snapToGrid w:val="0"/>
          <w:lang w:val="en-GB"/>
        </w:rPr>
        <w:t xml:space="preserve">showed an </w:t>
      </w:r>
      <w:r w:rsidRPr="001D4F27">
        <w:rPr>
          <w:bCs/>
          <w:snapToGrid w:val="0"/>
          <w:lang w:val="en-GB"/>
        </w:rPr>
        <w:t>increasing trend in patient numbers across all years</w:t>
      </w:r>
      <w:r w:rsidR="00FF5767" w:rsidRPr="001D4F27">
        <w:rPr>
          <w:bCs/>
          <w:snapToGrid w:val="0"/>
          <w:lang w:val="en-GB"/>
        </w:rPr>
        <w:t>,</w:t>
      </w:r>
      <w:r w:rsidRPr="001D4F27">
        <w:rPr>
          <w:bCs/>
          <w:snapToGrid w:val="0"/>
          <w:lang w:val="en-GB"/>
        </w:rPr>
        <w:t xml:space="preserve"> and that this differed from the </w:t>
      </w:r>
      <w:r w:rsidR="00CD4271" w:rsidRPr="001D4F27">
        <w:rPr>
          <w:bCs/>
          <w:snapToGrid w:val="0"/>
          <w:lang w:val="en-GB"/>
        </w:rPr>
        <w:t xml:space="preserve">utilisation </w:t>
      </w:r>
      <w:r w:rsidRPr="001D4F27">
        <w:rPr>
          <w:bCs/>
          <w:snapToGrid w:val="0"/>
          <w:lang w:val="en-GB"/>
        </w:rPr>
        <w:t>estimates accepted in September 2023, where the patient numbers declined in years 5 and 6</w:t>
      </w:r>
      <w:r w:rsidR="00CD4271" w:rsidRPr="001D4F27">
        <w:rPr>
          <w:bCs/>
          <w:snapToGrid w:val="0"/>
          <w:lang w:val="en-GB"/>
        </w:rPr>
        <w:t>.</w:t>
      </w:r>
      <w:r w:rsidR="00E07FB0" w:rsidRPr="001D4F27">
        <w:rPr>
          <w:bCs/>
          <w:snapToGrid w:val="0"/>
          <w:lang w:val="en-GB"/>
        </w:rPr>
        <w:t xml:space="preserve"> </w:t>
      </w:r>
      <w:r w:rsidR="00016ED9" w:rsidRPr="001D4F27">
        <w:rPr>
          <w:bCs/>
          <w:snapToGrid w:val="0"/>
          <w:lang w:val="en-GB"/>
        </w:rPr>
        <w:t>The PBAC noted that in previous utilisation estimates</w:t>
      </w:r>
      <w:r w:rsidR="00FF1838" w:rsidRPr="001D4F27">
        <w:rPr>
          <w:bCs/>
          <w:snapToGrid w:val="0"/>
          <w:lang w:val="en-GB"/>
        </w:rPr>
        <w:t>,</w:t>
      </w:r>
      <w:r w:rsidR="00E07FB0" w:rsidRPr="001D4F27">
        <w:rPr>
          <w:szCs w:val="24"/>
        </w:rPr>
        <w:t xml:space="preserve"> it was assumed </w:t>
      </w:r>
      <w:r w:rsidR="00DA1BDD">
        <w:rPr>
          <w:szCs w:val="24"/>
        </w:rPr>
        <w:t xml:space="preserve">there would be a reduction in the prevalent eligible population and that </w:t>
      </w:r>
      <w:r w:rsidR="00E07FB0" w:rsidRPr="001D4F27">
        <w:rPr>
          <w:szCs w:val="24"/>
        </w:rPr>
        <w:t xml:space="preserve">discontinuation and mortality rates </w:t>
      </w:r>
      <w:r w:rsidR="00DA1BDD">
        <w:rPr>
          <w:szCs w:val="24"/>
        </w:rPr>
        <w:t>would be</w:t>
      </w:r>
      <w:r w:rsidR="00DA1BDD" w:rsidRPr="001D4F27">
        <w:rPr>
          <w:szCs w:val="24"/>
        </w:rPr>
        <w:t xml:space="preserve"> </w:t>
      </w:r>
      <w:r w:rsidR="00E07FB0" w:rsidRPr="001D4F27">
        <w:rPr>
          <w:szCs w:val="24"/>
        </w:rPr>
        <w:t>relatively high</w:t>
      </w:r>
      <w:r w:rsidR="00593256">
        <w:rPr>
          <w:szCs w:val="24"/>
        </w:rPr>
        <w:t>.</w:t>
      </w:r>
    </w:p>
    <w:p w14:paraId="0083EC1E" w14:textId="0C06DDBE" w:rsidR="001D4F27" w:rsidRPr="001D4F27" w:rsidRDefault="00016ED9">
      <w:pPr>
        <w:pStyle w:val="3-BodyText"/>
        <w:rPr>
          <w:bCs/>
          <w:snapToGrid w:val="0"/>
          <w:lang w:val="en-GB"/>
        </w:rPr>
      </w:pPr>
      <w:r w:rsidRPr="00FF1838">
        <w:rPr>
          <w:snapToGrid w:val="0"/>
          <w:lang w:val="en-GB"/>
        </w:rPr>
        <w:t>The PBAC advised that given the magnitude of the difference in the prevalence and financial estimates compare</w:t>
      </w:r>
      <w:r w:rsidR="00D32BEB">
        <w:rPr>
          <w:snapToGrid w:val="0"/>
          <w:lang w:val="en-GB"/>
        </w:rPr>
        <w:t>d</w:t>
      </w:r>
      <w:r w:rsidRPr="00FF1838">
        <w:rPr>
          <w:snapToGrid w:val="0"/>
          <w:lang w:val="en-GB"/>
        </w:rPr>
        <w:t xml:space="preserve"> to previous considerations</w:t>
      </w:r>
      <w:r w:rsidR="00FF1838" w:rsidRPr="00FF1838">
        <w:rPr>
          <w:snapToGrid w:val="0"/>
          <w:lang w:val="en-GB"/>
        </w:rPr>
        <w:t xml:space="preserve"> and</w:t>
      </w:r>
      <w:r w:rsidR="00F245C7">
        <w:rPr>
          <w:snapToGrid w:val="0"/>
          <w:lang w:val="en-GB"/>
        </w:rPr>
        <w:t xml:space="preserve"> the</w:t>
      </w:r>
      <w:r w:rsidR="00FF1838" w:rsidRPr="00FF1838">
        <w:rPr>
          <w:snapToGrid w:val="0"/>
          <w:lang w:val="en-GB"/>
        </w:rPr>
        <w:t xml:space="preserve"> uncertainty in the</w:t>
      </w:r>
      <w:r w:rsidR="00F245C7">
        <w:rPr>
          <w:snapToGrid w:val="0"/>
          <w:lang w:val="en-GB"/>
        </w:rPr>
        <w:t xml:space="preserve"> patient</w:t>
      </w:r>
      <w:r w:rsidR="00FF1838" w:rsidRPr="00FF1838">
        <w:rPr>
          <w:snapToGrid w:val="0"/>
          <w:lang w:val="en-GB"/>
        </w:rPr>
        <w:t xml:space="preserve"> population outlined in paragraph 5.8 below</w:t>
      </w:r>
      <w:r w:rsidRPr="00FF1838">
        <w:rPr>
          <w:snapToGrid w:val="0"/>
          <w:lang w:val="en-GB"/>
        </w:rPr>
        <w:t>,</w:t>
      </w:r>
      <w:r w:rsidR="00FF1838">
        <w:rPr>
          <w:snapToGrid w:val="0"/>
          <w:lang w:val="en-GB"/>
        </w:rPr>
        <w:t xml:space="preserve"> further evaluation is required.</w:t>
      </w:r>
    </w:p>
    <w:p w14:paraId="4022238F" w14:textId="7C14FA0B" w:rsidR="00E3692C" w:rsidRPr="00FF1838" w:rsidRDefault="00E3692C">
      <w:pPr>
        <w:pStyle w:val="3-BodyText"/>
        <w:rPr>
          <w:bCs/>
          <w:snapToGrid w:val="0"/>
          <w:lang w:val="en-GB"/>
        </w:rPr>
      </w:pPr>
      <w:r w:rsidRPr="00FF1838">
        <w:rPr>
          <w:bCs/>
          <w:snapToGrid w:val="0"/>
        </w:rPr>
        <w:t xml:space="preserve">The PBAC recalled </w:t>
      </w:r>
      <w:r w:rsidR="00DA2B74" w:rsidRPr="00FF1838">
        <w:rPr>
          <w:bCs/>
          <w:snapToGrid w:val="0"/>
        </w:rPr>
        <w:t xml:space="preserve">from </w:t>
      </w:r>
      <w:r w:rsidR="0082215C">
        <w:rPr>
          <w:bCs/>
          <w:snapToGrid w:val="0"/>
        </w:rPr>
        <w:t xml:space="preserve">its </w:t>
      </w:r>
      <w:r w:rsidR="00DA2B74" w:rsidRPr="00FF1838">
        <w:rPr>
          <w:bCs/>
          <w:snapToGrid w:val="0"/>
        </w:rPr>
        <w:t>July 202</w:t>
      </w:r>
      <w:r w:rsidR="0082215C">
        <w:rPr>
          <w:bCs/>
          <w:snapToGrid w:val="0"/>
        </w:rPr>
        <w:t xml:space="preserve">0 and July 2023 </w:t>
      </w:r>
      <w:r w:rsidR="00DA2B74" w:rsidRPr="00FF1838">
        <w:rPr>
          <w:bCs/>
          <w:snapToGrid w:val="0"/>
        </w:rPr>
        <w:t>consideration</w:t>
      </w:r>
      <w:r w:rsidR="0082215C">
        <w:rPr>
          <w:bCs/>
          <w:snapToGrid w:val="0"/>
        </w:rPr>
        <w:t>s</w:t>
      </w:r>
      <w:r w:rsidR="00DA2B74" w:rsidRPr="00FF1838">
        <w:rPr>
          <w:bCs/>
          <w:snapToGrid w:val="0"/>
        </w:rPr>
        <w:t xml:space="preserve"> of tafamidis that it </w:t>
      </w:r>
      <w:r w:rsidR="006350D4" w:rsidRPr="00FF1838">
        <w:rPr>
          <w:bCs/>
          <w:snapToGrid w:val="0"/>
        </w:rPr>
        <w:t xml:space="preserve">had considered </w:t>
      </w:r>
      <w:r w:rsidRPr="00FF1838">
        <w:rPr>
          <w:bCs/>
          <w:snapToGrid w:val="0"/>
        </w:rPr>
        <w:t>that the</w:t>
      </w:r>
      <w:r w:rsidR="0082215C">
        <w:rPr>
          <w:bCs/>
          <w:snapToGrid w:val="0"/>
        </w:rPr>
        <w:t xml:space="preserve">re was </w:t>
      </w:r>
      <w:r w:rsidR="00DA1BDD">
        <w:rPr>
          <w:bCs/>
          <w:snapToGrid w:val="0"/>
        </w:rPr>
        <w:t xml:space="preserve">considerable </w:t>
      </w:r>
      <w:r w:rsidR="0082215C">
        <w:rPr>
          <w:bCs/>
          <w:snapToGrid w:val="0"/>
        </w:rPr>
        <w:t>uncertainty in the</w:t>
      </w:r>
      <w:r w:rsidRPr="00FF1838">
        <w:rPr>
          <w:bCs/>
          <w:snapToGrid w:val="0"/>
        </w:rPr>
        <w:t xml:space="preserve"> financial estimates</w:t>
      </w:r>
      <w:r w:rsidR="0082215C">
        <w:rPr>
          <w:bCs/>
          <w:snapToGrid w:val="0"/>
        </w:rPr>
        <w:t xml:space="preserve"> (paragraph 7.1 pa</w:t>
      </w:r>
      <w:r w:rsidR="00E460FB" w:rsidRPr="00FF1838">
        <w:rPr>
          <w:bCs/>
          <w:snapToGrid w:val="0"/>
        </w:rPr>
        <w:t xml:space="preserve">ragraph </w:t>
      </w:r>
      <w:r w:rsidR="00B5593C" w:rsidRPr="00FF1838">
        <w:rPr>
          <w:bCs/>
          <w:snapToGrid w:val="0"/>
        </w:rPr>
        <w:t>7.</w:t>
      </w:r>
      <w:r w:rsidR="00E3736D" w:rsidRPr="00FF1838">
        <w:rPr>
          <w:bCs/>
          <w:snapToGrid w:val="0"/>
        </w:rPr>
        <w:t>8</w:t>
      </w:r>
      <w:r w:rsidR="00E460FB" w:rsidRPr="00FF1838">
        <w:rPr>
          <w:bCs/>
          <w:snapToGrid w:val="0"/>
        </w:rPr>
        <w:t xml:space="preserve"> Tafam</w:t>
      </w:r>
      <w:r w:rsidR="00134D04" w:rsidRPr="00FF1838">
        <w:rPr>
          <w:bCs/>
          <w:snapToGrid w:val="0"/>
        </w:rPr>
        <w:t>i</w:t>
      </w:r>
      <w:r w:rsidR="00E460FB" w:rsidRPr="00FF1838">
        <w:rPr>
          <w:bCs/>
          <w:snapToGrid w:val="0"/>
        </w:rPr>
        <w:t xml:space="preserve">dis public summary document, </w:t>
      </w:r>
      <w:r w:rsidR="0082215C">
        <w:rPr>
          <w:bCs/>
          <w:snapToGrid w:val="0"/>
        </w:rPr>
        <w:t xml:space="preserve">July 2020 and </w:t>
      </w:r>
      <w:r w:rsidR="00E460FB" w:rsidRPr="00FF1838">
        <w:rPr>
          <w:bCs/>
          <w:snapToGrid w:val="0"/>
        </w:rPr>
        <w:t xml:space="preserve">July </w:t>
      </w:r>
      <w:r w:rsidR="00B47798" w:rsidRPr="00FF1838">
        <w:rPr>
          <w:bCs/>
          <w:snapToGrid w:val="0"/>
        </w:rPr>
        <w:t xml:space="preserve">2023 </w:t>
      </w:r>
      <w:r w:rsidR="00E460FB" w:rsidRPr="00FF1838">
        <w:rPr>
          <w:bCs/>
          <w:snapToGrid w:val="0"/>
        </w:rPr>
        <w:t>PBAC meeting</w:t>
      </w:r>
      <w:r w:rsidR="0082215C">
        <w:rPr>
          <w:bCs/>
          <w:snapToGrid w:val="0"/>
        </w:rPr>
        <w:t>s respectively</w:t>
      </w:r>
      <w:r w:rsidR="0002044F" w:rsidRPr="00FF1838">
        <w:rPr>
          <w:bCs/>
          <w:snapToGrid w:val="0"/>
        </w:rPr>
        <w:t>)</w:t>
      </w:r>
      <w:r w:rsidRPr="00FF1838">
        <w:rPr>
          <w:bCs/>
          <w:snapToGrid w:val="0"/>
        </w:rPr>
        <w:t xml:space="preserve">. The PBAC </w:t>
      </w:r>
      <w:r w:rsidR="00DC5458" w:rsidRPr="00FF1838">
        <w:rPr>
          <w:bCs/>
          <w:snapToGrid w:val="0"/>
        </w:rPr>
        <w:t xml:space="preserve">further </w:t>
      </w:r>
      <w:r w:rsidRPr="00FF1838">
        <w:rPr>
          <w:bCs/>
          <w:snapToGrid w:val="0"/>
        </w:rPr>
        <w:t>recalled the RSA was established to mitigate the uncertainty in the financial estimates</w:t>
      </w:r>
      <w:r w:rsidR="006A4996" w:rsidRPr="00FF1838">
        <w:rPr>
          <w:bCs/>
          <w:snapToGrid w:val="0"/>
        </w:rPr>
        <w:t xml:space="preserve">. The PBAC </w:t>
      </w:r>
      <w:r w:rsidR="00717E26" w:rsidRPr="00FF1838">
        <w:rPr>
          <w:bCs/>
          <w:snapToGrid w:val="0"/>
        </w:rPr>
        <w:t>recalled</w:t>
      </w:r>
      <w:r w:rsidR="006A4996" w:rsidRPr="00FF1838">
        <w:rPr>
          <w:bCs/>
          <w:snapToGrid w:val="0"/>
        </w:rPr>
        <w:t xml:space="preserve"> </w:t>
      </w:r>
      <w:r w:rsidR="00E018F6" w:rsidRPr="00FF1838">
        <w:rPr>
          <w:bCs/>
          <w:snapToGrid w:val="0"/>
        </w:rPr>
        <w:t xml:space="preserve">an </w:t>
      </w:r>
      <w:r w:rsidRPr="00FF1838">
        <w:rPr>
          <w:bCs/>
          <w:snapToGrid w:val="0"/>
        </w:rPr>
        <w:t>ICER of $</w:t>
      </w:r>
      <w:r w:rsidR="00E040CE" w:rsidRPr="00E040CE">
        <w:rPr>
          <w:bCs/>
          <w:snapToGrid w:val="0"/>
        </w:rPr>
        <w:t xml:space="preserve">95,000 to &lt; $115,000 </w:t>
      </w:r>
      <w:r w:rsidRPr="00FF1838">
        <w:rPr>
          <w:bCs/>
          <w:snapToGrid w:val="0"/>
        </w:rPr>
        <w:t>per QALY gained</w:t>
      </w:r>
      <w:r w:rsidR="003B0056" w:rsidRPr="00FF1838">
        <w:rPr>
          <w:bCs/>
          <w:snapToGrid w:val="0"/>
        </w:rPr>
        <w:t xml:space="preserve"> was </w:t>
      </w:r>
      <w:r w:rsidR="00F71ABD" w:rsidRPr="00FF1838">
        <w:rPr>
          <w:bCs/>
          <w:snapToGrid w:val="0"/>
        </w:rPr>
        <w:t>accepted</w:t>
      </w:r>
      <w:r w:rsidR="00E018F6" w:rsidRPr="00FF1838">
        <w:rPr>
          <w:bCs/>
          <w:snapToGrid w:val="0"/>
        </w:rPr>
        <w:t xml:space="preserve"> in September</w:t>
      </w:r>
      <w:r w:rsidR="003E432A" w:rsidRPr="00FF1838">
        <w:rPr>
          <w:bCs/>
          <w:snapToGrid w:val="0"/>
        </w:rPr>
        <w:t> </w:t>
      </w:r>
      <w:r w:rsidR="00E018F6" w:rsidRPr="00FF1838">
        <w:rPr>
          <w:bCs/>
          <w:snapToGrid w:val="0"/>
        </w:rPr>
        <w:t>2023,</w:t>
      </w:r>
      <w:r w:rsidR="00F71ABD" w:rsidRPr="00FF1838">
        <w:rPr>
          <w:bCs/>
          <w:snapToGrid w:val="0"/>
        </w:rPr>
        <w:t xml:space="preserve"> in the context of a sm</w:t>
      </w:r>
      <w:r w:rsidRPr="00FF1838">
        <w:rPr>
          <w:bCs/>
          <w:snapToGrid w:val="0"/>
        </w:rPr>
        <w:t>aller patient population</w:t>
      </w:r>
      <w:r w:rsidR="00210F37" w:rsidRPr="00FF1838">
        <w:rPr>
          <w:bCs/>
          <w:snapToGrid w:val="0"/>
        </w:rPr>
        <w:t xml:space="preserve"> and the proposed total budget impact</w:t>
      </w:r>
      <w:r w:rsidR="00E018F6" w:rsidRPr="00FF1838">
        <w:rPr>
          <w:bCs/>
          <w:snapToGrid w:val="0"/>
        </w:rPr>
        <w:t>.</w:t>
      </w:r>
      <w:r w:rsidRPr="00FF1838">
        <w:rPr>
          <w:bCs/>
          <w:snapToGrid w:val="0"/>
        </w:rPr>
        <w:t xml:space="preserve"> </w:t>
      </w:r>
    </w:p>
    <w:p w14:paraId="53ABBE5E" w14:textId="3F0845F1" w:rsidR="00643E57" w:rsidRPr="00CD275D" w:rsidRDefault="00056A3B" w:rsidP="00CD275D">
      <w:pPr>
        <w:pStyle w:val="3-BodyText"/>
        <w:rPr>
          <w:bCs/>
          <w:snapToGrid w:val="0"/>
          <w:lang w:val="en-GB"/>
        </w:rPr>
      </w:pPr>
      <w:r w:rsidRPr="00D25E52">
        <w:rPr>
          <w:bCs/>
          <w:snapToGrid w:val="0"/>
        </w:rPr>
        <w:t>The</w:t>
      </w:r>
      <w:r w:rsidR="00820CA9" w:rsidRPr="00D25E52">
        <w:rPr>
          <w:bCs/>
          <w:snapToGrid w:val="0"/>
        </w:rPr>
        <w:t xml:space="preserve"> PBAC </w:t>
      </w:r>
      <w:r w:rsidR="00747499" w:rsidRPr="00D25E52">
        <w:rPr>
          <w:bCs/>
          <w:snapToGrid w:val="0"/>
        </w:rPr>
        <w:t>noted</w:t>
      </w:r>
      <w:r w:rsidR="00820CA9" w:rsidRPr="00D25E52">
        <w:rPr>
          <w:bCs/>
          <w:snapToGrid w:val="0"/>
        </w:rPr>
        <w:t xml:space="preserve"> that the ICER </w:t>
      </w:r>
      <w:r w:rsidR="009310A5" w:rsidRPr="00D25E52">
        <w:rPr>
          <w:bCs/>
          <w:snapToGrid w:val="0"/>
        </w:rPr>
        <w:t xml:space="preserve">accepted in the September 2023 submission </w:t>
      </w:r>
      <w:r w:rsidR="00F37674" w:rsidRPr="00D25E52">
        <w:rPr>
          <w:bCs/>
          <w:snapToGrid w:val="0"/>
        </w:rPr>
        <w:t>was based on a population</w:t>
      </w:r>
      <w:r w:rsidR="00593715" w:rsidRPr="00D25E52">
        <w:rPr>
          <w:bCs/>
          <w:snapToGrid w:val="0"/>
        </w:rPr>
        <w:t xml:space="preserve"> </w:t>
      </w:r>
      <w:r w:rsidR="00DA1BDD">
        <w:rPr>
          <w:bCs/>
          <w:snapToGrid w:val="0"/>
        </w:rPr>
        <w:t xml:space="preserve">derived </w:t>
      </w:r>
      <w:r w:rsidR="00593715" w:rsidRPr="00D25E52">
        <w:rPr>
          <w:bCs/>
          <w:snapToGrid w:val="0"/>
        </w:rPr>
        <w:t>from the ATTR</w:t>
      </w:r>
      <w:r w:rsidR="00A06AA3">
        <w:rPr>
          <w:bCs/>
          <w:snapToGrid w:val="0"/>
        </w:rPr>
        <w:t>-</w:t>
      </w:r>
      <w:r w:rsidR="00593715" w:rsidRPr="00D25E52">
        <w:rPr>
          <w:bCs/>
          <w:snapToGrid w:val="0"/>
        </w:rPr>
        <w:t>ACT study</w:t>
      </w:r>
      <w:r w:rsidR="00DA1BDD">
        <w:rPr>
          <w:bCs/>
          <w:snapToGrid w:val="0"/>
        </w:rPr>
        <w:t xml:space="preserve">, which required diagnosis of ATTR by tissue biopsy and further supplemented by evidence of cardiac involvement (by echocardiography) and with a history of heart failure and elevated </w:t>
      </w:r>
      <w:proofErr w:type="spellStart"/>
      <w:r w:rsidR="00DA1BDD">
        <w:rPr>
          <w:bCs/>
          <w:snapToGrid w:val="0"/>
        </w:rPr>
        <w:t>naturetic</w:t>
      </w:r>
      <w:proofErr w:type="spellEnd"/>
      <w:r w:rsidR="00DA1BDD">
        <w:rPr>
          <w:bCs/>
          <w:snapToGrid w:val="0"/>
        </w:rPr>
        <w:t xml:space="preserve"> peptides</w:t>
      </w:r>
      <w:r w:rsidR="00F37674" w:rsidRPr="00D25E52">
        <w:rPr>
          <w:bCs/>
          <w:snapToGrid w:val="0"/>
        </w:rPr>
        <w:t xml:space="preserve">. </w:t>
      </w:r>
      <w:r w:rsidR="0054668A">
        <w:rPr>
          <w:bCs/>
          <w:snapToGrid w:val="0"/>
        </w:rPr>
        <w:t xml:space="preserve">The PBAC </w:t>
      </w:r>
      <w:r w:rsidR="00245C4A">
        <w:rPr>
          <w:bCs/>
          <w:snapToGrid w:val="0"/>
        </w:rPr>
        <w:t>also noted that the ATTR</w:t>
      </w:r>
      <w:r w:rsidR="00A06AA3">
        <w:rPr>
          <w:bCs/>
          <w:snapToGrid w:val="0"/>
        </w:rPr>
        <w:t>-</w:t>
      </w:r>
      <w:r w:rsidR="00245C4A">
        <w:rPr>
          <w:bCs/>
          <w:snapToGrid w:val="0"/>
        </w:rPr>
        <w:t>ACT Study was performed before widespread adoption of SGLT2 inhibitors in HFpEF and that the benefit of tafamidis on top of these agents was uncertain.</w:t>
      </w:r>
      <w:r w:rsidR="00224452">
        <w:rPr>
          <w:bCs/>
          <w:snapToGrid w:val="0"/>
        </w:rPr>
        <w:t xml:space="preserve"> </w:t>
      </w:r>
      <w:r w:rsidR="00245C4A">
        <w:rPr>
          <w:bCs/>
          <w:snapToGrid w:val="0"/>
        </w:rPr>
        <w:t xml:space="preserve">These potential issues raised concern </w:t>
      </w:r>
      <w:r w:rsidR="00A97BA1">
        <w:rPr>
          <w:bCs/>
          <w:snapToGrid w:val="0"/>
        </w:rPr>
        <w:t>by the</w:t>
      </w:r>
      <w:r w:rsidR="00245C4A">
        <w:rPr>
          <w:bCs/>
          <w:snapToGrid w:val="0"/>
        </w:rPr>
        <w:t xml:space="preserve"> PBAC </w:t>
      </w:r>
      <w:r w:rsidR="007C38B7">
        <w:rPr>
          <w:bCs/>
          <w:snapToGrid w:val="0"/>
        </w:rPr>
        <w:t xml:space="preserve">that </w:t>
      </w:r>
      <w:r w:rsidR="0074505E">
        <w:rPr>
          <w:bCs/>
          <w:snapToGrid w:val="0"/>
        </w:rPr>
        <w:t xml:space="preserve">the population presented in the updated prevalence figures may not reflect the population that </w:t>
      </w:r>
      <w:r w:rsidR="00CB4D22">
        <w:rPr>
          <w:bCs/>
          <w:snapToGrid w:val="0"/>
        </w:rPr>
        <w:t>had been considered previously</w:t>
      </w:r>
      <w:r w:rsidR="00A97BA1">
        <w:rPr>
          <w:bCs/>
          <w:snapToGrid w:val="0"/>
        </w:rPr>
        <w:t xml:space="preserve"> and that the clinical outcomes may be lower in a broader HFpEF population that was also treated with SGLT2 inhibitors</w:t>
      </w:r>
      <w:r w:rsidR="00CB4D22">
        <w:rPr>
          <w:bCs/>
          <w:snapToGrid w:val="0"/>
        </w:rPr>
        <w:t xml:space="preserve">. </w:t>
      </w:r>
      <w:r w:rsidR="002E20C2" w:rsidRPr="00C37139">
        <w:rPr>
          <w:bCs/>
          <w:snapToGrid w:val="0"/>
          <w:lang w:val="en-GB"/>
        </w:rPr>
        <w:t xml:space="preserve">The PBAC noted the pre-PBAC response which stated that the lower proposed effective ex-manufacturer price results </w:t>
      </w:r>
      <w:r w:rsidR="00D53133">
        <w:rPr>
          <w:bCs/>
          <w:snapToGrid w:val="0"/>
          <w:lang w:val="en-GB"/>
        </w:rPr>
        <w:t>in</w:t>
      </w:r>
      <w:r w:rsidR="00D53133" w:rsidRPr="00C37139">
        <w:rPr>
          <w:bCs/>
          <w:snapToGrid w:val="0"/>
          <w:lang w:val="en-GB"/>
        </w:rPr>
        <w:t xml:space="preserve"> </w:t>
      </w:r>
      <w:r w:rsidR="002E20C2" w:rsidRPr="00C37139">
        <w:rPr>
          <w:bCs/>
          <w:snapToGrid w:val="0"/>
          <w:lang w:val="en-GB"/>
        </w:rPr>
        <w:t>an ICER of $</w:t>
      </w:r>
      <w:r w:rsidR="004169D9" w:rsidRPr="004169D9">
        <w:rPr>
          <w:bCs/>
          <w:snapToGrid w:val="0"/>
          <w:lang w:val="en-GB"/>
        </w:rPr>
        <w:t xml:space="preserve">55,000 to &lt; $75,000 </w:t>
      </w:r>
      <w:r w:rsidR="002E20C2" w:rsidRPr="00C37139">
        <w:rPr>
          <w:bCs/>
          <w:snapToGrid w:val="0"/>
          <w:lang w:val="en-GB"/>
        </w:rPr>
        <w:t>per QALY gained.</w:t>
      </w:r>
      <w:r w:rsidR="00FF1838">
        <w:rPr>
          <w:bCs/>
          <w:snapToGrid w:val="0"/>
          <w:lang w:val="en-GB"/>
        </w:rPr>
        <w:t xml:space="preserve"> However</w:t>
      </w:r>
      <w:r w:rsidR="001D4F27">
        <w:rPr>
          <w:bCs/>
          <w:snapToGrid w:val="0"/>
          <w:lang w:val="en-GB"/>
        </w:rPr>
        <w:t>,</w:t>
      </w:r>
      <w:r w:rsidR="00FF1838">
        <w:rPr>
          <w:bCs/>
          <w:snapToGrid w:val="0"/>
          <w:lang w:val="en-GB"/>
        </w:rPr>
        <w:t xml:space="preserve"> the PBAC advised that the model needed to be reviewed to confirm the effect on the ICER.</w:t>
      </w:r>
      <w:r w:rsidR="001D4F27">
        <w:rPr>
          <w:bCs/>
          <w:snapToGrid w:val="0"/>
          <w:lang w:val="en-GB"/>
        </w:rPr>
        <w:t xml:space="preserve"> </w:t>
      </w:r>
      <w:r w:rsidR="00FF1838">
        <w:rPr>
          <w:bCs/>
          <w:snapToGrid w:val="0"/>
          <w:lang w:val="en-GB"/>
        </w:rPr>
        <w:t xml:space="preserve">The PBAC advised that the ICER must be lower to maintain cost-effectiveness, </w:t>
      </w:r>
      <w:r w:rsidR="002E20C2" w:rsidRPr="00CD275D">
        <w:rPr>
          <w:bCs/>
          <w:snapToGrid w:val="0"/>
          <w:lang w:val="en-GB"/>
        </w:rPr>
        <w:t xml:space="preserve">as </w:t>
      </w:r>
      <w:r w:rsidR="00FF1838">
        <w:rPr>
          <w:bCs/>
          <w:snapToGrid w:val="0"/>
          <w:lang w:val="en-GB"/>
        </w:rPr>
        <w:t>the model</w:t>
      </w:r>
      <w:r w:rsidR="002E20C2" w:rsidRPr="00CD275D">
        <w:rPr>
          <w:bCs/>
          <w:snapToGrid w:val="0"/>
          <w:lang w:val="en-GB"/>
        </w:rPr>
        <w:t xml:space="preserve"> assumes </w:t>
      </w:r>
      <w:r w:rsidR="005430C3" w:rsidRPr="00CD275D">
        <w:rPr>
          <w:bCs/>
          <w:snapToGrid w:val="0"/>
          <w:lang w:val="en-GB"/>
        </w:rPr>
        <w:t>the magnitude</w:t>
      </w:r>
      <w:r w:rsidR="002E20C2" w:rsidRPr="00CD275D">
        <w:rPr>
          <w:bCs/>
          <w:snapToGrid w:val="0"/>
          <w:lang w:val="en-GB"/>
        </w:rPr>
        <w:t xml:space="preserve"> of benefit</w:t>
      </w:r>
      <w:r w:rsidR="00EA71F4" w:rsidRPr="00CD275D">
        <w:rPr>
          <w:bCs/>
          <w:snapToGrid w:val="0"/>
          <w:lang w:val="en-GB"/>
        </w:rPr>
        <w:t xml:space="preserve"> is the same</w:t>
      </w:r>
      <w:r w:rsidR="002E20C2" w:rsidRPr="00CD275D">
        <w:rPr>
          <w:bCs/>
          <w:snapToGrid w:val="0"/>
          <w:lang w:val="en-GB"/>
        </w:rPr>
        <w:t xml:space="preserve"> as </w:t>
      </w:r>
      <w:r w:rsidR="00EA71F4" w:rsidRPr="00CD275D">
        <w:rPr>
          <w:bCs/>
          <w:snapToGrid w:val="0"/>
          <w:lang w:val="en-GB"/>
        </w:rPr>
        <w:t>that in</w:t>
      </w:r>
      <w:r w:rsidR="002E20C2" w:rsidRPr="00CD275D">
        <w:rPr>
          <w:bCs/>
          <w:snapToGrid w:val="0"/>
          <w:lang w:val="en-GB"/>
        </w:rPr>
        <w:t xml:space="preserve"> the original populati</w:t>
      </w:r>
      <w:r w:rsidR="003D55DA">
        <w:rPr>
          <w:bCs/>
          <w:snapToGrid w:val="0"/>
          <w:lang w:val="en-GB"/>
        </w:rPr>
        <w:t>on</w:t>
      </w:r>
      <w:r w:rsidR="00FF1838">
        <w:rPr>
          <w:bCs/>
          <w:snapToGrid w:val="0"/>
          <w:lang w:val="en-GB"/>
        </w:rPr>
        <w:t>.</w:t>
      </w:r>
      <w:r w:rsidR="00FF1838" w:rsidDel="00FF1838">
        <w:rPr>
          <w:bCs/>
          <w:snapToGrid w:val="0"/>
          <w:lang w:val="en-GB"/>
        </w:rPr>
        <w:t xml:space="preserve"> </w:t>
      </w:r>
    </w:p>
    <w:p w14:paraId="274D9A8D" w14:textId="43E7278C" w:rsidR="009100AA" w:rsidRPr="004B2BD3" w:rsidRDefault="009100AA" w:rsidP="005430C3">
      <w:pPr>
        <w:pStyle w:val="3-BodyText"/>
        <w:rPr>
          <w:bCs/>
          <w:snapToGrid w:val="0"/>
          <w:lang w:val="en-GB"/>
        </w:rPr>
      </w:pPr>
      <w:r w:rsidRPr="00C6512B">
        <w:rPr>
          <w:bCs/>
          <w:snapToGrid w:val="0"/>
          <w:lang w:val="en-GB"/>
        </w:rPr>
        <w:t xml:space="preserve">The PBAC </w:t>
      </w:r>
      <w:r w:rsidR="00AC4C21">
        <w:rPr>
          <w:bCs/>
          <w:snapToGrid w:val="0"/>
          <w:lang w:val="en-GB"/>
        </w:rPr>
        <w:t>advised</w:t>
      </w:r>
      <w:r w:rsidR="00E50B5E">
        <w:rPr>
          <w:bCs/>
          <w:snapToGrid w:val="0"/>
          <w:lang w:val="en-GB"/>
        </w:rPr>
        <w:t xml:space="preserve"> that a resubmission </w:t>
      </w:r>
      <w:r w:rsidR="00AC4C21">
        <w:rPr>
          <w:bCs/>
          <w:snapToGrid w:val="0"/>
          <w:lang w:val="en-GB"/>
        </w:rPr>
        <w:t>was required and</w:t>
      </w:r>
      <w:r w:rsidR="00E50B5E">
        <w:rPr>
          <w:bCs/>
          <w:snapToGrid w:val="0"/>
          <w:lang w:val="en-GB"/>
        </w:rPr>
        <w:t xml:space="preserve"> </w:t>
      </w:r>
      <w:r w:rsidR="00B44034">
        <w:rPr>
          <w:bCs/>
          <w:snapToGrid w:val="0"/>
          <w:lang w:val="en-GB"/>
        </w:rPr>
        <w:t xml:space="preserve">should include the following: </w:t>
      </w:r>
    </w:p>
    <w:p w14:paraId="58B6090C" w14:textId="1108818B" w:rsidR="006677B0" w:rsidRDefault="00A91131" w:rsidP="001E1DA9">
      <w:pPr>
        <w:pStyle w:val="3-BodyText"/>
        <w:numPr>
          <w:ilvl w:val="0"/>
          <w:numId w:val="56"/>
        </w:numPr>
        <w:rPr>
          <w:bCs/>
          <w:snapToGrid w:val="0"/>
          <w:lang w:val="en-GB"/>
        </w:rPr>
      </w:pPr>
      <w:r>
        <w:rPr>
          <w:bCs/>
          <w:snapToGrid w:val="0"/>
          <w:lang w:val="en-GB"/>
        </w:rPr>
        <w:lastRenderedPageBreak/>
        <w:t>Evidence</w:t>
      </w:r>
      <w:r w:rsidR="006677B0">
        <w:rPr>
          <w:bCs/>
          <w:snapToGrid w:val="0"/>
          <w:lang w:val="en-GB"/>
        </w:rPr>
        <w:t xml:space="preserve"> support</w:t>
      </w:r>
      <w:r>
        <w:rPr>
          <w:bCs/>
          <w:snapToGrid w:val="0"/>
          <w:lang w:val="en-GB"/>
        </w:rPr>
        <w:t>ing</w:t>
      </w:r>
      <w:r w:rsidR="00332FC9">
        <w:rPr>
          <w:bCs/>
          <w:snapToGrid w:val="0"/>
          <w:lang w:val="en-GB"/>
        </w:rPr>
        <w:t xml:space="preserve"> </w:t>
      </w:r>
      <w:r w:rsidR="006677B0">
        <w:rPr>
          <w:bCs/>
          <w:snapToGrid w:val="0"/>
          <w:lang w:val="en-GB"/>
        </w:rPr>
        <w:t xml:space="preserve">equivalence between </w:t>
      </w:r>
      <w:r w:rsidR="00332FC9">
        <w:rPr>
          <w:bCs/>
          <w:snapToGrid w:val="0"/>
          <w:lang w:val="en-GB"/>
        </w:rPr>
        <w:t>diagnos</w:t>
      </w:r>
      <w:r w:rsidR="002724CF">
        <w:rPr>
          <w:bCs/>
          <w:snapToGrid w:val="0"/>
          <w:lang w:val="en-GB"/>
        </w:rPr>
        <w:t xml:space="preserve">is of ATTR-CM </w:t>
      </w:r>
      <w:r w:rsidR="00DA1BDD">
        <w:rPr>
          <w:bCs/>
          <w:snapToGrid w:val="0"/>
          <w:lang w:val="en-GB"/>
        </w:rPr>
        <w:t>as used in the ATTR</w:t>
      </w:r>
      <w:r w:rsidR="00A06AA3">
        <w:rPr>
          <w:bCs/>
          <w:snapToGrid w:val="0"/>
          <w:lang w:val="en-GB"/>
        </w:rPr>
        <w:t>-</w:t>
      </w:r>
      <w:r w:rsidR="00DA1BDD">
        <w:rPr>
          <w:bCs/>
          <w:snapToGrid w:val="0"/>
          <w:lang w:val="en-GB"/>
        </w:rPr>
        <w:t xml:space="preserve">ACT Study and </w:t>
      </w:r>
      <w:r w:rsidR="00245C4A">
        <w:rPr>
          <w:bCs/>
          <w:snapToGrid w:val="0"/>
          <w:lang w:val="en-GB"/>
        </w:rPr>
        <w:t>the current diagnostic requirements</w:t>
      </w:r>
      <w:r w:rsidR="00324124">
        <w:rPr>
          <w:bCs/>
          <w:snapToGrid w:val="0"/>
          <w:lang w:val="en-GB"/>
        </w:rPr>
        <w:t>,</w:t>
      </w:r>
      <w:r w:rsidR="00F75BBA">
        <w:rPr>
          <w:bCs/>
          <w:snapToGrid w:val="0"/>
          <w:lang w:val="en-GB"/>
        </w:rPr>
        <w:t xml:space="preserve"> </w:t>
      </w:r>
      <w:r w:rsidR="006677B0">
        <w:rPr>
          <w:bCs/>
          <w:snapToGrid w:val="0"/>
          <w:lang w:val="en-GB"/>
        </w:rPr>
        <w:t xml:space="preserve">in terms </w:t>
      </w:r>
      <w:r w:rsidR="00525DD9">
        <w:rPr>
          <w:bCs/>
          <w:snapToGrid w:val="0"/>
          <w:lang w:val="en-GB"/>
        </w:rPr>
        <w:t xml:space="preserve">of </w:t>
      </w:r>
      <w:r w:rsidR="006677B0">
        <w:rPr>
          <w:bCs/>
          <w:snapToGrid w:val="0"/>
          <w:lang w:val="en-GB"/>
        </w:rPr>
        <w:t xml:space="preserve">whether </w:t>
      </w:r>
      <w:r w:rsidR="00525DD9">
        <w:rPr>
          <w:bCs/>
          <w:snapToGrid w:val="0"/>
          <w:lang w:val="en-GB"/>
        </w:rPr>
        <w:t xml:space="preserve">the </w:t>
      </w:r>
      <w:r w:rsidR="00F75BBA">
        <w:rPr>
          <w:bCs/>
          <w:snapToGrid w:val="0"/>
          <w:lang w:val="en-GB"/>
        </w:rPr>
        <w:t>natural course of the disease and patient outcomes is the same</w:t>
      </w:r>
      <w:r w:rsidR="006677B0">
        <w:rPr>
          <w:bCs/>
          <w:snapToGrid w:val="0"/>
          <w:lang w:val="en-GB"/>
        </w:rPr>
        <w:t xml:space="preserve">. </w:t>
      </w:r>
    </w:p>
    <w:p w14:paraId="67D68668" w14:textId="2CBC5A31" w:rsidR="00245C4A" w:rsidRDefault="00245C4A" w:rsidP="005430C3">
      <w:pPr>
        <w:pStyle w:val="3-BodyText"/>
        <w:numPr>
          <w:ilvl w:val="0"/>
          <w:numId w:val="56"/>
        </w:numPr>
        <w:rPr>
          <w:bCs/>
          <w:snapToGrid w:val="0"/>
          <w:lang w:val="en-GB"/>
        </w:rPr>
      </w:pPr>
      <w:r>
        <w:rPr>
          <w:bCs/>
          <w:snapToGrid w:val="0"/>
          <w:lang w:val="en-GB"/>
        </w:rPr>
        <w:t>Any e</w:t>
      </w:r>
      <w:r w:rsidR="004B36A9" w:rsidRPr="00712657">
        <w:rPr>
          <w:bCs/>
          <w:snapToGrid w:val="0"/>
          <w:lang w:val="en-GB"/>
        </w:rPr>
        <w:t>vidence to support that the magnitude of benefit for all patients</w:t>
      </w:r>
      <w:r w:rsidR="005B0C24" w:rsidRPr="00712657">
        <w:rPr>
          <w:bCs/>
          <w:snapToGrid w:val="0"/>
          <w:lang w:val="en-GB"/>
        </w:rPr>
        <w:t xml:space="preserve"> diagnosed with ATTR-CM</w:t>
      </w:r>
      <w:r w:rsidR="004328BB" w:rsidRPr="00712657">
        <w:rPr>
          <w:bCs/>
          <w:snapToGrid w:val="0"/>
          <w:lang w:val="en-GB"/>
        </w:rPr>
        <w:t xml:space="preserve"> (regardless of the method of diagnosis)</w:t>
      </w:r>
      <w:r w:rsidR="009067F9" w:rsidRPr="00712657">
        <w:rPr>
          <w:bCs/>
          <w:snapToGrid w:val="0"/>
          <w:lang w:val="en-GB"/>
        </w:rPr>
        <w:t xml:space="preserve"> and treated with tafamidis</w:t>
      </w:r>
      <w:r w:rsidR="005B0C24" w:rsidRPr="00712657">
        <w:rPr>
          <w:bCs/>
          <w:snapToGrid w:val="0"/>
          <w:lang w:val="en-GB"/>
        </w:rPr>
        <w:t xml:space="preserve"> </w:t>
      </w:r>
      <w:r w:rsidR="004B36A9" w:rsidRPr="00712657">
        <w:rPr>
          <w:bCs/>
          <w:snapToGrid w:val="0"/>
          <w:lang w:val="en-GB"/>
        </w:rPr>
        <w:t>is the same</w:t>
      </w:r>
      <w:r w:rsidR="00712657" w:rsidRPr="00712657">
        <w:rPr>
          <w:bCs/>
          <w:snapToGrid w:val="0"/>
          <w:lang w:val="en-GB"/>
        </w:rPr>
        <w:t>.</w:t>
      </w:r>
      <w:r w:rsidR="00E131E0">
        <w:rPr>
          <w:bCs/>
          <w:snapToGrid w:val="0"/>
          <w:lang w:val="en-GB"/>
        </w:rPr>
        <w:t xml:space="preserve"> </w:t>
      </w:r>
    </w:p>
    <w:p w14:paraId="2AE02CD0" w14:textId="0F0E81F8" w:rsidR="00C65295" w:rsidRDefault="00245C4A" w:rsidP="005430C3">
      <w:pPr>
        <w:pStyle w:val="3-BodyText"/>
        <w:numPr>
          <w:ilvl w:val="0"/>
          <w:numId w:val="56"/>
        </w:numPr>
        <w:rPr>
          <w:bCs/>
          <w:snapToGrid w:val="0"/>
          <w:lang w:val="en-GB"/>
        </w:rPr>
      </w:pPr>
      <w:r>
        <w:rPr>
          <w:bCs/>
          <w:snapToGrid w:val="0"/>
          <w:lang w:val="en-GB"/>
        </w:rPr>
        <w:t xml:space="preserve">A formal literature review to ensure that all relevant studies assessing the prevalence of ATTR-CM in HFpEF have been </w:t>
      </w:r>
      <w:r w:rsidR="00E131E0">
        <w:rPr>
          <w:bCs/>
          <w:snapToGrid w:val="0"/>
          <w:lang w:val="en-GB"/>
        </w:rPr>
        <w:t>identified and reviewed. The literature review should also seek to identify any studies on concomitant usage of tafamidis and SGLT2 inhibitors in this population</w:t>
      </w:r>
      <w:r>
        <w:rPr>
          <w:bCs/>
          <w:snapToGrid w:val="0"/>
          <w:lang w:val="en-GB"/>
        </w:rPr>
        <w:t>.</w:t>
      </w:r>
      <w:r w:rsidR="004B36A9" w:rsidRPr="00712657">
        <w:rPr>
          <w:bCs/>
          <w:snapToGrid w:val="0"/>
          <w:lang w:val="en-GB"/>
        </w:rPr>
        <w:t xml:space="preserve"> </w:t>
      </w:r>
    </w:p>
    <w:p w14:paraId="083CB841" w14:textId="45412783" w:rsidR="0037461D" w:rsidRPr="007E2DD8" w:rsidRDefault="00F705C6" w:rsidP="00C65295">
      <w:pPr>
        <w:pStyle w:val="3-BodyText"/>
        <w:numPr>
          <w:ilvl w:val="0"/>
          <w:numId w:val="56"/>
        </w:numPr>
        <w:rPr>
          <w:bCs/>
          <w:snapToGrid w:val="0"/>
          <w:lang w:val="en-GB"/>
        </w:rPr>
      </w:pPr>
      <w:r>
        <w:rPr>
          <w:bCs/>
          <w:snapToGrid w:val="0"/>
          <w:lang w:val="en-GB"/>
        </w:rPr>
        <w:t>Revised</w:t>
      </w:r>
      <w:r w:rsidR="00C65295">
        <w:rPr>
          <w:bCs/>
          <w:snapToGrid w:val="0"/>
          <w:lang w:val="en-GB"/>
        </w:rPr>
        <w:t xml:space="preserve"> </w:t>
      </w:r>
      <w:r w:rsidR="005B0C24" w:rsidRPr="00C65295">
        <w:rPr>
          <w:bCs/>
          <w:snapToGrid w:val="0"/>
          <w:lang w:val="en-GB"/>
        </w:rPr>
        <w:t>c</w:t>
      </w:r>
      <w:r w:rsidR="005A26C9" w:rsidRPr="00C65295">
        <w:rPr>
          <w:bCs/>
          <w:snapToGrid w:val="0"/>
          <w:lang w:val="en-GB"/>
        </w:rPr>
        <w:t xml:space="preserve">ost-effectiveness </w:t>
      </w:r>
      <w:r w:rsidR="005B0C24" w:rsidRPr="00C65295">
        <w:rPr>
          <w:bCs/>
          <w:snapToGrid w:val="0"/>
          <w:lang w:val="en-GB"/>
        </w:rPr>
        <w:t xml:space="preserve">model for </w:t>
      </w:r>
      <w:r w:rsidR="005A26C9" w:rsidRPr="00C65295">
        <w:rPr>
          <w:bCs/>
          <w:snapToGrid w:val="0"/>
          <w:lang w:val="en-GB"/>
        </w:rPr>
        <w:t>tafamidis</w:t>
      </w:r>
      <w:r w:rsidR="005B0C24" w:rsidRPr="00C65295">
        <w:rPr>
          <w:bCs/>
          <w:snapToGrid w:val="0"/>
          <w:lang w:val="en-GB"/>
        </w:rPr>
        <w:t xml:space="preserve"> </w:t>
      </w:r>
      <w:proofErr w:type="gramStart"/>
      <w:r w:rsidR="005B0C24" w:rsidRPr="00C65295">
        <w:rPr>
          <w:bCs/>
          <w:snapToGrid w:val="0"/>
          <w:lang w:val="en-GB"/>
        </w:rPr>
        <w:t>taking into account</w:t>
      </w:r>
      <w:proofErr w:type="gramEnd"/>
      <w:r w:rsidR="005B0C24" w:rsidRPr="00C65295">
        <w:rPr>
          <w:bCs/>
          <w:snapToGrid w:val="0"/>
          <w:lang w:val="en-GB"/>
        </w:rPr>
        <w:t xml:space="preserve"> the above.</w:t>
      </w:r>
    </w:p>
    <w:p w14:paraId="150CD34A" w14:textId="29A7A598" w:rsidR="007C0139" w:rsidRPr="00864654" w:rsidRDefault="00020096" w:rsidP="00864654">
      <w:pPr>
        <w:pStyle w:val="3Bodytext"/>
        <w:numPr>
          <w:ilvl w:val="1"/>
          <w:numId w:val="2"/>
        </w:numPr>
        <w:spacing w:before="0"/>
        <w:rPr>
          <w:snapToGrid w:val="0"/>
          <w:lang w:val="en-GB"/>
        </w:rPr>
      </w:pPr>
      <w:r w:rsidRPr="00020096" w:rsidDel="00BA1DA9">
        <w:rPr>
          <w:bCs/>
          <w:snapToGrid w:val="0"/>
          <w:lang w:val="en-GB"/>
        </w:rPr>
        <w:t xml:space="preserve"> </w:t>
      </w:r>
      <w:r w:rsidR="002C1EEE" w:rsidRPr="00FE15CF">
        <w:rPr>
          <w:snapToGrid w:val="0"/>
          <w:lang w:val="en-GB"/>
        </w:rPr>
        <w:t xml:space="preserve">The PBAC noted that this submission </w:t>
      </w:r>
      <w:r w:rsidR="002C1EEE">
        <w:rPr>
          <w:snapToGrid w:val="0"/>
          <w:lang w:val="en-GB"/>
        </w:rPr>
        <w:t>wa</w:t>
      </w:r>
      <w:r w:rsidR="002C1EEE" w:rsidRPr="00FE15CF">
        <w:rPr>
          <w:snapToGrid w:val="0"/>
          <w:lang w:val="en-GB"/>
        </w:rPr>
        <w:t>s not eligible for an Independent Review</w:t>
      </w:r>
      <w:r w:rsidR="002C1EEE">
        <w:rPr>
          <w:snapToGrid w:val="0"/>
          <w:lang w:val="en-GB"/>
        </w:rPr>
        <w:t>. Independent Review is only available to submissions</w:t>
      </w:r>
      <w:r w:rsidR="002C1EEE" w:rsidRPr="00FE15CF">
        <w:rPr>
          <w:snapToGrid w:val="0"/>
          <w:lang w:val="en-GB"/>
        </w:rPr>
        <w:t xml:space="preserve"> seeking a change to the listing </w:t>
      </w:r>
      <w:r w:rsidR="002C1EEE">
        <w:rPr>
          <w:snapToGrid w:val="0"/>
          <w:lang w:val="en-GB"/>
        </w:rPr>
        <w:t xml:space="preserve">criteria (such as a request for a </w:t>
      </w:r>
      <w:r w:rsidR="002C1EEE" w:rsidRPr="00FE15CF">
        <w:rPr>
          <w:snapToGrid w:val="0"/>
          <w:lang w:val="en-GB"/>
        </w:rPr>
        <w:t xml:space="preserve">new indication, </w:t>
      </w:r>
      <w:r w:rsidR="002C1EEE">
        <w:rPr>
          <w:snapToGrid w:val="0"/>
          <w:lang w:val="en-GB"/>
        </w:rPr>
        <w:t xml:space="preserve">an </w:t>
      </w:r>
      <w:r w:rsidR="002C1EEE" w:rsidRPr="00FE15CF">
        <w:rPr>
          <w:snapToGrid w:val="0"/>
          <w:lang w:val="en-GB"/>
        </w:rPr>
        <w:t xml:space="preserve">objectively different subtype of disease or </w:t>
      </w:r>
      <w:r w:rsidR="002C1EEE">
        <w:rPr>
          <w:snapToGrid w:val="0"/>
          <w:lang w:val="en-GB"/>
        </w:rPr>
        <w:t xml:space="preserve">a </w:t>
      </w:r>
      <w:r w:rsidR="002C1EEE" w:rsidRPr="00FE15CF">
        <w:rPr>
          <w:snapToGrid w:val="0"/>
          <w:lang w:val="en-GB"/>
        </w:rPr>
        <w:t>new</w:t>
      </w:r>
      <w:r w:rsidR="002C1EEE">
        <w:rPr>
          <w:snapToGrid w:val="0"/>
          <w:lang w:val="en-GB"/>
        </w:rPr>
        <w:t xml:space="preserve"> treatment</w:t>
      </w:r>
      <w:r w:rsidR="002C1EEE" w:rsidRPr="00FE15CF">
        <w:rPr>
          <w:snapToGrid w:val="0"/>
          <w:lang w:val="en-GB"/>
        </w:rPr>
        <w:t xml:space="preserve"> population</w:t>
      </w:r>
      <w:r w:rsidR="002C1EEE">
        <w:rPr>
          <w:snapToGrid w:val="0"/>
          <w:lang w:val="en-GB"/>
        </w:rPr>
        <w:t>)</w:t>
      </w:r>
      <w:r w:rsidR="002C1EEE" w:rsidRPr="00FE15CF">
        <w:rPr>
          <w:snapToGrid w:val="0"/>
          <w:lang w:val="en-GB"/>
        </w:rPr>
        <w:t>.</w:t>
      </w:r>
    </w:p>
    <w:p w14:paraId="281270E9" w14:textId="77777777" w:rsidR="007C0139" w:rsidRPr="00525B39" w:rsidRDefault="007C0139" w:rsidP="007C0139">
      <w:pPr>
        <w:spacing w:before="240"/>
        <w:rPr>
          <w:rFonts w:asciiTheme="minorHAnsi" w:hAnsiTheme="minorHAnsi" w:cs="Arial"/>
          <w:b/>
          <w:bCs/>
          <w:snapToGrid w:val="0"/>
          <w:lang w:val="en-GB"/>
        </w:rPr>
      </w:pPr>
      <w:r w:rsidRPr="00525B39">
        <w:rPr>
          <w:rFonts w:asciiTheme="minorHAnsi" w:hAnsiTheme="minorHAnsi" w:cs="Arial"/>
          <w:b/>
          <w:bCs/>
          <w:snapToGrid w:val="0"/>
          <w:lang w:val="en-GB"/>
        </w:rPr>
        <w:t>Outcome:</w:t>
      </w:r>
    </w:p>
    <w:p w14:paraId="2CE77419" w14:textId="5989A44D" w:rsidR="00C73C38" w:rsidRDefault="007C0139" w:rsidP="005430C3">
      <w:pPr>
        <w:rPr>
          <w:rFonts w:asciiTheme="minorHAnsi" w:hAnsiTheme="minorHAnsi" w:cs="Arial"/>
          <w:snapToGrid w:val="0"/>
        </w:rPr>
      </w:pPr>
      <w:r>
        <w:rPr>
          <w:rFonts w:asciiTheme="minorHAnsi" w:hAnsiTheme="minorHAnsi" w:cs="Arial"/>
          <w:bCs/>
          <w:snapToGrid w:val="0"/>
          <w:lang w:val="en-GB"/>
        </w:rPr>
        <w:t>Not recommended</w:t>
      </w:r>
      <w:bookmarkStart w:id="12" w:name="_Hlk111543254"/>
      <w:r w:rsidR="008D066F" w:rsidRPr="008D066F">
        <w:rPr>
          <w:rFonts w:asciiTheme="minorHAnsi" w:hAnsiTheme="minorHAnsi" w:cs="Arial"/>
          <w:snapToGrid w:val="0"/>
        </w:rPr>
        <w:t xml:space="preserve"> </w:t>
      </w:r>
      <w:bookmarkEnd w:id="10"/>
      <w:bookmarkEnd w:id="11"/>
      <w:bookmarkEnd w:id="12"/>
    </w:p>
    <w:p w14:paraId="66DF4123" w14:textId="77777777" w:rsidR="009373D1" w:rsidRDefault="009373D1" w:rsidP="005430C3">
      <w:pPr>
        <w:rPr>
          <w:rFonts w:asciiTheme="minorHAnsi" w:hAnsiTheme="minorHAnsi" w:cs="Arial"/>
          <w:snapToGrid w:val="0"/>
        </w:rPr>
      </w:pPr>
    </w:p>
    <w:p w14:paraId="46EE1991" w14:textId="6B37FEC5" w:rsidR="009373D1" w:rsidRPr="009373D1" w:rsidRDefault="009373D1" w:rsidP="009373D1">
      <w:pPr>
        <w:keepNext/>
        <w:spacing w:before="240" w:after="120"/>
        <w:ind w:left="720" w:hanging="720"/>
        <w:jc w:val="left"/>
        <w:outlineLvl w:val="0"/>
        <w:rPr>
          <w:rFonts w:asciiTheme="minorHAnsi" w:hAnsiTheme="minorHAnsi" w:cs="Arial"/>
          <w:b/>
          <w:snapToGrid w:val="0"/>
          <w:sz w:val="32"/>
          <w:szCs w:val="32"/>
          <w:lang w:val="en-GB" w:eastAsia="en-US"/>
        </w:rPr>
      </w:pPr>
      <w:r>
        <w:rPr>
          <w:rFonts w:asciiTheme="minorHAnsi" w:hAnsiTheme="minorHAnsi" w:cs="Arial"/>
          <w:b/>
          <w:snapToGrid w:val="0"/>
          <w:sz w:val="32"/>
          <w:szCs w:val="32"/>
          <w:lang w:eastAsia="en-US"/>
        </w:rPr>
        <w:t>6</w:t>
      </w:r>
      <w:r w:rsidRPr="009373D1">
        <w:rPr>
          <w:rFonts w:asciiTheme="minorHAnsi" w:hAnsiTheme="minorHAnsi" w:cs="Arial"/>
          <w:b/>
          <w:snapToGrid w:val="0"/>
          <w:sz w:val="32"/>
          <w:szCs w:val="32"/>
          <w:lang w:eastAsia="en-US"/>
        </w:rPr>
        <w:tab/>
        <w:t>Context for Decision</w:t>
      </w:r>
    </w:p>
    <w:p w14:paraId="3757ACD0" w14:textId="77777777" w:rsidR="009373D1" w:rsidRPr="009373D1" w:rsidRDefault="009373D1" w:rsidP="009373D1">
      <w:pPr>
        <w:spacing w:after="120"/>
        <w:ind w:left="720"/>
        <w:rPr>
          <w:rFonts w:cs="Calibri"/>
          <w:bCs/>
          <w:szCs w:val="22"/>
          <w:lang w:val="en-GB"/>
        </w:rPr>
      </w:pPr>
      <w:r w:rsidRPr="009373D1">
        <w:rPr>
          <w:rFonts w:cs="Calibri"/>
          <w:bCs/>
          <w:szCs w:val="22"/>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398D78EF" w14:textId="0D1D0A2D" w:rsidR="009373D1" w:rsidRPr="009373D1" w:rsidRDefault="009373D1" w:rsidP="009373D1">
      <w:pPr>
        <w:keepNext/>
        <w:spacing w:before="240" w:after="120"/>
        <w:ind w:left="720" w:hanging="720"/>
        <w:jc w:val="left"/>
        <w:outlineLvl w:val="0"/>
        <w:rPr>
          <w:rFonts w:asciiTheme="minorHAnsi" w:hAnsiTheme="minorHAnsi" w:cs="Arial"/>
          <w:b/>
          <w:snapToGrid w:val="0"/>
          <w:sz w:val="32"/>
          <w:szCs w:val="32"/>
          <w:lang w:eastAsia="en-US"/>
        </w:rPr>
      </w:pPr>
      <w:r>
        <w:rPr>
          <w:rFonts w:asciiTheme="minorHAnsi" w:hAnsiTheme="minorHAnsi" w:cs="Arial"/>
          <w:b/>
          <w:snapToGrid w:val="0"/>
          <w:sz w:val="32"/>
          <w:szCs w:val="32"/>
          <w:lang w:eastAsia="en-US"/>
        </w:rPr>
        <w:t>7</w:t>
      </w:r>
      <w:r w:rsidRPr="009373D1">
        <w:rPr>
          <w:rFonts w:asciiTheme="minorHAnsi" w:hAnsiTheme="minorHAnsi" w:cs="Arial"/>
          <w:b/>
          <w:snapToGrid w:val="0"/>
          <w:sz w:val="32"/>
          <w:szCs w:val="32"/>
          <w:lang w:eastAsia="en-US"/>
        </w:rPr>
        <w:tab/>
        <w:t>Sponsor’s Comment</w:t>
      </w:r>
    </w:p>
    <w:p w14:paraId="00119A83" w14:textId="603C7419" w:rsidR="009373D1" w:rsidRPr="0002301F" w:rsidRDefault="009373D1" w:rsidP="004F5CF8">
      <w:pPr>
        <w:ind w:firstLine="720"/>
        <w:rPr>
          <w:rFonts w:asciiTheme="minorHAnsi" w:hAnsiTheme="minorHAnsi" w:cs="Arial"/>
          <w:bCs/>
          <w:snapToGrid w:val="0"/>
          <w:lang w:val="en-GB"/>
        </w:rPr>
      </w:pPr>
      <w:r w:rsidRPr="009373D1">
        <w:rPr>
          <w:rFonts w:cs="Calibri"/>
          <w:bCs/>
          <w:szCs w:val="22"/>
          <w:lang w:eastAsia="en-US"/>
        </w:rPr>
        <w:t>The sponsor had no comment.</w:t>
      </w:r>
    </w:p>
    <w:sectPr w:rsidR="009373D1" w:rsidRPr="0002301F" w:rsidSect="00606A7B">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0A466" w14:textId="77777777" w:rsidR="007B5246" w:rsidRDefault="007B5246">
      <w:r>
        <w:separator/>
      </w:r>
    </w:p>
    <w:p w14:paraId="2B0F9A7F" w14:textId="77777777" w:rsidR="007B5246" w:rsidRDefault="007B5246"/>
  </w:endnote>
  <w:endnote w:type="continuationSeparator" w:id="0">
    <w:p w14:paraId="6ACE731C" w14:textId="77777777" w:rsidR="007B5246" w:rsidRDefault="007B5246">
      <w:r>
        <w:continuationSeparator/>
      </w:r>
    </w:p>
    <w:p w14:paraId="0D22F93A" w14:textId="77777777" w:rsidR="007B5246" w:rsidRDefault="007B5246"/>
  </w:endnote>
  <w:endnote w:type="continuationNotice" w:id="1">
    <w:p w14:paraId="0A7C4557" w14:textId="77777777" w:rsidR="007B5246" w:rsidRDefault="007B52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panose1 w:val="02010601000101010101"/>
    <w:charset w:val="88"/>
    <w:family w:val="roman"/>
    <w:pitch w:val="variable"/>
    <w:sig w:usb0="A00002FF" w:usb1="28CFFCFA" w:usb2="00000016" w:usb3="00000000" w:csb0="00100001" w:csb1="00000000"/>
  </w:font>
  <w:font w:name="Arial Bold">
    <w:panose1 w:val="020B07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14:paraId="4075D3FE" w14:textId="77777777" w:rsidTr="005A3173">
      <w:trPr>
        <w:trHeight w:val="151"/>
      </w:trPr>
      <w:tc>
        <w:tcPr>
          <w:tcW w:w="2250" w:type="pct"/>
          <w:tcBorders>
            <w:top w:val="nil"/>
            <w:left w:val="nil"/>
            <w:bottom w:val="single" w:sz="4" w:space="0" w:color="4F81BD"/>
            <w:right w:val="nil"/>
          </w:tcBorders>
        </w:tcPr>
        <w:p w14:paraId="096D0DDE" w14:textId="63FD3048" w:rsidR="009C26AA" w:rsidRPr="005A3173" w:rsidRDefault="00507853" w:rsidP="005A3173">
          <w:pPr>
            <w:pStyle w:val="Header"/>
            <w:spacing w:line="276" w:lineRule="auto"/>
            <w:rPr>
              <w:rFonts w:eastAsia="MS Gothic"/>
              <w:b/>
              <w:bCs/>
              <w:color w:val="4F81BD"/>
            </w:rPr>
          </w:pPr>
          <w:r>
            <w:rPr>
              <w:rFonts w:eastAsia="MS Gothic"/>
              <w:b/>
              <w:bCs/>
              <w:noProof/>
              <w:color w:val="4F81BD"/>
            </w:rPr>
            <mc:AlternateContent>
              <mc:Choice Requires="wps">
                <w:drawing>
                  <wp:anchor distT="0" distB="0" distL="0" distR="0" simplePos="0" relativeHeight="251663365" behindDoc="0" locked="0" layoutInCell="1" allowOverlap="1" wp14:anchorId="0332381D" wp14:editId="15EFA069">
                    <wp:simplePos x="635" y="635"/>
                    <wp:positionH relativeFrom="page">
                      <wp:align>center</wp:align>
                    </wp:positionH>
                    <wp:positionV relativeFrom="page">
                      <wp:align>bottom</wp:align>
                    </wp:positionV>
                    <wp:extent cx="622300" cy="376555"/>
                    <wp:effectExtent l="0" t="0" r="6350" b="0"/>
                    <wp:wrapNone/>
                    <wp:docPr id="128191736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7BDE264" w14:textId="2AA2F052" w:rsidR="00507853" w:rsidRPr="00507853" w:rsidRDefault="00507853" w:rsidP="00507853">
                                <w:pPr>
                                  <w:rPr>
                                    <w:rFonts w:ascii="Aptos" w:eastAsia="Aptos" w:hAnsi="Aptos" w:cs="Aptos"/>
                                    <w:noProof/>
                                    <w:color w:val="FF0000"/>
                                  </w:rPr>
                                </w:pPr>
                                <w:r w:rsidRPr="00507853">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32381D" id="_x0000_t202" coordsize="21600,21600" o:spt="202" path="m,l,21600r21600,l21600,xe">
                    <v:stroke joinstyle="miter"/>
                    <v:path gradientshapeok="t" o:connecttype="rect"/>
                  </v:shapetype>
                  <v:shape id="Text Box 5" o:spid="_x0000_s1028" type="#_x0000_t202" alt="OFFICIAL" style="position:absolute;left:0;text-align:left;margin-left:0;margin-top:0;width:49pt;height:29.65pt;z-index:2516633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57BDE264" w14:textId="2AA2F052" w:rsidR="00507853" w:rsidRPr="00507853" w:rsidRDefault="00507853" w:rsidP="00507853">
                          <w:pPr>
                            <w:rPr>
                              <w:rFonts w:ascii="Aptos" w:eastAsia="Aptos" w:hAnsi="Aptos" w:cs="Aptos"/>
                              <w:noProof/>
                              <w:color w:val="FF0000"/>
                            </w:rPr>
                          </w:pPr>
                          <w:r w:rsidRPr="00507853">
                            <w:rPr>
                              <w:rFonts w:ascii="Aptos" w:eastAsia="Aptos" w:hAnsi="Aptos" w:cs="Aptos"/>
                              <w:noProof/>
                              <w:color w:val="FF0000"/>
                            </w:rPr>
                            <w:t>OFFICIAL</w:t>
                          </w:r>
                        </w:p>
                      </w:txbxContent>
                    </v:textbox>
                    <w10:wrap anchorx="page" anchory="page"/>
                  </v:shape>
                </w:pict>
              </mc:Fallback>
            </mc:AlternateContent>
          </w:r>
        </w:p>
      </w:tc>
      <w:tc>
        <w:tcPr>
          <w:tcW w:w="500" w:type="pct"/>
          <w:vMerge w:val="restart"/>
          <w:noWrap/>
          <w:vAlign w:val="center"/>
          <w:hideMark/>
        </w:tcPr>
        <w:p w14:paraId="37B9A2BD"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9C26AA" w:rsidRPr="005A3173" w:rsidRDefault="009C26AA" w:rsidP="005A3173">
          <w:pPr>
            <w:pStyle w:val="Header"/>
            <w:spacing w:line="276" w:lineRule="auto"/>
            <w:rPr>
              <w:rFonts w:eastAsia="MS Gothic"/>
              <w:b/>
              <w:bCs/>
              <w:color w:val="4F81BD"/>
            </w:rPr>
          </w:pPr>
        </w:p>
      </w:tc>
    </w:tr>
    <w:tr w:rsidR="009C26AA" w14:paraId="32EF4DB8" w14:textId="77777777" w:rsidTr="005A3173">
      <w:trPr>
        <w:trHeight w:val="150"/>
      </w:trPr>
      <w:tc>
        <w:tcPr>
          <w:tcW w:w="2250" w:type="pct"/>
          <w:tcBorders>
            <w:top w:val="single" w:sz="4" w:space="0" w:color="4F81BD"/>
            <w:left w:val="nil"/>
            <w:bottom w:val="nil"/>
            <w:right w:val="nil"/>
          </w:tcBorders>
        </w:tcPr>
        <w:p w14:paraId="03528A4C"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109042FB"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09664199" w14:textId="77777777" w:rsidR="009C26AA" w:rsidRPr="005A3173" w:rsidRDefault="009C26AA" w:rsidP="005A3173">
          <w:pPr>
            <w:pStyle w:val="Header"/>
            <w:spacing w:line="276" w:lineRule="auto"/>
            <w:rPr>
              <w:rFonts w:eastAsia="MS Gothic"/>
              <w:b/>
              <w:bCs/>
              <w:color w:val="4F81BD"/>
            </w:rPr>
          </w:pPr>
        </w:p>
      </w:tc>
    </w:tr>
  </w:tbl>
  <w:p w14:paraId="21855C18" w14:textId="77777777" w:rsidR="009C26AA" w:rsidRDefault="009C26A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9C26AA" w:rsidRDefault="009C26AA">
    <w:pPr>
      <w:pStyle w:val="Footer"/>
    </w:pPr>
  </w:p>
  <w:p w14:paraId="48FFA445" w14:textId="77777777" w:rsidR="009C26AA" w:rsidRDefault="009C26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A0C56" w14:textId="2E62E201" w:rsidR="009C26AA" w:rsidRPr="00D429EC" w:rsidRDefault="00507853" w:rsidP="00C56D78">
    <w:pPr>
      <w:pStyle w:val="PBACFooter"/>
      <w:jc w:val="both"/>
      <w:rPr>
        <w:rFonts w:asciiTheme="minorHAnsi" w:hAnsiTheme="minorHAnsi" w:cstheme="minorHAnsi"/>
        <w:sz w:val="24"/>
      </w:rPr>
    </w:pPr>
    <w:r>
      <w:rPr>
        <w:rFonts w:asciiTheme="minorHAnsi" w:hAnsiTheme="minorHAnsi" w:cstheme="minorHAnsi"/>
        <w:noProof/>
        <w:sz w:val="24"/>
      </w:rPr>
      <mc:AlternateContent>
        <mc:Choice Requires="wps">
          <w:drawing>
            <wp:anchor distT="0" distB="0" distL="0" distR="0" simplePos="0" relativeHeight="251664389" behindDoc="0" locked="0" layoutInCell="1" allowOverlap="1" wp14:anchorId="228517CF" wp14:editId="706D70DA">
              <wp:simplePos x="635" y="635"/>
              <wp:positionH relativeFrom="page">
                <wp:align>center</wp:align>
              </wp:positionH>
              <wp:positionV relativeFrom="page">
                <wp:align>bottom</wp:align>
              </wp:positionV>
              <wp:extent cx="622300" cy="376555"/>
              <wp:effectExtent l="0" t="0" r="6350" b="0"/>
              <wp:wrapNone/>
              <wp:docPr id="62388589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CAD4733" w14:textId="1E915821" w:rsidR="00507853" w:rsidRPr="00507853" w:rsidRDefault="00507853" w:rsidP="00507853">
                          <w:pPr>
                            <w:rPr>
                              <w:rFonts w:ascii="Aptos" w:eastAsia="Aptos" w:hAnsi="Aptos" w:cs="Aptos"/>
                              <w:noProof/>
                              <w:color w:val="FF0000"/>
                            </w:rPr>
                          </w:pPr>
                          <w:r w:rsidRPr="00507853">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8517CF" id="_x0000_t202" coordsize="21600,21600" o:spt="202" path="m,l,21600r21600,l21600,xe">
              <v:stroke joinstyle="miter"/>
              <v:path gradientshapeok="t" o:connecttype="rect"/>
            </v:shapetype>
            <v:shape id="Text Box 6" o:spid="_x0000_s1029" type="#_x0000_t202" alt="OFFICIAL" style="position:absolute;left:0;text-align:left;margin-left:0;margin-top:0;width:49pt;height:29.65pt;z-index:25166438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7CAD4733" w14:textId="1E915821" w:rsidR="00507853" w:rsidRPr="00507853" w:rsidRDefault="00507853" w:rsidP="00507853">
                    <w:pPr>
                      <w:rPr>
                        <w:rFonts w:ascii="Aptos" w:eastAsia="Aptos" w:hAnsi="Aptos" w:cs="Aptos"/>
                        <w:noProof/>
                        <w:color w:val="FF0000"/>
                      </w:rPr>
                    </w:pPr>
                    <w:r w:rsidRPr="00507853">
                      <w:rPr>
                        <w:rFonts w:ascii="Aptos" w:eastAsia="Aptos" w:hAnsi="Aptos" w:cs="Aptos"/>
                        <w:noProof/>
                        <w:color w:val="FF0000"/>
                      </w:rPr>
                      <w:t>OFFICIAL</w:t>
                    </w:r>
                  </w:p>
                </w:txbxContent>
              </v:textbox>
              <w10:wrap anchorx="page" anchory="page"/>
            </v:shape>
          </w:pict>
        </mc:Fallback>
      </mc:AlternateContent>
    </w:r>
  </w:p>
  <w:p w14:paraId="355827FE" w14:textId="73A43F7B" w:rsidR="009C26AA" w:rsidRPr="00272DE5" w:rsidRDefault="00401640" w:rsidP="00C56D78">
    <w:pPr>
      <w:pStyle w:val="MinorOVRHeader"/>
      <w:jc w:val="center"/>
      <w:rPr>
        <w:b/>
        <w:bCs/>
        <w:i w:val="0"/>
        <w:iCs w:val="0"/>
      </w:rPr>
    </w:pPr>
    <w:r w:rsidRPr="00272DE5">
      <w:rPr>
        <w:b/>
        <w:bCs/>
        <w:i w:val="0"/>
        <w:iCs w:val="0"/>
      </w:rPr>
      <w:fldChar w:fldCharType="begin"/>
    </w:r>
    <w:r w:rsidRPr="00272DE5">
      <w:rPr>
        <w:b/>
        <w:bCs/>
        <w:i w:val="0"/>
        <w:iCs w:val="0"/>
      </w:rPr>
      <w:instrText xml:space="preserve"> PAGE   \* MERGEFORMAT </w:instrText>
    </w:r>
    <w:r w:rsidRPr="00272DE5">
      <w:rPr>
        <w:b/>
        <w:bCs/>
        <w:i w:val="0"/>
        <w:iCs w:val="0"/>
      </w:rPr>
      <w:fldChar w:fldCharType="separate"/>
    </w:r>
    <w:r w:rsidRPr="00272DE5">
      <w:rPr>
        <w:b/>
        <w:bCs/>
        <w:i w:val="0"/>
        <w:iCs w:val="0"/>
      </w:rPr>
      <w:t>1</w:t>
    </w:r>
    <w:r w:rsidRPr="00272DE5">
      <w:rPr>
        <w:b/>
        <w:bCs/>
        <w:i w:val="0"/>
        <w:iCs w:val="0"/>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199D6" w14:textId="0813A420" w:rsidR="00131A48" w:rsidRDefault="00507853">
    <w:pPr>
      <w:pStyle w:val="Footer"/>
    </w:pPr>
    <w:r>
      <w:rPr>
        <w:noProof/>
      </w:rPr>
      <mc:AlternateContent>
        <mc:Choice Requires="wps">
          <w:drawing>
            <wp:anchor distT="0" distB="0" distL="0" distR="0" simplePos="0" relativeHeight="251662341" behindDoc="0" locked="0" layoutInCell="1" allowOverlap="1" wp14:anchorId="748C20BC" wp14:editId="2FBC8DE6">
              <wp:simplePos x="635" y="635"/>
              <wp:positionH relativeFrom="page">
                <wp:align>center</wp:align>
              </wp:positionH>
              <wp:positionV relativeFrom="page">
                <wp:align>bottom</wp:align>
              </wp:positionV>
              <wp:extent cx="622300" cy="376555"/>
              <wp:effectExtent l="0" t="0" r="6350" b="0"/>
              <wp:wrapNone/>
              <wp:docPr id="26954058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A5F0663" w14:textId="5A84F003" w:rsidR="00507853" w:rsidRPr="00507853" w:rsidRDefault="00507853" w:rsidP="00507853">
                          <w:pPr>
                            <w:rPr>
                              <w:rFonts w:ascii="Aptos" w:eastAsia="Aptos" w:hAnsi="Aptos" w:cs="Aptos"/>
                              <w:noProof/>
                              <w:color w:val="FF0000"/>
                            </w:rPr>
                          </w:pPr>
                          <w:r w:rsidRPr="00507853">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8C20BC" id="_x0000_t202" coordsize="21600,21600" o:spt="202" path="m,l,21600r21600,l21600,xe">
              <v:stroke joinstyle="miter"/>
              <v:path gradientshapeok="t" o:connecttype="rect"/>
            </v:shapetype>
            <v:shape id="Text Box 4" o:spid="_x0000_s1031" type="#_x0000_t202" alt="OFFICIAL" style="position:absolute;left:0;text-align:left;margin-left:0;margin-top:0;width:49pt;height:29.65pt;z-index:2516623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textbox style="mso-fit-shape-to-text:t" inset="0,0,0,15pt">
                <w:txbxContent>
                  <w:p w14:paraId="6A5F0663" w14:textId="5A84F003" w:rsidR="00507853" w:rsidRPr="00507853" w:rsidRDefault="00507853" w:rsidP="00507853">
                    <w:pPr>
                      <w:rPr>
                        <w:rFonts w:ascii="Aptos" w:eastAsia="Aptos" w:hAnsi="Aptos" w:cs="Aptos"/>
                        <w:noProof/>
                        <w:color w:val="FF0000"/>
                      </w:rPr>
                    </w:pPr>
                    <w:r w:rsidRPr="00507853">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C4D1F" w14:textId="77777777" w:rsidR="007B5246" w:rsidRDefault="007B5246">
      <w:r>
        <w:separator/>
      </w:r>
    </w:p>
    <w:p w14:paraId="33C76213" w14:textId="77777777" w:rsidR="007B5246" w:rsidRDefault="007B5246"/>
  </w:footnote>
  <w:footnote w:type="continuationSeparator" w:id="0">
    <w:p w14:paraId="39A56F6F" w14:textId="77777777" w:rsidR="007B5246" w:rsidRDefault="007B5246">
      <w:r>
        <w:continuationSeparator/>
      </w:r>
    </w:p>
    <w:p w14:paraId="1AB0C880" w14:textId="77777777" w:rsidR="007B5246" w:rsidRDefault="007B5246"/>
  </w:footnote>
  <w:footnote w:type="continuationNotice" w:id="1">
    <w:p w14:paraId="62E6DEE0" w14:textId="77777777" w:rsidR="007B5246" w:rsidRDefault="007B52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9C26AA" w:rsidRPr="008E0D90" w14:paraId="263B07EE" w14:textId="77777777" w:rsidTr="00A06225">
      <w:trPr>
        <w:trHeight w:val="151"/>
      </w:trPr>
      <w:tc>
        <w:tcPr>
          <w:tcW w:w="2389" w:type="pct"/>
          <w:tcBorders>
            <w:top w:val="nil"/>
            <w:left w:val="nil"/>
            <w:bottom w:val="single" w:sz="4" w:space="0" w:color="4F81BD"/>
            <w:right w:val="nil"/>
          </w:tcBorders>
        </w:tcPr>
        <w:p w14:paraId="4C63CCAF" w14:textId="45E046D1" w:rsidR="009C26AA" w:rsidRPr="00A06225" w:rsidRDefault="00507853">
          <w:pPr>
            <w:pStyle w:val="Header"/>
            <w:spacing w:line="276" w:lineRule="auto"/>
            <w:rPr>
              <w:rFonts w:ascii="Cambria" w:eastAsia="MS Gothic" w:hAnsi="Cambria"/>
              <w:b/>
              <w:bCs/>
              <w:color w:val="4F81BD"/>
            </w:rPr>
          </w:pPr>
          <w:r>
            <w:rPr>
              <w:rFonts w:ascii="Cambria" w:eastAsia="MS Gothic" w:hAnsi="Cambria"/>
              <w:b/>
              <w:bCs/>
              <w:noProof/>
              <w:color w:val="4F81BD"/>
            </w:rPr>
            <mc:AlternateContent>
              <mc:Choice Requires="wps">
                <w:drawing>
                  <wp:anchor distT="0" distB="0" distL="0" distR="0" simplePos="0" relativeHeight="251660293" behindDoc="0" locked="0" layoutInCell="1" allowOverlap="1" wp14:anchorId="4809950B" wp14:editId="4D6F776D">
                    <wp:simplePos x="635" y="635"/>
                    <wp:positionH relativeFrom="page">
                      <wp:align>center</wp:align>
                    </wp:positionH>
                    <wp:positionV relativeFrom="page">
                      <wp:align>top</wp:align>
                    </wp:positionV>
                    <wp:extent cx="622300" cy="376555"/>
                    <wp:effectExtent l="0" t="0" r="6350" b="4445"/>
                    <wp:wrapNone/>
                    <wp:docPr id="107780510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5CBECA7" w14:textId="5B429FA7" w:rsidR="00507853" w:rsidRPr="00507853" w:rsidRDefault="00507853" w:rsidP="00507853">
                                <w:pPr>
                                  <w:rPr>
                                    <w:rFonts w:ascii="Aptos" w:eastAsia="Aptos" w:hAnsi="Aptos" w:cs="Aptos"/>
                                    <w:noProof/>
                                    <w:color w:val="FF0000"/>
                                  </w:rPr>
                                </w:pPr>
                                <w:r w:rsidRPr="00507853">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09950B" id="_x0000_t202" coordsize="21600,21600" o:spt="202" path="m,l,21600r21600,l21600,xe">
                    <v:stroke joinstyle="miter"/>
                    <v:path gradientshapeok="t" o:connecttype="rect"/>
                  </v:shapetype>
                  <v:shape id="Text Box 2" o:spid="_x0000_s1026" type="#_x0000_t202" alt="OFFICIAL" style="position:absolute;left:0;text-align:left;margin-left:0;margin-top:0;width:49pt;height:29.65pt;z-index:25166029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65CBECA7" w14:textId="5B429FA7" w:rsidR="00507853" w:rsidRPr="00507853" w:rsidRDefault="00507853" w:rsidP="00507853">
                          <w:pPr>
                            <w:rPr>
                              <w:rFonts w:ascii="Aptos" w:eastAsia="Aptos" w:hAnsi="Aptos" w:cs="Aptos"/>
                              <w:noProof/>
                              <w:color w:val="FF0000"/>
                            </w:rPr>
                          </w:pPr>
                          <w:r w:rsidRPr="00507853">
                            <w:rPr>
                              <w:rFonts w:ascii="Aptos" w:eastAsia="Aptos" w:hAnsi="Aptos" w:cs="Aptos"/>
                              <w:noProof/>
                              <w:color w:val="FF0000"/>
                            </w:rPr>
                            <w:t>OFFICIAL</w:t>
                          </w:r>
                        </w:p>
                      </w:txbxContent>
                    </v:textbox>
                    <w10:wrap anchorx="page" anchory="page"/>
                  </v:shape>
                </w:pict>
              </mc:Fallback>
            </mc:AlternateContent>
          </w:r>
        </w:p>
      </w:tc>
      <w:tc>
        <w:tcPr>
          <w:tcW w:w="333" w:type="pct"/>
          <w:vMerge w:val="restart"/>
          <w:noWrap/>
          <w:vAlign w:val="center"/>
          <w:hideMark/>
        </w:tcPr>
        <w:p w14:paraId="2BB03196" w14:textId="77777777" w:rsidR="009C26AA" w:rsidRPr="00A06225" w:rsidRDefault="009C26AA"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9C26AA" w:rsidRPr="00A06225" w:rsidRDefault="009C26AA">
          <w:pPr>
            <w:pStyle w:val="Header"/>
            <w:spacing w:line="276" w:lineRule="auto"/>
            <w:rPr>
              <w:rFonts w:ascii="Cambria" w:eastAsia="MS Gothic" w:hAnsi="Cambria"/>
              <w:b/>
              <w:bCs/>
              <w:color w:val="4F81BD"/>
            </w:rPr>
          </w:pPr>
        </w:p>
      </w:tc>
    </w:tr>
    <w:tr w:rsidR="009C26AA"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9C26AA" w:rsidRPr="00A06225" w:rsidRDefault="009C26AA">
          <w:pPr>
            <w:pStyle w:val="Header"/>
            <w:spacing w:line="276" w:lineRule="auto"/>
            <w:rPr>
              <w:rFonts w:ascii="Cambria" w:eastAsia="MS Gothic" w:hAnsi="Cambria"/>
              <w:b/>
              <w:bCs/>
              <w:color w:val="4F81BD"/>
            </w:rPr>
          </w:pPr>
        </w:p>
      </w:tc>
      <w:tc>
        <w:tcPr>
          <w:tcW w:w="0" w:type="auto"/>
          <w:vMerge/>
          <w:vAlign w:val="center"/>
          <w:hideMark/>
        </w:tcPr>
        <w:p w14:paraId="00B70FF1" w14:textId="77777777" w:rsidR="009C26AA" w:rsidRPr="00A06225" w:rsidRDefault="009C26AA">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9C26AA" w:rsidRPr="00A06225" w:rsidRDefault="009C26AA">
          <w:pPr>
            <w:pStyle w:val="Header"/>
            <w:spacing w:line="276" w:lineRule="auto"/>
            <w:rPr>
              <w:rFonts w:ascii="Cambria" w:eastAsia="MS Gothic" w:hAnsi="Cambria"/>
              <w:b/>
              <w:bCs/>
              <w:color w:val="4F81BD"/>
            </w:rPr>
          </w:pPr>
        </w:p>
      </w:tc>
    </w:tr>
  </w:tbl>
  <w:p w14:paraId="7DCC695F" w14:textId="77777777" w:rsidR="009C26AA" w:rsidRDefault="009C26AA">
    <w:pPr>
      <w:pStyle w:val="Header"/>
    </w:pPr>
  </w:p>
  <w:p w14:paraId="25F34A60" w14:textId="77777777" w:rsidR="009C26AA" w:rsidRDefault="009C26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C1F8C" w14:textId="18A3B748" w:rsidR="00C56D78" w:rsidRDefault="00507853" w:rsidP="004F5CF8">
    <w:pPr>
      <w:pStyle w:val="NoSpacing"/>
      <w:jc w:val="center"/>
      <w:rPr>
        <w:rFonts w:asciiTheme="minorHAnsi" w:eastAsiaTheme="minorEastAsia" w:hAnsiTheme="minorHAnsi" w:cstheme="minorHAnsi"/>
        <w:i/>
        <w:color w:val="808080"/>
      </w:rPr>
    </w:pPr>
    <w:r>
      <w:rPr>
        <w:rFonts w:asciiTheme="minorHAnsi" w:eastAsiaTheme="minorEastAsia" w:hAnsiTheme="minorHAnsi" w:cstheme="minorHAnsi"/>
        <w:i/>
        <w:noProof/>
        <w:color w:val="808080"/>
      </w:rPr>
      <mc:AlternateContent>
        <mc:Choice Requires="wps">
          <w:drawing>
            <wp:anchor distT="0" distB="0" distL="0" distR="0" simplePos="0" relativeHeight="251661317" behindDoc="0" locked="0" layoutInCell="1" allowOverlap="1" wp14:anchorId="39B77C1F" wp14:editId="5DBD4F58">
              <wp:simplePos x="635" y="635"/>
              <wp:positionH relativeFrom="page">
                <wp:align>center</wp:align>
              </wp:positionH>
              <wp:positionV relativeFrom="page">
                <wp:align>top</wp:align>
              </wp:positionV>
              <wp:extent cx="622300" cy="376555"/>
              <wp:effectExtent l="0" t="0" r="6350" b="4445"/>
              <wp:wrapNone/>
              <wp:docPr id="169663776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2AECF77" w14:textId="1759E3B9" w:rsidR="00507853" w:rsidRPr="00507853" w:rsidRDefault="00507853" w:rsidP="00507853">
                          <w:pPr>
                            <w:rPr>
                              <w:rFonts w:ascii="Aptos" w:eastAsia="Aptos" w:hAnsi="Aptos" w:cs="Aptos"/>
                              <w:noProof/>
                              <w:color w:val="FF0000"/>
                            </w:rPr>
                          </w:pPr>
                          <w:r w:rsidRPr="00507853">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B77C1F"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29.65pt;z-index:25166131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52AECF77" w14:textId="1759E3B9" w:rsidR="00507853" w:rsidRPr="00507853" w:rsidRDefault="00507853" w:rsidP="00507853">
                    <w:pPr>
                      <w:rPr>
                        <w:rFonts w:ascii="Aptos" w:eastAsia="Aptos" w:hAnsi="Aptos" w:cs="Aptos"/>
                        <w:noProof/>
                        <w:color w:val="FF0000"/>
                      </w:rPr>
                    </w:pPr>
                    <w:r w:rsidRPr="00507853">
                      <w:rPr>
                        <w:rFonts w:ascii="Aptos" w:eastAsia="Aptos" w:hAnsi="Aptos" w:cs="Aptos"/>
                        <w:noProof/>
                        <w:color w:val="FF0000"/>
                      </w:rPr>
                      <w:t>OFFICIAL</w:t>
                    </w:r>
                  </w:p>
                </w:txbxContent>
              </v:textbox>
              <w10:wrap anchorx="page" anchory="page"/>
            </v:shape>
          </w:pict>
        </mc:Fallback>
      </mc:AlternateContent>
    </w:r>
    <w:r w:rsidR="0069549E">
      <w:rPr>
        <w:rFonts w:asciiTheme="minorHAnsi" w:eastAsiaTheme="minorEastAsia" w:hAnsiTheme="minorHAnsi" w:cstheme="minorHAnsi"/>
        <w:i/>
        <w:noProof/>
        <w:color w:val="808080"/>
      </w:rPr>
      <w:t>Publi</w:t>
    </w:r>
    <w:r w:rsidR="004F5CF8">
      <w:rPr>
        <w:rFonts w:asciiTheme="minorHAnsi" w:eastAsiaTheme="minorEastAsia" w:hAnsiTheme="minorHAnsi" w:cstheme="minorHAnsi"/>
        <w:i/>
        <w:noProof/>
        <w:color w:val="808080"/>
      </w:rPr>
      <w:t>c</w:t>
    </w:r>
    <w:r w:rsidR="0069549E">
      <w:rPr>
        <w:rFonts w:asciiTheme="minorHAnsi" w:eastAsiaTheme="minorEastAsia" w:hAnsiTheme="minorHAnsi" w:cstheme="minorHAnsi"/>
        <w:i/>
        <w:noProof/>
        <w:color w:val="808080"/>
      </w:rPr>
      <w:t xml:space="preserve"> Summary Document</w:t>
    </w:r>
    <w:r w:rsidR="00CC2224">
      <w:rPr>
        <w:rFonts w:asciiTheme="minorHAnsi" w:eastAsiaTheme="minorEastAsia" w:hAnsiTheme="minorHAnsi" w:cstheme="minorHAnsi"/>
        <w:i/>
        <w:color w:val="808080"/>
      </w:rPr>
      <w:t xml:space="preserve"> – </w:t>
    </w:r>
    <w:r w:rsidR="0096230D">
      <w:rPr>
        <w:rFonts w:asciiTheme="minorHAnsi" w:eastAsiaTheme="minorEastAsia" w:hAnsiTheme="minorHAnsi" w:cstheme="minorHAnsi"/>
        <w:i/>
        <w:color w:val="808080"/>
      </w:rPr>
      <w:t>March 2026</w:t>
    </w:r>
    <w:r w:rsidR="00C56D78" w:rsidRPr="00C56D78">
      <w:rPr>
        <w:rFonts w:asciiTheme="minorHAnsi" w:eastAsiaTheme="minorEastAsia" w:hAnsiTheme="minorHAnsi" w:cstheme="minorHAnsi"/>
        <w:i/>
        <w:color w:val="808080"/>
      </w:rPr>
      <w:t xml:space="preserve"> PBAC Meeting</w:t>
    </w:r>
  </w:p>
  <w:p w14:paraId="3FC96BC5" w14:textId="77777777" w:rsidR="004F5CF8" w:rsidRDefault="004F5CF8" w:rsidP="004F5CF8">
    <w:pPr>
      <w:pStyle w:val="NoSpacing"/>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238CC" w14:textId="15F6E3AF" w:rsidR="00131A48" w:rsidRDefault="00507853">
    <w:pPr>
      <w:pStyle w:val="Header"/>
    </w:pPr>
    <w:r>
      <w:rPr>
        <w:noProof/>
      </w:rPr>
      <mc:AlternateContent>
        <mc:Choice Requires="wps">
          <w:drawing>
            <wp:anchor distT="0" distB="0" distL="0" distR="0" simplePos="0" relativeHeight="251659269" behindDoc="0" locked="0" layoutInCell="1" allowOverlap="1" wp14:anchorId="3B89646D" wp14:editId="4235E567">
              <wp:simplePos x="635" y="635"/>
              <wp:positionH relativeFrom="page">
                <wp:align>center</wp:align>
              </wp:positionH>
              <wp:positionV relativeFrom="page">
                <wp:align>top</wp:align>
              </wp:positionV>
              <wp:extent cx="622300" cy="376555"/>
              <wp:effectExtent l="0" t="0" r="6350" b="4445"/>
              <wp:wrapNone/>
              <wp:docPr id="2726023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1A4C58A" w14:textId="793AE8DD" w:rsidR="00507853" w:rsidRPr="00507853" w:rsidRDefault="00507853" w:rsidP="00507853">
                          <w:pPr>
                            <w:rPr>
                              <w:rFonts w:ascii="Aptos" w:eastAsia="Aptos" w:hAnsi="Aptos" w:cs="Aptos"/>
                              <w:noProof/>
                              <w:color w:val="FF0000"/>
                            </w:rPr>
                          </w:pPr>
                          <w:r w:rsidRPr="00507853">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89646D" id="_x0000_t202" coordsize="21600,21600" o:spt="202" path="m,l,21600r21600,l21600,xe">
              <v:stroke joinstyle="miter"/>
              <v:path gradientshapeok="t" o:connecttype="rect"/>
            </v:shapetype>
            <v:shape id="Text Box 1" o:spid="_x0000_s1030" type="#_x0000_t202" alt="OFFICIAL" style="position:absolute;left:0;text-align:left;margin-left:0;margin-top:0;width:49pt;height:29.65pt;z-index:25165926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textbox style="mso-fit-shape-to-text:t" inset="0,15pt,0,0">
                <w:txbxContent>
                  <w:p w14:paraId="11A4C58A" w14:textId="793AE8DD" w:rsidR="00507853" w:rsidRPr="00507853" w:rsidRDefault="00507853" w:rsidP="00507853">
                    <w:pPr>
                      <w:rPr>
                        <w:rFonts w:ascii="Aptos" w:eastAsia="Aptos" w:hAnsi="Aptos" w:cs="Aptos"/>
                        <w:noProof/>
                        <w:color w:val="FF0000"/>
                      </w:rPr>
                    </w:pPr>
                    <w:r w:rsidRPr="00507853">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E52495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66A2BAC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1986395"/>
    <w:multiLevelType w:val="hybridMultilevel"/>
    <w:tmpl w:val="0DBAEC3C"/>
    <w:lvl w:ilvl="0" w:tplc="0C09000F">
      <w:start w:val="1"/>
      <w:numFmt w:val="decimal"/>
      <w:lvlText w:val="%1."/>
      <w:lvlJc w:val="left"/>
      <w:pPr>
        <w:ind w:left="1080" w:hanging="360"/>
      </w:pPr>
      <w:rPr>
        <w:rFonts w:hint="default"/>
      </w:rPr>
    </w:lvl>
    <w:lvl w:ilvl="1" w:tplc="442A8F9A">
      <w:start w:val="1"/>
      <w:numFmt w:val="lowerLetter"/>
      <w:lvlText w:val="%2."/>
      <w:lvlJc w:val="left"/>
      <w:pPr>
        <w:ind w:left="1800" w:hanging="360"/>
      </w:pPr>
    </w:lvl>
    <w:lvl w:ilvl="2" w:tplc="AE6252A8">
      <w:start w:val="1"/>
      <w:numFmt w:val="lowerRoman"/>
      <w:lvlText w:val="%3."/>
      <w:lvlJc w:val="right"/>
      <w:pPr>
        <w:ind w:left="2520" w:hanging="180"/>
      </w:pPr>
    </w:lvl>
    <w:lvl w:ilvl="3" w:tplc="827A251E">
      <w:start w:val="1"/>
      <w:numFmt w:val="decimal"/>
      <w:lvlText w:val="%4."/>
      <w:lvlJc w:val="left"/>
      <w:pPr>
        <w:ind w:left="3240" w:hanging="360"/>
      </w:pPr>
    </w:lvl>
    <w:lvl w:ilvl="4" w:tplc="6AA6B8AE">
      <w:start w:val="1"/>
      <w:numFmt w:val="lowerLetter"/>
      <w:lvlText w:val="%5."/>
      <w:lvlJc w:val="left"/>
      <w:pPr>
        <w:ind w:left="3960" w:hanging="360"/>
      </w:pPr>
    </w:lvl>
    <w:lvl w:ilvl="5" w:tplc="5FE8C990">
      <w:start w:val="1"/>
      <w:numFmt w:val="lowerRoman"/>
      <w:lvlText w:val="%6."/>
      <w:lvlJc w:val="right"/>
      <w:pPr>
        <w:ind w:left="4680" w:hanging="180"/>
      </w:pPr>
    </w:lvl>
    <w:lvl w:ilvl="6" w:tplc="2D5CA0F4">
      <w:start w:val="1"/>
      <w:numFmt w:val="decimal"/>
      <w:lvlText w:val="%7."/>
      <w:lvlJc w:val="left"/>
      <w:pPr>
        <w:ind w:left="5400" w:hanging="360"/>
      </w:pPr>
    </w:lvl>
    <w:lvl w:ilvl="7" w:tplc="17D46400">
      <w:start w:val="1"/>
      <w:numFmt w:val="lowerLetter"/>
      <w:lvlText w:val="%8."/>
      <w:lvlJc w:val="left"/>
      <w:pPr>
        <w:ind w:left="6120" w:hanging="360"/>
      </w:pPr>
    </w:lvl>
    <w:lvl w:ilvl="8" w:tplc="F3580F02">
      <w:start w:val="1"/>
      <w:numFmt w:val="lowerRoman"/>
      <w:lvlText w:val="%9."/>
      <w:lvlJc w:val="right"/>
      <w:pPr>
        <w:ind w:left="6840" w:hanging="180"/>
      </w:pPr>
    </w:lvl>
  </w:abstractNum>
  <w:abstractNum w:abstractNumId="4" w15:restartNumberingAfterBreak="0">
    <w:nsid w:val="04C768CA"/>
    <w:multiLevelType w:val="hybridMultilevel"/>
    <w:tmpl w:val="B210B2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801F13"/>
    <w:multiLevelType w:val="hybridMultilevel"/>
    <w:tmpl w:val="8C24C09C"/>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171536BC"/>
    <w:multiLevelType w:val="hybridMultilevel"/>
    <w:tmpl w:val="2A741172"/>
    <w:lvl w:ilvl="0" w:tplc="0C090003">
      <w:start w:val="1"/>
      <w:numFmt w:val="bullet"/>
      <w:lvlText w:val="o"/>
      <w:lvlJc w:val="left"/>
      <w:pPr>
        <w:ind w:left="720" w:hanging="360"/>
      </w:pPr>
      <w:rPr>
        <w:rFonts w:ascii="Courier New" w:hAnsi="Courier New" w:cs="Courier New" w:hint="default"/>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8B644E6"/>
    <w:multiLevelType w:val="hybridMultilevel"/>
    <w:tmpl w:val="A1723F2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1D62792F"/>
    <w:multiLevelType w:val="hybridMultilevel"/>
    <w:tmpl w:val="43185BF6"/>
    <w:lvl w:ilvl="0" w:tplc="D8CCAE7C">
      <w:numFmt w:val="bullet"/>
      <w:lvlText w:val="-"/>
      <w:lvlJc w:val="left"/>
      <w:pPr>
        <w:ind w:left="720" w:hanging="360"/>
      </w:pPr>
      <w:rPr>
        <w:rFonts w:ascii="Calibri" w:eastAsiaTheme="minorHAnsi" w:hAnsi="Calibri" w:cs="Calibri" w:hint="default"/>
        <w:b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EB83DCB"/>
    <w:multiLevelType w:val="multilevel"/>
    <w:tmpl w:val="6EC27BDE"/>
    <w:lvl w:ilvl="0">
      <w:start w:val="5"/>
      <w:numFmt w:val="decimal"/>
      <w:lvlText w:val="%1"/>
      <w:lvlJc w:val="left"/>
      <w:pPr>
        <w:ind w:left="720" w:hanging="720"/>
      </w:pPr>
      <w:rPr>
        <w:rFonts w:hint="default"/>
        <w:b/>
      </w:rPr>
    </w:lvl>
    <w:lvl w:ilvl="1">
      <w:start w:val="1"/>
      <w:numFmt w:val="decimal"/>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E826466"/>
    <w:multiLevelType w:val="hybridMultilevel"/>
    <w:tmpl w:val="BB7E42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0346AD7"/>
    <w:multiLevelType w:val="hybridMultilevel"/>
    <w:tmpl w:val="150CCA76"/>
    <w:lvl w:ilvl="0" w:tplc="A22E5F30">
      <w:start w:val="1"/>
      <w:numFmt w:val="bullet"/>
      <w:pStyle w:val="ListParagraph"/>
      <w:lvlText w:val=""/>
      <w:lvlJc w:val="left"/>
      <w:pPr>
        <w:ind w:left="121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36244933"/>
    <w:multiLevelType w:val="hybridMultilevel"/>
    <w:tmpl w:val="997C94B4"/>
    <w:lvl w:ilvl="0" w:tplc="6CC2B3B6">
      <w:start w:val="1"/>
      <w:numFmt w:val="upperLetter"/>
      <w:lvlText w:val="%1."/>
      <w:lvlJc w:val="left"/>
      <w:pPr>
        <w:ind w:left="360" w:hanging="360"/>
      </w:pPr>
      <w:rPr>
        <w:color w:val="auto"/>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7" w15:restartNumberingAfterBreak="0">
    <w:nsid w:val="3ABE3D07"/>
    <w:multiLevelType w:val="hybridMultilevel"/>
    <w:tmpl w:val="9D52E8DE"/>
    <w:lvl w:ilvl="0" w:tplc="0C090001">
      <w:start w:val="1"/>
      <w:numFmt w:val="bullet"/>
      <w:lvlText w:val=""/>
      <w:lvlJc w:val="left"/>
      <w:pPr>
        <w:ind w:left="720" w:hanging="360"/>
      </w:pPr>
      <w:rPr>
        <w:rFonts w:ascii="Symbol" w:hAnsi="Symbol" w:hint="default"/>
        <w:b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BAD2BE8"/>
    <w:multiLevelType w:val="hybridMultilevel"/>
    <w:tmpl w:val="F496BCF6"/>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3D7E5D3C"/>
    <w:multiLevelType w:val="hybridMultilevel"/>
    <w:tmpl w:val="ECF2A182"/>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3D8D156C"/>
    <w:multiLevelType w:val="hybridMultilevel"/>
    <w:tmpl w:val="F25A23D2"/>
    <w:lvl w:ilvl="0" w:tplc="0C09001B">
      <w:start w:val="1"/>
      <w:numFmt w:val="lowerRoman"/>
      <w:lvlText w:val="%1."/>
      <w:lvlJc w:val="right"/>
      <w:pPr>
        <w:ind w:left="2160" w:hanging="720"/>
      </w:pPr>
      <w:rPr>
        <w:rFonts w:hint="default"/>
      </w:rPr>
    </w:lvl>
    <w:lvl w:ilvl="1" w:tplc="FFFFFFFF">
      <w:start w:val="1"/>
      <w:numFmt w:val="lowerRoman"/>
      <w:lvlText w:val="%2."/>
      <w:lvlJc w:val="right"/>
      <w:pPr>
        <w:ind w:left="2574"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1"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22" w15:restartNumberingAfterBreak="0">
    <w:nsid w:val="411F7955"/>
    <w:multiLevelType w:val="hybridMultilevel"/>
    <w:tmpl w:val="1886120E"/>
    <w:lvl w:ilvl="0" w:tplc="0C090001">
      <w:start w:val="1"/>
      <w:numFmt w:val="bullet"/>
      <w:lvlText w:val=""/>
      <w:lvlJc w:val="left"/>
      <w:pPr>
        <w:ind w:left="1117" w:hanging="360"/>
      </w:pPr>
      <w:rPr>
        <w:rFonts w:ascii="Symbol" w:hAnsi="Symbol" w:hint="default"/>
      </w:rPr>
    </w:lvl>
    <w:lvl w:ilvl="1" w:tplc="0C090003" w:tentative="1">
      <w:start w:val="1"/>
      <w:numFmt w:val="bullet"/>
      <w:lvlText w:val="o"/>
      <w:lvlJc w:val="left"/>
      <w:pPr>
        <w:ind w:left="1837" w:hanging="360"/>
      </w:pPr>
      <w:rPr>
        <w:rFonts w:ascii="Courier New" w:hAnsi="Courier New" w:cs="Courier New" w:hint="default"/>
      </w:rPr>
    </w:lvl>
    <w:lvl w:ilvl="2" w:tplc="0C090005" w:tentative="1">
      <w:start w:val="1"/>
      <w:numFmt w:val="bullet"/>
      <w:lvlText w:val=""/>
      <w:lvlJc w:val="left"/>
      <w:pPr>
        <w:ind w:left="2557" w:hanging="360"/>
      </w:pPr>
      <w:rPr>
        <w:rFonts w:ascii="Wingdings" w:hAnsi="Wingdings" w:hint="default"/>
      </w:rPr>
    </w:lvl>
    <w:lvl w:ilvl="3" w:tplc="0C090001" w:tentative="1">
      <w:start w:val="1"/>
      <w:numFmt w:val="bullet"/>
      <w:lvlText w:val=""/>
      <w:lvlJc w:val="left"/>
      <w:pPr>
        <w:ind w:left="3277" w:hanging="360"/>
      </w:pPr>
      <w:rPr>
        <w:rFonts w:ascii="Symbol" w:hAnsi="Symbol" w:hint="default"/>
      </w:rPr>
    </w:lvl>
    <w:lvl w:ilvl="4" w:tplc="0C090003" w:tentative="1">
      <w:start w:val="1"/>
      <w:numFmt w:val="bullet"/>
      <w:lvlText w:val="o"/>
      <w:lvlJc w:val="left"/>
      <w:pPr>
        <w:ind w:left="3997" w:hanging="360"/>
      </w:pPr>
      <w:rPr>
        <w:rFonts w:ascii="Courier New" w:hAnsi="Courier New" w:cs="Courier New" w:hint="default"/>
      </w:rPr>
    </w:lvl>
    <w:lvl w:ilvl="5" w:tplc="0C090005" w:tentative="1">
      <w:start w:val="1"/>
      <w:numFmt w:val="bullet"/>
      <w:lvlText w:val=""/>
      <w:lvlJc w:val="left"/>
      <w:pPr>
        <w:ind w:left="4717" w:hanging="360"/>
      </w:pPr>
      <w:rPr>
        <w:rFonts w:ascii="Wingdings" w:hAnsi="Wingdings" w:hint="default"/>
      </w:rPr>
    </w:lvl>
    <w:lvl w:ilvl="6" w:tplc="0C090001" w:tentative="1">
      <w:start w:val="1"/>
      <w:numFmt w:val="bullet"/>
      <w:lvlText w:val=""/>
      <w:lvlJc w:val="left"/>
      <w:pPr>
        <w:ind w:left="5437" w:hanging="360"/>
      </w:pPr>
      <w:rPr>
        <w:rFonts w:ascii="Symbol" w:hAnsi="Symbol" w:hint="default"/>
      </w:rPr>
    </w:lvl>
    <w:lvl w:ilvl="7" w:tplc="0C090003" w:tentative="1">
      <w:start w:val="1"/>
      <w:numFmt w:val="bullet"/>
      <w:lvlText w:val="o"/>
      <w:lvlJc w:val="left"/>
      <w:pPr>
        <w:ind w:left="6157" w:hanging="360"/>
      </w:pPr>
      <w:rPr>
        <w:rFonts w:ascii="Courier New" w:hAnsi="Courier New" w:cs="Courier New" w:hint="default"/>
      </w:rPr>
    </w:lvl>
    <w:lvl w:ilvl="8" w:tplc="0C090005" w:tentative="1">
      <w:start w:val="1"/>
      <w:numFmt w:val="bullet"/>
      <w:lvlText w:val=""/>
      <w:lvlJc w:val="left"/>
      <w:pPr>
        <w:ind w:left="6877" w:hanging="360"/>
      </w:pPr>
      <w:rPr>
        <w:rFonts w:ascii="Wingdings" w:hAnsi="Wingdings" w:hint="default"/>
      </w:rPr>
    </w:lvl>
  </w:abstractNum>
  <w:abstractNum w:abstractNumId="23" w15:restartNumberingAfterBreak="0">
    <w:nsid w:val="42D70490"/>
    <w:multiLevelType w:val="hybridMultilevel"/>
    <w:tmpl w:val="364A1B6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42E87E95"/>
    <w:multiLevelType w:val="hybridMultilevel"/>
    <w:tmpl w:val="BE16E8FA"/>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46D34F55"/>
    <w:multiLevelType w:val="hybridMultilevel"/>
    <w:tmpl w:val="B8E84F9C"/>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486A4A63"/>
    <w:multiLevelType w:val="hybridMultilevel"/>
    <w:tmpl w:val="D458AE20"/>
    <w:lvl w:ilvl="0" w:tplc="0C090001">
      <w:start w:val="1"/>
      <w:numFmt w:val="bullet"/>
      <w:lvlText w:val=""/>
      <w:lvlJc w:val="left"/>
      <w:pPr>
        <w:ind w:left="720" w:hanging="360"/>
      </w:pPr>
      <w:rPr>
        <w:rFonts w:ascii="Symbol" w:hAnsi="Symbol" w:hint="default"/>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27" w15:restartNumberingAfterBreak="0">
    <w:nsid w:val="4B012251"/>
    <w:multiLevelType w:val="hybridMultilevel"/>
    <w:tmpl w:val="7BCA739E"/>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4CE710A4"/>
    <w:multiLevelType w:val="hybridMultilevel"/>
    <w:tmpl w:val="ADD66298"/>
    <w:lvl w:ilvl="0" w:tplc="4A96AD60">
      <w:start w:val="1"/>
      <w:numFmt w:val="lowerLetter"/>
      <w:lvlText w:val="%1."/>
      <w:lvlJc w:val="left"/>
      <w:pPr>
        <w:ind w:left="1080" w:hanging="720"/>
      </w:pPr>
      <w:rPr>
        <w:rFonts w:hint="default"/>
      </w:rPr>
    </w:lvl>
    <w:lvl w:ilvl="1" w:tplc="0C09001B">
      <w:start w:val="1"/>
      <w:numFmt w:val="lowerRoman"/>
      <w:lvlText w:val="%2."/>
      <w:lvlJc w:val="right"/>
      <w:pPr>
        <w:ind w:left="1494"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E4F7F13"/>
    <w:multiLevelType w:val="hybridMultilevel"/>
    <w:tmpl w:val="8CBC7E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31"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9667045"/>
    <w:multiLevelType w:val="hybridMultilevel"/>
    <w:tmpl w:val="6BD08E70"/>
    <w:lvl w:ilvl="0" w:tplc="FFFFFFFF">
      <w:start w:val="1"/>
      <w:numFmt w:val="lowerRoman"/>
      <w:lvlText w:val="%1."/>
      <w:lvlJc w:val="left"/>
      <w:pPr>
        <w:ind w:left="1440" w:hanging="360"/>
      </w:pPr>
      <w:rPr>
        <w:rFonts w:asciiTheme="minorHAnsi" w:eastAsia="Times New Roman" w:hAnsiTheme="minorHAnsi" w:cs="Arial"/>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3" w15:restartNumberingAfterBreak="0">
    <w:nsid w:val="5D43167D"/>
    <w:multiLevelType w:val="hybridMultilevel"/>
    <w:tmpl w:val="BAA84B34"/>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5"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6" w15:restartNumberingAfterBreak="0">
    <w:nsid w:val="68EA1610"/>
    <w:multiLevelType w:val="hybridMultilevel"/>
    <w:tmpl w:val="3F20135E"/>
    <w:lvl w:ilvl="0" w:tplc="7CA06DB8">
      <w:start w:val="1"/>
      <w:numFmt w:val="lowerLetter"/>
      <w:lvlText w:val="(%1)"/>
      <w:lvlJc w:val="left"/>
      <w:pPr>
        <w:ind w:left="1080" w:hanging="360"/>
      </w:pPr>
      <w:rPr>
        <w:rFonts w:asciiTheme="minorHAnsi" w:eastAsia="Times New Roman" w:hAnsiTheme="minorHAnsi" w:cstheme="minorHAnsi" w:hint="default"/>
      </w:rPr>
    </w:lvl>
    <w:lvl w:ilvl="1" w:tplc="0C09001B">
      <w:start w:val="1"/>
      <w:numFmt w:val="lowerRoman"/>
      <w:lvlText w:val="%2."/>
      <w:lvlJc w:val="right"/>
      <w:pPr>
        <w:ind w:left="1800" w:hanging="360"/>
      </w:pPr>
    </w:lvl>
    <w:lvl w:ilvl="2" w:tplc="E67A9596">
      <w:start w:val="1"/>
      <w:numFmt w:val="decimal"/>
      <w:lvlText w:val="%3."/>
      <w:lvlJc w:val="left"/>
      <w:pPr>
        <w:ind w:left="2700" w:hanging="36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7" w15:restartNumberingAfterBreak="0">
    <w:nsid w:val="6945511A"/>
    <w:multiLevelType w:val="hybridMultilevel"/>
    <w:tmpl w:val="07022646"/>
    <w:lvl w:ilvl="0" w:tplc="A9189A1E">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8"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FB120C7"/>
    <w:multiLevelType w:val="hybridMultilevel"/>
    <w:tmpl w:val="15F849A8"/>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0" w15:restartNumberingAfterBreak="0">
    <w:nsid w:val="6FEC02A8"/>
    <w:multiLevelType w:val="hybridMultilevel"/>
    <w:tmpl w:val="6BD08E70"/>
    <w:lvl w:ilvl="0" w:tplc="F6FCDD8C">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1" w15:restartNumberingAfterBreak="0">
    <w:nsid w:val="71BD3BEF"/>
    <w:multiLevelType w:val="hybridMultilevel"/>
    <w:tmpl w:val="A0987D62"/>
    <w:lvl w:ilvl="0" w:tplc="0C090017">
      <w:start w:val="1"/>
      <w:numFmt w:val="lowerLetter"/>
      <w:lvlText w:val="%1)"/>
      <w:lvlJc w:val="left"/>
      <w:pPr>
        <w:ind w:left="1440" w:hanging="360"/>
      </w:pPr>
      <w:rPr>
        <w:rFonts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42" w15:restartNumberingAfterBreak="0">
    <w:nsid w:val="73804271"/>
    <w:multiLevelType w:val="hybridMultilevel"/>
    <w:tmpl w:val="6BD08E70"/>
    <w:lvl w:ilvl="0" w:tplc="FFFFFFFF">
      <w:start w:val="1"/>
      <w:numFmt w:val="lowerRoman"/>
      <w:lvlText w:val="%1."/>
      <w:lvlJc w:val="left"/>
      <w:pPr>
        <w:ind w:left="1440" w:hanging="360"/>
      </w:pPr>
      <w:rPr>
        <w:rFonts w:asciiTheme="minorHAnsi" w:eastAsia="Times New Roman" w:hAnsiTheme="minorHAnsi" w:cs="Arial"/>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3" w15:restartNumberingAfterBreak="0">
    <w:nsid w:val="75EE742B"/>
    <w:multiLevelType w:val="hybridMultilevel"/>
    <w:tmpl w:val="C9AA1B20"/>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4" w15:restartNumberingAfterBreak="0">
    <w:nsid w:val="784D033C"/>
    <w:multiLevelType w:val="multilevel"/>
    <w:tmpl w:val="18D26F92"/>
    <w:lvl w:ilvl="0">
      <w:start w:val="1"/>
      <w:numFmt w:val="decimal"/>
      <w:pStyle w:val="2-SectionHeading"/>
      <w:lvlText w:val="%1"/>
      <w:lvlJc w:val="left"/>
      <w:pPr>
        <w:ind w:left="720" w:hanging="720"/>
      </w:pPr>
      <w:rPr>
        <w:rFonts w:hint="default"/>
        <w:b/>
        <w:color w:val="auto"/>
      </w:rPr>
    </w:lvl>
    <w:lvl w:ilvl="1">
      <w:start w:val="1"/>
      <w:numFmt w:val="decimal"/>
      <w:pStyle w:val="3-BodyText"/>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B053ABF"/>
    <w:multiLevelType w:val="hybridMultilevel"/>
    <w:tmpl w:val="EC5ABA10"/>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46" w15:restartNumberingAfterBreak="0">
    <w:nsid w:val="7BBB7FF1"/>
    <w:multiLevelType w:val="hybridMultilevel"/>
    <w:tmpl w:val="3C32D6DE"/>
    <w:lvl w:ilvl="0" w:tplc="A3FECD54">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7" w15:restartNumberingAfterBreak="0">
    <w:nsid w:val="7D28351E"/>
    <w:multiLevelType w:val="hybridMultilevel"/>
    <w:tmpl w:val="6BD08E70"/>
    <w:lvl w:ilvl="0" w:tplc="FFFFFFFF">
      <w:start w:val="1"/>
      <w:numFmt w:val="lowerRoman"/>
      <w:lvlText w:val="%1."/>
      <w:lvlJc w:val="left"/>
      <w:pPr>
        <w:ind w:left="1440" w:hanging="360"/>
      </w:pPr>
      <w:rPr>
        <w:rFonts w:asciiTheme="minorHAnsi" w:eastAsia="Times New Roman" w:hAnsiTheme="minorHAnsi" w:cs="Arial"/>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8" w15:restartNumberingAfterBreak="0">
    <w:nsid w:val="7DB0202A"/>
    <w:multiLevelType w:val="hybridMultilevel"/>
    <w:tmpl w:val="E202FB4A"/>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533498588">
    <w:abstractNumId w:val="16"/>
  </w:num>
  <w:num w:numId="2" w16cid:durableId="957570559">
    <w:abstractNumId w:val="44"/>
  </w:num>
  <w:num w:numId="3" w16cid:durableId="536628895">
    <w:abstractNumId w:val="0"/>
  </w:num>
  <w:num w:numId="4" w16cid:durableId="1159004663">
    <w:abstractNumId w:val="34"/>
  </w:num>
  <w:num w:numId="5" w16cid:durableId="418600173">
    <w:abstractNumId w:val="46"/>
  </w:num>
  <w:num w:numId="6" w16cid:durableId="34236669">
    <w:abstractNumId w:val="40"/>
  </w:num>
  <w:num w:numId="7" w16cid:durableId="1279799443">
    <w:abstractNumId w:val="28"/>
  </w:num>
  <w:num w:numId="8" w16cid:durableId="495537779">
    <w:abstractNumId w:val="21"/>
  </w:num>
  <w:num w:numId="9" w16cid:durableId="1468400811">
    <w:abstractNumId w:val="1"/>
  </w:num>
  <w:num w:numId="10" w16cid:durableId="132985464">
    <w:abstractNumId w:val="44"/>
  </w:num>
  <w:num w:numId="11" w16cid:durableId="1915313393">
    <w:abstractNumId w:val="37"/>
  </w:num>
  <w:num w:numId="12" w16cid:durableId="473567604">
    <w:abstractNumId w:val="41"/>
  </w:num>
  <w:num w:numId="13" w16cid:durableId="315574325">
    <w:abstractNumId w:val="14"/>
  </w:num>
  <w:num w:numId="14" w16cid:durableId="1841651190">
    <w:abstractNumId w:val="9"/>
  </w:num>
  <w:num w:numId="15" w16cid:durableId="1751541441">
    <w:abstractNumId w:val="3"/>
  </w:num>
  <w:num w:numId="16" w16cid:durableId="93945935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30238752">
    <w:abstractNumId w:val="7"/>
  </w:num>
  <w:num w:numId="18" w16cid:durableId="1662348298">
    <w:abstractNumId w:val="26"/>
  </w:num>
  <w:num w:numId="19" w16cid:durableId="216868142">
    <w:abstractNumId w:val="19"/>
  </w:num>
  <w:num w:numId="20" w16cid:durableId="670838392">
    <w:abstractNumId w:val="42"/>
  </w:num>
  <w:num w:numId="21" w16cid:durableId="848180824">
    <w:abstractNumId w:val="8"/>
  </w:num>
  <w:num w:numId="22" w16cid:durableId="1182285320">
    <w:abstractNumId w:val="4"/>
  </w:num>
  <w:num w:numId="23" w16cid:durableId="1862936798">
    <w:abstractNumId w:val="48"/>
  </w:num>
  <w:num w:numId="24" w16cid:durableId="296691022">
    <w:abstractNumId w:val="27"/>
  </w:num>
  <w:num w:numId="25" w16cid:durableId="1974167109">
    <w:abstractNumId w:val="18"/>
  </w:num>
  <w:num w:numId="26" w16cid:durableId="30034796">
    <w:abstractNumId w:val="17"/>
  </w:num>
  <w:num w:numId="27" w16cid:durableId="85926888">
    <w:abstractNumId w:val="25"/>
  </w:num>
  <w:num w:numId="28" w16cid:durableId="277377558">
    <w:abstractNumId w:val="43"/>
  </w:num>
  <w:num w:numId="29" w16cid:durableId="299964396">
    <w:abstractNumId w:val="39"/>
  </w:num>
  <w:num w:numId="30" w16cid:durableId="1834561270">
    <w:abstractNumId w:val="24"/>
  </w:num>
  <w:num w:numId="31" w16cid:durableId="370961351">
    <w:abstractNumId w:val="6"/>
  </w:num>
  <w:num w:numId="32" w16cid:durableId="1007446205">
    <w:abstractNumId w:val="33"/>
  </w:num>
  <w:num w:numId="33" w16cid:durableId="447705833">
    <w:abstractNumId w:val="44"/>
  </w:num>
  <w:num w:numId="34" w16cid:durableId="224487594">
    <w:abstractNumId w:val="44"/>
  </w:num>
  <w:num w:numId="35" w16cid:durableId="1103570019">
    <w:abstractNumId w:val="15"/>
  </w:num>
  <w:num w:numId="36" w16cid:durableId="296230563">
    <w:abstractNumId w:val="44"/>
  </w:num>
  <w:num w:numId="37" w16cid:durableId="2041346921">
    <w:abstractNumId w:val="44"/>
  </w:num>
  <w:num w:numId="38" w16cid:durableId="1127431152">
    <w:abstractNumId w:val="1"/>
  </w:num>
  <w:num w:numId="39" w16cid:durableId="608783099">
    <w:abstractNumId w:val="1"/>
  </w:num>
  <w:num w:numId="40" w16cid:durableId="704449332">
    <w:abstractNumId w:val="45"/>
  </w:num>
  <w:num w:numId="41" w16cid:durableId="1470593607">
    <w:abstractNumId w:val="22"/>
  </w:num>
  <w:num w:numId="42" w16cid:durableId="38282984">
    <w:abstractNumId w:val="29"/>
  </w:num>
  <w:num w:numId="43" w16cid:durableId="2027368103">
    <w:abstractNumId w:val="20"/>
  </w:num>
  <w:num w:numId="44" w16cid:durableId="2000116870">
    <w:abstractNumId w:val="47"/>
  </w:num>
  <w:num w:numId="45" w16cid:durableId="1184321269">
    <w:abstractNumId w:val="32"/>
  </w:num>
  <w:num w:numId="46" w16cid:durableId="1573005167">
    <w:abstractNumId w:val="30"/>
  </w:num>
  <w:num w:numId="47" w16cid:durableId="408699874">
    <w:abstractNumId w:val="31"/>
  </w:num>
  <w:num w:numId="48" w16cid:durableId="1569418770">
    <w:abstractNumId w:val="5"/>
  </w:num>
  <w:num w:numId="49" w16cid:durableId="705176722">
    <w:abstractNumId w:val="2"/>
  </w:num>
  <w:num w:numId="50" w16cid:durableId="1926569401">
    <w:abstractNumId w:val="12"/>
  </w:num>
  <w:num w:numId="51" w16cid:durableId="1979457665">
    <w:abstractNumId w:val="13"/>
  </w:num>
  <w:num w:numId="52" w16cid:durableId="2038313566">
    <w:abstractNumId w:val="11"/>
  </w:num>
  <w:num w:numId="53" w16cid:durableId="1297443176">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09997201">
    <w:abstractNumId w:val="38"/>
  </w:num>
  <w:num w:numId="55" w16cid:durableId="1158182089">
    <w:abstractNumId w:val="10"/>
  </w:num>
  <w:num w:numId="56" w16cid:durableId="724068874">
    <w:abstractNumId w:val="2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287"/>
    <w:rsid w:val="000007FC"/>
    <w:rsid w:val="0000080A"/>
    <w:rsid w:val="0000096D"/>
    <w:rsid w:val="00000BFF"/>
    <w:rsid w:val="000012E4"/>
    <w:rsid w:val="00001663"/>
    <w:rsid w:val="00001CB9"/>
    <w:rsid w:val="000025AD"/>
    <w:rsid w:val="0000283C"/>
    <w:rsid w:val="0000335D"/>
    <w:rsid w:val="00003EC5"/>
    <w:rsid w:val="000044AE"/>
    <w:rsid w:val="00006782"/>
    <w:rsid w:val="0000680D"/>
    <w:rsid w:val="00006819"/>
    <w:rsid w:val="00006E7E"/>
    <w:rsid w:val="00011459"/>
    <w:rsid w:val="0001179A"/>
    <w:rsid w:val="00011808"/>
    <w:rsid w:val="000118E9"/>
    <w:rsid w:val="00011A59"/>
    <w:rsid w:val="00012612"/>
    <w:rsid w:val="0001352A"/>
    <w:rsid w:val="00014103"/>
    <w:rsid w:val="00014D69"/>
    <w:rsid w:val="000158DD"/>
    <w:rsid w:val="00015B78"/>
    <w:rsid w:val="00015EFF"/>
    <w:rsid w:val="00016127"/>
    <w:rsid w:val="000169EE"/>
    <w:rsid w:val="00016A41"/>
    <w:rsid w:val="00016B57"/>
    <w:rsid w:val="00016ED9"/>
    <w:rsid w:val="00020096"/>
    <w:rsid w:val="0002044F"/>
    <w:rsid w:val="000204F9"/>
    <w:rsid w:val="000214D1"/>
    <w:rsid w:val="00021F20"/>
    <w:rsid w:val="0002301F"/>
    <w:rsid w:val="00023501"/>
    <w:rsid w:val="000240A7"/>
    <w:rsid w:val="0002464A"/>
    <w:rsid w:val="00024EAE"/>
    <w:rsid w:val="000256FD"/>
    <w:rsid w:val="00025776"/>
    <w:rsid w:val="0002591C"/>
    <w:rsid w:val="00025A04"/>
    <w:rsid w:val="0002693D"/>
    <w:rsid w:val="00026948"/>
    <w:rsid w:val="00026F86"/>
    <w:rsid w:val="00027A58"/>
    <w:rsid w:val="00027DD9"/>
    <w:rsid w:val="0003046B"/>
    <w:rsid w:val="0003050E"/>
    <w:rsid w:val="000309FA"/>
    <w:rsid w:val="00030B5F"/>
    <w:rsid w:val="0003106B"/>
    <w:rsid w:val="00031619"/>
    <w:rsid w:val="00031A60"/>
    <w:rsid w:val="00032059"/>
    <w:rsid w:val="000327FA"/>
    <w:rsid w:val="0003306E"/>
    <w:rsid w:val="000335B9"/>
    <w:rsid w:val="00033E64"/>
    <w:rsid w:val="0003468B"/>
    <w:rsid w:val="00034905"/>
    <w:rsid w:val="0003578B"/>
    <w:rsid w:val="0003726B"/>
    <w:rsid w:val="00037906"/>
    <w:rsid w:val="00037F90"/>
    <w:rsid w:val="00040A30"/>
    <w:rsid w:val="000412D7"/>
    <w:rsid w:val="000414C9"/>
    <w:rsid w:val="00041974"/>
    <w:rsid w:val="0004206D"/>
    <w:rsid w:val="000421A1"/>
    <w:rsid w:val="0004240E"/>
    <w:rsid w:val="000425A2"/>
    <w:rsid w:val="00042A08"/>
    <w:rsid w:val="00042B72"/>
    <w:rsid w:val="00044E52"/>
    <w:rsid w:val="00044EC4"/>
    <w:rsid w:val="000458E9"/>
    <w:rsid w:val="00045E26"/>
    <w:rsid w:val="00046903"/>
    <w:rsid w:val="00046CBE"/>
    <w:rsid w:val="00047247"/>
    <w:rsid w:val="000509C3"/>
    <w:rsid w:val="00051415"/>
    <w:rsid w:val="000514B5"/>
    <w:rsid w:val="000517D8"/>
    <w:rsid w:val="000521ED"/>
    <w:rsid w:val="0005262E"/>
    <w:rsid w:val="00052832"/>
    <w:rsid w:val="00052C28"/>
    <w:rsid w:val="0005322E"/>
    <w:rsid w:val="000537B6"/>
    <w:rsid w:val="000539CA"/>
    <w:rsid w:val="000541D9"/>
    <w:rsid w:val="000546CF"/>
    <w:rsid w:val="00054E2B"/>
    <w:rsid w:val="0005575D"/>
    <w:rsid w:val="00055A8E"/>
    <w:rsid w:val="00056403"/>
    <w:rsid w:val="00056A3B"/>
    <w:rsid w:val="0005720F"/>
    <w:rsid w:val="00057F8E"/>
    <w:rsid w:val="00060273"/>
    <w:rsid w:val="00060E64"/>
    <w:rsid w:val="00061215"/>
    <w:rsid w:val="00061B95"/>
    <w:rsid w:val="00061C13"/>
    <w:rsid w:val="000621AB"/>
    <w:rsid w:val="00062C03"/>
    <w:rsid w:val="00062D14"/>
    <w:rsid w:val="00062E2D"/>
    <w:rsid w:val="00062E88"/>
    <w:rsid w:val="00062FA4"/>
    <w:rsid w:val="00064657"/>
    <w:rsid w:val="00065E55"/>
    <w:rsid w:val="00065F16"/>
    <w:rsid w:val="00066193"/>
    <w:rsid w:val="00066755"/>
    <w:rsid w:val="00067B6B"/>
    <w:rsid w:val="00070D07"/>
    <w:rsid w:val="00070EEF"/>
    <w:rsid w:val="00071A5B"/>
    <w:rsid w:val="00071BA5"/>
    <w:rsid w:val="00072730"/>
    <w:rsid w:val="00073017"/>
    <w:rsid w:val="0007337F"/>
    <w:rsid w:val="00073D11"/>
    <w:rsid w:val="00074320"/>
    <w:rsid w:val="00075E84"/>
    <w:rsid w:val="000763D5"/>
    <w:rsid w:val="00076C38"/>
    <w:rsid w:val="00076E52"/>
    <w:rsid w:val="00077143"/>
    <w:rsid w:val="00077618"/>
    <w:rsid w:val="00077DF7"/>
    <w:rsid w:val="00080409"/>
    <w:rsid w:val="0008046C"/>
    <w:rsid w:val="0008050C"/>
    <w:rsid w:val="00081479"/>
    <w:rsid w:val="000815EC"/>
    <w:rsid w:val="00082169"/>
    <w:rsid w:val="00082550"/>
    <w:rsid w:val="00082627"/>
    <w:rsid w:val="0008326B"/>
    <w:rsid w:val="000834BE"/>
    <w:rsid w:val="00083F01"/>
    <w:rsid w:val="000865EF"/>
    <w:rsid w:val="00087C4C"/>
    <w:rsid w:val="00087E15"/>
    <w:rsid w:val="00090004"/>
    <w:rsid w:val="000913EB"/>
    <w:rsid w:val="0009165F"/>
    <w:rsid w:val="000918CB"/>
    <w:rsid w:val="00091B06"/>
    <w:rsid w:val="0009215B"/>
    <w:rsid w:val="00092835"/>
    <w:rsid w:val="00092D6B"/>
    <w:rsid w:val="0009420C"/>
    <w:rsid w:val="00094292"/>
    <w:rsid w:val="000951C4"/>
    <w:rsid w:val="00095ADA"/>
    <w:rsid w:val="00095F3A"/>
    <w:rsid w:val="000969AD"/>
    <w:rsid w:val="000974BF"/>
    <w:rsid w:val="000975FB"/>
    <w:rsid w:val="00097B6F"/>
    <w:rsid w:val="00097E77"/>
    <w:rsid w:val="000A02F8"/>
    <w:rsid w:val="000A07D8"/>
    <w:rsid w:val="000A10D3"/>
    <w:rsid w:val="000A23B6"/>
    <w:rsid w:val="000A266A"/>
    <w:rsid w:val="000A2B73"/>
    <w:rsid w:val="000A2D87"/>
    <w:rsid w:val="000A36DD"/>
    <w:rsid w:val="000A3757"/>
    <w:rsid w:val="000A3AA2"/>
    <w:rsid w:val="000A3D4F"/>
    <w:rsid w:val="000A42EF"/>
    <w:rsid w:val="000A44B2"/>
    <w:rsid w:val="000A52F6"/>
    <w:rsid w:val="000A58B8"/>
    <w:rsid w:val="000A5D28"/>
    <w:rsid w:val="000A78B8"/>
    <w:rsid w:val="000B016B"/>
    <w:rsid w:val="000B2082"/>
    <w:rsid w:val="000B3362"/>
    <w:rsid w:val="000B3618"/>
    <w:rsid w:val="000B363E"/>
    <w:rsid w:val="000B44C3"/>
    <w:rsid w:val="000B5570"/>
    <w:rsid w:val="000B558D"/>
    <w:rsid w:val="000B5A89"/>
    <w:rsid w:val="000B5EF6"/>
    <w:rsid w:val="000B65F6"/>
    <w:rsid w:val="000B7767"/>
    <w:rsid w:val="000C1AFF"/>
    <w:rsid w:val="000C1DF4"/>
    <w:rsid w:val="000C23D3"/>
    <w:rsid w:val="000C28DE"/>
    <w:rsid w:val="000C3738"/>
    <w:rsid w:val="000C3BE3"/>
    <w:rsid w:val="000C4E9F"/>
    <w:rsid w:val="000C5740"/>
    <w:rsid w:val="000C58C2"/>
    <w:rsid w:val="000C5C74"/>
    <w:rsid w:val="000C5F95"/>
    <w:rsid w:val="000C63FA"/>
    <w:rsid w:val="000C6996"/>
    <w:rsid w:val="000C7C46"/>
    <w:rsid w:val="000C7D00"/>
    <w:rsid w:val="000D09E9"/>
    <w:rsid w:val="000D113F"/>
    <w:rsid w:val="000D11E0"/>
    <w:rsid w:val="000D1826"/>
    <w:rsid w:val="000D1B5E"/>
    <w:rsid w:val="000D23BA"/>
    <w:rsid w:val="000D2B28"/>
    <w:rsid w:val="000D4F18"/>
    <w:rsid w:val="000D55AD"/>
    <w:rsid w:val="000D5D72"/>
    <w:rsid w:val="000D6FFD"/>
    <w:rsid w:val="000E19B7"/>
    <w:rsid w:val="000E20FC"/>
    <w:rsid w:val="000E228F"/>
    <w:rsid w:val="000E3168"/>
    <w:rsid w:val="000E3C1D"/>
    <w:rsid w:val="000E3DFB"/>
    <w:rsid w:val="000E4300"/>
    <w:rsid w:val="000E4490"/>
    <w:rsid w:val="000E5EA1"/>
    <w:rsid w:val="000E61E4"/>
    <w:rsid w:val="000E6381"/>
    <w:rsid w:val="000E681E"/>
    <w:rsid w:val="000E696B"/>
    <w:rsid w:val="000E7923"/>
    <w:rsid w:val="000E7E52"/>
    <w:rsid w:val="000E7E90"/>
    <w:rsid w:val="000EE1C7"/>
    <w:rsid w:val="000F0003"/>
    <w:rsid w:val="000F0335"/>
    <w:rsid w:val="000F07C2"/>
    <w:rsid w:val="000F1FDB"/>
    <w:rsid w:val="000F2D07"/>
    <w:rsid w:val="000F3384"/>
    <w:rsid w:val="000F3438"/>
    <w:rsid w:val="000F37F6"/>
    <w:rsid w:val="000F4E6A"/>
    <w:rsid w:val="000F4FA8"/>
    <w:rsid w:val="000F5672"/>
    <w:rsid w:val="000F5ABC"/>
    <w:rsid w:val="000F6ABB"/>
    <w:rsid w:val="000F7354"/>
    <w:rsid w:val="000F7689"/>
    <w:rsid w:val="000F7C27"/>
    <w:rsid w:val="001000B3"/>
    <w:rsid w:val="00100E04"/>
    <w:rsid w:val="001010C6"/>
    <w:rsid w:val="001010E9"/>
    <w:rsid w:val="001017D3"/>
    <w:rsid w:val="00101ABE"/>
    <w:rsid w:val="00101D8F"/>
    <w:rsid w:val="00102202"/>
    <w:rsid w:val="0010225C"/>
    <w:rsid w:val="00102700"/>
    <w:rsid w:val="00102A78"/>
    <w:rsid w:val="00103118"/>
    <w:rsid w:val="00103A12"/>
    <w:rsid w:val="00103E06"/>
    <w:rsid w:val="00103F1B"/>
    <w:rsid w:val="00104227"/>
    <w:rsid w:val="0010480D"/>
    <w:rsid w:val="001051FF"/>
    <w:rsid w:val="001053D5"/>
    <w:rsid w:val="0010677D"/>
    <w:rsid w:val="00106B51"/>
    <w:rsid w:val="00107409"/>
    <w:rsid w:val="00107E72"/>
    <w:rsid w:val="001107BF"/>
    <w:rsid w:val="00110D52"/>
    <w:rsid w:val="00111303"/>
    <w:rsid w:val="001115EF"/>
    <w:rsid w:val="00111F92"/>
    <w:rsid w:val="00112797"/>
    <w:rsid w:val="00112851"/>
    <w:rsid w:val="001134D7"/>
    <w:rsid w:val="00113649"/>
    <w:rsid w:val="00113D5C"/>
    <w:rsid w:val="00114895"/>
    <w:rsid w:val="00114AC6"/>
    <w:rsid w:val="00116B03"/>
    <w:rsid w:val="0012011E"/>
    <w:rsid w:val="00120AA6"/>
    <w:rsid w:val="00120B1E"/>
    <w:rsid w:val="00122887"/>
    <w:rsid w:val="001239DB"/>
    <w:rsid w:val="0012417C"/>
    <w:rsid w:val="00124BF2"/>
    <w:rsid w:val="00125837"/>
    <w:rsid w:val="0012597F"/>
    <w:rsid w:val="001261B3"/>
    <w:rsid w:val="00126B19"/>
    <w:rsid w:val="00126D3A"/>
    <w:rsid w:val="00126F37"/>
    <w:rsid w:val="0012749D"/>
    <w:rsid w:val="00127A23"/>
    <w:rsid w:val="001306A5"/>
    <w:rsid w:val="00130918"/>
    <w:rsid w:val="00130A7E"/>
    <w:rsid w:val="00130BEB"/>
    <w:rsid w:val="001311AE"/>
    <w:rsid w:val="00131A48"/>
    <w:rsid w:val="00132A85"/>
    <w:rsid w:val="00134582"/>
    <w:rsid w:val="00134994"/>
    <w:rsid w:val="00134BAB"/>
    <w:rsid w:val="00134D04"/>
    <w:rsid w:val="001365B3"/>
    <w:rsid w:val="001366C2"/>
    <w:rsid w:val="00136C17"/>
    <w:rsid w:val="00136DB7"/>
    <w:rsid w:val="001372D3"/>
    <w:rsid w:val="00137BD0"/>
    <w:rsid w:val="00137FE0"/>
    <w:rsid w:val="0014073B"/>
    <w:rsid w:val="00140B74"/>
    <w:rsid w:val="00140CFC"/>
    <w:rsid w:val="00140D94"/>
    <w:rsid w:val="00142395"/>
    <w:rsid w:val="0014250D"/>
    <w:rsid w:val="00142714"/>
    <w:rsid w:val="00142DAE"/>
    <w:rsid w:val="00144D09"/>
    <w:rsid w:val="00144E06"/>
    <w:rsid w:val="001452ED"/>
    <w:rsid w:val="00146DC6"/>
    <w:rsid w:val="00147263"/>
    <w:rsid w:val="00147D84"/>
    <w:rsid w:val="001505DD"/>
    <w:rsid w:val="001509D7"/>
    <w:rsid w:val="00151CBD"/>
    <w:rsid w:val="00153009"/>
    <w:rsid w:val="001533C3"/>
    <w:rsid w:val="00153FA3"/>
    <w:rsid w:val="0015492B"/>
    <w:rsid w:val="001549C1"/>
    <w:rsid w:val="001562EB"/>
    <w:rsid w:val="00156C8D"/>
    <w:rsid w:val="00157EA9"/>
    <w:rsid w:val="0016074A"/>
    <w:rsid w:val="00160A26"/>
    <w:rsid w:val="00160BFC"/>
    <w:rsid w:val="00160F4D"/>
    <w:rsid w:val="001629D0"/>
    <w:rsid w:val="00162BDD"/>
    <w:rsid w:val="00162D4E"/>
    <w:rsid w:val="00162F06"/>
    <w:rsid w:val="00163329"/>
    <w:rsid w:val="00164623"/>
    <w:rsid w:val="0016507A"/>
    <w:rsid w:val="001652DE"/>
    <w:rsid w:val="001653EC"/>
    <w:rsid w:val="00165B64"/>
    <w:rsid w:val="00165F06"/>
    <w:rsid w:val="001661F3"/>
    <w:rsid w:val="0016760D"/>
    <w:rsid w:val="00167C39"/>
    <w:rsid w:val="00170C3E"/>
    <w:rsid w:val="00170C4D"/>
    <w:rsid w:val="001710A5"/>
    <w:rsid w:val="00171935"/>
    <w:rsid w:val="001719CA"/>
    <w:rsid w:val="00174EB8"/>
    <w:rsid w:val="001756CB"/>
    <w:rsid w:val="00175787"/>
    <w:rsid w:val="00176B9D"/>
    <w:rsid w:val="00180073"/>
    <w:rsid w:val="001802FF"/>
    <w:rsid w:val="00180713"/>
    <w:rsid w:val="00180720"/>
    <w:rsid w:val="00181AC1"/>
    <w:rsid w:val="00182A3A"/>
    <w:rsid w:val="00182AFF"/>
    <w:rsid w:val="001830CE"/>
    <w:rsid w:val="001836E3"/>
    <w:rsid w:val="001838AE"/>
    <w:rsid w:val="00184376"/>
    <w:rsid w:val="00184659"/>
    <w:rsid w:val="00185784"/>
    <w:rsid w:val="00185B2D"/>
    <w:rsid w:val="001860E5"/>
    <w:rsid w:val="00186135"/>
    <w:rsid w:val="0018643B"/>
    <w:rsid w:val="001907F3"/>
    <w:rsid w:val="00192EFF"/>
    <w:rsid w:val="001938C3"/>
    <w:rsid w:val="001939DB"/>
    <w:rsid w:val="00193E3B"/>
    <w:rsid w:val="001941CB"/>
    <w:rsid w:val="00196307"/>
    <w:rsid w:val="001972AD"/>
    <w:rsid w:val="00197493"/>
    <w:rsid w:val="00197C70"/>
    <w:rsid w:val="00197F03"/>
    <w:rsid w:val="001A0508"/>
    <w:rsid w:val="001A0D10"/>
    <w:rsid w:val="001A1D33"/>
    <w:rsid w:val="001A22C1"/>
    <w:rsid w:val="001A28B7"/>
    <w:rsid w:val="001A3132"/>
    <w:rsid w:val="001A33EA"/>
    <w:rsid w:val="001A3615"/>
    <w:rsid w:val="001A3EE8"/>
    <w:rsid w:val="001A4413"/>
    <w:rsid w:val="001A489B"/>
    <w:rsid w:val="001A4C4F"/>
    <w:rsid w:val="001A5A2B"/>
    <w:rsid w:val="001A76FB"/>
    <w:rsid w:val="001A7FF7"/>
    <w:rsid w:val="001B017F"/>
    <w:rsid w:val="001B02C6"/>
    <w:rsid w:val="001B0B79"/>
    <w:rsid w:val="001B0B89"/>
    <w:rsid w:val="001B19EA"/>
    <w:rsid w:val="001B2BBC"/>
    <w:rsid w:val="001B2BCD"/>
    <w:rsid w:val="001B2EFA"/>
    <w:rsid w:val="001B3A40"/>
    <w:rsid w:val="001B3FFE"/>
    <w:rsid w:val="001B40A9"/>
    <w:rsid w:val="001B5129"/>
    <w:rsid w:val="001B546E"/>
    <w:rsid w:val="001B6ADC"/>
    <w:rsid w:val="001C005E"/>
    <w:rsid w:val="001C0B4C"/>
    <w:rsid w:val="001C0EC4"/>
    <w:rsid w:val="001C1195"/>
    <w:rsid w:val="001C12AE"/>
    <w:rsid w:val="001C193D"/>
    <w:rsid w:val="001C1E84"/>
    <w:rsid w:val="001C20E1"/>
    <w:rsid w:val="001C2795"/>
    <w:rsid w:val="001C2990"/>
    <w:rsid w:val="001C2A0F"/>
    <w:rsid w:val="001C2E42"/>
    <w:rsid w:val="001C3311"/>
    <w:rsid w:val="001C5D96"/>
    <w:rsid w:val="001C5E9D"/>
    <w:rsid w:val="001C61DB"/>
    <w:rsid w:val="001C6A7E"/>
    <w:rsid w:val="001C7915"/>
    <w:rsid w:val="001D155C"/>
    <w:rsid w:val="001D1F5F"/>
    <w:rsid w:val="001D25B2"/>
    <w:rsid w:val="001D2926"/>
    <w:rsid w:val="001D2C18"/>
    <w:rsid w:val="001D353D"/>
    <w:rsid w:val="001D39F0"/>
    <w:rsid w:val="001D4F27"/>
    <w:rsid w:val="001D595B"/>
    <w:rsid w:val="001D6295"/>
    <w:rsid w:val="001D77FA"/>
    <w:rsid w:val="001E06D2"/>
    <w:rsid w:val="001E17C4"/>
    <w:rsid w:val="001E193A"/>
    <w:rsid w:val="001E1AE8"/>
    <w:rsid w:val="001E1B94"/>
    <w:rsid w:val="001E1DA9"/>
    <w:rsid w:val="001E23C8"/>
    <w:rsid w:val="001E2A47"/>
    <w:rsid w:val="001E2D65"/>
    <w:rsid w:val="001E37E0"/>
    <w:rsid w:val="001E3F97"/>
    <w:rsid w:val="001E409A"/>
    <w:rsid w:val="001E4116"/>
    <w:rsid w:val="001E4178"/>
    <w:rsid w:val="001E48D0"/>
    <w:rsid w:val="001E5D0D"/>
    <w:rsid w:val="001F005B"/>
    <w:rsid w:val="001F0266"/>
    <w:rsid w:val="001F06E4"/>
    <w:rsid w:val="001F1850"/>
    <w:rsid w:val="001F1FBF"/>
    <w:rsid w:val="001F2311"/>
    <w:rsid w:val="001F2B80"/>
    <w:rsid w:val="001F2F1C"/>
    <w:rsid w:val="001F3189"/>
    <w:rsid w:val="001F3582"/>
    <w:rsid w:val="001F677E"/>
    <w:rsid w:val="00200357"/>
    <w:rsid w:val="00200BEA"/>
    <w:rsid w:val="00200EA4"/>
    <w:rsid w:val="002010F8"/>
    <w:rsid w:val="00201FB8"/>
    <w:rsid w:val="00203C1C"/>
    <w:rsid w:val="00203FAC"/>
    <w:rsid w:val="002057C6"/>
    <w:rsid w:val="002060BC"/>
    <w:rsid w:val="00206747"/>
    <w:rsid w:val="00207E0F"/>
    <w:rsid w:val="002102FA"/>
    <w:rsid w:val="00210F37"/>
    <w:rsid w:val="00212129"/>
    <w:rsid w:val="002133FB"/>
    <w:rsid w:val="0021385A"/>
    <w:rsid w:val="00213CFB"/>
    <w:rsid w:val="0021553C"/>
    <w:rsid w:val="0021557B"/>
    <w:rsid w:val="00216B87"/>
    <w:rsid w:val="0021732D"/>
    <w:rsid w:val="002174FD"/>
    <w:rsid w:val="00217BE1"/>
    <w:rsid w:val="00217BEC"/>
    <w:rsid w:val="00217D48"/>
    <w:rsid w:val="002206D5"/>
    <w:rsid w:val="00221361"/>
    <w:rsid w:val="002214B9"/>
    <w:rsid w:val="00221A50"/>
    <w:rsid w:val="00221A53"/>
    <w:rsid w:val="00222680"/>
    <w:rsid w:val="00223121"/>
    <w:rsid w:val="00223370"/>
    <w:rsid w:val="00223787"/>
    <w:rsid w:val="00224452"/>
    <w:rsid w:val="00224D1E"/>
    <w:rsid w:val="00225605"/>
    <w:rsid w:val="002256F0"/>
    <w:rsid w:val="00226611"/>
    <w:rsid w:val="00227BC5"/>
    <w:rsid w:val="00230F63"/>
    <w:rsid w:val="00232376"/>
    <w:rsid w:val="002326EB"/>
    <w:rsid w:val="0023329D"/>
    <w:rsid w:val="00234252"/>
    <w:rsid w:val="0023466E"/>
    <w:rsid w:val="0023504F"/>
    <w:rsid w:val="00235A17"/>
    <w:rsid w:val="00236383"/>
    <w:rsid w:val="00236648"/>
    <w:rsid w:val="002373F0"/>
    <w:rsid w:val="00237AC6"/>
    <w:rsid w:val="00240167"/>
    <w:rsid w:val="002405E5"/>
    <w:rsid w:val="00241578"/>
    <w:rsid w:val="002418D5"/>
    <w:rsid w:val="00241B39"/>
    <w:rsid w:val="00241FF5"/>
    <w:rsid w:val="00242B64"/>
    <w:rsid w:val="00242BFD"/>
    <w:rsid w:val="00243197"/>
    <w:rsid w:val="00244139"/>
    <w:rsid w:val="002441E6"/>
    <w:rsid w:val="00244490"/>
    <w:rsid w:val="00244910"/>
    <w:rsid w:val="00244BEC"/>
    <w:rsid w:val="00245444"/>
    <w:rsid w:val="002459DF"/>
    <w:rsid w:val="00245B9C"/>
    <w:rsid w:val="00245C4A"/>
    <w:rsid w:val="00246B46"/>
    <w:rsid w:val="00250874"/>
    <w:rsid w:val="00250B9F"/>
    <w:rsid w:val="00251B85"/>
    <w:rsid w:val="002524E7"/>
    <w:rsid w:val="00252587"/>
    <w:rsid w:val="00252628"/>
    <w:rsid w:val="0025282B"/>
    <w:rsid w:val="00252B8B"/>
    <w:rsid w:val="00253287"/>
    <w:rsid w:val="00253308"/>
    <w:rsid w:val="00253499"/>
    <w:rsid w:val="0025351E"/>
    <w:rsid w:val="00253BD9"/>
    <w:rsid w:val="0025417C"/>
    <w:rsid w:val="00254346"/>
    <w:rsid w:val="002550AF"/>
    <w:rsid w:val="002551A4"/>
    <w:rsid w:val="002563BE"/>
    <w:rsid w:val="00256F4A"/>
    <w:rsid w:val="00257664"/>
    <w:rsid w:val="00257D6F"/>
    <w:rsid w:val="00260165"/>
    <w:rsid w:val="002620DC"/>
    <w:rsid w:val="0026255A"/>
    <w:rsid w:val="002646D6"/>
    <w:rsid w:val="0026504E"/>
    <w:rsid w:val="00265151"/>
    <w:rsid w:val="00265C2C"/>
    <w:rsid w:val="00266509"/>
    <w:rsid w:val="00266588"/>
    <w:rsid w:val="00266756"/>
    <w:rsid w:val="00267098"/>
    <w:rsid w:val="00267D1C"/>
    <w:rsid w:val="00270CF2"/>
    <w:rsid w:val="00271464"/>
    <w:rsid w:val="00271BA1"/>
    <w:rsid w:val="00271BA8"/>
    <w:rsid w:val="002724CF"/>
    <w:rsid w:val="00272BEA"/>
    <w:rsid w:val="00272DE5"/>
    <w:rsid w:val="00273AC5"/>
    <w:rsid w:val="00273B23"/>
    <w:rsid w:val="00273DE9"/>
    <w:rsid w:val="002762FA"/>
    <w:rsid w:val="00276BE3"/>
    <w:rsid w:val="00277505"/>
    <w:rsid w:val="00277873"/>
    <w:rsid w:val="00277A99"/>
    <w:rsid w:val="00277C96"/>
    <w:rsid w:val="00277F5D"/>
    <w:rsid w:val="0028151D"/>
    <w:rsid w:val="0028158C"/>
    <w:rsid w:val="002823B6"/>
    <w:rsid w:val="00282E08"/>
    <w:rsid w:val="00283E73"/>
    <w:rsid w:val="00285602"/>
    <w:rsid w:val="00287BB5"/>
    <w:rsid w:val="00290950"/>
    <w:rsid w:val="00290C03"/>
    <w:rsid w:val="00290D15"/>
    <w:rsid w:val="00290F60"/>
    <w:rsid w:val="00290FD3"/>
    <w:rsid w:val="00291D2F"/>
    <w:rsid w:val="00292392"/>
    <w:rsid w:val="0029255A"/>
    <w:rsid w:val="00292E37"/>
    <w:rsid w:val="00292E3B"/>
    <w:rsid w:val="002933A8"/>
    <w:rsid w:val="00293A8C"/>
    <w:rsid w:val="00293E3F"/>
    <w:rsid w:val="00293EBD"/>
    <w:rsid w:val="00294274"/>
    <w:rsid w:val="0029458F"/>
    <w:rsid w:val="00294A26"/>
    <w:rsid w:val="00295348"/>
    <w:rsid w:val="00295D04"/>
    <w:rsid w:val="002960F3"/>
    <w:rsid w:val="002962B3"/>
    <w:rsid w:val="00297A63"/>
    <w:rsid w:val="00297E46"/>
    <w:rsid w:val="002A018F"/>
    <w:rsid w:val="002A0E04"/>
    <w:rsid w:val="002A104C"/>
    <w:rsid w:val="002A1EF7"/>
    <w:rsid w:val="002A2B7B"/>
    <w:rsid w:val="002A494D"/>
    <w:rsid w:val="002A4960"/>
    <w:rsid w:val="002A5214"/>
    <w:rsid w:val="002A636A"/>
    <w:rsid w:val="002A63E8"/>
    <w:rsid w:val="002A6458"/>
    <w:rsid w:val="002A755F"/>
    <w:rsid w:val="002A7564"/>
    <w:rsid w:val="002B0AE0"/>
    <w:rsid w:val="002B0B00"/>
    <w:rsid w:val="002B0B2B"/>
    <w:rsid w:val="002B0CA8"/>
    <w:rsid w:val="002B1AE6"/>
    <w:rsid w:val="002B1D51"/>
    <w:rsid w:val="002B2DE8"/>
    <w:rsid w:val="002B2FC2"/>
    <w:rsid w:val="002B30F8"/>
    <w:rsid w:val="002B388A"/>
    <w:rsid w:val="002B3BFE"/>
    <w:rsid w:val="002B3C1A"/>
    <w:rsid w:val="002B3F2C"/>
    <w:rsid w:val="002B47CC"/>
    <w:rsid w:val="002B4C2A"/>
    <w:rsid w:val="002B5596"/>
    <w:rsid w:val="002B569E"/>
    <w:rsid w:val="002B7453"/>
    <w:rsid w:val="002B77D7"/>
    <w:rsid w:val="002C0763"/>
    <w:rsid w:val="002C1354"/>
    <w:rsid w:val="002C1540"/>
    <w:rsid w:val="002C1999"/>
    <w:rsid w:val="002C1EEE"/>
    <w:rsid w:val="002C212F"/>
    <w:rsid w:val="002C2F35"/>
    <w:rsid w:val="002C35D1"/>
    <w:rsid w:val="002C5850"/>
    <w:rsid w:val="002C59C5"/>
    <w:rsid w:val="002C5F9E"/>
    <w:rsid w:val="002C6AA9"/>
    <w:rsid w:val="002C7485"/>
    <w:rsid w:val="002D1059"/>
    <w:rsid w:val="002D1232"/>
    <w:rsid w:val="002D2641"/>
    <w:rsid w:val="002D2739"/>
    <w:rsid w:val="002D283A"/>
    <w:rsid w:val="002D2DB7"/>
    <w:rsid w:val="002D335C"/>
    <w:rsid w:val="002D4184"/>
    <w:rsid w:val="002D4543"/>
    <w:rsid w:val="002D5318"/>
    <w:rsid w:val="002D5B66"/>
    <w:rsid w:val="002D64F1"/>
    <w:rsid w:val="002D715F"/>
    <w:rsid w:val="002D7276"/>
    <w:rsid w:val="002D7E60"/>
    <w:rsid w:val="002D7F30"/>
    <w:rsid w:val="002E001E"/>
    <w:rsid w:val="002E022A"/>
    <w:rsid w:val="002E027C"/>
    <w:rsid w:val="002E0C98"/>
    <w:rsid w:val="002E20C2"/>
    <w:rsid w:val="002E2529"/>
    <w:rsid w:val="002E2A2A"/>
    <w:rsid w:val="002E3153"/>
    <w:rsid w:val="002E3FD4"/>
    <w:rsid w:val="002E463F"/>
    <w:rsid w:val="002E472C"/>
    <w:rsid w:val="002E4A02"/>
    <w:rsid w:val="002E51CF"/>
    <w:rsid w:val="002E5292"/>
    <w:rsid w:val="002E5A2A"/>
    <w:rsid w:val="002E64BE"/>
    <w:rsid w:val="002E6D51"/>
    <w:rsid w:val="002E72CA"/>
    <w:rsid w:val="002E75DD"/>
    <w:rsid w:val="002E7D0E"/>
    <w:rsid w:val="002F0A30"/>
    <w:rsid w:val="002F1D07"/>
    <w:rsid w:val="002F318C"/>
    <w:rsid w:val="002F3204"/>
    <w:rsid w:val="002F357C"/>
    <w:rsid w:val="002F3AA2"/>
    <w:rsid w:val="002F409E"/>
    <w:rsid w:val="002F41E9"/>
    <w:rsid w:val="002F4601"/>
    <w:rsid w:val="002F4703"/>
    <w:rsid w:val="002F5B16"/>
    <w:rsid w:val="002F5C5B"/>
    <w:rsid w:val="002F5D3B"/>
    <w:rsid w:val="002F600D"/>
    <w:rsid w:val="002F62E3"/>
    <w:rsid w:val="002F660A"/>
    <w:rsid w:val="002F6F0F"/>
    <w:rsid w:val="002F7E47"/>
    <w:rsid w:val="00300AD6"/>
    <w:rsid w:val="00300B1B"/>
    <w:rsid w:val="003019D0"/>
    <w:rsid w:val="003019DE"/>
    <w:rsid w:val="00301A10"/>
    <w:rsid w:val="00302902"/>
    <w:rsid w:val="0030311E"/>
    <w:rsid w:val="003032D2"/>
    <w:rsid w:val="00303CFE"/>
    <w:rsid w:val="00304070"/>
    <w:rsid w:val="0030452B"/>
    <w:rsid w:val="00304C06"/>
    <w:rsid w:val="00304E1F"/>
    <w:rsid w:val="0030526E"/>
    <w:rsid w:val="0030580D"/>
    <w:rsid w:val="00306305"/>
    <w:rsid w:val="003064AF"/>
    <w:rsid w:val="00306F52"/>
    <w:rsid w:val="00307068"/>
    <w:rsid w:val="00307DC6"/>
    <w:rsid w:val="00310707"/>
    <w:rsid w:val="00310A8B"/>
    <w:rsid w:val="00310B68"/>
    <w:rsid w:val="00310F92"/>
    <w:rsid w:val="003116B5"/>
    <w:rsid w:val="0031449E"/>
    <w:rsid w:val="00315E8F"/>
    <w:rsid w:val="003160D2"/>
    <w:rsid w:val="003163B9"/>
    <w:rsid w:val="00317268"/>
    <w:rsid w:val="003173FC"/>
    <w:rsid w:val="00317613"/>
    <w:rsid w:val="00317C6C"/>
    <w:rsid w:val="003200AB"/>
    <w:rsid w:val="003205F3"/>
    <w:rsid w:val="00320A35"/>
    <w:rsid w:val="00320A6D"/>
    <w:rsid w:val="00320B80"/>
    <w:rsid w:val="00320CD3"/>
    <w:rsid w:val="003215FF"/>
    <w:rsid w:val="003223D5"/>
    <w:rsid w:val="00322667"/>
    <w:rsid w:val="00324124"/>
    <w:rsid w:val="0032508D"/>
    <w:rsid w:val="0032607C"/>
    <w:rsid w:val="00326700"/>
    <w:rsid w:val="00326982"/>
    <w:rsid w:val="00326E79"/>
    <w:rsid w:val="0032748A"/>
    <w:rsid w:val="003301B1"/>
    <w:rsid w:val="003305B9"/>
    <w:rsid w:val="003307A6"/>
    <w:rsid w:val="00331189"/>
    <w:rsid w:val="00331A6D"/>
    <w:rsid w:val="0033226F"/>
    <w:rsid w:val="0033263D"/>
    <w:rsid w:val="0033290E"/>
    <w:rsid w:val="00332BE6"/>
    <w:rsid w:val="00332FC9"/>
    <w:rsid w:val="003335AA"/>
    <w:rsid w:val="003347C5"/>
    <w:rsid w:val="00334E35"/>
    <w:rsid w:val="00334E69"/>
    <w:rsid w:val="0033518A"/>
    <w:rsid w:val="00335535"/>
    <w:rsid w:val="003367EF"/>
    <w:rsid w:val="003369B4"/>
    <w:rsid w:val="0034030C"/>
    <w:rsid w:val="003404BC"/>
    <w:rsid w:val="003410A1"/>
    <w:rsid w:val="00341AE4"/>
    <w:rsid w:val="003425CA"/>
    <w:rsid w:val="00343FB7"/>
    <w:rsid w:val="00345E7C"/>
    <w:rsid w:val="00346912"/>
    <w:rsid w:val="00346FEC"/>
    <w:rsid w:val="003476EE"/>
    <w:rsid w:val="00350A72"/>
    <w:rsid w:val="003524E9"/>
    <w:rsid w:val="00352C97"/>
    <w:rsid w:val="00352DD5"/>
    <w:rsid w:val="00353A66"/>
    <w:rsid w:val="00353DD9"/>
    <w:rsid w:val="003541DD"/>
    <w:rsid w:val="00356AF9"/>
    <w:rsid w:val="00356C22"/>
    <w:rsid w:val="00356E5B"/>
    <w:rsid w:val="00357258"/>
    <w:rsid w:val="003603FB"/>
    <w:rsid w:val="00360887"/>
    <w:rsid w:val="00360B03"/>
    <w:rsid w:val="00361680"/>
    <w:rsid w:val="003617D7"/>
    <w:rsid w:val="00362113"/>
    <w:rsid w:val="0036249E"/>
    <w:rsid w:val="0036249F"/>
    <w:rsid w:val="00363726"/>
    <w:rsid w:val="0036433D"/>
    <w:rsid w:val="00365090"/>
    <w:rsid w:val="00365C2F"/>
    <w:rsid w:val="0036718C"/>
    <w:rsid w:val="0036745D"/>
    <w:rsid w:val="00367A44"/>
    <w:rsid w:val="003702C9"/>
    <w:rsid w:val="00371246"/>
    <w:rsid w:val="00371741"/>
    <w:rsid w:val="003736C9"/>
    <w:rsid w:val="00373847"/>
    <w:rsid w:val="0037461D"/>
    <w:rsid w:val="00374C84"/>
    <w:rsid w:val="003752AA"/>
    <w:rsid w:val="00376374"/>
    <w:rsid w:val="00380995"/>
    <w:rsid w:val="003825D8"/>
    <w:rsid w:val="00383B29"/>
    <w:rsid w:val="00383B77"/>
    <w:rsid w:val="00383D00"/>
    <w:rsid w:val="00384417"/>
    <w:rsid w:val="00384988"/>
    <w:rsid w:val="0038621E"/>
    <w:rsid w:val="00386675"/>
    <w:rsid w:val="003872CF"/>
    <w:rsid w:val="003874CB"/>
    <w:rsid w:val="003911A2"/>
    <w:rsid w:val="00391DF9"/>
    <w:rsid w:val="003929AE"/>
    <w:rsid w:val="0039377C"/>
    <w:rsid w:val="00393E8D"/>
    <w:rsid w:val="00394479"/>
    <w:rsid w:val="00394F0A"/>
    <w:rsid w:val="00395A9C"/>
    <w:rsid w:val="00395B32"/>
    <w:rsid w:val="00395D61"/>
    <w:rsid w:val="00396A4B"/>
    <w:rsid w:val="00396E08"/>
    <w:rsid w:val="003970DD"/>
    <w:rsid w:val="00397358"/>
    <w:rsid w:val="0039782C"/>
    <w:rsid w:val="00397A73"/>
    <w:rsid w:val="00397ACB"/>
    <w:rsid w:val="00397F98"/>
    <w:rsid w:val="003A13A6"/>
    <w:rsid w:val="003A1F52"/>
    <w:rsid w:val="003A2165"/>
    <w:rsid w:val="003A294D"/>
    <w:rsid w:val="003A2C1A"/>
    <w:rsid w:val="003A375D"/>
    <w:rsid w:val="003A3AF3"/>
    <w:rsid w:val="003A3FD4"/>
    <w:rsid w:val="003A586A"/>
    <w:rsid w:val="003A59FB"/>
    <w:rsid w:val="003A5B4A"/>
    <w:rsid w:val="003A5D95"/>
    <w:rsid w:val="003A6510"/>
    <w:rsid w:val="003A699D"/>
    <w:rsid w:val="003A74E2"/>
    <w:rsid w:val="003A79C3"/>
    <w:rsid w:val="003B0056"/>
    <w:rsid w:val="003B0D3A"/>
    <w:rsid w:val="003B2302"/>
    <w:rsid w:val="003B23C5"/>
    <w:rsid w:val="003B2A75"/>
    <w:rsid w:val="003B49B2"/>
    <w:rsid w:val="003B4F27"/>
    <w:rsid w:val="003B51A0"/>
    <w:rsid w:val="003B582A"/>
    <w:rsid w:val="003B5B74"/>
    <w:rsid w:val="003B5C32"/>
    <w:rsid w:val="003B6124"/>
    <w:rsid w:val="003B7960"/>
    <w:rsid w:val="003B7A3B"/>
    <w:rsid w:val="003C011B"/>
    <w:rsid w:val="003C026E"/>
    <w:rsid w:val="003C0908"/>
    <w:rsid w:val="003C093A"/>
    <w:rsid w:val="003C1818"/>
    <w:rsid w:val="003C1ECF"/>
    <w:rsid w:val="003C20B7"/>
    <w:rsid w:val="003C24F9"/>
    <w:rsid w:val="003C2FB5"/>
    <w:rsid w:val="003C371B"/>
    <w:rsid w:val="003C43EA"/>
    <w:rsid w:val="003C4A87"/>
    <w:rsid w:val="003C508C"/>
    <w:rsid w:val="003C5F98"/>
    <w:rsid w:val="003C68E7"/>
    <w:rsid w:val="003C6BDE"/>
    <w:rsid w:val="003C745B"/>
    <w:rsid w:val="003C7D96"/>
    <w:rsid w:val="003D052E"/>
    <w:rsid w:val="003D24C5"/>
    <w:rsid w:val="003D4594"/>
    <w:rsid w:val="003D4AC4"/>
    <w:rsid w:val="003D4CC2"/>
    <w:rsid w:val="003D5433"/>
    <w:rsid w:val="003D55DA"/>
    <w:rsid w:val="003D6065"/>
    <w:rsid w:val="003D63B7"/>
    <w:rsid w:val="003D74C5"/>
    <w:rsid w:val="003E1E40"/>
    <w:rsid w:val="003E2328"/>
    <w:rsid w:val="003E38AD"/>
    <w:rsid w:val="003E3EC1"/>
    <w:rsid w:val="003E432A"/>
    <w:rsid w:val="003E4374"/>
    <w:rsid w:val="003E468B"/>
    <w:rsid w:val="003E5EE8"/>
    <w:rsid w:val="003E5FEE"/>
    <w:rsid w:val="003E61CE"/>
    <w:rsid w:val="003E62BD"/>
    <w:rsid w:val="003E658D"/>
    <w:rsid w:val="003F0309"/>
    <w:rsid w:val="003F044F"/>
    <w:rsid w:val="003F0C3A"/>
    <w:rsid w:val="003F15F0"/>
    <w:rsid w:val="003F1AD5"/>
    <w:rsid w:val="003F26B3"/>
    <w:rsid w:val="003F27A6"/>
    <w:rsid w:val="003F2AD9"/>
    <w:rsid w:val="003F3228"/>
    <w:rsid w:val="003F3D22"/>
    <w:rsid w:val="003F5351"/>
    <w:rsid w:val="003F5411"/>
    <w:rsid w:val="003F57F4"/>
    <w:rsid w:val="003F5AC0"/>
    <w:rsid w:val="003F5C8C"/>
    <w:rsid w:val="003F6216"/>
    <w:rsid w:val="003F63CE"/>
    <w:rsid w:val="003F6A81"/>
    <w:rsid w:val="003F775A"/>
    <w:rsid w:val="003F7A68"/>
    <w:rsid w:val="00400042"/>
    <w:rsid w:val="004009AB"/>
    <w:rsid w:val="00400E55"/>
    <w:rsid w:val="0040128E"/>
    <w:rsid w:val="00401640"/>
    <w:rsid w:val="004019A3"/>
    <w:rsid w:val="0040216B"/>
    <w:rsid w:val="00402CD2"/>
    <w:rsid w:val="004041A9"/>
    <w:rsid w:val="004041BA"/>
    <w:rsid w:val="00404423"/>
    <w:rsid w:val="00404852"/>
    <w:rsid w:val="00405299"/>
    <w:rsid w:val="00405346"/>
    <w:rsid w:val="0040586D"/>
    <w:rsid w:val="004058F6"/>
    <w:rsid w:val="0040590E"/>
    <w:rsid w:val="004077E6"/>
    <w:rsid w:val="00407CC8"/>
    <w:rsid w:val="00407D9F"/>
    <w:rsid w:val="00410152"/>
    <w:rsid w:val="004109CF"/>
    <w:rsid w:val="004113EC"/>
    <w:rsid w:val="00411D3A"/>
    <w:rsid w:val="00412CAE"/>
    <w:rsid w:val="00412DAA"/>
    <w:rsid w:val="00412EAA"/>
    <w:rsid w:val="004131ED"/>
    <w:rsid w:val="00414C28"/>
    <w:rsid w:val="00414F0C"/>
    <w:rsid w:val="00415591"/>
    <w:rsid w:val="00415B58"/>
    <w:rsid w:val="00415DD9"/>
    <w:rsid w:val="004169D9"/>
    <w:rsid w:val="0041736A"/>
    <w:rsid w:val="00417703"/>
    <w:rsid w:val="00417E1E"/>
    <w:rsid w:val="004203E4"/>
    <w:rsid w:val="00420400"/>
    <w:rsid w:val="00420BDC"/>
    <w:rsid w:val="004225E1"/>
    <w:rsid w:val="0042344C"/>
    <w:rsid w:val="00423E78"/>
    <w:rsid w:val="00424521"/>
    <w:rsid w:val="00424CE9"/>
    <w:rsid w:val="00424E79"/>
    <w:rsid w:val="004252EC"/>
    <w:rsid w:val="0043074F"/>
    <w:rsid w:val="00430D27"/>
    <w:rsid w:val="00430D39"/>
    <w:rsid w:val="00431880"/>
    <w:rsid w:val="00431EB0"/>
    <w:rsid w:val="00432625"/>
    <w:rsid w:val="0043262B"/>
    <w:rsid w:val="004328BB"/>
    <w:rsid w:val="00432E04"/>
    <w:rsid w:val="00432EBF"/>
    <w:rsid w:val="00433F21"/>
    <w:rsid w:val="00434351"/>
    <w:rsid w:val="00435FA3"/>
    <w:rsid w:val="004363BA"/>
    <w:rsid w:val="004400A6"/>
    <w:rsid w:val="00441549"/>
    <w:rsid w:val="00441FC2"/>
    <w:rsid w:val="00442685"/>
    <w:rsid w:val="00442C91"/>
    <w:rsid w:val="00444060"/>
    <w:rsid w:val="00444E9D"/>
    <w:rsid w:val="004463E8"/>
    <w:rsid w:val="004465BD"/>
    <w:rsid w:val="00446938"/>
    <w:rsid w:val="00446DAD"/>
    <w:rsid w:val="004471C6"/>
    <w:rsid w:val="00447316"/>
    <w:rsid w:val="00447569"/>
    <w:rsid w:val="00447D64"/>
    <w:rsid w:val="004520B8"/>
    <w:rsid w:val="0045275E"/>
    <w:rsid w:val="004528FA"/>
    <w:rsid w:val="00452A6C"/>
    <w:rsid w:val="00453A58"/>
    <w:rsid w:val="00453B02"/>
    <w:rsid w:val="004541E0"/>
    <w:rsid w:val="00454518"/>
    <w:rsid w:val="004550BE"/>
    <w:rsid w:val="00455435"/>
    <w:rsid w:val="00455A53"/>
    <w:rsid w:val="004561A2"/>
    <w:rsid w:val="00457206"/>
    <w:rsid w:val="00457638"/>
    <w:rsid w:val="00457774"/>
    <w:rsid w:val="004600F5"/>
    <w:rsid w:val="00460675"/>
    <w:rsid w:val="00461A44"/>
    <w:rsid w:val="004624BA"/>
    <w:rsid w:val="00462D26"/>
    <w:rsid w:val="0046368B"/>
    <w:rsid w:val="0046385A"/>
    <w:rsid w:val="00464039"/>
    <w:rsid w:val="004643FE"/>
    <w:rsid w:val="004647DD"/>
    <w:rsid w:val="00466ADA"/>
    <w:rsid w:val="0046737B"/>
    <w:rsid w:val="004702BB"/>
    <w:rsid w:val="00471AAC"/>
    <w:rsid w:val="00471D70"/>
    <w:rsid w:val="00472074"/>
    <w:rsid w:val="0047211D"/>
    <w:rsid w:val="00472376"/>
    <w:rsid w:val="004728C9"/>
    <w:rsid w:val="004738EF"/>
    <w:rsid w:val="0047494B"/>
    <w:rsid w:val="00474BDA"/>
    <w:rsid w:val="00476245"/>
    <w:rsid w:val="004773C4"/>
    <w:rsid w:val="0047742C"/>
    <w:rsid w:val="00477992"/>
    <w:rsid w:val="00477A9B"/>
    <w:rsid w:val="00477CAB"/>
    <w:rsid w:val="00477E38"/>
    <w:rsid w:val="0048060A"/>
    <w:rsid w:val="00480CFA"/>
    <w:rsid w:val="004815F0"/>
    <w:rsid w:val="0048260F"/>
    <w:rsid w:val="00482AE4"/>
    <w:rsid w:val="00483035"/>
    <w:rsid w:val="0048325A"/>
    <w:rsid w:val="00483961"/>
    <w:rsid w:val="00485575"/>
    <w:rsid w:val="00485940"/>
    <w:rsid w:val="00486284"/>
    <w:rsid w:val="00486618"/>
    <w:rsid w:val="00486A56"/>
    <w:rsid w:val="00486C07"/>
    <w:rsid w:val="00486C95"/>
    <w:rsid w:val="004877C2"/>
    <w:rsid w:val="004904B9"/>
    <w:rsid w:val="00490CEB"/>
    <w:rsid w:val="004911CA"/>
    <w:rsid w:val="0049140A"/>
    <w:rsid w:val="00491EDC"/>
    <w:rsid w:val="004928E1"/>
    <w:rsid w:val="00492D8D"/>
    <w:rsid w:val="0049438E"/>
    <w:rsid w:val="00494906"/>
    <w:rsid w:val="00495D59"/>
    <w:rsid w:val="0049621F"/>
    <w:rsid w:val="00496662"/>
    <w:rsid w:val="004970DD"/>
    <w:rsid w:val="004A0243"/>
    <w:rsid w:val="004A0A21"/>
    <w:rsid w:val="004A0D9E"/>
    <w:rsid w:val="004A1431"/>
    <w:rsid w:val="004A2128"/>
    <w:rsid w:val="004A23B8"/>
    <w:rsid w:val="004A2484"/>
    <w:rsid w:val="004A2AA7"/>
    <w:rsid w:val="004A2D3E"/>
    <w:rsid w:val="004A2DC3"/>
    <w:rsid w:val="004A378E"/>
    <w:rsid w:val="004A55E5"/>
    <w:rsid w:val="004A597B"/>
    <w:rsid w:val="004A5A85"/>
    <w:rsid w:val="004A5EF4"/>
    <w:rsid w:val="004A693A"/>
    <w:rsid w:val="004A6D58"/>
    <w:rsid w:val="004A71D1"/>
    <w:rsid w:val="004A7575"/>
    <w:rsid w:val="004A778D"/>
    <w:rsid w:val="004A7C5B"/>
    <w:rsid w:val="004B00D8"/>
    <w:rsid w:val="004B1845"/>
    <w:rsid w:val="004B2348"/>
    <w:rsid w:val="004B2BD3"/>
    <w:rsid w:val="004B2E01"/>
    <w:rsid w:val="004B2E98"/>
    <w:rsid w:val="004B36A9"/>
    <w:rsid w:val="004B3EEE"/>
    <w:rsid w:val="004B5640"/>
    <w:rsid w:val="004B5CFF"/>
    <w:rsid w:val="004B5D32"/>
    <w:rsid w:val="004B6084"/>
    <w:rsid w:val="004B7167"/>
    <w:rsid w:val="004B792C"/>
    <w:rsid w:val="004B7C48"/>
    <w:rsid w:val="004BCF29"/>
    <w:rsid w:val="004C0206"/>
    <w:rsid w:val="004C02F1"/>
    <w:rsid w:val="004C03D0"/>
    <w:rsid w:val="004C1144"/>
    <w:rsid w:val="004C1723"/>
    <w:rsid w:val="004C1BD7"/>
    <w:rsid w:val="004C1BF2"/>
    <w:rsid w:val="004C22DA"/>
    <w:rsid w:val="004C239C"/>
    <w:rsid w:val="004C31FE"/>
    <w:rsid w:val="004C3534"/>
    <w:rsid w:val="004C3D5B"/>
    <w:rsid w:val="004C524C"/>
    <w:rsid w:val="004C5753"/>
    <w:rsid w:val="004C5EDD"/>
    <w:rsid w:val="004C5FFA"/>
    <w:rsid w:val="004C691D"/>
    <w:rsid w:val="004C6C07"/>
    <w:rsid w:val="004C7067"/>
    <w:rsid w:val="004C7E15"/>
    <w:rsid w:val="004C7EC6"/>
    <w:rsid w:val="004D1FA9"/>
    <w:rsid w:val="004D2712"/>
    <w:rsid w:val="004D2A13"/>
    <w:rsid w:val="004D2CD1"/>
    <w:rsid w:val="004D2EF0"/>
    <w:rsid w:val="004D2FB1"/>
    <w:rsid w:val="004D365C"/>
    <w:rsid w:val="004D3766"/>
    <w:rsid w:val="004D4FF6"/>
    <w:rsid w:val="004D5543"/>
    <w:rsid w:val="004D5ADD"/>
    <w:rsid w:val="004D5F0B"/>
    <w:rsid w:val="004D6088"/>
    <w:rsid w:val="004D7EDE"/>
    <w:rsid w:val="004D7F75"/>
    <w:rsid w:val="004E0CC3"/>
    <w:rsid w:val="004E0E17"/>
    <w:rsid w:val="004E1CB0"/>
    <w:rsid w:val="004E3207"/>
    <w:rsid w:val="004E3634"/>
    <w:rsid w:val="004E4238"/>
    <w:rsid w:val="004E48D4"/>
    <w:rsid w:val="004E4FA6"/>
    <w:rsid w:val="004E58AB"/>
    <w:rsid w:val="004E5F37"/>
    <w:rsid w:val="004E692D"/>
    <w:rsid w:val="004E6F87"/>
    <w:rsid w:val="004E7230"/>
    <w:rsid w:val="004E7D87"/>
    <w:rsid w:val="004F039E"/>
    <w:rsid w:val="004F0535"/>
    <w:rsid w:val="004F09AF"/>
    <w:rsid w:val="004F1142"/>
    <w:rsid w:val="004F179E"/>
    <w:rsid w:val="004F229E"/>
    <w:rsid w:val="004F2553"/>
    <w:rsid w:val="004F306A"/>
    <w:rsid w:val="004F38F6"/>
    <w:rsid w:val="004F3954"/>
    <w:rsid w:val="004F3CFA"/>
    <w:rsid w:val="004F46F1"/>
    <w:rsid w:val="004F5C84"/>
    <w:rsid w:val="004F5CF8"/>
    <w:rsid w:val="004F5E03"/>
    <w:rsid w:val="004F5E9E"/>
    <w:rsid w:val="004F6DED"/>
    <w:rsid w:val="004F7614"/>
    <w:rsid w:val="005012D2"/>
    <w:rsid w:val="00501554"/>
    <w:rsid w:val="00501A98"/>
    <w:rsid w:val="00502AFE"/>
    <w:rsid w:val="00502E64"/>
    <w:rsid w:val="00503AD7"/>
    <w:rsid w:val="00503E89"/>
    <w:rsid w:val="00504E0C"/>
    <w:rsid w:val="00504E13"/>
    <w:rsid w:val="00504FFC"/>
    <w:rsid w:val="00505ACA"/>
    <w:rsid w:val="00505C05"/>
    <w:rsid w:val="00506478"/>
    <w:rsid w:val="00506BBF"/>
    <w:rsid w:val="00506FCB"/>
    <w:rsid w:val="00507853"/>
    <w:rsid w:val="00507D13"/>
    <w:rsid w:val="005109D4"/>
    <w:rsid w:val="00510B13"/>
    <w:rsid w:val="00511F4E"/>
    <w:rsid w:val="0051230A"/>
    <w:rsid w:val="005127F3"/>
    <w:rsid w:val="00512F23"/>
    <w:rsid w:val="00512FAE"/>
    <w:rsid w:val="00513359"/>
    <w:rsid w:val="00513707"/>
    <w:rsid w:val="00514081"/>
    <w:rsid w:val="00514CD7"/>
    <w:rsid w:val="00515748"/>
    <w:rsid w:val="00515D3F"/>
    <w:rsid w:val="005167EC"/>
    <w:rsid w:val="005170C7"/>
    <w:rsid w:val="005170DA"/>
    <w:rsid w:val="00517DF0"/>
    <w:rsid w:val="00520D6A"/>
    <w:rsid w:val="0052128C"/>
    <w:rsid w:val="00521C92"/>
    <w:rsid w:val="00521FB2"/>
    <w:rsid w:val="00522DB6"/>
    <w:rsid w:val="00523847"/>
    <w:rsid w:val="00525152"/>
    <w:rsid w:val="00525DD9"/>
    <w:rsid w:val="0052604B"/>
    <w:rsid w:val="005260B4"/>
    <w:rsid w:val="005264A7"/>
    <w:rsid w:val="0052792D"/>
    <w:rsid w:val="00530BD7"/>
    <w:rsid w:val="00530D2E"/>
    <w:rsid w:val="005319B2"/>
    <w:rsid w:val="00531D56"/>
    <w:rsid w:val="00532402"/>
    <w:rsid w:val="0053264A"/>
    <w:rsid w:val="00532C74"/>
    <w:rsid w:val="0053319E"/>
    <w:rsid w:val="00533239"/>
    <w:rsid w:val="0053330D"/>
    <w:rsid w:val="00533ADD"/>
    <w:rsid w:val="00534E2E"/>
    <w:rsid w:val="00535133"/>
    <w:rsid w:val="00535142"/>
    <w:rsid w:val="005358E1"/>
    <w:rsid w:val="00535CA0"/>
    <w:rsid w:val="00536A26"/>
    <w:rsid w:val="00537033"/>
    <w:rsid w:val="005378B7"/>
    <w:rsid w:val="00537D36"/>
    <w:rsid w:val="0054064C"/>
    <w:rsid w:val="005407D1"/>
    <w:rsid w:val="00542223"/>
    <w:rsid w:val="0054297F"/>
    <w:rsid w:val="00542BBA"/>
    <w:rsid w:val="00542CE7"/>
    <w:rsid w:val="005430C3"/>
    <w:rsid w:val="00543432"/>
    <w:rsid w:val="00544552"/>
    <w:rsid w:val="00545130"/>
    <w:rsid w:val="00545E11"/>
    <w:rsid w:val="0054668A"/>
    <w:rsid w:val="00546B36"/>
    <w:rsid w:val="00547AA3"/>
    <w:rsid w:val="00547AC5"/>
    <w:rsid w:val="00550BC2"/>
    <w:rsid w:val="00551431"/>
    <w:rsid w:val="0055286A"/>
    <w:rsid w:val="00553013"/>
    <w:rsid w:val="005534C6"/>
    <w:rsid w:val="005541A7"/>
    <w:rsid w:val="00554931"/>
    <w:rsid w:val="00555745"/>
    <w:rsid w:val="00555DEF"/>
    <w:rsid w:val="0055612B"/>
    <w:rsid w:val="00556353"/>
    <w:rsid w:val="005569F0"/>
    <w:rsid w:val="00556E43"/>
    <w:rsid w:val="00557D4F"/>
    <w:rsid w:val="00560574"/>
    <w:rsid w:val="00560ED1"/>
    <w:rsid w:val="005610AE"/>
    <w:rsid w:val="0056122E"/>
    <w:rsid w:val="00561F89"/>
    <w:rsid w:val="00562A5B"/>
    <w:rsid w:val="00563352"/>
    <w:rsid w:val="00563C8D"/>
    <w:rsid w:val="005643CB"/>
    <w:rsid w:val="0056484E"/>
    <w:rsid w:val="00564DFE"/>
    <w:rsid w:val="005651CF"/>
    <w:rsid w:val="00565999"/>
    <w:rsid w:val="00566EA9"/>
    <w:rsid w:val="005679CB"/>
    <w:rsid w:val="00567D8A"/>
    <w:rsid w:val="00570231"/>
    <w:rsid w:val="00570372"/>
    <w:rsid w:val="00570602"/>
    <w:rsid w:val="005714B7"/>
    <w:rsid w:val="0057235B"/>
    <w:rsid w:val="00572F56"/>
    <w:rsid w:val="00573E11"/>
    <w:rsid w:val="00574795"/>
    <w:rsid w:val="00574DAD"/>
    <w:rsid w:val="005750E9"/>
    <w:rsid w:val="00575960"/>
    <w:rsid w:val="0057609C"/>
    <w:rsid w:val="005764CD"/>
    <w:rsid w:val="0057675E"/>
    <w:rsid w:val="0057703E"/>
    <w:rsid w:val="005772F2"/>
    <w:rsid w:val="00577534"/>
    <w:rsid w:val="00577C4D"/>
    <w:rsid w:val="00577FAC"/>
    <w:rsid w:val="00580532"/>
    <w:rsid w:val="00581932"/>
    <w:rsid w:val="00581C84"/>
    <w:rsid w:val="00583002"/>
    <w:rsid w:val="005843DB"/>
    <w:rsid w:val="00584900"/>
    <w:rsid w:val="005856E2"/>
    <w:rsid w:val="00585BA9"/>
    <w:rsid w:val="00585C67"/>
    <w:rsid w:val="005869E3"/>
    <w:rsid w:val="00586CA5"/>
    <w:rsid w:val="00587B87"/>
    <w:rsid w:val="005903BB"/>
    <w:rsid w:val="005904FE"/>
    <w:rsid w:val="005926BB"/>
    <w:rsid w:val="00593256"/>
    <w:rsid w:val="00593715"/>
    <w:rsid w:val="00593893"/>
    <w:rsid w:val="00593A7D"/>
    <w:rsid w:val="00594066"/>
    <w:rsid w:val="005940B8"/>
    <w:rsid w:val="005963BB"/>
    <w:rsid w:val="0059645C"/>
    <w:rsid w:val="005965FB"/>
    <w:rsid w:val="00596D37"/>
    <w:rsid w:val="00597F14"/>
    <w:rsid w:val="005A15D2"/>
    <w:rsid w:val="005A26C9"/>
    <w:rsid w:val="005A3173"/>
    <w:rsid w:val="005A3223"/>
    <w:rsid w:val="005A3DA3"/>
    <w:rsid w:val="005A4AEC"/>
    <w:rsid w:val="005A52C4"/>
    <w:rsid w:val="005A56FB"/>
    <w:rsid w:val="005A5827"/>
    <w:rsid w:val="005A63A1"/>
    <w:rsid w:val="005A6A8B"/>
    <w:rsid w:val="005A759F"/>
    <w:rsid w:val="005A762B"/>
    <w:rsid w:val="005A7820"/>
    <w:rsid w:val="005B0486"/>
    <w:rsid w:val="005B0C24"/>
    <w:rsid w:val="005B1032"/>
    <w:rsid w:val="005B1473"/>
    <w:rsid w:val="005B1DC5"/>
    <w:rsid w:val="005B319F"/>
    <w:rsid w:val="005B36FA"/>
    <w:rsid w:val="005B5F30"/>
    <w:rsid w:val="005B64F2"/>
    <w:rsid w:val="005B7758"/>
    <w:rsid w:val="005B7788"/>
    <w:rsid w:val="005C00B4"/>
    <w:rsid w:val="005C1D41"/>
    <w:rsid w:val="005C234D"/>
    <w:rsid w:val="005C2758"/>
    <w:rsid w:val="005C3112"/>
    <w:rsid w:val="005C3566"/>
    <w:rsid w:val="005C42BD"/>
    <w:rsid w:val="005C4F73"/>
    <w:rsid w:val="005C5184"/>
    <w:rsid w:val="005C5A03"/>
    <w:rsid w:val="005C7396"/>
    <w:rsid w:val="005C7A30"/>
    <w:rsid w:val="005D03AB"/>
    <w:rsid w:val="005D086A"/>
    <w:rsid w:val="005D0B6F"/>
    <w:rsid w:val="005D1AC9"/>
    <w:rsid w:val="005D1CAD"/>
    <w:rsid w:val="005D2274"/>
    <w:rsid w:val="005D2277"/>
    <w:rsid w:val="005D285C"/>
    <w:rsid w:val="005D3B83"/>
    <w:rsid w:val="005D401D"/>
    <w:rsid w:val="005D41E5"/>
    <w:rsid w:val="005D5017"/>
    <w:rsid w:val="005D5708"/>
    <w:rsid w:val="005D63FA"/>
    <w:rsid w:val="005D643D"/>
    <w:rsid w:val="005D6961"/>
    <w:rsid w:val="005D73C7"/>
    <w:rsid w:val="005D7C2E"/>
    <w:rsid w:val="005E0050"/>
    <w:rsid w:val="005E007F"/>
    <w:rsid w:val="005E03B5"/>
    <w:rsid w:val="005E0C2D"/>
    <w:rsid w:val="005E0D49"/>
    <w:rsid w:val="005E0D82"/>
    <w:rsid w:val="005E0F59"/>
    <w:rsid w:val="005E1285"/>
    <w:rsid w:val="005E1333"/>
    <w:rsid w:val="005E1C55"/>
    <w:rsid w:val="005E2224"/>
    <w:rsid w:val="005E3136"/>
    <w:rsid w:val="005E3CDA"/>
    <w:rsid w:val="005E507D"/>
    <w:rsid w:val="005E5782"/>
    <w:rsid w:val="005E57F2"/>
    <w:rsid w:val="005E5B55"/>
    <w:rsid w:val="005E5C97"/>
    <w:rsid w:val="005E5F09"/>
    <w:rsid w:val="005F0AD0"/>
    <w:rsid w:val="005F0C3F"/>
    <w:rsid w:val="005F25A4"/>
    <w:rsid w:val="005F3BC8"/>
    <w:rsid w:val="005F4842"/>
    <w:rsid w:val="006006E4"/>
    <w:rsid w:val="00600A18"/>
    <w:rsid w:val="00601A91"/>
    <w:rsid w:val="00602063"/>
    <w:rsid w:val="00602BA3"/>
    <w:rsid w:val="00603D65"/>
    <w:rsid w:val="006041C9"/>
    <w:rsid w:val="006054A3"/>
    <w:rsid w:val="006056DC"/>
    <w:rsid w:val="00605B63"/>
    <w:rsid w:val="00605F9A"/>
    <w:rsid w:val="00606442"/>
    <w:rsid w:val="0060691B"/>
    <w:rsid w:val="00606A7B"/>
    <w:rsid w:val="00606EED"/>
    <w:rsid w:val="00607057"/>
    <w:rsid w:val="006070D0"/>
    <w:rsid w:val="00607DDB"/>
    <w:rsid w:val="00610E7B"/>
    <w:rsid w:val="00612197"/>
    <w:rsid w:val="00612A95"/>
    <w:rsid w:val="00612E34"/>
    <w:rsid w:val="00613150"/>
    <w:rsid w:val="0061365A"/>
    <w:rsid w:val="00614159"/>
    <w:rsid w:val="0061540A"/>
    <w:rsid w:val="006158A3"/>
    <w:rsid w:val="00616C5F"/>
    <w:rsid w:val="00616DAC"/>
    <w:rsid w:val="0061763A"/>
    <w:rsid w:val="00617725"/>
    <w:rsid w:val="00617A88"/>
    <w:rsid w:val="00617BC2"/>
    <w:rsid w:val="00617C00"/>
    <w:rsid w:val="00620B2D"/>
    <w:rsid w:val="00621F90"/>
    <w:rsid w:val="0062316F"/>
    <w:rsid w:val="00624574"/>
    <w:rsid w:val="00625108"/>
    <w:rsid w:val="006254AE"/>
    <w:rsid w:val="006256B9"/>
    <w:rsid w:val="006263BF"/>
    <w:rsid w:val="00626965"/>
    <w:rsid w:val="0062748A"/>
    <w:rsid w:val="00627CF4"/>
    <w:rsid w:val="00627FCC"/>
    <w:rsid w:val="00630546"/>
    <w:rsid w:val="00630A2C"/>
    <w:rsid w:val="0063156E"/>
    <w:rsid w:val="006315EB"/>
    <w:rsid w:val="00632180"/>
    <w:rsid w:val="00632740"/>
    <w:rsid w:val="0063287A"/>
    <w:rsid w:val="00632915"/>
    <w:rsid w:val="00632CF7"/>
    <w:rsid w:val="006331D0"/>
    <w:rsid w:val="00634A75"/>
    <w:rsid w:val="006350D4"/>
    <w:rsid w:val="00635151"/>
    <w:rsid w:val="00635639"/>
    <w:rsid w:val="0063682E"/>
    <w:rsid w:val="00636D93"/>
    <w:rsid w:val="006375E1"/>
    <w:rsid w:val="0063788A"/>
    <w:rsid w:val="00637E52"/>
    <w:rsid w:val="00640088"/>
    <w:rsid w:val="00640D16"/>
    <w:rsid w:val="0064143E"/>
    <w:rsid w:val="0064151B"/>
    <w:rsid w:val="006416FD"/>
    <w:rsid w:val="00642672"/>
    <w:rsid w:val="006426B0"/>
    <w:rsid w:val="00642DA8"/>
    <w:rsid w:val="006436CD"/>
    <w:rsid w:val="00643E57"/>
    <w:rsid w:val="00644349"/>
    <w:rsid w:val="006452B1"/>
    <w:rsid w:val="00645305"/>
    <w:rsid w:val="00645A12"/>
    <w:rsid w:val="00650976"/>
    <w:rsid w:val="00651169"/>
    <w:rsid w:val="00652285"/>
    <w:rsid w:val="0065310A"/>
    <w:rsid w:val="006539CB"/>
    <w:rsid w:val="00653D69"/>
    <w:rsid w:val="006552E6"/>
    <w:rsid w:val="00655794"/>
    <w:rsid w:val="00655D85"/>
    <w:rsid w:val="006567D4"/>
    <w:rsid w:val="00656F2F"/>
    <w:rsid w:val="00657A62"/>
    <w:rsid w:val="00657C63"/>
    <w:rsid w:val="00661B68"/>
    <w:rsid w:val="00661CBC"/>
    <w:rsid w:val="00662B85"/>
    <w:rsid w:val="00663320"/>
    <w:rsid w:val="00663E23"/>
    <w:rsid w:val="00663EE9"/>
    <w:rsid w:val="00664987"/>
    <w:rsid w:val="006649C0"/>
    <w:rsid w:val="006651AA"/>
    <w:rsid w:val="00665965"/>
    <w:rsid w:val="00666847"/>
    <w:rsid w:val="006670B3"/>
    <w:rsid w:val="006670BE"/>
    <w:rsid w:val="006677B0"/>
    <w:rsid w:val="00670A76"/>
    <w:rsid w:val="006711AA"/>
    <w:rsid w:val="00672B57"/>
    <w:rsid w:val="00673F1F"/>
    <w:rsid w:val="00674030"/>
    <w:rsid w:val="0067461C"/>
    <w:rsid w:val="00674942"/>
    <w:rsid w:val="00675622"/>
    <w:rsid w:val="00675DEB"/>
    <w:rsid w:val="0067747D"/>
    <w:rsid w:val="0067788E"/>
    <w:rsid w:val="00677DCF"/>
    <w:rsid w:val="006818D5"/>
    <w:rsid w:val="00681CA4"/>
    <w:rsid w:val="00681FE6"/>
    <w:rsid w:val="00682366"/>
    <w:rsid w:val="006824A6"/>
    <w:rsid w:val="006825AF"/>
    <w:rsid w:val="006825EF"/>
    <w:rsid w:val="00686559"/>
    <w:rsid w:val="00686606"/>
    <w:rsid w:val="006901C9"/>
    <w:rsid w:val="00690238"/>
    <w:rsid w:val="0069039D"/>
    <w:rsid w:val="0069066C"/>
    <w:rsid w:val="006906DB"/>
    <w:rsid w:val="006913E5"/>
    <w:rsid w:val="00691900"/>
    <w:rsid w:val="00691A2C"/>
    <w:rsid w:val="00691E6C"/>
    <w:rsid w:val="006930F0"/>
    <w:rsid w:val="0069326F"/>
    <w:rsid w:val="00693425"/>
    <w:rsid w:val="0069342D"/>
    <w:rsid w:val="006934A1"/>
    <w:rsid w:val="00693DFB"/>
    <w:rsid w:val="00694FD5"/>
    <w:rsid w:val="0069501D"/>
    <w:rsid w:val="0069549E"/>
    <w:rsid w:val="00695B29"/>
    <w:rsid w:val="00695FB3"/>
    <w:rsid w:val="00696129"/>
    <w:rsid w:val="006972CC"/>
    <w:rsid w:val="006976CD"/>
    <w:rsid w:val="006979E5"/>
    <w:rsid w:val="00697AFD"/>
    <w:rsid w:val="00697CF2"/>
    <w:rsid w:val="006A04F4"/>
    <w:rsid w:val="006A12A5"/>
    <w:rsid w:val="006A1F16"/>
    <w:rsid w:val="006A2515"/>
    <w:rsid w:val="006A3B2A"/>
    <w:rsid w:val="006A40B5"/>
    <w:rsid w:val="006A4996"/>
    <w:rsid w:val="006A572D"/>
    <w:rsid w:val="006A5E20"/>
    <w:rsid w:val="006A63CA"/>
    <w:rsid w:val="006A6DA0"/>
    <w:rsid w:val="006A7216"/>
    <w:rsid w:val="006B0277"/>
    <w:rsid w:val="006B0C30"/>
    <w:rsid w:val="006B0D68"/>
    <w:rsid w:val="006B0D94"/>
    <w:rsid w:val="006B16B6"/>
    <w:rsid w:val="006B2DF9"/>
    <w:rsid w:val="006B485D"/>
    <w:rsid w:val="006B4A04"/>
    <w:rsid w:val="006B5849"/>
    <w:rsid w:val="006B5FD2"/>
    <w:rsid w:val="006B7DDA"/>
    <w:rsid w:val="006C021E"/>
    <w:rsid w:val="006C0C45"/>
    <w:rsid w:val="006C16E1"/>
    <w:rsid w:val="006C2806"/>
    <w:rsid w:val="006C334C"/>
    <w:rsid w:val="006C4567"/>
    <w:rsid w:val="006C5F92"/>
    <w:rsid w:val="006C6C10"/>
    <w:rsid w:val="006C708E"/>
    <w:rsid w:val="006D0201"/>
    <w:rsid w:val="006D14E7"/>
    <w:rsid w:val="006D256D"/>
    <w:rsid w:val="006D2614"/>
    <w:rsid w:val="006D26D3"/>
    <w:rsid w:val="006D3E4D"/>
    <w:rsid w:val="006D401B"/>
    <w:rsid w:val="006D42B3"/>
    <w:rsid w:val="006D4444"/>
    <w:rsid w:val="006D4670"/>
    <w:rsid w:val="006D4B7B"/>
    <w:rsid w:val="006D6493"/>
    <w:rsid w:val="006D6EC7"/>
    <w:rsid w:val="006D7456"/>
    <w:rsid w:val="006D7B05"/>
    <w:rsid w:val="006D7CAE"/>
    <w:rsid w:val="006D7E45"/>
    <w:rsid w:val="006E1143"/>
    <w:rsid w:val="006E114F"/>
    <w:rsid w:val="006E1516"/>
    <w:rsid w:val="006E190D"/>
    <w:rsid w:val="006E1BCD"/>
    <w:rsid w:val="006E2732"/>
    <w:rsid w:val="006E2F21"/>
    <w:rsid w:val="006E344A"/>
    <w:rsid w:val="006E3BC2"/>
    <w:rsid w:val="006E4221"/>
    <w:rsid w:val="006E47EC"/>
    <w:rsid w:val="006E530F"/>
    <w:rsid w:val="006E59CD"/>
    <w:rsid w:val="006F00ED"/>
    <w:rsid w:val="006F026F"/>
    <w:rsid w:val="006F0A71"/>
    <w:rsid w:val="006F1C6B"/>
    <w:rsid w:val="006F2C42"/>
    <w:rsid w:val="006F2ECE"/>
    <w:rsid w:val="006F3A4E"/>
    <w:rsid w:val="006F40C2"/>
    <w:rsid w:val="006F5125"/>
    <w:rsid w:val="006F531B"/>
    <w:rsid w:val="006F6D41"/>
    <w:rsid w:val="006F733D"/>
    <w:rsid w:val="006F7808"/>
    <w:rsid w:val="006F7A15"/>
    <w:rsid w:val="006F7F46"/>
    <w:rsid w:val="00700765"/>
    <w:rsid w:val="00700889"/>
    <w:rsid w:val="00701276"/>
    <w:rsid w:val="007018D7"/>
    <w:rsid w:val="00702959"/>
    <w:rsid w:val="00702B6F"/>
    <w:rsid w:val="00702CF3"/>
    <w:rsid w:val="007030B4"/>
    <w:rsid w:val="00703B86"/>
    <w:rsid w:val="00704069"/>
    <w:rsid w:val="00705424"/>
    <w:rsid w:val="007065CE"/>
    <w:rsid w:val="00706A2F"/>
    <w:rsid w:val="00706F09"/>
    <w:rsid w:val="00707081"/>
    <w:rsid w:val="0070718E"/>
    <w:rsid w:val="00707E52"/>
    <w:rsid w:val="00710259"/>
    <w:rsid w:val="0071031F"/>
    <w:rsid w:val="0071050B"/>
    <w:rsid w:val="007105FE"/>
    <w:rsid w:val="00710737"/>
    <w:rsid w:val="00711C1A"/>
    <w:rsid w:val="00712657"/>
    <w:rsid w:val="007132D5"/>
    <w:rsid w:val="0071340B"/>
    <w:rsid w:val="00713C50"/>
    <w:rsid w:val="0071436D"/>
    <w:rsid w:val="0071508D"/>
    <w:rsid w:val="00715190"/>
    <w:rsid w:val="0071574E"/>
    <w:rsid w:val="00715BBB"/>
    <w:rsid w:val="00716D51"/>
    <w:rsid w:val="007174BB"/>
    <w:rsid w:val="00717740"/>
    <w:rsid w:val="00717787"/>
    <w:rsid w:val="00717B94"/>
    <w:rsid w:val="00717E26"/>
    <w:rsid w:val="0072025D"/>
    <w:rsid w:val="007205D2"/>
    <w:rsid w:val="0072217E"/>
    <w:rsid w:val="0072281C"/>
    <w:rsid w:val="00723328"/>
    <w:rsid w:val="007237DE"/>
    <w:rsid w:val="00724B8B"/>
    <w:rsid w:val="0072502E"/>
    <w:rsid w:val="00726E8C"/>
    <w:rsid w:val="00726F5E"/>
    <w:rsid w:val="007273EB"/>
    <w:rsid w:val="0073137C"/>
    <w:rsid w:val="00732261"/>
    <w:rsid w:val="0073273D"/>
    <w:rsid w:val="007338F3"/>
    <w:rsid w:val="007340B9"/>
    <w:rsid w:val="00734A30"/>
    <w:rsid w:val="007353D3"/>
    <w:rsid w:val="00735BEA"/>
    <w:rsid w:val="00735D24"/>
    <w:rsid w:val="00735FFC"/>
    <w:rsid w:val="00736DDA"/>
    <w:rsid w:val="0073736F"/>
    <w:rsid w:val="0073776C"/>
    <w:rsid w:val="00737D4B"/>
    <w:rsid w:val="00741251"/>
    <w:rsid w:val="0074156B"/>
    <w:rsid w:val="00741619"/>
    <w:rsid w:val="007423A8"/>
    <w:rsid w:val="00742885"/>
    <w:rsid w:val="00743E07"/>
    <w:rsid w:val="0074505E"/>
    <w:rsid w:val="00745E7A"/>
    <w:rsid w:val="0074626E"/>
    <w:rsid w:val="00747092"/>
    <w:rsid w:val="00747499"/>
    <w:rsid w:val="007477FF"/>
    <w:rsid w:val="007478EF"/>
    <w:rsid w:val="007502D6"/>
    <w:rsid w:val="00751F87"/>
    <w:rsid w:val="00751FA1"/>
    <w:rsid w:val="007520A5"/>
    <w:rsid w:val="007526E6"/>
    <w:rsid w:val="00753EA2"/>
    <w:rsid w:val="00753EBD"/>
    <w:rsid w:val="00754568"/>
    <w:rsid w:val="00754C18"/>
    <w:rsid w:val="00754DF9"/>
    <w:rsid w:val="0075552D"/>
    <w:rsid w:val="007555E8"/>
    <w:rsid w:val="00755CC5"/>
    <w:rsid w:val="00755D18"/>
    <w:rsid w:val="007568A0"/>
    <w:rsid w:val="0076159E"/>
    <w:rsid w:val="007615F8"/>
    <w:rsid w:val="00762862"/>
    <w:rsid w:val="007636E5"/>
    <w:rsid w:val="007637B8"/>
    <w:rsid w:val="00764001"/>
    <w:rsid w:val="0076420C"/>
    <w:rsid w:val="00764428"/>
    <w:rsid w:val="00766B1A"/>
    <w:rsid w:val="00767F2B"/>
    <w:rsid w:val="0077053F"/>
    <w:rsid w:val="007713B9"/>
    <w:rsid w:val="00771704"/>
    <w:rsid w:val="00771D07"/>
    <w:rsid w:val="007725AB"/>
    <w:rsid w:val="00772649"/>
    <w:rsid w:val="00772805"/>
    <w:rsid w:val="00772F5D"/>
    <w:rsid w:val="00773169"/>
    <w:rsid w:val="00773BE3"/>
    <w:rsid w:val="007743DD"/>
    <w:rsid w:val="00774E2C"/>
    <w:rsid w:val="0077503C"/>
    <w:rsid w:val="0077518D"/>
    <w:rsid w:val="007753C2"/>
    <w:rsid w:val="00775825"/>
    <w:rsid w:val="00776068"/>
    <w:rsid w:val="007769BE"/>
    <w:rsid w:val="0078018B"/>
    <w:rsid w:val="007809B9"/>
    <w:rsid w:val="007810C5"/>
    <w:rsid w:val="00781BE9"/>
    <w:rsid w:val="00781EE6"/>
    <w:rsid w:val="007821C4"/>
    <w:rsid w:val="0078254C"/>
    <w:rsid w:val="00783000"/>
    <w:rsid w:val="007830DD"/>
    <w:rsid w:val="007838B8"/>
    <w:rsid w:val="0078400C"/>
    <w:rsid w:val="007841DE"/>
    <w:rsid w:val="00784703"/>
    <w:rsid w:val="00784728"/>
    <w:rsid w:val="00784822"/>
    <w:rsid w:val="0078529B"/>
    <w:rsid w:val="00785779"/>
    <w:rsid w:val="007860E7"/>
    <w:rsid w:val="007879FB"/>
    <w:rsid w:val="00787EC9"/>
    <w:rsid w:val="00787FD8"/>
    <w:rsid w:val="0079030F"/>
    <w:rsid w:val="0079082E"/>
    <w:rsid w:val="007908C1"/>
    <w:rsid w:val="00791173"/>
    <w:rsid w:val="007915B2"/>
    <w:rsid w:val="007915BA"/>
    <w:rsid w:val="00791672"/>
    <w:rsid w:val="00791844"/>
    <w:rsid w:val="0079250E"/>
    <w:rsid w:val="007934A2"/>
    <w:rsid w:val="00793CE9"/>
    <w:rsid w:val="00794359"/>
    <w:rsid w:val="0079466D"/>
    <w:rsid w:val="00794B47"/>
    <w:rsid w:val="00796052"/>
    <w:rsid w:val="0079663A"/>
    <w:rsid w:val="00796667"/>
    <w:rsid w:val="00796983"/>
    <w:rsid w:val="00796A29"/>
    <w:rsid w:val="00797068"/>
    <w:rsid w:val="007974E5"/>
    <w:rsid w:val="007979BD"/>
    <w:rsid w:val="007A0A93"/>
    <w:rsid w:val="007A0CF5"/>
    <w:rsid w:val="007A0F00"/>
    <w:rsid w:val="007A22C4"/>
    <w:rsid w:val="007A2731"/>
    <w:rsid w:val="007A3D8E"/>
    <w:rsid w:val="007A440B"/>
    <w:rsid w:val="007A5593"/>
    <w:rsid w:val="007A5622"/>
    <w:rsid w:val="007A5C88"/>
    <w:rsid w:val="007A6A2F"/>
    <w:rsid w:val="007B024E"/>
    <w:rsid w:val="007B3BAF"/>
    <w:rsid w:val="007B3BF4"/>
    <w:rsid w:val="007B3DDC"/>
    <w:rsid w:val="007B44D2"/>
    <w:rsid w:val="007B5246"/>
    <w:rsid w:val="007B55A4"/>
    <w:rsid w:val="007B5701"/>
    <w:rsid w:val="007B5E08"/>
    <w:rsid w:val="007B6822"/>
    <w:rsid w:val="007B6FEC"/>
    <w:rsid w:val="007B72A6"/>
    <w:rsid w:val="007B75D9"/>
    <w:rsid w:val="007B7A88"/>
    <w:rsid w:val="007B7D3F"/>
    <w:rsid w:val="007B7F46"/>
    <w:rsid w:val="007C0139"/>
    <w:rsid w:val="007C065B"/>
    <w:rsid w:val="007C06D2"/>
    <w:rsid w:val="007C08E0"/>
    <w:rsid w:val="007C0F57"/>
    <w:rsid w:val="007C17BA"/>
    <w:rsid w:val="007C1CA9"/>
    <w:rsid w:val="007C2F4B"/>
    <w:rsid w:val="007C3085"/>
    <w:rsid w:val="007C389D"/>
    <w:rsid w:val="007C38B7"/>
    <w:rsid w:val="007C40B6"/>
    <w:rsid w:val="007C47B1"/>
    <w:rsid w:val="007C5433"/>
    <w:rsid w:val="007C5720"/>
    <w:rsid w:val="007C5975"/>
    <w:rsid w:val="007C60E5"/>
    <w:rsid w:val="007C68F6"/>
    <w:rsid w:val="007C6D9A"/>
    <w:rsid w:val="007C6F8E"/>
    <w:rsid w:val="007C729F"/>
    <w:rsid w:val="007C72AD"/>
    <w:rsid w:val="007C74E3"/>
    <w:rsid w:val="007D13AF"/>
    <w:rsid w:val="007D1A6F"/>
    <w:rsid w:val="007D1F5A"/>
    <w:rsid w:val="007D279B"/>
    <w:rsid w:val="007D2DA1"/>
    <w:rsid w:val="007D346B"/>
    <w:rsid w:val="007D3911"/>
    <w:rsid w:val="007D3DFA"/>
    <w:rsid w:val="007D503D"/>
    <w:rsid w:val="007D5071"/>
    <w:rsid w:val="007D59E7"/>
    <w:rsid w:val="007D5F2A"/>
    <w:rsid w:val="007E07AC"/>
    <w:rsid w:val="007E1014"/>
    <w:rsid w:val="007E12F8"/>
    <w:rsid w:val="007E14B4"/>
    <w:rsid w:val="007E14EB"/>
    <w:rsid w:val="007E1673"/>
    <w:rsid w:val="007E1D28"/>
    <w:rsid w:val="007E2519"/>
    <w:rsid w:val="007E2ADD"/>
    <w:rsid w:val="007E2DD8"/>
    <w:rsid w:val="007E3D6F"/>
    <w:rsid w:val="007E3F9A"/>
    <w:rsid w:val="007E4564"/>
    <w:rsid w:val="007E4820"/>
    <w:rsid w:val="007E490F"/>
    <w:rsid w:val="007E5B24"/>
    <w:rsid w:val="007E6533"/>
    <w:rsid w:val="007E6D1F"/>
    <w:rsid w:val="007E703A"/>
    <w:rsid w:val="007F0021"/>
    <w:rsid w:val="007F1007"/>
    <w:rsid w:val="007F1690"/>
    <w:rsid w:val="007F260A"/>
    <w:rsid w:val="007F2641"/>
    <w:rsid w:val="007F3D93"/>
    <w:rsid w:val="007F40F2"/>
    <w:rsid w:val="007F4C13"/>
    <w:rsid w:val="007F531A"/>
    <w:rsid w:val="007F6520"/>
    <w:rsid w:val="007F6B0D"/>
    <w:rsid w:val="007F7C36"/>
    <w:rsid w:val="007F7F45"/>
    <w:rsid w:val="0080001F"/>
    <w:rsid w:val="00800E5A"/>
    <w:rsid w:val="00801958"/>
    <w:rsid w:val="008028A7"/>
    <w:rsid w:val="00803629"/>
    <w:rsid w:val="008043DE"/>
    <w:rsid w:val="008049CB"/>
    <w:rsid w:val="008055AF"/>
    <w:rsid w:val="008057CD"/>
    <w:rsid w:val="0080593E"/>
    <w:rsid w:val="00805E8C"/>
    <w:rsid w:val="008060CB"/>
    <w:rsid w:val="00806305"/>
    <w:rsid w:val="00806590"/>
    <w:rsid w:val="008065A5"/>
    <w:rsid w:val="008066B8"/>
    <w:rsid w:val="00806796"/>
    <w:rsid w:val="008069BD"/>
    <w:rsid w:val="00806EF4"/>
    <w:rsid w:val="00807E2E"/>
    <w:rsid w:val="00810167"/>
    <w:rsid w:val="008104D0"/>
    <w:rsid w:val="00810B12"/>
    <w:rsid w:val="00811CC0"/>
    <w:rsid w:val="0081218E"/>
    <w:rsid w:val="008133C1"/>
    <w:rsid w:val="0081345F"/>
    <w:rsid w:val="00813A92"/>
    <w:rsid w:val="00814276"/>
    <w:rsid w:val="00814314"/>
    <w:rsid w:val="0081435D"/>
    <w:rsid w:val="008151D6"/>
    <w:rsid w:val="00815C02"/>
    <w:rsid w:val="00816322"/>
    <w:rsid w:val="00816F4C"/>
    <w:rsid w:val="008206B6"/>
    <w:rsid w:val="00820803"/>
    <w:rsid w:val="00820CA9"/>
    <w:rsid w:val="00820D6E"/>
    <w:rsid w:val="00821527"/>
    <w:rsid w:val="00821F86"/>
    <w:rsid w:val="0082215C"/>
    <w:rsid w:val="00822162"/>
    <w:rsid w:val="008225CE"/>
    <w:rsid w:val="00822696"/>
    <w:rsid w:val="008232DD"/>
    <w:rsid w:val="00823302"/>
    <w:rsid w:val="00825A6C"/>
    <w:rsid w:val="0082617E"/>
    <w:rsid w:val="008268BB"/>
    <w:rsid w:val="00826D76"/>
    <w:rsid w:val="00826F6D"/>
    <w:rsid w:val="00827097"/>
    <w:rsid w:val="008306F3"/>
    <w:rsid w:val="00830824"/>
    <w:rsid w:val="00830E40"/>
    <w:rsid w:val="00831B88"/>
    <w:rsid w:val="00831DC6"/>
    <w:rsid w:val="00832D9A"/>
    <w:rsid w:val="00834475"/>
    <w:rsid w:val="008353E5"/>
    <w:rsid w:val="00835C0E"/>
    <w:rsid w:val="00835C62"/>
    <w:rsid w:val="008363FC"/>
    <w:rsid w:val="008368A1"/>
    <w:rsid w:val="00837643"/>
    <w:rsid w:val="00837B7F"/>
    <w:rsid w:val="008404E4"/>
    <w:rsid w:val="00840EF7"/>
    <w:rsid w:val="0084164F"/>
    <w:rsid w:val="00841C7F"/>
    <w:rsid w:val="008420DC"/>
    <w:rsid w:val="00843DEB"/>
    <w:rsid w:val="00844662"/>
    <w:rsid w:val="00844C0A"/>
    <w:rsid w:val="00844E66"/>
    <w:rsid w:val="00844FD0"/>
    <w:rsid w:val="0084583A"/>
    <w:rsid w:val="00846056"/>
    <w:rsid w:val="00846438"/>
    <w:rsid w:val="0084681F"/>
    <w:rsid w:val="00846D26"/>
    <w:rsid w:val="00846D45"/>
    <w:rsid w:val="00846F34"/>
    <w:rsid w:val="008476A8"/>
    <w:rsid w:val="00847C00"/>
    <w:rsid w:val="00847D08"/>
    <w:rsid w:val="00847EC0"/>
    <w:rsid w:val="0085037E"/>
    <w:rsid w:val="008508EF"/>
    <w:rsid w:val="008541BD"/>
    <w:rsid w:val="00854506"/>
    <w:rsid w:val="008555DB"/>
    <w:rsid w:val="00855689"/>
    <w:rsid w:val="00855FD6"/>
    <w:rsid w:val="008565AF"/>
    <w:rsid w:val="00856DDD"/>
    <w:rsid w:val="00860156"/>
    <w:rsid w:val="00860233"/>
    <w:rsid w:val="00860960"/>
    <w:rsid w:val="00863E68"/>
    <w:rsid w:val="00864380"/>
    <w:rsid w:val="00864654"/>
    <w:rsid w:val="008647B5"/>
    <w:rsid w:val="00864A11"/>
    <w:rsid w:val="008664A8"/>
    <w:rsid w:val="00867403"/>
    <w:rsid w:val="008679DE"/>
    <w:rsid w:val="00867C90"/>
    <w:rsid w:val="00867D64"/>
    <w:rsid w:val="00867D85"/>
    <w:rsid w:val="00870C8B"/>
    <w:rsid w:val="00870EA8"/>
    <w:rsid w:val="0087148B"/>
    <w:rsid w:val="00871D53"/>
    <w:rsid w:val="008726BE"/>
    <w:rsid w:val="00872E8F"/>
    <w:rsid w:val="00873063"/>
    <w:rsid w:val="00873441"/>
    <w:rsid w:val="0087376E"/>
    <w:rsid w:val="00873CC0"/>
    <w:rsid w:val="008749B1"/>
    <w:rsid w:val="00875DCB"/>
    <w:rsid w:val="00876FBF"/>
    <w:rsid w:val="0087755A"/>
    <w:rsid w:val="0088039C"/>
    <w:rsid w:val="00880B74"/>
    <w:rsid w:val="00880C1F"/>
    <w:rsid w:val="00882085"/>
    <w:rsid w:val="008821CC"/>
    <w:rsid w:val="00883188"/>
    <w:rsid w:val="00884A0C"/>
    <w:rsid w:val="008850E1"/>
    <w:rsid w:val="00886327"/>
    <w:rsid w:val="00886ACA"/>
    <w:rsid w:val="00886B01"/>
    <w:rsid w:val="00887346"/>
    <w:rsid w:val="0089031E"/>
    <w:rsid w:val="0089055C"/>
    <w:rsid w:val="0089109A"/>
    <w:rsid w:val="0089207C"/>
    <w:rsid w:val="008923B2"/>
    <w:rsid w:val="00893C9F"/>
    <w:rsid w:val="00893D5C"/>
    <w:rsid w:val="008944D2"/>
    <w:rsid w:val="008945CB"/>
    <w:rsid w:val="0089460B"/>
    <w:rsid w:val="00894B7D"/>
    <w:rsid w:val="00895B58"/>
    <w:rsid w:val="00896C22"/>
    <w:rsid w:val="008977CB"/>
    <w:rsid w:val="00897AF1"/>
    <w:rsid w:val="00897D58"/>
    <w:rsid w:val="00897EC8"/>
    <w:rsid w:val="00897F22"/>
    <w:rsid w:val="008A050E"/>
    <w:rsid w:val="008A0A2E"/>
    <w:rsid w:val="008A0B39"/>
    <w:rsid w:val="008A17A3"/>
    <w:rsid w:val="008A1956"/>
    <w:rsid w:val="008A1E85"/>
    <w:rsid w:val="008A2419"/>
    <w:rsid w:val="008A2E2D"/>
    <w:rsid w:val="008A4937"/>
    <w:rsid w:val="008A50F1"/>
    <w:rsid w:val="008A53C7"/>
    <w:rsid w:val="008A59D9"/>
    <w:rsid w:val="008A643E"/>
    <w:rsid w:val="008A6819"/>
    <w:rsid w:val="008A6E89"/>
    <w:rsid w:val="008A73E3"/>
    <w:rsid w:val="008B007A"/>
    <w:rsid w:val="008B0C61"/>
    <w:rsid w:val="008B1B38"/>
    <w:rsid w:val="008B2D1E"/>
    <w:rsid w:val="008B2EC0"/>
    <w:rsid w:val="008B3552"/>
    <w:rsid w:val="008B3AA9"/>
    <w:rsid w:val="008B5CA0"/>
    <w:rsid w:val="008B6DCF"/>
    <w:rsid w:val="008B7743"/>
    <w:rsid w:val="008C05A9"/>
    <w:rsid w:val="008C0B0E"/>
    <w:rsid w:val="008C0CB2"/>
    <w:rsid w:val="008C15E4"/>
    <w:rsid w:val="008C1C0F"/>
    <w:rsid w:val="008C2A69"/>
    <w:rsid w:val="008C2E35"/>
    <w:rsid w:val="008C448C"/>
    <w:rsid w:val="008C4D49"/>
    <w:rsid w:val="008C7F14"/>
    <w:rsid w:val="008C7FA1"/>
    <w:rsid w:val="008D00A6"/>
    <w:rsid w:val="008D033F"/>
    <w:rsid w:val="008D0358"/>
    <w:rsid w:val="008D0531"/>
    <w:rsid w:val="008D066F"/>
    <w:rsid w:val="008D0945"/>
    <w:rsid w:val="008D1409"/>
    <w:rsid w:val="008D1473"/>
    <w:rsid w:val="008D15CC"/>
    <w:rsid w:val="008D1729"/>
    <w:rsid w:val="008D1B5C"/>
    <w:rsid w:val="008D20B0"/>
    <w:rsid w:val="008D37FF"/>
    <w:rsid w:val="008D3B28"/>
    <w:rsid w:val="008D3C82"/>
    <w:rsid w:val="008D3FD1"/>
    <w:rsid w:val="008D447E"/>
    <w:rsid w:val="008D4A88"/>
    <w:rsid w:val="008D5053"/>
    <w:rsid w:val="008D5811"/>
    <w:rsid w:val="008D606A"/>
    <w:rsid w:val="008D6ACF"/>
    <w:rsid w:val="008D6FB2"/>
    <w:rsid w:val="008D7A41"/>
    <w:rsid w:val="008D7B8E"/>
    <w:rsid w:val="008E039B"/>
    <w:rsid w:val="008E0699"/>
    <w:rsid w:val="008E1AA1"/>
    <w:rsid w:val="008E2C72"/>
    <w:rsid w:val="008E3520"/>
    <w:rsid w:val="008E3680"/>
    <w:rsid w:val="008E37A3"/>
    <w:rsid w:val="008E402D"/>
    <w:rsid w:val="008E4F87"/>
    <w:rsid w:val="008E53CE"/>
    <w:rsid w:val="008E5870"/>
    <w:rsid w:val="008E629A"/>
    <w:rsid w:val="008E62DB"/>
    <w:rsid w:val="008E77E4"/>
    <w:rsid w:val="008F0213"/>
    <w:rsid w:val="008F07ED"/>
    <w:rsid w:val="008F11F8"/>
    <w:rsid w:val="008F1434"/>
    <w:rsid w:val="008F1E3E"/>
    <w:rsid w:val="008F1E41"/>
    <w:rsid w:val="008F2BB9"/>
    <w:rsid w:val="008F386F"/>
    <w:rsid w:val="008F3D6A"/>
    <w:rsid w:val="008F3E2B"/>
    <w:rsid w:val="008F42DA"/>
    <w:rsid w:val="008F4BC5"/>
    <w:rsid w:val="008F54C3"/>
    <w:rsid w:val="008F564E"/>
    <w:rsid w:val="008F6AE1"/>
    <w:rsid w:val="008F6C8F"/>
    <w:rsid w:val="008F7355"/>
    <w:rsid w:val="0090009C"/>
    <w:rsid w:val="0090130A"/>
    <w:rsid w:val="00901344"/>
    <w:rsid w:val="0090201A"/>
    <w:rsid w:val="009023DC"/>
    <w:rsid w:val="009027C5"/>
    <w:rsid w:val="009028F0"/>
    <w:rsid w:val="0090302A"/>
    <w:rsid w:val="00904413"/>
    <w:rsid w:val="00905257"/>
    <w:rsid w:val="009067B7"/>
    <w:rsid w:val="009067F9"/>
    <w:rsid w:val="00906E7A"/>
    <w:rsid w:val="00906E7F"/>
    <w:rsid w:val="009076B4"/>
    <w:rsid w:val="0090775A"/>
    <w:rsid w:val="00907DFD"/>
    <w:rsid w:val="009100AA"/>
    <w:rsid w:val="00910195"/>
    <w:rsid w:val="009117D2"/>
    <w:rsid w:val="00911B48"/>
    <w:rsid w:val="00912399"/>
    <w:rsid w:val="00913830"/>
    <w:rsid w:val="00913C99"/>
    <w:rsid w:val="009152CE"/>
    <w:rsid w:val="009154BA"/>
    <w:rsid w:val="00915C8C"/>
    <w:rsid w:val="009168CC"/>
    <w:rsid w:val="009177D8"/>
    <w:rsid w:val="00917800"/>
    <w:rsid w:val="00917D69"/>
    <w:rsid w:val="00920B6D"/>
    <w:rsid w:val="00920F91"/>
    <w:rsid w:val="0092112F"/>
    <w:rsid w:val="009225C6"/>
    <w:rsid w:val="00922FA5"/>
    <w:rsid w:val="00923317"/>
    <w:rsid w:val="00923C2F"/>
    <w:rsid w:val="0092407E"/>
    <w:rsid w:val="00924BE1"/>
    <w:rsid w:val="00925905"/>
    <w:rsid w:val="00925D42"/>
    <w:rsid w:val="00925E76"/>
    <w:rsid w:val="00926560"/>
    <w:rsid w:val="009269D3"/>
    <w:rsid w:val="00926B15"/>
    <w:rsid w:val="00927890"/>
    <w:rsid w:val="00930291"/>
    <w:rsid w:val="00930937"/>
    <w:rsid w:val="009310A5"/>
    <w:rsid w:val="009317A2"/>
    <w:rsid w:val="009324A6"/>
    <w:rsid w:val="00933B7D"/>
    <w:rsid w:val="00933E6C"/>
    <w:rsid w:val="00934CFC"/>
    <w:rsid w:val="00935183"/>
    <w:rsid w:val="00935419"/>
    <w:rsid w:val="00935A6E"/>
    <w:rsid w:val="009373D1"/>
    <w:rsid w:val="00937958"/>
    <w:rsid w:val="00937AB4"/>
    <w:rsid w:val="009401B4"/>
    <w:rsid w:val="009403C9"/>
    <w:rsid w:val="00940529"/>
    <w:rsid w:val="009406E5"/>
    <w:rsid w:val="00940778"/>
    <w:rsid w:val="00941602"/>
    <w:rsid w:val="00942160"/>
    <w:rsid w:val="00943C2A"/>
    <w:rsid w:val="00943F2B"/>
    <w:rsid w:val="009447A5"/>
    <w:rsid w:val="009448AE"/>
    <w:rsid w:val="00945B61"/>
    <w:rsid w:val="009467FE"/>
    <w:rsid w:val="00946885"/>
    <w:rsid w:val="00946921"/>
    <w:rsid w:val="009469D0"/>
    <w:rsid w:val="00946C85"/>
    <w:rsid w:val="00947343"/>
    <w:rsid w:val="00950364"/>
    <w:rsid w:val="00950669"/>
    <w:rsid w:val="0095146F"/>
    <w:rsid w:val="00951920"/>
    <w:rsid w:val="00951F2D"/>
    <w:rsid w:val="00952839"/>
    <w:rsid w:val="0095344C"/>
    <w:rsid w:val="009534C7"/>
    <w:rsid w:val="00954315"/>
    <w:rsid w:val="009546C2"/>
    <w:rsid w:val="009556CB"/>
    <w:rsid w:val="00955B36"/>
    <w:rsid w:val="00955CA8"/>
    <w:rsid w:val="00957944"/>
    <w:rsid w:val="009602C5"/>
    <w:rsid w:val="0096103A"/>
    <w:rsid w:val="00961077"/>
    <w:rsid w:val="0096155A"/>
    <w:rsid w:val="00961ACD"/>
    <w:rsid w:val="00962223"/>
    <w:rsid w:val="0096230D"/>
    <w:rsid w:val="0096252B"/>
    <w:rsid w:val="00962EBA"/>
    <w:rsid w:val="00963D56"/>
    <w:rsid w:val="009644D9"/>
    <w:rsid w:val="00964A9F"/>
    <w:rsid w:val="009658F6"/>
    <w:rsid w:val="00966D0D"/>
    <w:rsid w:val="0096744F"/>
    <w:rsid w:val="009675DB"/>
    <w:rsid w:val="00967732"/>
    <w:rsid w:val="0096783C"/>
    <w:rsid w:val="00970023"/>
    <w:rsid w:val="00970600"/>
    <w:rsid w:val="00971AF5"/>
    <w:rsid w:val="009722B3"/>
    <w:rsid w:val="009727F3"/>
    <w:rsid w:val="009731E3"/>
    <w:rsid w:val="00973514"/>
    <w:rsid w:val="00973E24"/>
    <w:rsid w:val="0097478F"/>
    <w:rsid w:val="00974C21"/>
    <w:rsid w:val="00974D5F"/>
    <w:rsid w:val="00974F41"/>
    <w:rsid w:val="00975624"/>
    <w:rsid w:val="00975948"/>
    <w:rsid w:val="00975D7A"/>
    <w:rsid w:val="009765A8"/>
    <w:rsid w:val="009772FD"/>
    <w:rsid w:val="00977BF3"/>
    <w:rsid w:val="00977CAB"/>
    <w:rsid w:val="009803E4"/>
    <w:rsid w:val="00980B0E"/>
    <w:rsid w:val="00981336"/>
    <w:rsid w:val="00982B39"/>
    <w:rsid w:val="00983418"/>
    <w:rsid w:val="009836A3"/>
    <w:rsid w:val="009848A9"/>
    <w:rsid w:val="00984C58"/>
    <w:rsid w:val="009855A8"/>
    <w:rsid w:val="00985CBE"/>
    <w:rsid w:val="00985D1A"/>
    <w:rsid w:val="0098616A"/>
    <w:rsid w:val="0098741D"/>
    <w:rsid w:val="00987838"/>
    <w:rsid w:val="00990CF8"/>
    <w:rsid w:val="00990FCE"/>
    <w:rsid w:val="009913F4"/>
    <w:rsid w:val="00991782"/>
    <w:rsid w:val="00992621"/>
    <w:rsid w:val="00992EDB"/>
    <w:rsid w:val="009937F7"/>
    <w:rsid w:val="009945B1"/>
    <w:rsid w:val="0099465B"/>
    <w:rsid w:val="009951A1"/>
    <w:rsid w:val="00997A44"/>
    <w:rsid w:val="009A0CDD"/>
    <w:rsid w:val="009A3168"/>
    <w:rsid w:val="009A32F5"/>
    <w:rsid w:val="009A458A"/>
    <w:rsid w:val="009A4621"/>
    <w:rsid w:val="009A49B3"/>
    <w:rsid w:val="009A4BDF"/>
    <w:rsid w:val="009A5D04"/>
    <w:rsid w:val="009A600D"/>
    <w:rsid w:val="009A61CA"/>
    <w:rsid w:val="009A6C67"/>
    <w:rsid w:val="009B0062"/>
    <w:rsid w:val="009B02C0"/>
    <w:rsid w:val="009B04DA"/>
    <w:rsid w:val="009B0C64"/>
    <w:rsid w:val="009B0F67"/>
    <w:rsid w:val="009B10C2"/>
    <w:rsid w:val="009B208A"/>
    <w:rsid w:val="009B2125"/>
    <w:rsid w:val="009B2550"/>
    <w:rsid w:val="009B2756"/>
    <w:rsid w:val="009B2C31"/>
    <w:rsid w:val="009B304B"/>
    <w:rsid w:val="009B393A"/>
    <w:rsid w:val="009B3D56"/>
    <w:rsid w:val="009B3F8C"/>
    <w:rsid w:val="009B533B"/>
    <w:rsid w:val="009B546B"/>
    <w:rsid w:val="009B6AF8"/>
    <w:rsid w:val="009C01B9"/>
    <w:rsid w:val="009C045A"/>
    <w:rsid w:val="009C0F3C"/>
    <w:rsid w:val="009C2466"/>
    <w:rsid w:val="009C26AA"/>
    <w:rsid w:val="009C2CBD"/>
    <w:rsid w:val="009C2EB9"/>
    <w:rsid w:val="009C2FFF"/>
    <w:rsid w:val="009C3EE6"/>
    <w:rsid w:val="009C4A59"/>
    <w:rsid w:val="009C5305"/>
    <w:rsid w:val="009C531D"/>
    <w:rsid w:val="009C5C4B"/>
    <w:rsid w:val="009C656F"/>
    <w:rsid w:val="009C6F87"/>
    <w:rsid w:val="009C703C"/>
    <w:rsid w:val="009C752B"/>
    <w:rsid w:val="009C79A4"/>
    <w:rsid w:val="009D034B"/>
    <w:rsid w:val="009D07B9"/>
    <w:rsid w:val="009D0C29"/>
    <w:rsid w:val="009D0F7F"/>
    <w:rsid w:val="009D1799"/>
    <w:rsid w:val="009D1D76"/>
    <w:rsid w:val="009D1F4F"/>
    <w:rsid w:val="009D1FE0"/>
    <w:rsid w:val="009D206E"/>
    <w:rsid w:val="009D2474"/>
    <w:rsid w:val="009D26EC"/>
    <w:rsid w:val="009D3CAA"/>
    <w:rsid w:val="009D3E97"/>
    <w:rsid w:val="009D48FE"/>
    <w:rsid w:val="009D4E16"/>
    <w:rsid w:val="009D5077"/>
    <w:rsid w:val="009D507A"/>
    <w:rsid w:val="009D58C1"/>
    <w:rsid w:val="009D6532"/>
    <w:rsid w:val="009D6785"/>
    <w:rsid w:val="009D71FD"/>
    <w:rsid w:val="009E041D"/>
    <w:rsid w:val="009E06F0"/>
    <w:rsid w:val="009E0755"/>
    <w:rsid w:val="009E10AD"/>
    <w:rsid w:val="009E133A"/>
    <w:rsid w:val="009E18F3"/>
    <w:rsid w:val="009E1A07"/>
    <w:rsid w:val="009E1C55"/>
    <w:rsid w:val="009E2588"/>
    <w:rsid w:val="009E2E8E"/>
    <w:rsid w:val="009E3DA5"/>
    <w:rsid w:val="009E40E1"/>
    <w:rsid w:val="009E4BB5"/>
    <w:rsid w:val="009E5A88"/>
    <w:rsid w:val="009E6DF2"/>
    <w:rsid w:val="009F0EFA"/>
    <w:rsid w:val="009F17B0"/>
    <w:rsid w:val="009F4E46"/>
    <w:rsid w:val="009F5263"/>
    <w:rsid w:val="009F52BA"/>
    <w:rsid w:val="009F5B38"/>
    <w:rsid w:val="009F5B65"/>
    <w:rsid w:val="009F5D71"/>
    <w:rsid w:val="009F5F2E"/>
    <w:rsid w:val="009F6212"/>
    <w:rsid w:val="009F706C"/>
    <w:rsid w:val="009F778C"/>
    <w:rsid w:val="00A01432"/>
    <w:rsid w:val="00A0167A"/>
    <w:rsid w:val="00A01793"/>
    <w:rsid w:val="00A01980"/>
    <w:rsid w:val="00A02EE8"/>
    <w:rsid w:val="00A0330A"/>
    <w:rsid w:val="00A04820"/>
    <w:rsid w:val="00A051C8"/>
    <w:rsid w:val="00A061FE"/>
    <w:rsid w:val="00A06225"/>
    <w:rsid w:val="00A066E6"/>
    <w:rsid w:val="00A06AA3"/>
    <w:rsid w:val="00A10291"/>
    <w:rsid w:val="00A110D1"/>
    <w:rsid w:val="00A116D9"/>
    <w:rsid w:val="00A12587"/>
    <w:rsid w:val="00A128E6"/>
    <w:rsid w:val="00A13356"/>
    <w:rsid w:val="00A138DE"/>
    <w:rsid w:val="00A13D73"/>
    <w:rsid w:val="00A144D3"/>
    <w:rsid w:val="00A1463C"/>
    <w:rsid w:val="00A14641"/>
    <w:rsid w:val="00A1554B"/>
    <w:rsid w:val="00A15B31"/>
    <w:rsid w:val="00A1601A"/>
    <w:rsid w:val="00A16D0C"/>
    <w:rsid w:val="00A1790E"/>
    <w:rsid w:val="00A17EA7"/>
    <w:rsid w:val="00A20D2B"/>
    <w:rsid w:val="00A21D7D"/>
    <w:rsid w:val="00A22AC3"/>
    <w:rsid w:val="00A2351E"/>
    <w:rsid w:val="00A23F3F"/>
    <w:rsid w:val="00A24067"/>
    <w:rsid w:val="00A24A4B"/>
    <w:rsid w:val="00A24E78"/>
    <w:rsid w:val="00A25661"/>
    <w:rsid w:val="00A2612B"/>
    <w:rsid w:val="00A2656C"/>
    <w:rsid w:val="00A2744D"/>
    <w:rsid w:val="00A306F6"/>
    <w:rsid w:val="00A30D16"/>
    <w:rsid w:val="00A31D3F"/>
    <w:rsid w:val="00A3238A"/>
    <w:rsid w:val="00A32BD6"/>
    <w:rsid w:val="00A33EB7"/>
    <w:rsid w:val="00A342DD"/>
    <w:rsid w:val="00A348BA"/>
    <w:rsid w:val="00A3497A"/>
    <w:rsid w:val="00A34B47"/>
    <w:rsid w:val="00A34E6C"/>
    <w:rsid w:val="00A34E74"/>
    <w:rsid w:val="00A34FD0"/>
    <w:rsid w:val="00A361EA"/>
    <w:rsid w:val="00A36398"/>
    <w:rsid w:val="00A36C89"/>
    <w:rsid w:val="00A36CC1"/>
    <w:rsid w:val="00A371AC"/>
    <w:rsid w:val="00A37C8D"/>
    <w:rsid w:val="00A4020E"/>
    <w:rsid w:val="00A40493"/>
    <w:rsid w:val="00A40590"/>
    <w:rsid w:val="00A408E8"/>
    <w:rsid w:val="00A40A53"/>
    <w:rsid w:val="00A40FB5"/>
    <w:rsid w:val="00A42826"/>
    <w:rsid w:val="00A429B3"/>
    <w:rsid w:val="00A42E52"/>
    <w:rsid w:val="00A43676"/>
    <w:rsid w:val="00A43D1B"/>
    <w:rsid w:val="00A43D95"/>
    <w:rsid w:val="00A4428B"/>
    <w:rsid w:val="00A44D03"/>
    <w:rsid w:val="00A44EC1"/>
    <w:rsid w:val="00A46B7F"/>
    <w:rsid w:val="00A46E3A"/>
    <w:rsid w:val="00A47256"/>
    <w:rsid w:val="00A510E4"/>
    <w:rsid w:val="00A51830"/>
    <w:rsid w:val="00A51F8C"/>
    <w:rsid w:val="00A526F7"/>
    <w:rsid w:val="00A5273B"/>
    <w:rsid w:val="00A52CFB"/>
    <w:rsid w:val="00A53A9D"/>
    <w:rsid w:val="00A542A9"/>
    <w:rsid w:val="00A54429"/>
    <w:rsid w:val="00A546CA"/>
    <w:rsid w:val="00A5557C"/>
    <w:rsid w:val="00A55FEE"/>
    <w:rsid w:val="00A56304"/>
    <w:rsid w:val="00A57001"/>
    <w:rsid w:val="00A5713C"/>
    <w:rsid w:val="00A57422"/>
    <w:rsid w:val="00A57F58"/>
    <w:rsid w:val="00A60538"/>
    <w:rsid w:val="00A61693"/>
    <w:rsid w:val="00A625C0"/>
    <w:rsid w:val="00A62665"/>
    <w:rsid w:val="00A62C1A"/>
    <w:rsid w:val="00A63CA2"/>
    <w:rsid w:val="00A6426D"/>
    <w:rsid w:val="00A6439B"/>
    <w:rsid w:val="00A6487E"/>
    <w:rsid w:val="00A665C1"/>
    <w:rsid w:val="00A673A4"/>
    <w:rsid w:val="00A67C20"/>
    <w:rsid w:val="00A7001A"/>
    <w:rsid w:val="00A70622"/>
    <w:rsid w:val="00A70977"/>
    <w:rsid w:val="00A70D58"/>
    <w:rsid w:val="00A71F6A"/>
    <w:rsid w:val="00A744F9"/>
    <w:rsid w:val="00A74F30"/>
    <w:rsid w:val="00A753A1"/>
    <w:rsid w:val="00A76503"/>
    <w:rsid w:val="00A76E53"/>
    <w:rsid w:val="00A77613"/>
    <w:rsid w:val="00A77B06"/>
    <w:rsid w:val="00A77B87"/>
    <w:rsid w:val="00A77E01"/>
    <w:rsid w:val="00A801AD"/>
    <w:rsid w:val="00A81086"/>
    <w:rsid w:val="00A81851"/>
    <w:rsid w:val="00A82374"/>
    <w:rsid w:val="00A82F84"/>
    <w:rsid w:val="00A83278"/>
    <w:rsid w:val="00A8390C"/>
    <w:rsid w:val="00A851C6"/>
    <w:rsid w:val="00A851CC"/>
    <w:rsid w:val="00A86202"/>
    <w:rsid w:val="00A86258"/>
    <w:rsid w:val="00A86AE0"/>
    <w:rsid w:val="00A86DCE"/>
    <w:rsid w:val="00A8783E"/>
    <w:rsid w:val="00A900F8"/>
    <w:rsid w:val="00A91131"/>
    <w:rsid w:val="00A912B0"/>
    <w:rsid w:val="00A91362"/>
    <w:rsid w:val="00A9151C"/>
    <w:rsid w:val="00A919C6"/>
    <w:rsid w:val="00A91A84"/>
    <w:rsid w:val="00A928BD"/>
    <w:rsid w:val="00A92D61"/>
    <w:rsid w:val="00A936B6"/>
    <w:rsid w:val="00A93790"/>
    <w:rsid w:val="00A94CE0"/>
    <w:rsid w:val="00A94F2F"/>
    <w:rsid w:val="00A95178"/>
    <w:rsid w:val="00A959D7"/>
    <w:rsid w:val="00A963D6"/>
    <w:rsid w:val="00A97BA1"/>
    <w:rsid w:val="00A97DE9"/>
    <w:rsid w:val="00AA004C"/>
    <w:rsid w:val="00AA12CD"/>
    <w:rsid w:val="00AA24E9"/>
    <w:rsid w:val="00AA2AEC"/>
    <w:rsid w:val="00AA318F"/>
    <w:rsid w:val="00AA32E3"/>
    <w:rsid w:val="00AA3AE6"/>
    <w:rsid w:val="00AA4D1C"/>
    <w:rsid w:val="00AA52FD"/>
    <w:rsid w:val="00AA5460"/>
    <w:rsid w:val="00AA5D40"/>
    <w:rsid w:val="00AA7006"/>
    <w:rsid w:val="00AA7860"/>
    <w:rsid w:val="00AB0A94"/>
    <w:rsid w:val="00AB0E40"/>
    <w:rsid w:val="00AB30BD"/>
    <w:rsid w:val="00AB3138"/>
    <w:rsid w:val="00AB4684"/>
    <w:rsid w:val="00AB5856"/>
    <w:rsid w:val="00AB60A7"/>
    <w:rsid w:val="00AB6A80"/>
    <w:rsid w:val="00AB7F52"/>
    <w:rsid w:val="00AC06C4"/>
    <w:rsid w:val="00AC081D"/>
    <w:rsid w:val="00AC0C6F"/>
    <w:rsid w:val="00AC1266"/>
    <w:rsid w:val="00AC193C"/>
    <w:rsid w:val="00AC1DA8"/>
    <w:rsid w:val="00AC2D6C"/>
    <w:rsid w:val="00AC30C1"/>
    <w:rsid w:val="00AC312A"/>
    <w:rsid w:val="00AC380D"/>
    <w:rsid w:val="00AC49A0"/>
    <w:rsid w:val="00AC4C21"/>
    <w:rsid w:val="00AC4DE5"/>
    <w:rsid w:val="00AC5206"/>
    <w:rsid w:val="00AC522F"/>
    <w:rsid w:val="00AC6835"/>
    <w:rsid w:val="00AC6B25"/>
    <w:rsid w:val="00AC724D"/>
    <w:rsid w:val="00AC72BB"/>
    <w:rsid w:val="00AD095B"/>
    <w:rsid w:val="00AD0E1B"/>
    <w:rsid w:val="00AD304E"/>
    <w:rsid w:val="00AD3106"/>
    <w:rsid w:val="00AD3699"/>
    <w:rsid w:val="00AD36BA"/>
    <w:rsid w:val="00AD392E"/>
    <w:rsid w:val="00AD3D86"/>
    <w:rsid w:val="00AD3DAE"/>
    <w:rsid w:val="00AD4322"/>
    <w:rsid w:val="00AD4912"/>
    <w:rsid w:val="00AD6719"/>
    <w:rsid w:val="00AD6CD0"/>
    <w:rsid w:val="00AD73B3"/>
    <w:rsid w:val="00AE05F8"/>
    <w:rsid w:val="00AE11A5"/>
    <w:rsid w:val="00AE13E2"/>
    <w:rsid w:val="00AE171E"/>
    <w:rsid w:val="00AE22D3"/>
    <w:rsid w:val="00AE388C"/>
    <w:rsid w:val="00AE3CD1"/>
    <w:rsid w:val="00AE5987"/>
    <w:rsid w:val="00AE5A49"/>
    <w:rsid w:val="00AF0040"/>
    <w:rsid w:val="00AF03E6"/>
    <w:rsid w:val="00AF0CB5"/>
    <w:rsid w:val="00AF11D8"/>
    <w:rsid w:val="00AF2015"/>
    <w:rsid w:val="00AF3495"/>
    <w:rsid w:val="00AF4088"/>
    <w:rsid w:val="00AF4242"/>
    <w:rsid w:val="00AF4AB1"/>
    <w:rsid w:val="00AF5867"/>
    <w:rsid w:val="00AF62DF"/>
    <w:rsid w:val="00AF68CC"/>
    <w:rsid w:val="00AF70D7"/>
    <w:rsid w:val="00AF71B3"/>
    <w:rsid w:val="00AF77E0"/>
    <w:rsid w:val="00AF7902"/>
    <w:rsid w:val="00B00086"/>
    <w:rsid w:val="00B00CD0"/>
    <w:rsid w:val="00B00E7F"/>
    <w:rsid w:val="00B01F80"/>
    <w:rsid w:val="00B01FF4"/>
    <w:rsid w:val="00B02ECC"/>
    <w:rsid w:val="00B0326D"/>
    <w:rsid w:val="00B03A49"/>
    <w:rsid w:val="00B043CF"/>
    <w:rsid w:val="00B059DA"/>
    <w:rsid w:val="00B06037"/>
    <w:rsid w:val="00B06478"/>
    <w:rsid w:val="00B0667F"/>
    <w:rsid w:val="00B06BDA"/>
    <w:rsid w:val="00B06FC6"/>
    <w:rsid w:val="00B06FEF"/>
    <w:rsid w:val="00B071F4"/>
    <w:rsid w:val="00B07533"/>
    <w:rsid w:val="00B076F1"/>
    <w:rsid w:val="00B07CFB"/>
    <w:rsid w:val="00B101BA"/>
    <w:rsid w:val="00B1059E"/>
    <w:rsid w:val="00B107C5"/>
    <w:rsid w:val="00B11341"/>
    <w:rsid w:val="00B13AD1"/>
    <w:rsid w:val="00B1494E"/>
    <w:rsid w:val="00B149BA"/>
    <w:rsid w:val="00B14A36"/>
    <w:rsid w:val="00B14BC9"/>
    <w:rsid w:val="00B15E7A"/>
    <w:rsid w:val="00B16143"/>
    <w:rsid w:val="00B16273"/>
    <w:rsid w:val="00B164B4"/>
    <w:rsid w:val="00B16BDB"/>
    <w:rsid w:val="00B170A5"/>
    <w:rsid w:val="00B1725F"/>
    <w:rsid w:val="00B176C8"/>
    <w:rsid w:val="00B17EE5"/>
    <w:rsid w:val="00B205AA"/>
    <w:rsid w:val="00B2100A"/>
    <w:rsid w:val="00B21435"/>
    <w:rsid w:val="00B21A91"/>
    <w:rsid w:val="00B22E84"/>
    <w:rsid w:val="00B233AD"/>
    <w:rsid w:val="00B23E25"/>
    <w:rsid w:val="00B24854"/>
    <w:rsid w:val="00B256D9"/>
    <w:rsid w:val="00B259A7"/>
    <w:rsid w:val="00B25F75"/>
    <w:rsid w:val="00B265BE"/>
    <w:rsid w:val="00B26B3F"/>
    <w:rsid w:val="00B26CD0"/>
    <w:rsid w:val="00B2778F"/>
    <w:rsid w:val="00B27BE2"/>
    <w:rsid w:val="00B30051"/>
    <w:rsid w:val="00B31277"/>
    <w:rsid w:val="00B3236F"/>
    <w:rsid w:val="00B327E2"/>
    <w:rsid w:val="00B335FC"/>
    <w:rsid w:val="00B33635"/>
    <w:rsid w:val="00B33F8A"/>
    <w:rsid w:val="00B34AA8"/>
    <w:rsid w:val="00B34AB1"/>
    <w:rsid w:val="00B37981"/>
    <w:rsid w:val="00B37A23"/>
    <w:rsid w:val="00B37AC6"/>
    <w:rsid w:val="00B37CF8"/>
    <w:rsid w:val="00B40073"/>
    <w:rsid w:val="00B40B42"/>
    <w:rsid w:val="00B41002"/>
    <w:rsid w:val="00B41C71"/>
    <w:rsid w:val="00B42025"/>
    <w:rsid w:val="00B42756"/>
    <w:rsid w:val="00B42AF4"/>
    <w:rsid w:val="00B43E90"/>
    <w:rsid w:val="00B44034"/>
    <w:rsid w:val="00B44308"/>
    <w:rsid w:val="00B4512A"/>
    <w:rsid w:val="00B4546C"/>
    <w:rsid w:val="00B45483"/>
    <w:rsid w:val="00B45722"/>
    <w:rsid w:val="00B460F4"/>
    <w:rsid w:val="00B467DC"/>
    <w:rsid w:val="00B47798"/>
    <w:rsid w:val="00B47A88"/>
    <w:rsid w:val="00B51E09"/>
    <w:rsid w:val="00B52303"/>
    <w:rsid w:val="00B528E1"/>
    <w:rsid w:val="00B52ACC"/>
    <w:rsid w:val="00B52E78"/>
    <w:rsid w:val="00B5392A"/>
    <w:rsid w:val="00B539EF"/>
    <w:rsid w:val="00B5593C"/>
    <w:rsid w:val="00B55A00"/>
    <w:rsid w:val="00B55CB9"/>
    <w:rsid w:val="00B56118"/>
    <w:rsid w:val="00B566E1"/>
    <w:rsid w:val="00B56974"/>
    <w:rsid w:val="00B56AFB"/>
    <w:rsid w:val="00B572BE"/>
    <w:rsid w:val="00B577C6"/>
    <w:rsid w:val="00B602F6"/>
    <w:rsid w:val="00B6033D"/>
    <w:rsid w:val="00B6083D"/>
    <w:rsid w:val="00B60ED3"/>
    <w:rsid w:val="00B614BD"/>
    <w:rsid w:val="00B61545"/>
    <w:rsid w:val="00B62EC1"/>
    <w:rsid w:val="00B63251"/>
    <w:rsid w:val="00B64A96"/>
    <w:rsid w:val="00B64D99"/>
    <w:rsid w:val="00B6533B"/>
    <w:rsid w:val="00B661BE"/>
    <w:rsid w:val="00B67108"/>
    <w:rsid w:val="00B6773F"/>
    <w:rsid w:val="00B67B8E"/>
    <w:rsid w:val="00B67DAD"/>
    <w:rsid w:val="00B70290"/>
    <w:rsid w:val="00B70EB3"/>
    <w:rsid w:val="00B71133"/>
    <w:rsid w:val="00B71D85"/>
    <w:rsid w:val="00B7280F"/>
    <w:rsid w:val="00B72906"/>
    <w:rsid w:val="00B72D08"/>
    <w:rsid w:val="00B73888"/>
    <w:rsid w:val="00B74742"/>
    <w:rsid w:val="00B74F48"/>
    <w:rsid w:val="00B7525E"/>
    <w:rsid w:val="00B75433"/>
    <w:rsid w:val="00B75F70"/>
    <w:rsid w:val="00B760FB"/>
    <w:rsid w:val="00B76765"/>
    <w:rsid w:val="00B767AB"/>
    <w:rsid w:val="00B778FD"/>
    <w:rsid w:val="00B801BA"/>
    <w:rsid w:val="00B80409"/>
    <w:rsid w:val="00B80D50"/>
    <w:rsid w:val="00B812D6"/>
    <w:rsid w:val="00B82CD8"/>
    <w:rsid w:val="00B83BD5"/>
    <w:rsid w:val="00B83E36"/>
    <w:rsid w:val="00B846E6"/>
    <w:rsid w:val="00B84D5C"/>
    <w:rsid w:val="00B85AF6"/>
    <w:rsid w:val="00B9051D"/>
    <w:rsid w:val="00B9124F"/>
    <w:rsid w:val="00B91E87"/>
    <w:rsid w:val="00B92E46"/>
    <w:rsid w:val="00B941ED"/>
    <w:rsid w:val="00B945EA"/>
    <w:rsid w:val="00B9492B"/>
    <w:rsid w:val="00B956ED"/>
    <w:rsid w:val="00B9730F"/>
    <w:rsid w:val="00BA032D"/>
    <w:rsid w:val="00BA051A"/>
    <w:rsid w:val="00BA1DA9"/>
    <w:rsid w:val="00BA2C67"/>
    <w:rsid w:val="00BA2DA8"/>
    <w:rsid w:val="00BA340E"/>
    <w:rsid w:val="00BA347C"/>
    <w:rsid w:val="00BA4ABD"/>
    <w:rsid w:val="00BA4C79"/>
    <w:rsid w:val="00BA4D84"/>
    <w:rsid w:val="00BA5454"/>
    <w:rsid w:val="00BA5E08"/>
    <w:rsid w:val="00BA665D"/>
    <w:rsid w:val="00BA6C4C"/>
    <w:rsid w:val="00BA7A87"/>
    <w:rsid w:val="00BB120A"/>
    <w:rsid w:val="00BB298A"/>
    <w:rsid w:val="00BB31CC"/>
    <w:rsid w:val="00BB3469"/>
    <w:rsid w:val="00BB366E"/>
    <w:rsid w:val="00BB3842"/>
    <w:rsid w:val="00BB3A6A"/>
    <w:rsid w:val="00BB3F56"/>
    <w:rsid w:val="00BB419C"/>
    <w:rsid w:val="00BB5168"/>
    <w:rsid w:val="00BB545F"/>
    <w:rsid w:val="00BB58A2"/>
    <w:rsid w:val="00BB5C49"/>
    <w:rsid w:val="00BB5CA3"/>
    <w:rsid w:val="00BB6240"/>
    <w:rsid w:val="00BB6285"/>
    <w:rsid w:val="00BB6770"/>
    <w:rsid w:val="00BB6857"/>
    <w:rsid w:val="00BB69D2"/>
    <w:rsid w:val="00BB69F5"/>
    <w:rsid w:val="00BB6DCA"/>
    <w:rsid w:val="00BB6E48"/>
    <w:rsid w:val="00BB7152"/>
    <w:rsid w:val="00BB7EC3"/>
    <w:rsid w:val="00BC0368"/>
    <w:rsid w:val="00BC04B1"/>
    <w:rsid w:val="00BC19B7"/>
    <w:rsid w:val="00BC3C5C"/>
    <w:rsid w:val="00BC3D5D"/>
    <w:rsid w:val="00BC470E"/>
    <w:rsid w:val="00BC4B9A"/>
    <w:rsid w:val="00BC5E9E"/>
    <w:rsid w:val="00BC7573"/>
    <w:rsid w:val="00BC75A5"/>
    <w:rsid w:val="00BD02C3"/>
    <w:rsid w:val="00BD072F"/>
    <w:rsid w:val="00BD1181"/>
    <w:rsid w:val="00BD3119"/>
    <w:rsid w:val="00BD3DE3"/>
    <w:rsid w:val="00BD437A"/>
    <w:rsid w:val="00BD62AB"/>
    <w:rsid w:val="00BD7128"/>
    <w:rsid w:val="00BD7483"/>
    <w:rsid w:val="00BD779A"/>
    <w:rsid w:val="00BD784C"/>
    <w:rsid w:val="00BD7A4A"/>
    <w:rsid w:val="00BD7C52"/>
    <w:rsid w:val="00BE020A"/>
    <w:rsid w:val="00BE0227"/>
    <w:rsid w:val="00BE12B3"/>
    <w:rsid w:val="00BE12BE"/>
    <w:rsid w:val="00BE13DF"/>
    <w:rsid w:val="00BE1EF0"/>
    <w:rsid w:val="00BE2252"/>
    <w:rsid w:val="00BE25D7"/>
    <w:rsid w:val="00BE5223"/>
    <w:rsid w:val="00BE5865"/>
    <w:rsid w:val="00BE5D84"/>
    <w:rsid w:val="00BE620E"/>
    <w:rsid w:val="00BF092C"/>
    <w:rsid w:val="00BF0FC4"/>
    <w:rsid w:val="00BF21D1"/>
    <w:rsid w:val="00BF27A0"/>
    <w:rsid w:val="00BF40E6"/>
    <w:rsid w:val="00BF4CB6"/>
    <w:rsid w:val="00BF51E1"/>
    <w:rsid w:val="00BF5D23"/>
    <w:rsid w:val="00BF6CBD"/>
    <w:rsid w:val="00BF74E4"/>
    <w:rsid w:val="00C0010E"/>
    <w:rsid w:val="00C00173"/>
    <w:rsid w:val="00C00ACC"/>
    <w:rsid w:val="00C00DA7"/>
    <w:rsid w:val="00C02348"/>
    <w:rsid w:val="00C02365"/>
    <w:rsid w:val="00C03207"/>
    <w:rsid w:val="00C034FB"/>
    <w:rsid w:val="00C03D06"/>
    <w:rsid w:val="00C04B4D"/>
    <w:rsid w:val="00C04CDE"/>
    <w:rsid w:val="00C05229"/>
    <w:rsid w:val="00C057F9"/>
    <w:rsid w:val="00C059D5"/>
    <w:rsid w:val="00C064E2"/>
    <w:rsid w:val="00C068A6"/>
    <w:rsid w:val="00C0707D"/>
    <w:rsid w:val="00C07165"/>
    <w:rsid w:val="00C10770"/>
    <w:rsid w:val="00C11B98"/>
    <w:rsid w:val="00C11DEA"/>
    <w:rsid w:val="00C12768"/>
    <w:rsid w:val="00C12D37"/>
    <w:rsid w:val="00C12D70"/>
    <w:rsid w:val="00C158AF"/>
    <w:rsid w:val="00C1628D"/>
    <w:rsid w:val="00C16724"/>
    <w:rsid w:val="00C1746E"/>
    <w:rsid w:val="00C17DC0"/>
    <w:rsid w:val="00C17E03"/>
    <w:rsid w:val="00C21B09"/>
    <w:rsid w:val="00C22200"/>
    <w:rsid w:val="00C22206"/>
    <w:rsid w:val="00C22583"/>
    <w:rsid w:val="00C230E7"/>
    <w:rsid w:val="00C2495F"/>
    <w:rsid w:val="00C25EFF"/>
    <w:rsid w:val="00C2673A"/>
    <w:rsid w:val="00C27443"/>
    <w:rsid w:val="00C278CD"/>
    <w:rsid w:val="00C27B58"/>
    <w:rsid w:val="00C27C1C"/>
    <w:rsid w:val="00C27D91"/>
    <w:rsid w:val="00C302EB"/>
    <w:rsid w:val="00C30432"/>
    <w:rsid w:val="00C31131"/>
    <w:rsid w:val="00C3166C"/>
    <w:rsid w:val="00C31BC4"/>
    <w:rsid w:val="00C328EA"/>
    <w:rsid w:val="00C33186"/>
    <w:rsid w:val="00C33576"/>
    <w:rsid w:val="00C339E1"/>
    <w:rsid w:val="00C33F93"/>
    <w:rsid w:val="00C3419D"/>
    <w:rsid w:val="00C34799"/>
    <w:rsid w:val="00C35996"/>
    <w:rsid w:val="00C35F2C"/>
    <w:rsid w:val="00C36142"/>
    <w:rsid w:val="00C36B8D"/>
    <w:rsid w:val="00C37139"/>
    <w:rsid w:val="00C373D2"/>
    <w:rsid w:val="00C410C6"/>
    <w:rsid w:val="00C41EDD"/>
    <w:rsid w:val="00C42674"/>
    <w:rsid w:val="00C42BCD"/>
    <w:rsid w:val="00C43353"/>
    <w:rsid w:val="00C44812"/>
    <w:rsid w:val="00C4485F"/>
    <w:rsid w:val="00C44DED"/>
    <w:rsid w:val="00C457D5"/>
    <w:rsid w:val="00C46C13"/>
    <w:rsid w:val="00C46F33"/>
    <w:rsid w:val="00C4747E"/>
    <w:rsid w:val="00C47A38"/>
    <w:rsid w:val="00C51238"/>
    <w:rsid w:val="00C5151E"/>
    <w:rsid w:val="00C52256"/>
    <w:rsid w:val="00C5236F"/>
    <w:rsid w:val="00C5342C"/>
    <w:rsid w:val="00C53783"/>
    <w:rsid w:val="00C53B2B"/>
    <w:rsid w:val="00C547F5"/>
    <w:rsid w:val="00C54F3F"/>
    <w:rsid w:val="00C55D62"/>
    <w:rsid w:val="00C56D78"/>
    <w:rsid w:val="00C56D9B"/>
    <w:rsid w:val="00C56DAD"/>
    <w:rsid w:val="00C57465"/>
    <w:rsid w:val="00C60272"/>
    <w:rsid w:val="00C603D4"/>
    <w:rsid w:val="00C607BB"/>
    <w:rsid w:val="00C6256A"/>
    <w:rsid w:val="00C62749"/>
    <w:rsid w:val="00C63A2E"/>
    <w:rsid w:val="00C63FDA"/>
    <w:rsid w:val="00C64EBC"/>
    <w:rsid w:val="00C65295"/>
    <w:rsid w:val="00C65AAB"/>
    <w:rsid w:val="00C65D84"/>
    <w:rsid w:val="00C65DCC"/>
    <w:rsid w:val="00C664D2"/>
    <w:rsid w:val="00C677E1"/>
    <w:rsid w:val="00C70E6E"/>
    <w:rsid w:val="00C710E2"/>
    <w:rsid w:val="00C71213"/>
    <w:rsid w:val="00C71C3F"/>
    <w:rsid w:val="00C73C38"/>
    <w:rsid w:val="00C7409E"/>
    <w:rsid w:val="00C740E7"/>
    <w:rsid w:val="00C74D6D"/>
    <w:rsid w:val="00C7534E"/>
    <w:rsid w:val="00C75434"/>
    <w:rsid w:val="00C7625C"/>
    <w:rsid w:val="00C7631F"/>
    <w:rsid w:val="00C76B1B"/>
    <w:rsid w:val="00C76E76"/>
    <w:rsid w:val="00C77891"/>
    <w:rsid w:val="00C77B74"/>
    <w:rsid w:val="00C805A8"/>
    <w:rsid w:val="00C82062"/>
    <w:rsid w:val="00C8225D"/>
    <w:rsid w:val="00C829A9"/>
    <w:rsid w:val="00C83DA8"/>
    <w:rsid w:val="00C841A8"/>
    <w:rsid w:val="00C86537"/>
    <w:rsid w:val="00C8735F"/>
    <w:rsid w:val="00C87510"/>
    <w:rsid w:val="00C87B80"/>
    <w:rsid w:val="00C90330"/>
    <w:rsid w:val="00C905AF"/>
    <w:rsid w:val="00C90B1D"/>
    <w:rsid w:val="00C91449"/>
    <w:rsid w:val="00C92D10"/>
    <w:rsid w:val="00C92F79"/>
    <w:rsid w:val="00C937E3"/>
    <w:rsid w:val="00C94436"/>
    <w:rsid w:val="00C95200"/>
    <w:rsid w:val="00C96EC0"/>
    <w:rsid w:val="00CA01E2"/>
    <w:rsid w:val="00CA06F9"/>
    <w:rsid w:val="00CA14BB"/>
    <w:rsid w:val="00CA1DF9"/>
    <w:rsid w:val="00CA230C"/>
    <w:rsid w:val="00CA273B"/>
    <w:rsid w:val="00CA2E5B"/>
    <w:rsid w:val="00CA3C6C"/>
    <w:rsid w:val="00CA48D9"/>
    <w:rsid w:val="00CA4C77"/>
    <w:rsid w:val="00CA4F41"/>
    <w:rsid w:val="00CA6AD3"/>
    <w:rsid w:val="00CB1193"/>
    <w:rsid w:val="00CB2407"/>
    <w:rsid w:val="00CB293D"/>
    <w:rsid w:val="00CB2B32"/>
    <w:rsid w:val="00CB358A"/>
    <w:rsid w:val="00CB4767"/>
    <w:rsid w:val="00CB493D"/>
    <w:rsid w:val="00CB4D22"/>
    <w:rsid w:val="00CB5C5E"/>
    <w:rsid w:val="00CB75A5"/>
    <w:rsid w:val="00CB789E"/>
    <w:rsid w:val="00CC0102"/>
    <w:rsid w:val="00CC020A"/>
    <w:rsid w:val="00CC2224"/>
    <w:rsid w:val="00CC2BAE"/>
    <w:rsid w:val="00CC3232"/>
    <w:rsid w:val="00CC3B97"/>
    <w:rsid w:val="00CC669B"/>
    <w:rsid w:val="00CC704B"/>
    <w:rsid w:val="00CC734E"/>
    <w:rsid w:val="00CC7F84"/>
    <w:rsid w:val="00CD00BA"/>
    <w:rsid w:val="00CD0AF7"/>
    <w:rsid w:val="00CD2124"/>
    <w:rsid w:val="00CD275D"/>
    <w:rsid w:val="00CD3F27"/>
    <w:rsid w:val="00CD4271"/>
    <w:rsid w:val="00CD4A8C"/>
    <w:rsid w:val="00CD5AAF"/>
    <w:rsid w:val="00CD6257"/>
    <w:rsid w:val="00CD7C0B"/>
    <w:rsid w:val="00CE10C4"/>
    <w:rsid w:val="00CE133A"/>
    <w:rsid w:val="00CE1AFE"/>
    <w:rsid w:val="00CE1DA3"/>
    <w:rsid w:val="00CE2343"/>
    <w:rsid w:val="00CE248B"/>
    <w:rsid w:val="00CE27B5"/>
    <w:rsid w:val="00CE2BDF"/>
    <w:rsid w:val="00CE3B58"/>
    <w:rsid w:val="00CE4007"/>
    <w:rsid w:val="00CE4E1E"/>
    <w:rsid w:val="00CE5CB8"/>
    <w:rsid w:val="00CE641A"/>
    <w:rsid w:val="00CE6D24"/>
    <w:rsid w:val="00CE6DAF"/>
    <w:rsid w:val="00CF23D1"/>
    <w:rsid w:val="00CF2BE3"/>
    <w:rsid w:val="00CF410A"/>
    <w:rsid w:val="00CF47B8"/>
    <w:rsid w:val="00CF5296"/>
    <w:rsid w:val="00CF5BA0"/>
    <w:rsid w:val="00CF5EBD"/>
    <w:rsid w:val="00CF7528"/>
    <w:rsid w:val="00CF7FDE"/>
    <w:rsid w:val="00D0035D"/>
    <w:rsid w:val="00D01273"/>
    <w:rsid w:val="00D012AF"/>
    <w:rsid w:val="00D01DD9"/>
    <w:rsid w:val="00D02332"/>
    <w:rsid w:val="00D028A7"/>
    <w:rsid w:val="00D0321E"/>
    <w:rsid w:val="00D0328A"/>
    <w:rsid w:val="00D03624"/>
    <w:rsid w:val="00D03E45"/>
    <w:rsid w:val="00D05199"/>
    <w:rsid w:val="00D05366"/>
    <w:rsid w:val="00D05457"/>
    <w:rsid w:val="00D05B43"/>
    <w:rsid w:val="00D069EB"/>
    <w:rsid w:val="00D07584"/>
    <w:rsid w:val="00D07A8A"/>
    <w:rsid w:val="00D07FF1"/>
    <w:rsid w:val="00D1025B"/>
    <w:rsid w:val="00D10E31"/>
    <w:rsid w:val="00D10F0D"/>
    <w:rsid w:val="00D11199"/>
    <w:rsid w:val="00D11B09"/>
    <w:rsid w:val="00D125CD"/>
    <w:rsid w:val="00D1455A"/>
    <w:rsid w:val="00D14573"/>
    <w:rsid w:val="00D14A70"/>
    <w:rsid w:val="00D150A8"/>
    <w:rsid w:val="00D167CC"/>
    <w:rsid w:val="00D207EA"/>
    <w:rsid w:val="00D20F97"/>
    <w:rsid w:val="00D211FB"/>
    <w:rsid w:val="00D22093"/>
    <w:rsid w:val="00D23A3B"/>
    <w:rsid w:val="00D241ED"/>
    <w:rsid w:val="00D24B6A"/>
    <w:rsid w:val="00D25E52"/>
    <w:rsid w:val="00D270E3"/>
    <w:rsid w:val="00D27F6C"/>
    <w:rsid w:val="00D30106"/>
    <w:rsid w:val="00D30E77"/>
    <w:rsid w:val="00D30F38"/>
    <w:rsid w:val="00D31150"/>
    <w:rsid w:val="00D3138B"/>
    <w:rsid w:val="00D315FA"/>
    <w:rsid w:val="00D31FCE"/>
    <w:rsid w:val="00D3280C"/>
    <w:rsid w:val="00D32BEB"/>
    <w:rsid w:val="00D33658"/>
    <w:rsid w:val="00D3406A"/>
    <w:rsid w:val="00D34906"/>
    <w:rsid w:val="00D34D24"/>
    <w:rsid w:val="00D35699"/>
    <w:rsid w:val="00D35CCD"/>
    <w:rsid w:val="00D35DED"/>
    <w:rsid w:val="00D3631B"/>
    <w:rsid w:val="00D36BB9"/>
    <w:rsid w:val="00D40B11"/>
    <w:rsid w:val="00D42125"/>
    <w:rsid w:val="00D424B0"/>
    <w:rsid w:val="00D425B9"/>
    <w:rsid w:val="00D42864"/>
    <w:rsid w:val="00D429EC"/>
    <w:rsid w:val="00D42B9B"/>
    <w:rsid w:val="00D43256"/>
    <w:rsid w:val="00D441F1"/>
    <w:rsid w:val="00D4572C"/>
    <w:rsid w:val="00D469B2"/>
    <w:rsid w:val="00D46AE3"/>
    <w:rsid w:val="00D47C76"/>
    <w:rsid w:val="00D501E0"/>
    <w:rsid w:val="00D51238"/>
    <w:rsid w:val="00D5172E"/>
    <w:rsid w:val="00D52B24"/>
    <w:rsid w:val="00D52EAA"/>
    <w:rsid w:val="00D52ECF"/>
    <w:rsid w:val="00D53133"/>
    <w:rsid w:val="00D5335F"/>
    <w:rsid w:val="00D53DA9"/>
    <w:rsid w:val="00D53F0C"/>
    <w:rsid w:val="00D5411A"/>
    <w:rsid w:val="00D542BD"/>
    <w:rsid w:val="00D54B09"/>
    <w:rsid w:val="00D54E47"/>
    <w:rsid w:val="00D55D5F"/>
    <w:rsid w:val="00D564AB"/>
    <w:rsid w:val="00D56DE6"/>
    <w:rsid w:val="00D57369"/>
    <w:rsid w:val="00D5747D"/>
    <w:rsid w:val="00D60265"/>
    <w:rsid w:val="00D61627"/>
    <w:rsid w:val="00D6243E"/>
    <w:rsid w:val="00D6345C"/>
    <w:rsid w:val="00D65658"/>
    <w:rsid w:val="00D65C10"/>
    <w:rsid w:val="00D6738E"/>
    <w:rsid w:val="00D676F4"/>
    <w:rsid w:val="00D67994"/>
    <w:rsid w:val="00D67EB2"/>
    <w:rsid w:val="00D70349"/>
    <w:rsid w:val="00D70583"/>
    <w:rsid w:val="00D70790"/>
    <w:rsid w:val="00D70A52"/>
    <w:rsid w:val="00D72B6F"/>
    <w:rsid w:val="00D741EB"/>
    <w:rsid w:val="00D74CEA"/>
    <w:rsid w:val="00D760BB"/>
    <w:rsid w:val="00D7679C"/>
    <w:rsid w:val="00D80AD0"/>
    <w:rsid w:val="00D80DE2"/>
    <w:rsid w:val="00D817A9"/>
    <w:rsid w:val="00D820F3"/>
    <w:rsid w:val="00D832D0"/>
    <w:rsid w:val="00D833D1"/>
    <w:rsid w:val="00D83605"/>
    <w:rsid w:val="00D83BAC"/>
    <w:rsid w:val="00D8427F"/>
    <w:rsid w:val="00D84934"/>
    <w:rsid w:val="00D84E43"/>
    <w:rsid w:val="00D85082"/>
    <w:rsid w:val="00D859F4"/>
    <w:rsid w:val="00D866EB"/>
    <w:rsid w:val="00D86C52"/>
    <w:rsid w:val="00D87CD4"/>
    <w:rsid w:val="00D87D1A"/>
    <w:rsid w:val="00D906DA"/>
    <w:rsid w:val="00D90ABF"/>
    <w:rsid w:val="00D90E33"/>
    <w:rsid w:val="00D91271"/>
    <w:rsid w:val="00D919F5"/>
    <w:rsid w:val="00D941D6"/>
    <w:rsid w:val="00D945F6"/>
    <w:rsid w:val="00D94F03"/>
    <w:rsid w:val="00D95161"/>
    <w:rsid w:val="00D95383"/>
    <w:rsid w:val="00D95A8E"/>
    <w:rsid w:val="00D95BA8"/>
    <w:rsid w:val="00D95C16"/>
    <w:rsid w:val="00D95C23"/>
    <w:rsid w:val="00D95FD9"/>
    <w:rsid w:val="00D96013"/>
    <w:rsid w:val="00D96889"/>
    <w:rsid w:val="00DA0A82"/>
    <w:rsid w:val="00DA0D14"/>
    <w:rsid w:val="00DA0E68"/>
    <w:rsid w:val="00DA0F32"/>
    <w:rsid w:val="00DA1BDD"/>
    <w:rsid w:val="00DA1E8E"/>
    <w:rsid w:val="00DA1FC9"/>
    <w:rsid w:val="00DA2083"/>
    <w:rsid w:val="00DA2881"/>
    <w:rsid w:val="00DA2B74"/>
    <w:rsid w:val="00DA2CB5"/>
    <w:rsid w:val="00DA32AE"/>
    <w:rsid w:val="00DA33CC"/>
    <w:rsid w:val="00DA358F"/>
    <w:rsid w:val="00DA383E"/>
    <w:rsid w:val="00DA3CE3"/>
    <w:rsid w:val="00DA4BAC"/>
    <w:rsid w:val="00DA5838"/>
    <w:rsid w:val="00DA625C"/>
    <w:rsid w:val="00DA722E"/>
    <w:rsid w:val="00DA792A"/>
    <w:rsid w:val="00DB0151"/>
    <w:rsid w:val="00DB0160"/>
    <w:rsid w:val="00DB04D7"/>
    <w:rsid w:val="00DB193C"/>
    <w:rsid w:val="00DB1A56"/>
    <w:rsid w:val="00DB2716"/>
    <w:rsid w:val="00DB3863"/>
    <w:rsid w:val="00DB50E1"/>
    <w:rsid w:val="00DB5421"/>
    <w:rsid w:val="00DB59DA"/>
    <w:rsid w:val="00DB66D0"/>
    <w:rsid w:val="00DB6EA8"/>
    <w:rsid w:val="00DB7E6E"/>
    <w:rsid w:val="00DC0566"/>
    <w:rsid w:val="00DC05E1"/>
    <w:rsid w:val="00DC0BB9"/>
    <w:rsid w:val="00DC0E04"/>
    <w:rsid w:val="00DC1499"/>
    <w:rsid w:val="00DC16CF"/>
    <w:rsid w:val="00DC2B76"/>
    <w:rsid w:val="00DC2C3E"/>
    <w:rsid w:val="00DC3137"/>
    <w:rsid w:val="00DC3A71"/>
    <w:rsid w:val="00DC4880"/>
    <w:rsid w:val="00DC4E9A"/>
    <w:rsid w:val="00DC5458"/>
    <w:rsid w:val="00DC581F"/>
    <w:rsid w:val="00DC5E90"/>
    <w:rsid w:val="00DC66C0"/>
    <w:rsid w:val="00DC6EC3"/>
    <w:rsid w:val="00DC732A"/>
    <w:rsid w:val="00DC7CEE"/>
    <w:rsid w:val="00DC7D0E"/>
    <w:rsid w:val="00DD04D7"/>
    <w:rsid w:val="00DD064E"/>
    <w:rsid w:val="00DD0BC3"/>
    <w:rsid w:val="00DD0BE9"/>
    <w:rsid w:val="00DD0D1E"/>
    <w:rsid w:val="00DD0F62"/>
    <w:rsid w:val="00DD163E"/>
    <w:rsid w:val="00DD18A7"/>
    <w:rsid w:val="00DD2150"/>
    <w:rsid w:val="00DD23DB"/>
    <w:rsid w:val="00DD26F9"/>
    <w:rsid w:val="00DD2FDB"/>
    <w:rsid w:val="00DD350E"/>
    <w:rsid w:val="00DD42AB"/>
    <w:rsid w:val="00DD4441"/>
    <w:rsid w:val="00DD4804"/>
    <w:rsid w:val="00DD4ECB"/>
    <w:rsid w:val="00DD728D"/>
    <w:rsid w:val="00DD74AD"/>
    <w:rsid w:val="00DE0683"/>
    <w:rsid w:val="00DE06AF"/>
    <w:rsid w:val="00DE0793"/>
    <w:rsid w:val="00DE1F5C"/>
    <w:rsid w:val="00DE29A2"/>
    <w:rsid w:val="00DE44EB"/>
    <w:rsid w:val="00DE4EF4"/>
    <w:rsid w:val="00DE6D27"/>
    <w:rsid w:val="00DE76EA"/>
    <w:rsid w:val="00DE78CA"/>
    <w:rsid w:val="00DF01F8"/>
    <w:rsid w:val="00DF021D"/>
    <w:rsid w:val="00DF080D"/>
    <w:rsid w:val="00DF14EE"/>
    <w:rsid w:val="00DF217D"/>
    <w:rsid w:val="00DF241B"/>
    <w:rsid w:val="00DF26A7"/>
    <w:rsid w:val="00DF2F46"/>
    <w:rsid w:val="00DF3277"/>
    <w:rsid w:val="00DF35E4"/>
    <w:rsid w:val="00DF4B23"/>
    <w:rsid w:val="00DF6625"/>
    <w:rsid w:val="00DF6A31"/>
    <w:rsid w:val="00DF72E6"/>
    <w:rsid w:val="00DF7407"/>
    <w:rsid w:val="00DF77A1"/>
    <w:rsid w:val="00DF7919"/>
    <w:rsid w:val="00E004E5"/>
    <w:rsid w:val="00E00BC8"/>
    <w:rsid w:val="00E018F6"/>
    <w:rsid w:val="00E0207E"/>
    <w:rsid w:val="00E020D7"/>
    <w:rsid w:val="00E02585"/>
    <w:rsid w:val="00E02AE6"/>
    <w:rsid w:val="00E02C64"/>
    <w:rsid w:val="00E03912"/>
    <w:rsid w:val="00E040CE"/>
    <w:rsid w:val="00E04748"/>
    <w:rsid w:val="00E04CB8"/>
    <w:rsid w:val="00E060AF"/>
    <w:rsid w:val="00E0625E"/>
    <w:rsid w:val="00E0702A"/>
    <w:rsid w:val="00E078D9"/>
    <w:rsid w:val="00E07FB0"/>
    <w:rsid w:val="00E10293"/>
    <w:rsid w:val="00E103A0"/>
    <w:rsid w:val="00E1043F"/>
    <w:rsid w:val="00E106B8"/>
    <w:rsid w:val="00E1115C"/>
    <w:rsid w:val="00E1157E"/>
    <w:rsid w:val="00E116E5"/>
    <w:rsid w:val="00E11F44"/>
    <w:rsid w:val="00E12B70"/>
    <w:rsid w:val="00E130CE"/>
    <w:rsid w:val="00E131E0"/>
    <w:rsid w:val="00E13839"/>
    <w:rsid w:val="00E13E60"/>
    <w:rsid w:val="00E14500"/>
    <w:rsid w:val="00E14B2F"/>
    <w:rsid w:val="00E15627"/>
    <w:rsid w:val="00E163FE"/>
    <w:rsid w:val="00E164B3"/>
    <w:rsid w:val="00E16910"/>
    <w:rsid w:val="00E17552"/>
    <w:rsid w:val="00E202C1"/>
    <w:rsid w:val="00E204BC"/>
    <w:rsid w:val="00E20B7F"/>
    <w:rsid w:val="00E20EDC"/>
    <w:rsid w:val="00E21164"/>
    <w:rsid w:val="00E21E47"/>
    <w:rsid w:val="00E239E2"/>
    <w:rsid w:val="00E23EEA"/>
    <w:rsid w:val="00E24831"/>
    <w:rsid w:val="00E24E09"/>
    <w:rsid w:val="00E2630B"/>
    <w:rsid w:val="00E27173"/>
    <w:rsid w:val="00E27234"/>
    <w:rsid w:val="00E3016D"/>
    <w:rsid w:val="00E304D9"/>
    <w:rsid w:val="00E320D3"/>
    <w:rsid w:val="00E32424"/>
    <w:rsid w:val="00E32A6D"/>
    <w:rsid w:val="00E330B8"/>
    <w:rsid w:val="00E33ECC"/>
    <w:rsid w:val="00E33FB8"/>
    <w:rsid w:val="00E3495C"/>
    <w:rsid w:val="00E35EF4"/>
    <w:rsid w:val="00E3692C"/>
    <w:rsid w:val="00E369F2"/>
    <w:rsid w:val="00E3736D"/>
    <w:rsid w:val="00E403CC"/>
    <w:rsid w:val="00E40F19"/>
    <w:rsid w:val="00E4173F"/>
    <w:rsid w:val="00E418D9"/>
    <w:rsid w:val="00E419BE"/>
    <w:rsid w:val="00E41ED8"/>
    <w:rsid w:val="00E42715"/>
    <w:rsid w:val="00E42BDB"/>
    <w:rsid w:val="00E446AB"/>
    <w:rsid w:val="00E460FB"/>
    <w:rsid w:val="00E46D95"/>
    <w:rsid w:val="00E47D57"/>
    <w:rsid w:val="00E502F9"/>
    <w:rsid w:val="00E50B5E"/>
    <w:rsid w:val="00E50F18"/>
    <w:rsid w:val="00E524A9"/>
    <w:rsid w:val="00E52FB0"/>
    <w:rsid w:val="00E53427"/>
    <w:rsid w:val="00E53F1A"/>
    <w:rsid w:val="00E543FA"/>
    <w:rsid w:val="00E54530"/>
    <w:rsid w:val="00E553CD"/>
    <w:rsid w:val="00E554D1"/>
    <w:rsid w:val="00E5726D"/>
    <w:rsid w:val="00E57677"/>
    <w:rsid w:val="00E57EEB"/>
    <w:rsid w:val="00E60DF9"/>
    <w:rsid w:val="00E62181"/>
    <w:rsid w:val="00E62D68"/>
    <w:rsid w:val="00E62D94"/>
    <w:rsid w:val="00E62ECC"/>
    <w:rsid w:val="00E63838"/>
    <w:rsid w:val="00E6399C"/>
    <w:rsid w:val="00E63C4F"/>
    <w:rsid w:val="00E6499D"/>
    <w:rsid w:val="00E64F37"/>
    <w:rsid w:val="00E65091"/>
    <w:rsid w:val="00E65393"/>
    <w:rsid w:val="00E654B3"/>
    <w:rsid w:val="00E65E54"/>
    <w:rsid w:val="00E661C7"/>
    <w:rsid w:val="00E66679"/>
    <w:rsid w:val="00E71542"/>
    <w:rsid w:val="00E7172E"/>
    <w:rsid w:val="00E71B5E"/>
    <w:rsid w:val="00E71E56"/>
    <w:rsid w:val="00E72BB7"/>
    <w:rsid w:val="00E732C4"/>
    <w:rsid w:val="00E74897"/>
    <w:rsid w:val="00E74E41"/>
    <w:rsid w:val="00E75151"/>
    <w:rsid w:val="00E75302"/>
    <w:rsid w:val="00E75C85"/>
    <w:rsid w:val="00E80155"/>
    <w:rsid w:val="00E80C4C"/>
    <w:rsid w:val="00E8134B"/>
    <w:rsid w:val="00E81E0D"/>
    <w:rsid w:val="00E81F28"/>
    <w:rsid w:val="00E82089"/>
    <w:rsid w:val="00E84346"/>
    <w:rsid w:val="00E848C0"/>
    <w:rsid w:val="00E84BB8"/>
    <w:rsid w:val="00E86056"/>
    <w:rsid w:val="00E86F92"/>
    <w:rsid w:val="00E87272"/>
    <w:rsid w:val="00E87689"/>
    <w:rsid w:val="00E905F5"/>
    <w:rsid w:val="00E91B96"/>
    <w:rsid w:val="00E925EA"/>
    <w:rsid w:val="00E92F2E"/>
    <w:rsid w:val="00E935DA"/>
    <w:rsid w:val="00E93BDE"/>
    <w:rsid w:val="00E93C05"/>
    <w:rsid w:val="00E93D1E"/>
    <w:rsid w:val="00E941A1"/>
    <w:rsid w:val="00E95CE3"/>
    <w:rsid w:val="00E95F9A"/>
    <w:rsid w:val="00E96DFA"/>
    <w:rsid w:val="00E96E99"/>
    <w:rsid w:val="00EA0170"/>
    <w:rsid w:val="00EA065A"/>
    <w:rsid w:val="00EA06F4"/>
    <w:rsid w:val="00EA0856"/>
    <w:rsid w:val="00EA0BE3"/>
    <w:rsid w:val="00EA0C52"/>
    <w:rsid w:val="00EA188C"/>
    <w:rsid w:val="00EA1AB4"/>
    <w:rsid w:val="00EA1DC4"/>
    <w:rsid w:val="00EA252F"/>
    <w:rsid w:val="00EA2825"/>
    <w:rsid w:val="00EA2B1C"/>
    <w:rsid w:val="00EA33E9"/>
    <w:rsid w:val="00EA435B"/>
    <w:rsid w:val="00EA48D2"/>
    <w:rsid w:val="00EA5027"/>
    <w:rsid w:val="00EA5DD7"/>
    <w:rsid w:val="00EA6465"/>
    <w:rsid w:val="00EA64C2"/>
    <w:rsid w:val="00EA6518"/>
    <w:rsid w:val="00EA6BF5"/>
    <w:rsid w:val="00EA71A2"/>
    <w:rsid w:val="00EA71F4"/>
    <w:rsid w:val="00EA7306"/>
    <w:rsid w:val="00EA7466"/>
    <w:rsid w:val="00EA7EDE"/>
    <w:rsid w:val="00EB0427"/>
    <w:rsid w:val="00EB0B63"/>
    <w:rsid w:val="00EB0EB5"/>
    <w:rsid w:val="00EB16CB"/>
    <w:rsid w:val="00EB1936"/>
    <w:rsid w:val="00EB3545"/>
    <w:rsid w:val="00EB37BE"/>
    <w:rsid w:val="00EB4165"/>
    <w:rsid w:val="00EB4B62"/>
    <w:rsid w:val="00EB4BAE"/>
    <w:rsid w:val="00EB4F98"/>
    <w:rsid w:val="00EB5088"/>
    <w:rsid w:val="00EB54C7"/>
    <w:rsid w:val="00EB5B7E"/>
    <w:rsid w:val="00EB5BF9"/>
    <w:rsid w:val="00EB67B8"/>
    <w:rsid w:val="00EB6920"/>
    <w:rsid w:val="00EB7210"/>
    <w:rsid w:val="00EB73C6"/>
    <w:rsid w:val="00EB7FE0"/>
    <w:rsid w:val="00EC255E"/>
    <w:rsid w:val="00EC2726"/>
    <w:rsid w:val="00EC4262"/>
    <w:rsid w:val="00EC4882"/>
    <w:rsid w:val="00EC5142"/>
    <w:rsid w:val="00EC55A2"/>
    <w:rsid w:val="00EC575E"/>
    <w:rsid w:val="00EC5B5D"/>
    <w:rsid w:val="00EC6020"/>
    <w:rsid w:val="00EC6322"/>
    <w:rsid w:val="00EC6521"/>
    <w:rsid w:val="00EC681C"/>
    <w:rsid w:val="00EC6ED1"/>
    <w:rsid w:val="00EC6EF0"/>
    <w:rsid w:val="00EC7B87"/>
    <w:rsid w:val="00ED0F9A"/>
    <w:rsid w:val="00ED1644"/>
    <w:rsid w:val="00ED1A47"/>
    <w:rsid w:val="00ED2593"/>
    <w:rsid w:val="00ED3709"/>
    <w:rsid w:val="00ED432F"/>
    <w:rsid w:val="00ED52B1"/>
    <w:rsid w:val="00ED5E07"/>
    <w:rsid w:val="00ED621B"/>
    <w:rsid w:val="00ED6628"/>
    <w:rsid w:val="00ED6E34"/>
    <w:rsid w:val="00ED74FC"/>
    <w:rsid w:val="00ED7D55"/>
    <w:rsid w:val="00ED7D9C"/>
    <w:rsid w:val="00ED7EDC"/>
    <w:rsid w:val="00EE00A7"/>
    <w:rsid w:val="00EE0B23"/>
    <w:rsid w:val="00EE0F9B"/>
    <w:rsid w:val="00EE175C"/>
    <w:rsid w:val="00EE1D99"/>
    <w:rsid w:val="00EE211F"/>
    <w:rsid w:val="00EE2F77"/>
    <w:rsid w:val="00EE3031"/>
    <w:rsid w:val="00EE3158"/>
    <w:rsid w:val="00EE31A2"/>
    <w:rsid w:val="00EE4329"/>
    <w:rsid w:val="00EE4739"/>
    <w:rsid w:val="00EE4F5D"/>
    <w:rsid w:val="00EE5411"/>
    <w:rsid w:val="00EE6203"/>
    <w:rsid w:val="00EE6830"/>
    <w:rsid w:val="00EE6884"/>
    <w:rsid w:val="00EE6B0C"/>
    <w:rsid w:val="00EE6E2E"/>
    <w:rsid w:val="00EE6E6B"/>
    <w:rsid w:val="00EF0069"/>
    <w:rsid w:val="00EF0CD2"/>
    <w:rsid w:val="00EF0DF8"/>
    <w:rsid w:val="00EF10B0"/>
    <w:rsid w:val="00EF229C"/>
    <w:rsid w:val="00EF3C52"/>
    <w:rsid w:val="00EF44A0"/>
    <w:rsid w:val="00EF4580"/>
    <w:rsid w:val="00EF4B63"/>
    <w:rsid w:val="00EF4FED"/>
    <w:rsid w:val="00EF5EA9"/>
    <w:rsid w:val="00EF5F45"/>
    <w:rsid w:val="00EF66AA"/>
    <w:rsid w:val="00EF6843"/>
    <w:rsid w:val="00EF6941"/>
    <w:rsid w:val="00EF6FB3"/>
    <w:rsid w:val="00F0068B"/>
    <w:rsid w:val="00F007C6"/>
    <w:rsid w:val="00F0115C"/>
    <w:rsid w:val="00F0172E"/>
    <w:rsid w:val="00F01D71"/>
    <w:rsid w:val="00F01DB4"/>
    <w:rsid w:val="00F022D7"/>
    <w:rsid w:val="00F02C06"/>
    <w:rsid w:val="00F02FA4"/>
    <w:rsid w:val="00F04590"/>
    <w:rsid w:val="00F050BD"/>
    <w:rsid w:val="00F05657"/>
    <w:rsid w:val="00F05AB0"/>
    <w:rsid w:val="00F11EE2"/>
    <w:rsid w:val="00F127EA"/>
    <w:rsid w:val="00F12C74"/>
    <w:rsid w:val="00F13214"/>
    <w:rsid w:val="00F13C88"/>
    <w:rsid w:val="00F145F1"/>
    <w:rsid w:val="00F14D0F"/>
    <w:rsid w:val="00F1559A"/>
    <w:rsid w:val="00F158E6"/>
    <w:rsid w:val="00F15D27"/>
    <w:rsid w:val="00F17ED6"/>
    <w:rsid w:val="00F20676"/>
    <w:rsid w:val="00F207AB"/>
    <w:rsid w:val="00F209E2"/>
    <w:rsid w:val="00F20B69"/>
    <w:rsid w:val="00F22A2B"/>
    <w:rsid w:val="00F2375A"/>
    <w:rsid w:val="00F2398F"/>
    <w:rsid w:val="00F245C7"/>
    <w:rsid w:val="00F254F0"/>
    <w:rsid w:val="00F25578"/>
    <w:rsid w:val="00F25707"/>
    <w:rsid w:val="00F2574A"/>
    <w:rsid w:val="00F258E5"/>
    <w:rsid w:val="00F25B9C"/>
    <w:rsid w:val="00F2675A"/>
    <w:rsid w:val="00F26CC6"/>
    <w:rsid w:val="00F26D49"/>
    <w:rsid w:val="00F26D80"/>
    <w:rsid w:val="00F300BC"/>
    <w:rsid w:val="00F305FA"/>
    <w:rsid w:val="00F30665"/>
    <w:rsid w:val="00F31E18"/>
    <w:rsid w:val="00F3263C"/>
    <w:rsid w:val="00F33334"/>
    <w:rsid w:val="00F3334E"/>
    <w:rsid w:val="00F3358B"/>
    <w:rsid w:val="00F345FC"/>
    <w:rsid w:val="00F3573A"/>
    <w:rsid w:val="00F3637D"/>
    <w:rsid w:val="00F3656C"/>
    <w:rsid w:val="00F36CCB"/>
    <w:rsid w:val="00F3728D"/>
    <w:rsid w:val="00F373CC"/>
    <w:rsid w:val="00F374E5"/>
    <w:rsid w:val="00F3750F"/>
    <w:rsid w:val="00F37674"/>
    <w:rsid w:val="00F37B93"/>
    <w:rsid w:val="00F37BAD"/>
    <w:rsid w:val="00F37DBD"/>
    <w:rsid w:val="00F37ECA"/>
    <w:rsid w:val="00F37FF9"/>
    <w:rsid w:val="00F40A1C"/>
    <w:rsid w:val="00F417FF"/>
    <w:rsid w:val="00F42F44"/>
    <w:rsid w:val="00F43AF2"/>
    <w:rsid w:val="00F43CD6"/>
    <w:rsid w:val="00F44B2C"/>
    <w:rsid w:val="00F45216"/>
    <w:rsid w:val="00F4568B"/>
    <w:rsid w:val="00F5002D"/>
    <w:rsid w:val="00F5007E"/>
    <w:rsid w:val="00F503E2"/>
    <w:rsid w:val="00F508F6"/>
    <w:rsid w:val="00F50EC4"/>
    <w:rsid w:val="00F52232"/>
    <w:rsid w:val="00F527B1"/>
    <w:rsid w:val="00F52B8F"/>
    <w:rsid w:val="00F52DC2"/>
    <w:rsid w:val="00F52E74"/>
    <w:rsid w:val="00F54AF9"/>
    <w:rsid w:val="00F550CF"/>
    <w:rsid w:val="00F553D2"/>
    <w:rsid w:val="00F556E4"/>
    <w:rsid w:val="00F55859"/>
    <w:rsid w:val="00F558AC"/>
    <w:rsid w:val="00F56A2D"/>
    <w:rsid w:val="00F56E0C"/>
    <w:rsid w:val="00F571B3"/>
    <w:rsid w:val="00F57A6D"/>
    <w:rsid w:val="00F600DF"/>
    <w:rsid w:val="00F6022D"/>
    <w:rsid w:val="00F6044B"/>
    <w:rsid w:val="00F6136C"/>
    <w:rsid w:val="00F6268C"/>
    <w:rsid w:val="00F62CA0"/>
    <w:rsid w:val="00F62F19"/>
    <w:rsid w:val="00F638CC"/>
    <w:rsid w:val="00F6447C"/>
    <w:rsid w:val="00F64901"/>
    <w:rsid w:val="00F64C9E"/>
    <w:rsid w:val="00F64CC1"/>
    <w:rsid w:val="00F64FC8"/>
    <w:rsid w:val="00F65684"/>
    <w:rsid w:val="00F66535"/>
    <w:rsid w:val="00F6688F"/>
    <w:rsid w:val="00F67742"/>
    <w:rsid w:val="00F67D7C"/>
    <w:rsid w:val="00F705C6"/>
    <w:rsid w:val="00F707EA"/>
    <w:rsid w:val="00F708B1"/>
    <w:rsid w:val="00F71ABD"/>
    <w:rsid w:val="00F72317"/>
    <w:rsid w:val="00F73DC1"/>
    <w:rsid w:val="00F74477"/>
    <w:rsid w:val="00F75149"/>
    <w:rsid w:val="00F75BB8"/>
    <w:rsid w:val="00F75BBA"/>
    <w:rsid w:val="00F761D4"/>
    <w:rsid w:val="00F763B7"/>
    <w:rsid w:val="00F77714"/>
    <w:rsid w:val="00F77C60"/>
    <w:rsid w:val="00F80475"/>
    <w:rsid w:val="00F80E6E"/>
    <w:rsid w:val="00F81390"/>
    <w:rsid w:val="00F81F7A"/>
    <w:rsid w:val="00F82045"/>
    <w:rsid w:val="00F8247A"/>
    <w:rsid w:val="00F826EC"/>
    <w:rsid w:val="00F82E5C"/>
    <w:rsid w:val="00F835F8"/>
    <w:rsid w:val="00F83946"/>
    <w:rsid w:val="00F83D23"/>
    <w:rsid w:val="00F83E86"/>
    <w:rsid w:val="00F83F58"/>
    <w:rsid w:val="00F84C15"/>
    <w:rsid w:val="00F85206"/>
    <w:rsid w:val="00F877A8"/>
    <w:rsid w:val="00F879F1"/>
    <w:rsid w:val="00F87C7A"/>
    <w:rsid w:val="00F87CEA"/>
    <w:rsid w:val="00F91A63"/>
    <w:rsid w:val="00F92207"/>
    <w:rsid w:val="00F9265D"/>
    <w:rsid w:val="00F93541"/>
    <w:rsid w:val="00F935BD"/>
    <w:rsid w:val="00F93D38"/>
    <w:rsid w:val="00F944E2"/>
    <w:rsid w:val="00F94580"/>
    <w:rsid w:val="00F94A57"/>
    <w:rsid w:val="00F94C2E"/>
    <w:rsid w:val="00F950FD"/>
    <w:rsid w:val="00F953DD"/>
    <w:rsid w:val="00F9629A"/>
    <w:rsid w:val="00F962BA"/>
    <w:rsid w:val="00F9758F"/>
    <w:rsid w:val="00F97956"/>
    <w:rsid w:val="00F97A45"/>
    <w:rsid w:val="00F97C52"/>
    <w:rsid w:val="00F97C59"/>
    <w:rsid w:val="00F97D29"/>
    <w:rsid w:val="00F97EFC"/>
    <w:rsid w:val="00FA0599"/>
    <w:rsid w:val="00FA061F"/>
    <w:rsid w:val="00FA0B04"/>
    <w:rsid w:val="00FA0C7C"/>
    <w:rsid w:val="00FA0ED7"/>
    <w:rsid w:val="00FA1091"/>
    <w:rsid w:val="00FA11FA"/>
    <w:rsid w:val="00FA1BDD"/>
    <w:rsid w:val="00FA278B"/>
    <w:rsid w:val="00FA305C"/>
    <w:rsid w:val="00FA462E"/>
    <w:rsid w:val="00FA4DD5"/>
    <w:rsid w:val="00FA5883"/>
    <w:rsid w:val="00FA5EB2"/>
    <w:rsid w:val="00FA6055"/>
    <w:rsid w:val="00FA6446"/>
    <w:rsid w:val="00FA6644"/>
    <w:rsid w:val="00FA687D"/>
    <w:rsid w:val="00FA6ED7"/>
    <w:rsid w:val="00FB01F3"/>
    <w:rsid w:val="00FB0B39"/>
    <w:rsid w:val="00FB10C5"/>
    <w:rsid w:val="00FB166C"/>
    <w:rsid w:val="00FB2415"/>
    <w:rsid w:val="00FB2C25"/>
    <w:rsid w:val="00FB322F"/>
    <w:rsid w:val="00FB442F"/>
    <w:rsid w:val="00FB5CCF"/>
    <w:rsid w:val="00FB5D2C"/>
    <w:rsid w:val="00FB69FB"/>
    <w:rsid w:val="00FB7C4F"/>
    <w:rsid w:val="00FC118C"/>
    <w:rsid w:val="00FC1929"/>
    <w:rsid w:val="00FC2AB0"/>
    <w:rsid w:val="00FC3096"/>
    <w:rsid w:val="00FC413F"/>
    <w:rsid w:val="00FC55C3"/>
    <w:rsid w:val="00FC5B46"/>
    <w:rsid w:val="00FC61A3"/>
    <w:rsid w:val="00FC7272"/>
    <w:rsid w:val="00FC74C4"/>
    <w:rsid w:val="00FD0BF4"/>
    <w:rsid w:val="00FD0CD7"/>
    <w:rsid w:val="00FD1A77"/>
    <w:rsid w:val="00FD1D4F"/>
    <w:rsid w:val="00FD21BB"/>
    <w:rsid w:val="00FD24BF"/>
    <w:rsid w:val="00FD3263"/>
    <w:rsid w:val="00FD3B6E"/>
    <w:rsid w:val="00FD4140"/>
    <w:rsid w:val="00FD46BD"/>
    <w:rsid w:val="00FD550F"/>
    <w:rsid w:val="00FD57EB"/>
    <w:rsid w:val="00FD5A13"/>
    <w:rsid w:val="00FD62C4"/>
    <w:rsid w:val="00FD6D8E"/>
    <w:rsid w:val="00FD7525"/>
    <w:rsid w:val="00FE0663"/>
    <w:rsid w:val="00FE0E94"/>
    <w:rsid w:val="00FE10BF"/>
    <w:rsid w:val="00FE2853"/>
    <w:rsid w:val="00FE28A3"/>
    <w:rsid w:val="00FE2CA2"/>
    <w:rsid w:val="00FE369C"/>
    <w:rsid w:val="00FE3CD9"/>
    <w:rsid w:val="00FE61FE"/>
    <w:rsid w:val="00FE72F6"/>
    <w:rsid w:val="00FF00BD"/>
    <w:rsid w:val="00FF0460"/>
    <w:rsid w:val="00FF067C"/>
    <w:rsid w:val="00FF0B13"/>
    <w:rsid w:val="00FF1672"/>
    <w:rsid w:val="00FF1838"/>
    <w:rsid w:val="00FF1ED4"/>
    <w:rsid w:val="00FF2801"/>
    <w:rsid w:val="00FF2A9C"/>
    <w:rsid w:val="00FF3BDB"/>
    <w:rsid w:val="00FF3DA8"/>
    <w:rsid w:val="00FF3EAB"/>
    <w:rsid w:val="00FF49A4"/>
    <w:rsid w:val="00FF5767"/>
    <w:rsid w:val="00FF63A3"/>
    <w:rsid w:val="00FF799B"/>
    <w:rsid w:val="012A7082"/>
    <w:rsid w:val="0143FC8B"/>
    <w:rsid w:val="01472274"/>
    <w:rsid w:val="01BAC867"/>
    <w:rsid w:val="0254441C"/>
    <w:rsid w:val="02E816C3"/>
    <w:rsid w:val="032394EB"/>
    <w:rsid w:val="033B2F40"/>
    <w:rsid w:val="0437B5A4"/>
    <w:rsid w:val="04A12F4E"/>
    <w:rsid w:val="04DBE9EA"/>
    <w:rsid w:val="05182518"/>
    <w:rsid w:val="051D99F9"/>
    <w:rsid w:val="05B612E3"/>
    <w:rsid w:val="0605216C"/>
    <w:rsid w:val="063EE9F7"/>
    <w:rsid w:val="069F379E"/>
    <w:rsid w:val="076CEE75"/>
    <w:rsid w:val="08185FB9"/>
    <w:rsid w:val="082A09EB"/>
    <w:rsid w:val="089BC592"/>
    <w:rsid w:val="0A0C7AE1"/>
    <w:rsid w:val="0A663D94"/>
    <w:rsid w:val="0B1BF5E7"/>
    <w:rsid w:val="0CF130DF"/>
    <w:rsid w:val="0CFE1DFD"/>
    <w:rsid w:val="0D4FC7CF"/>
    <w:rsid w:val="0DC4E36E"/>
    <w:rsid w:val="0E5E506F"/>
    <w:rsid w:val="0E9D69FD"/>
    <w:rsid w:val="0F5CF529"/>
    <w:rsid w:val="0FC31246"/>
    <w:rsid w:val="1023E0F9"/>
    <w:rsid w:val="1272477B"/>
    <w:rsid w:val="12B95C68"/>
    <w:rsid w:val="14F07869"/>
    <w:rsid w:val="15107A79"/>
    <w:rsid w:val="1559BAC6"/>
    <w:rsid w:val="162998A6"/>
    <w:rsid w:val="17FD5F39"/>
    <w:rsid w:val="1829E2FF"/>
    <w:rsid w:val="18657CF4"/>
    <w:rsid w:val="19890FA6"/>
    <w:rsid w:val="19B44400"/>
    <w:rsid w:val="19F05EFA"/>
    <w:rsid w:val="19F2311B"/>
    <w:rsid w:val="19F7AA11"/>
    <w:rsid w:val="1A0D3C6A"/>
    <w:rsid w:val="1A2D1BE7"/>
    <w:rsid w:val="1A8A0C43"/>
    <w:rsid w:val="1B0BFFE7"/>
    <w:rsid w:val="1B33969F"/>
    <w:rsid w:val="1B4DABE9"/>
    <w:rsid w:val="1D4E7C25"/>
    <w:rsid w:val="1D6033D6"/>
    <w:rsid w:val="1DDBDA0D"/>
    <w:rsid w:val="1E382E8C"/>
    <w:rsid w:val="1E938E64"/>
    <w:rsid w:val="1EAFF635"/>
    <w:rsid w:val="1F3EECBD"/>
    <w:rsid w:val="1F695392"/>
    <w:rsid w:val="1FB6E350"/>
    <w:rsid w:val="1FF3162D"/>
    <w:rsid w:val="2009EB8A"/>
    <w:rsid w:val="210F5AF1"/>
    <w:rsid w:val="212CBC64"/>
    <w:rsid w:val="231C3354"/>
    <w:rsid w:val="238CC620"/>
    <w:rsid w:val="244B8CF8"/>
    <w:rsid w:val="24C0A041"/>
    <w:rsid w:val="24CA5046"/>
    <w:rsid w:val="24F49182"/>
    <w:rsid w:val="26615FE7"/>
    <w:rsid w:val="2678B15D"/>
    <w:rsid w:val="26F6F44A"/>
    <w:rsid w:val="27394882"/>
    <w:rsid w:val="28B27485"/>
    <w:rsid w:val="29365BD7"/>
    <w:rsid w:val="29882150"/>
    <w:rsid w:val="29E0E709"/>
    <w:rsid w:val="2A30CF3C"/>
    <w:rsid w:val="2A76D2B8"/>
    <w:rsid w:val="2AA490C3"/>
    <w:rsid w:val="2AB480AD"/>
    <w:rsid w:val="2B8D5B09"/>
    <w:rsid w:val="2C129C86"/>
    <w:rsid w:val="2C4C1D68"/>
    <w:rsid w:val="2C7C3DFB"/>
    <w:rsid w:val="2D470254"/>
    <w:rsid w:val="2D9C5FC4"/>
    <w:rsid w:val="2DECC312"/>
    <w:rsid w:val="2E4579D6"/>
    <w:rsid w:val="2EF0545B"/>
    <w:rsid w:val="2FA4A236"/>
    <w:rsid w:val="2FC97F8A"/>
    <w:rsid w:val="2FFCC890"/>
    <w:rsid w:val="300EDF22"/>
    <w:rsid w:val="3079EB0D"/>
    <w:rsid w:val="307D714D"/>
    <w:rsid w:val="3093AC95"/>
    <w:rsid w:val="30E8B387"/>
    <w:rsid w:val="31C1265F"/>
    <w:rsid w:val="321F658F"/>
    <w:rsid w:val="32FFC29C"/>
    <w:rsid w:val="3320F36F"/>
    <w:rsid w:val="340D0A3D"/>
    <w:rsid w:val="343A4F58"/>
    <w:rsid w:val="34E7EA92"/>
    <w:rsid w:val="363425FC"/>
    <w:rsid w:val="373C6128"/>
    <w:rsid w:val="37C1F8E8"/>
    <w:rsid w:val="3805C0E7"/>
    <w:rsid w:val="38168071"/>
    <w:rsid w:val="393376D2"/>
    <w:rsid w:val="3939AE3B"/>
    <w:rsid w:val="395463D1"/>
    <w:rsid w:val="398863F1"/>
    <w:rsid w:val="3A20C143"/>
    <w:rsid w:val="3A4C135D"/>
    <w:rsid w:val="3BA095AD"/>
    <w:rsid w:val="3C3B3694"/>
    <w:rsid w:val="3EDC23CB"/>
    <w:rsid w:val="3EF9E438"/>
    <w:rsid w:val="40771079"/>
    <w:rsid w:val="40930EF5"/>
    <w:rsid w:val="4110CDB4"/>
    <w:rsid w:val="42691D0F"/>
    <w:rsid w:val="42F9B666"/>
    <w:rsid w:val="4372D6C2"/>
    <w:rsid w:val="443448FB"/>
    <w:rsid w:val="44505BFC"/>
    <w:rsid w:val="450F5A46"/>
    <w:rsid w:val="456C4AA2"/>
    <w:rsid w:val="4641A0D0"/>
    <w:rsid w:val="483DA525"/>
    <w:rsid w:val="4873567A"/>
    <w:rsid w:val="48F582C0"/>
    <w:rsid w:val="49278FF3"/>
    <w:rsid w:val="495D9BBE"/>
    <w:rsid w:val="49B7B512"/>
    <w:rsid w:val="4AE86C22"/>
    <w:rsid w:val="4C8B405E"/>
    <w:rsid w:val="4CA8BA21"/>
    <w:rsid w:val="4D21EA56"/>
    <w:rsid w:val="4DA14906"/>
    <w:rsid w:val="4DD74500"/>
    <w:rsid w:val="4EE3854C"/>
    <w:rsid w:val="4F28A562"/>
    <w:rsid w:val="5057B658"/>
    <w:rsid w:val="50F1C25A"/>
    <w:rsid w:val="517C50E5"/>
    <w:rsid w:val="51A107A9"/>
    <w:rsid w:val="521C1C44"/>
    <w:rsid w:val="53044900"/>
    <w:rsid w:val="53229BC9"/>
    <w:rsid w:val="53B39A2E"/>
    <w:rsid w:val="54C17BA2"/>
    <w:rsid w:val="553311EF"/>
    <w:rsid w:val="55ACD1A0"/>
    <w:rsid w:val="56AFA43F"/>
    <w:rsid w:val="58963761"/>
    <w:rsid w:val="59185BFB"/>
    <w:rsid w:val="593F501C"/>
    <w:rsid w:val="5A05D725"/>
    <w:rsid w:val="5A8F350C"/>
    <w:rsid w:val="5ADD90BE"/>
    <w:rsid w:val="5B1E38D7"/>
    <w:rsid w:val="5B9D8C93"/>
    <w:rsid w:val="5CB076C8"/>
    <w:rsid w:val="5D5832E9"/>
    <w:rsid w:val="5D80A09E"/>
    <w:rsid w:val="5DC1C88E"/>
    <w:rsid w:val="5DF2A876"/>
    <w:rsid w:val="5EACEEBD"/>
    <w:rsid w:val="5EBDDC85"/>
    <w:rsid w:val="5F8C18FC"/>
    <w:rsid w:val="600E03FD"/>
    <w:rsid w:val="602E8B5E"/>
    <w:rsid w:val="6238D218"/>
    <w:rsid w:val="628CB478"/>
    <w:rsid w:val="62AD93BA"/>
    <w:rsid w:val="6315D0E8"/>
    <w:rsid w:val="63555756"/>
    <w:rsid w:val="644E444D"/>
    <w:rsid w:val="65573E26"/>
    <w:rsid w:val="65AD35BA"/>
    <w:rsid w:val="65C2D45A"/>
    <w:rsid w:val="65DD140F"/>
    <w:rsid w:val="6657D135"/>
    <w:rsid w:val="66D9E62A"/>
    <w:rsid w:val="66E8E023"/>
    <w:rsid w:val="6728F4B3"/>
    <w:rsid w:val="673BE400"/>
    <w:rsid w:val="67B6BAF7"/>
    <w:rsid w:val="684E7CEA"/>
    <w:rsid w:val="68E0347C"/>
    <w:rsid w:val="6956685D"/>
    <w:rsid w:val="695D0045"/>
    <w:rsid w:val="699B3EBB"/>
    <w:rsid w:val="69A7D5B7"/>
    <w:rsid w:val="6A2AAF49"/>
    <w:rsid w:val="6BAD574D"/>
    <w:rsid w:val="6C057B86"/>
    <w:rsid w:val="6CA77350"/>
    <w:rsid w:val="70971A32"/>
    <w:rsid w:val="709A626A"/>
    <w:rsid w:val="716D6D8F"/>
    <w:rsid w:val="731BA24E"/>
    <w:rsid w:val="73C929CD"/>
    <w:rsid w:val="73E7CF48"/>
    <w:rsid w:val="750B26A3"/>
    <w:rsid w:val="75B5D97D"/>
    <w:rsid w:val="75B9CE48"/>
    <w:rsid w:val="764DA178"/>
    <w:rsid w:val="77B642A1"/>
    <w:rsid w:val="78063D85"/>
    <w:rsid w:val="78168F3E"/>
    <w:rsid w:val="78E271BD"/>
    <w:rsid w:val="78E93C4E"/>
    <w:rsid w:val="7976A4CF"/>
    <w:rsid w:val="79E941EA"/>
    <w:rsid w:val="7A3DE86F"/>
    <w:rsid w:val="7AD6838E"/>
    <w:rsid w:val="7B180F93"/>
    <w:rsid w:val="7B1B6DA9"/>
    <w:rsid w:val="7B349606"/>
    <w:rsid w:val="7C63B7C1"/>
    <w:rsid w:val="7C73E7A8"/>
    <w:rsid w:val="7C7878ED"/>
    <w:rsid w:val="7CDEBC17"/>
    <w:rsid w:val="7D61AEBC"/>
    <w:rsid w:val="7D6DDC28"/>
    <w:rsid w:val="7D98DA3E"/>
    <w:rsid w:val="7DAC400C"/>
    <w:rsid w:val="7E303FD3"/>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0ED3"/>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B60ED3"/>
    <w:pPr>
      <w:keepNext/>
      <w:tabs>
        <w:tab w:val="center" w:pos="4513"/>
        <w:tab w:val="right" w:pos="9026"/>
      </w:tabs>
      <w:jc w:val="center"/>
    </w:pPr>
    <w:rPr>
      <w:i/>
      <w:iC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B60ED3"/>
    <w:rPr>
      <w:rFonts w:ascii="Calibri" w:hAnsi="Calibri"/>
      <w:i/>
      <w:iCs/>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ody Text Bullet Points,BulletPoints,Numbered para,List Paragraph1,Bullet point,List Paragraph11,Recommendation,Section heading,Footnote,Figure_name,Numbered Indented Text,Bullet- First level,List NUmber,Listenabsatz1,lp1,Style 2,TOC styl"/>
    <w:link w:val="ListParagraphChar"/>
    <w:uiPriority w:val="34"/>
    <w:qFormat/>
    <w:rsid w:val="00D86C52"/>
    <w:pPr>
      <w:numPr>
        <w:numId w:val="35"/>
      </w:numPr>
      <w:spacing w:before="120" w:after="120"/>
      <w:ind w:left="1077" w:hanging="357"/>
      <w:jc w:val="both"/>
    </w:pPr>
    <w:rPr>
      <w:rFonts w:asciiTheme="minorHAnsi" w:hAnsiTheme="minorHAnsi" w:cs="Arial"/>
      <w:snapToGrid w:val="0"/>
      <w:sz w:val="24"/>
      <w:szCs w:val="24"/>
    </w:rPr>
  </w:style>
  <w:style w:type="character" w:styleId="CommentReference">
    <w:name w:val="annotation reference"/>
    <w:aliases w:val="Table Title,-H18,Annotationmark"/>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rsid w:val="009F5F2E"/>
  </w:style>
  <w:style w:type="paragraph" w:styleId="NoSpacing">
    <w:name w:val="No Spacing"/>
    <w:basedOn w:val="Normal"/>
    <w:link w:val="NoSpacingChar"/>
    <w:uiPriority w:val="1"/>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ody Text Bullet Points Char,BulletPoints Char,Numbered para Char,List Paragraph1 Char,Bullet point Char,List Paragraph11 Char,Recommendation Char,Section heading Char,Footnote Char,Figure_name Char,Numbered Indented Text Char"/>
    <w:basedOn w:val="DefaultParagraphFont"/>
    <w:link w:val="ListParagraph"/>
    <w:uiPriority w:val="34"/>
    <w:qFormat/>
    <w:rsid w:val="00D86C52"/>
    <w:rPr>
      <w:rFonts w:asciiTheme="minorHAnsi" w:hAnsiTheme="minorHAnsi" w:cs="Arial"/>
      <w:snapToGrid w:val="0"/>
      <w:sz w:val="24"/>
      <w:szCs w:val="24"/>
    </w:rPr>
  </w:style>
  <w:style w:type="paragraph" w:customStyle="1" w:styleId="2Sections">
    <w:name w:val="2. Sections"/>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i/>
      <w:iCs/>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numId w:val="0"/>
      </w:numPr>
    </w:pPr>
    <w:rPr>
      <w:rFonts w:eastAsiaTheme="minorHAnsi" w:cstheme="minorBidi"/>
      <w:snapToGrid/>
      <w:szCs w:val="22"/>
    </w:rPr>
  </w:style>
  <w:style w:type="paragraph" w:customStyle="1" w:styleId="PBACFooter">
    <w:name w:val="PBAC Footer"/>
    <w:basedOn w:val="Footer"/>
    <w:link w:val="PBACFooterChar"/>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B60ED3"/>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B60ED3"/>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OvrSummary-Bulletpoints">
    <w:name w:val="Ovr Summary - Bullet points"/>
    <w:basedOn w:val="ListParagraph"/>
    <w:qFormat/>
    <w:rsid w:val="00D86C52"/>
    <w:pPr>
      <w:ind w:left="754"/>
    </w:pPr>
    <w:rPr>
      <w:rFonts w:cstheme="minorHAnsi"/>
      <w:color w:val="000000" w:themeColor="text1"/>
    </w:rPr>
  </w:style>
  <w:style w:type="paragraph" w:customStyle="1" w:styleId="TableFooter">
    <w:name w:val="Table Footer"/>
    <w:basedOn w:val="Normal"/>
    <w:link w:val="TableFooterChar"/>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rsid w:val="00691A2C"/>
    <w:rPr>
      <w:rFonts w:ascii="Arial Narrow" w:hAnsi="Arial Narrow"/>
      <w:b/>
      <w:iCs/>
      <w:color w:val="000000" w:themeColor="text1"/>
      <w:sz w:val="20"/>
      <w:szCs w:val="18"/>
    </w:rPr>
  </w:style>
  <w:style w:type="paragraph" w:customStyle="1" w:styleId="ProcedureStep">
    <w:name w:val="ProcedureStep"/>
    <w:basedOn w:val="Normal"/>
    <w:rsid w:val="00BF27A0"/>
    <w:pPr>
      <w:numPr>
        <w:numId w:val="8"/>
      </w:numPr>
      <w:spacing w:before="60" w:after="60" w:line="300" w:lineRule="atLeast"/>
      <w:ind w:right="567"/>
    </w:pPr>
    <w:rPr>
      <w:rFonts w:ascii="Tahoma" w:hAnsi="Tahoma"/>
      <w:sz w:val="22"/>
      <w:szCs w:val="20"/>
    </w:rPr>
  </w:style>
  <w:style w:type="paragraph" w:customStyle="1" w:styleId="GeneralHeading">
    <w:name w:val="General Heading"/>
    <w:qFormat/>
    <w:rsid w:val="00B60ED3"/>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B60ED3"/>
    <w:pPr>
      <w:keepNext/>
    </w:pPr>
    <w:rPr>
      <w:rFonts w:ascii="Arial Narrow" w:eastAsiaTheme="majorEastAsia" w:hAnsi="Arial Narrow"/>
      <w:b/>
      <w:szCs w:val="24"/>
      <w:lang w:val="en-US"/>
    </w:rPr>
  </w:style>
  <w:style w:type="paragraph" w:customStyle="1" w:styleId="2-SectionHeading">
    <w:name w:val="2-Section Heading"/>
    <w:next w:val="3-BodyText"/>
    <w:qFormat/>
    <w:rsid w:val="00B60ED3"/>
    <w:pPr>
      <w:keepNext/>
      <w:numPr>
        <w:numId w:val="37"/>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B60ED3"/>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B60ED3"/>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B60ED3"/>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B60ED3"/>
    <w:rPr>
      <w:rFonts w:ascii="Arial Narrow" w:eastAsiaTheme="majorEastAsia" w:hAnsi="Arial Narrow" w:cstheme="majorBidi"/>
      <w:b/>
      <w:bCs/>
      <w:szCs w:val="24"/>
    </w:rPr>
  </w:style>
  <w:style w:type="paragraph" w:customStyle="1" w:styleId="3-BodyText">
    <w:name w:val="3-Body Text"/>
    <w:link w:val="3-BodyTextChar"/>
    <w:qFormat/>
    <w:rsid w:val="00D53F0C"/>
    <w:pPr>
      <w:numPr>
        <w:ilvl w:val="1"/>
        <w:numId w:val="37"/>
      </w:numPr>
      <w:spacing w:before="120"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D53F0C"/>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B60ED3"/>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B60ED3"/>
    <w:rPr>
      <w:rFonts w:ascii="Calibri" w:hAnsi="Calibri" w:cs="Arial"/>
      <w:b/>
      <w:sz w:val="24"/>
      <w:szCs w:val="24"/>
    </w:rPr>
  </w:style>
  <w:style w:type="paragraph" w:customStyle="1" w:styleId="TableFigureFooter">
    <w:name w:val="Table/Figure Footer"/>
    <w:basedOn w:val="Normal"/>
    <w:next w:val="3-BodyText"/>
    <w:link w:val="TableFigureFooterChar"/>
    <w:qFormat/>
    <w:rsid w:val="00B60ED3"/>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B60ED3"/>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B60ED3"/>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B60ED3"/>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B60ED3"/>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B60ED3"/>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9"/>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paragraph" w:styleId="TOC9">
    <w:name w:val="toc 9"/>
    <w:basedOn w:val="Normal"/>
    <w:next w:val="Normal"/>
    <w:autoRedefine/>
    <w:semiHidden/>
    <w:unhideWhenUsed/>
    <w:rsid w:val="00C56D78"/>
    <w:pPr>
      <w:spacing w:after="100"/>
      <w:ind w:left="1920"/>
    </w:pPr>
  </w:style>
  <w:style w:type="paragraph" w:customStyle="1" w:styleId="FooterTableFigure">
    <w:name w:val="Footer Table/Figure"/>
    <w:basedOn w:val="Normal"/>
    <w:link w:val="FooterTableFigureChar"/>
    <w:rsid w:val="00B6533B"/>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B6533B"/>
    <w:rPr>
      <w:rFonts w:ascii="Arial Narrow" w:hAnsi="Arial Narrow" w:cs="Arial"/>
      <w:snapToGrid w:val="0"/>
      <w:sz w:val="18"/>
      <w:szCs w:val="22"/>
    </w:rPr>
  </w:style>
  <w:style w:type="character" w:customStyle="1" w:styleId="cf01">
    <w:name w:val="cf01"/>
    <w:basedOn w:val="DefaultParagraphFont"/>
    <w:rsid w:val="00170C4D"/>
    <w:rPr>
      <w:rFonts w:ascii="Segoe UI" w:hAnsi="Segoe UI" w:cs="Segoe UI" w:hint="default"/>
      <w:sz w:val="18"/>
      <w:szCs w:val="18"/>
    </w:rPr>
  </w:style>
  <w:style w:type="character" w:styleId="Mention">
    <w:name w:val="Mention"/>
    <w:basedOn w:val="DefaultParagraphFont"/>
    <w:uiPriority w:val="99"/>
    <w:unhideWhenUsed/>
    <w:rsid w:val="00735FF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76176744">
      <w:bodyDiv w:val="1"/>
      <w:marLeft w:val="0"/>
      <w:marRight w:val="0"/>
      <w:marTop w:val="0"/>
      <w:marBottom w:val="0"/>
      <w:divBdr>
        <w:top w:val="none" w:sz="0" w:space="0" w:color="auto"/>
        <w:left w:val="none" w:sz="0" w:space="0" w:color="auto"/>
        <w:bottom w:val="none" w:sz="0" w:space="0" w:color="auto"/>
        <w:right w:val="none" w:sz="0" w:space="0" w:color="auto"/>
      </w:divBdr>
    </w:div>
    <w:div w:id="257450267">
      <w:bodyDiv w:val="1"/>
      <w:marLeft w:val="0"/>
      <w:marRight w:val="0"/>
      <w:marTop w:val="0"/>
      <w:marBottom w:val="0"/>
      <w:divBdr>
        <w:top w:val="none" w:sz="0" w:space="0" w:color="auto"/>
        <w:left w:val="none" w:sz="0" w:space="0" w:color="auto"/>
        <w:bottom w:val="none" w:sz="0" w:space="0" w:color="auto"/>
        <w:right w:val="none" w:sz="0" w:space="0" w:color="auto"/>
      </w:divBdr>
    </w:div>
    <w:div w:id="403184464">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13128256">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1988512834">
      <w:bodyDiv w:val="1"/>
      <w:marLeft w:val="0"/>
      <w:marRight w:val="0"/>
      <w:marTop w:val="0"/>
      <w:marBottom w:val="0"/>
      <w:divBdr>
        <w:top w:val="none" w:sz="0" w:space="0" w:color="auto"/>
        <w:left w:val="none" w:sz="0" w:space="0" w:color="auto"/>
        <w:bottom w:val="none" w:sz="0" w:space="0" w:color="auto"/>
        <w:right w:val="none" w:sz="0" w:space="0" w:color="auto"/>
      </w:divBdr>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5" ma:contentTypeDescription="Create a new document." ma:contentTypeScope="" ma:versionID="800ebfdfa1bbf1ff6c9cf58b3ab635a0">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cd488804b94607c00d160a5d5b6e66e9"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ecreated" ma:index="22" nillable="true" ma:displayName="Date created" ma:description="date created" ma:format="DateOnly" ma:internalName="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created xmlns="7f856f8d-13b3-495a-9a4b-41f8182eda4c" xsi:nil="true"/>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F1C8F-1707-4C10-B559-1CAF53AE1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FAF9A0-C5A2-4D84-98BE-6E930131F71A}">
  <ds:schemaRefs>
    <ds:schemaRef ds:uri="http://schemas.microsoft.com/sharepoint/v3/contenttype/forms"/>
  </ds:schemaRefs>
</ds:datastoreItem>
</file>

<file path=customXml/itemProps3.xml><?xml version="1.0" encoding="utf-8"?>
<ds:datastoreItem xmlns:ds="http://schemas.openxmlformats.org/officeDocument/2006/customXml" ds:itemID="{AEADF226-176F-4B6F-82E0-8DE5B332CA21}">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customXml/itemProps4.xml><?xml version="1.0" encoding="utf-8"?>
<ds:datastoreItem xmlns:ds="http://schemas.openxmlformats.org/officeDocument/2006/customXml" ds:itemID="{DE0892AD-C596-40B4-89DF-FDD2641BC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4269</Words>
  <Characters>23054</Characters>
  <Application>Microsoft Office Word</Application>
  <DocSecurity>0</DocSecurity>
  <Lines>606</Lines>
  <Paragraphs>341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2026-07-08T01:45:00Z</dcterms:created>
  <dcterms:modified xsi:type="dcterms:W3CDTF">2026-07-08T01:45:00Z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19ff54e,403e0032,6520a342</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1010dce9,4c6881b0,252fbe43</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2026-05-29T03:35:03Z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d55c38a4-5519-479b-a5f9-bee4795d6f7b</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Order">
    <vt:r8>59891200</vt:r8>
  </property>
  <property fmtid="{D5CDD505-2E9C-101B-9397-08002B2CF9AE}" pid="17" name="MSIP_Label_e96f34de-6201-4396-9b5e-7ee7670aa56c_Method">
    <vt:lpwstr>Privileged</vt:lpwstr>
  </property>
  <property fmtid="{D5CDD505-2E9C-101B-9397-08002B2CF9AE}" pid="18" name="MSIP_Label_e96f34de-6201-4396-9b5e-7ee7670aa56c_SiteId">
    <vt:lpwstr>7a916015-20ae-4ad1-9170-eefd915e9272</vt:lpwstr>
  </property>
  <property fmtid="{D5CDD505-2E9C-101B-9397-08002B2CF9AE}" pid="19" name="MediaServiceImageTags">
    <vt:lpwstr/>
  </property>
  <property fmtid="{D5CDD505-2E9C-101B-9397-08002B2CF9AE}" pid="20" name="xd_ProgID">
    <vt:lpwstr/>
  </property>
  <property fmtid="{D5CDD505-2E9C-101B-9397-08002B2CF9AE}" pid="21" name="ContentTypeId">
    <vt:lpwstr>0x0101007FED174C5281F747A8037A05221D6DBD</vt:lpwstr>
  </property>
  <property fmtid="{D5CDD505-2E9C-101B-9397-08002B2CF9AE}" pid="22" name="ComplianceAssetId">
    <vt:lpwstr/>
  </property>
  <property fmtid="{D5CDD505-2E9C-101B-9397-08002B2CF9AE}" pid="23" name="TemplateUrl">
    <vt:lpwstr/>
  </property>
  <property fmtid="{D5CDD505-2E9C-101B-9397-08002B2CF9AE}" pid="24" name="MSIP_Label_e96f34de-6201-4396-9b5e-7ee7670aa56c_ContentBits">
    <vt:lpwstr>0</vt:lpwstr>
  </property>
  <property fmtid="{D5CDD505-2E9C-101B-9397-08002B2CF9AE}" pid="25" name="MSIP_Label_e96f34de-6201-4396-9b5e-7ee7670aa56c_Enabled">
    <vt:lpwstr>true</vt:lpwstr>
  </property>
  <property fmtid="{D5CDD505-2E9C-101B-9397-08002B2CF9AE}" pid="26" name="_ExtendedDescription">
    <vt:lpwstr/>
  </property>
  <property fmtid="{D5CDD505-2E9C-101B-9397-08002B2CF9AE}" pid="27" name="docLang">
    <vt:lpwstr>en</vt:lpwstr>
  </property>
  <property fmtid="{D5CDD505-2E9C-101B-9397-08002B2CF9AE}" pid="28" name="MSIP_Label_e96f34de-6201-4396-9b5e-7ee7670aa56c_SetDate">
    <vt:lpwstr>2026-05-22T03:21:28Z</vt:lpwstr>
  </property>
  <property fmtid="{D5CDD505-2E9C-101B-9397-08002B2CF9AE}" pid="29" name="MSIP_Label_e96f34de-6201-4396-9b5e-7ee7670aa56c_Tag">
    <vt:lpwstr>10, 0, 1, 1</vt:lpwstr>
  </property>
  <property fmtid="{D5CDD505-2E9C-101B-9397-08002B2CF9AE}" pid="30" name="xd_Signature">
    <vt:bool>false</vt:bool>
  </property>
  <property fmtid="{D5CDD505-2E9C-101B-9397-08002B2CF9AE}" pid="31" name="MSIP_Label_e96f34de-6201-4396-9b5e-7ee7670aa56c_Name">
    <vt:lpwstr>e96f34de-6201-4396-9b5e-7ee7670aa56c</vt:lpwstr>
  </property>
  <property fmtid="{D5CDD505-2E9C-101B-9397-08002B2CF9AE}" pid="32" name="MSIP_Label_e96f34de-6201-4396-9b5e-7ee7670aa56c_ActionId">
    <vt:lpwstr>eecee823-4bdc-45a7-937b-21cb937b54b9</vt:lpwstr>
  </property>
  <property fmtid="{D5CDD505-2E9C-101B-9397-08002B2CF9AE}" pid="33" name="TriggerFlowInfo">
    <vt:lpwstr/>
  </property>
</Properties>
</file>