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64D9" w14:textId="450FE5A0" w:rsidR="00E7647C" w:rsidRPr="00540C37" w:rsidRDefault="00E7647C" w:rsidP="00540C37">
      <w:pPr>
        <w:keepNext/>
        <w:contextualSpacing/>
        <w:rPr>
          <w:bCs/>
        </w:rPr>
      </w:pPr>
      <w:bookmarkStart w:id="0" w:name="_Toc219878270"/>
    </w:p>
    <w:p w14:paraId="43A864C5" w14:textId="2CFD5CB5" w:rsidR="00433044" w:rsidRPr="00C151F2" w:rsidRDefault="00C34716" w:rsidP="00E75023">
      <w:pPr>
        <w:pStyle w:val="COMH1-notnumbered"/>
      </w:pPr>
      <w:r>
        <w:t>5.09</w:t>
      </w:r>
      <w:r w:rsidR="00163F66" w:rsidRPr="0098262F">
        <w:tab/>
      </w:r>
      <w:r w:rsidR="00333FF6">
        <w:t>TARLATAMAB</w:t>
      </w:r>
      <w:r w:rsidR="00163F66" w:rsidRPr="0098262F">
        <w:t>,</w:t>
      </w:r>
      <w:r w:rsidR="00163F66" w:rsidRPr="0098262F">
        <w:br/>
      </w:r>
      <w:r w:rsidR="00333FF6">
        <w:t>Powder for injection 1 mg</w:t>
      </w:r>
      <w:r w:rsidR="00163F66" w:rsidRPr="0098262F">
        <w:t>,</w:t>
      </w:r>
      <w:r w:rsidR="00163F66" w:rsidRPr="0098262F">
        <w:br/>
      </w:r>
      <w:r w:rsidR="00333FF6">
        <w:t>Powder for injection 10 mg</w:t>
      </w:r>
      <w:r w:rsidR="00163F66" w:rsidRPr="0098262F">
        <w:t>,</w:t>
      </w:r>
      <w:r w:rsidR="00163F66" w:rsidRPr="0098262F">
        <w:br/>
      </w:r>
      <w:r w:rsidR="00333FF6">
        <w:t>Imdelltra</w:t>
      </w:r>
      <w:r w:rsidR="00B60939" w:rsidRPr="0098262F">
        <w:rPr>
          <w:vertAlign w:val="superscript"/>
        </w:rPr>
        <w:t>®</w:t>
      </w:r>
      <w:r w:rsidR="004A6040" w:rsidRPr="0098262F">
        <w:t>,</w:t>
      </w:r>
      <w:r w:rsidR="004A6040" w:rsidRPr="0098262F">
        <w:br/>
      </w:r>
      <w:r w:rsidR="00333FF6">
        <w:t>Amgen Australia Pty Ltd</w:t>
      </w:r>
      <w:bookmarkEnd w:id="0"/>
    </w:p>
    <w:p w14:paraId="11C00795" w14:textId="3DFB6D23" w:rsidR="00B50DB8" w:rsidRPr="007E186A" w:rsidRDefault="00B50DB8" w:rsidP="002B2723">
      <w:pPr>
        <w:pStyle w:val="COMESH2"/>
      </w:pPr>
      <w:bookmarkStart w:id="1" w:name="_Toc219878272"/>
      <w:r w:rsidRPr="007E186A">
        <w:t xml:space="preserve">Purpose of </w:t>
      </w:r>
      <w:r w:rsidR="00CD7193" w:rsidRPr="007E186A">
        <w:t>s</w:t>
      </w:r>
      <w:r w:rsidR="00BB3A45" w:rsidRPr="007E186A">
        <w:t>ubmission</w:t>
      </w:r>
      <w:bookmarkEnd w:id="1"/>
    </w:p>
    <w:p w14:paraId="022C1DEC" w14:textId="5E8B14E2" w:rsidR="00F038AD" w:rsidRDefault="00F038AD" w:rsidP="00F038AD">
      <w:pPr>
        <w:pStyle w:val="COMESnumberedpara"/>
      </w:pPr>
      <w:r w:rsidRPr="005C0450">
        <w:t xml:space="preserve">The Category </w:t>
      </w:r>
      <w:r w:rsidR="007A6340">
        <w:t>1</w:t>
      </w:r>
      <w:r w:rsidR="007A6340" w:rsidRPr="005C0450">
        <w:t xml:space="preserve"> </w:t>
      </w:r>
      <w:r w:rsidRPr="005C0450">
        <w:t>submission requested a Section 100 (Efficient Funding of Chemotherapy Program) Authority Required (STREAMLINED) listing of tarlatamab, for the treatment of patients with extensive-stage small</w:t>
      </w:r>
      <w:r>
        <w:t xml:space="preserve"> </w:t>
      </w:r>
      <w:r w:rsidRPr="005C0450">
        <w:t>cell lung cancer (ES-SCLC) with disease progression on or after platinum-based chemotherapy (i.e.</w:t>
      </w:r>
      <w:r w:rsidR="002B710A">
        <w:t xml:space="preserve"> </w:t>
      </w:r>
      <w:r w:rsidRPr="005C0450">
        <w:t xml:space="preserve">second-line or subsequent treatment). </w:t>
      </w:r>
    </w:p>
    <w:p w14:paraId="71848740" w14:textId="77777777" w:rsidR="00F038AD" w:rsidRPr="0098262F" w:rsidRDefault="00F038AD" w:rsidP="00F038AD">
      <w:pPr>
        <w:pStyle w:val="COMESnumberedpara"/>
      </w:pPr>
      <w:r w:rsidRPr="0098262F">
        <w:t xml:space="preserve">Listing was requested </w:t>
      </w:r>
      <w:proofErr w:type="gramStart"/>
      <w:r w:rsidRPr="0098262F">
        <w:t>on the basis of</w:t>
      </w:r>
      <w:proofErr w:type="gramEnd"/>
      <w:r w:rsidRPr="0098262F">
        <w:t xml:space="preserve"> a cost-effectiveness analysis versus </w:t>
      </w:r>
      <w:r>
        <w:t>topotecan as a proxy for standard of care (SOC)</w:t>
      </w:r>
      <w:r w:rsidRPr="0098262F">
        <w:t xml:space="preserve">. </w:t>
      </w:r>
    </w:p>
    <w:p w14:paraId="3718DE61" w14:textId="314501B2" w:rsidR="008B1757" w:rsidRDefault="00696EF9" w:rsidP="004A6040">
      <w:pPr>
        <w:pStyle w:val="COMTableFigurecaption"/>
      </w:pPr>
      <w:r w:rsidRPr="0098262F">
        <w:t xml:space="preserve">Table </w:t>
      </w:r>
      <w:r>
        <w:fldChar w:fldCharType="begin"/>
      </w:r>
      <w:r>
        <w:instrText>SEQ Table \* ARABIC</w:instrText>
      </w:r>
      <w:r>
        <w:fldChar w:fldCharType="separate"/>
      </w:r>
      <w:r w:rsidR="00E26586">
        <w:rPr>
          <w:noProof/>
        </w:rPr>
        <w:t>1</w:t>
      </w:r>
      <w:r>
        <w:fldChar w:fldCharType="end"/>
      </w:r>
      <w:r w:rsidRPr="0098262F">
        <w:t>:</w:t>
      </w:r>
      <w:r w:rsidR="00BC591F" w:rsidRPr="0098262F">
        <w:t xml:space="preserve"> </w:t>
      </w:r>
      <w:r w:rsidR="008B1757" w:rsidRPr="0098262F">
        <w:t xml:space="preserve">Key components of the clinical issue addressed </w:t>
      </w:r>
      <w:r w:rsidR="00240E75">
        <w:t>in</w:t>
      </w:r>
      <w:r w:rsidR="008B1757" w:rsidRPr="0098262F">
        <w:t xml:space="preserve">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w:tblPr>
      <w:tblGrid>
        <w:gridCol w:w="1271"/>
        <w:gridCol w:w="7885"/>
      </w:tblGrid>
      <w:tr w:rsidR="003C7577" w:rsidRPr="0098262F" w14:paraId="19D84858" w14:textId="77777777" w:rsidTr="00253D14">
        <w:tc>
          <w:tcPr>
            <w:tcW w:w="1271" w:type="dxa"/>
            <w:vAlign w:val="center"/>
          </w:tcPr>
          <w:p w14:paraId="1D9C52F2" w14:textId="77777777" w:rsidR="003C7577" w:rsidRPr="0098262F" w:rsidRDefault="003C7577">
            <w:pPr>
              <w:pStyle w:val="COMTableheadingrow"/>
            </w:pPr>
            <w:r w:rsidRPr="0098262F">
              <w:t>Component</w:t>
            </w:r>
          </w:p>
        </w:tc>
        <w:tc>
          <w:tcPr>
            <w:tcW w:w="7885" w:type="dxa"/>
            <w:vAlign w:val="center"/>
          </w:tcPr>
          <w:p w14:paraId="1126D579" w14:textId="77777777" w:rsidR="003C7577" w:rsidRPr="0098262F" w:rsidRDefault="003C7577">
            <w:pPr>
              <w:pStyle w:val="COMTableheadingrow"/>
            </w:pPr>
            <w:r w:rsidRPr="0098262F">
              <w:t>Description</w:t>
            </w:r>
          </w:p>
        </w:tc>
      </w:tr>
      <w:tr w:rsidR="003C7577" w:rsidRPr="0098262F" w14:paraId="67A8E43A" w14:textId="77777777" w:rsidTr="00253D14">
        <w:tc>
          <w:tcPr>
            <w:tcW w:w="1271" w:type="dxa"/>
            <w:vAlign w:val="center"/>
          </w:tcPr>
          <w:p w14:paraId="195C1317" w14:textId="77777777" w:rsidR="003C7577" w:rsidRPr="0098262F" w:rsidRDefault="003C7577">
            <w:pPr>
              <w:pStyle w:val="COMTabletext"/>
            </w:pPr>
            <w:r w:rsidRPr="0098262F">
              <w:t>Population</w:t>
            </w:r>
          </w:p>
        </w:tc>
        <w:tc>
          <w:tcPr>
            <w:tcW w:w="7885" w:type="dxa"/>
            <w:vAlign w:val="center"/>
          </w:tcPr>
          <w:p w14:paraId="7C5518E4" w14:textId="77777777" w:rsidR="003C7577" w:rsidRPr="0098262F" w:rsidRDefault="003C7577">
            <w:pPr>
              <w:pStyle w:val="COMTabletext"/>
            </w:pPr>
            <w:r w:rsidRPr="00274B7A">
              <w:t xml:space="preserve">ES-SCLC patients with disease progression on or after platinum-based chemotherapy (i.e. </w:t>
            </w:r>
            <w:r w:rsidRPr="001B3744">
              <w:t>second-</w:t>
            </w:r>
            <w:r>
              <w:t xml:space="preserve">line </w:t>
            </w:r>
            <w:r w:rsidRPr="001B3744">
              <w:t>or subsequent treatment</w:t>
            </w:r>
            <w:r>
              <w:t>)</w:t>
            </w:r>
            <w:r w:rsidRPr="00274B7A">
              <w:t>.</w:t>
            </w:r>
          </w:p>
        </w:tc>
      </w:tr>
      <w:tr w:rsidR="003C7577" w:rsidRPr="0098262F" w14:paraId="707B57E4" w14:textId="77777777" w:rsidTr="00253D14">
        <w:tc>
          <w:tcPr>
            <w:tcW w:w="1271" w:type="dxa"/>
            <w:vAlign w:val="center"/>
          </w:tcPr>
          <w:p w14:paraId="55487995" w14:textId="77777777" w:rsidR="003C7577" w:rsidRPr="0098262F" w:rsidRDefault="003C7577">
            <w:pPr>
              <w:pStyle w:val="COMTabletext"/>
            </w:pPr>
            <w:r w:rsidRPr="0098262F">
              <w:t>Intervention</w:t>
            </w:r>
          </w:p>
        </w:tc>
        <w:tc>
          <w:tcPr>
            <w:tcW w:w="7885" w:type="dxa"/>
            <w:vAlign w:val="center"/>
          </w:tcPr>
          <w:p w14:paraId="586D3446" w14:textId="77777777" w:rsidR="003C7577" w:rsidRPr="0098262F" w:rsidRDefault="003C7577">
            <w:pPr>
              <w:pStyle w:val="COMTabletext"/>
            </w:pPr>
            <w:r w:rsidRPr="00F37607">
              <w:t>Tarlatamab 1 mg by intravenous infusion on Cycle 1 Day 1, followed by tarlatamab 10 mg by intravenous infusion on Cycle 1 Day 8 and Day 15, and then every 2 weeks until progression or unacceptable toxicity</w:t>
            </w:r>
            <w:r>
              <w:t>.</w:t>
            </w:r>
          </w:p>
        </w:tc>
      </w:tr>
      <w:tr w:rsidR="003C7577" w:rsidRPr="0098262F" w14:paraId="50A1F967" w14:textId="77777777" w:rsidTr="00253D14">
        <w:tc>
          <w:tcPr>
            <w:tcW w:w="1271" w:type="dxa"/>
            <w:vAlign w:val="center"/>
          </w:tcPr>
          <w:p w14:paraId="46E7A656" w14:textId="77777777" w:rsidR="003C7577" w:rsidRPr="0098262F" w:rsidRDefault="003C7577">
            <w:pPr>
              <w:pStyle w:val="COMTabletext"/>
            </w:pPr>
            <w:r w:rsidRPr="0098262F">
              <w:t>Comparator</w:t>
            </w:r>
          </w:p>
        </w:tc>
        <w:tc>
          <w:tcPr>
            <w:tcW w:w="7885" w:type="dxa"/>
            <w:vAlign w:val="center"/>
          </w:tcPr>
          <w:p w14:paraId="3FE50949" w14:textId="77777777" w:rsidR="003C7577" w:rsidRPr="0098262F" w:rsidRDefault="003C7577">
            <w:pPr>
              <w:pStyle w:val="COMTabletext"/>
            </w:pPr>
            <w:r w:rsidRPr="004526B4">
              <w:t xml:space="preserve">Topotecan as a proxy for </w:t>
            </w:r>
            <w:r w:rsidRPr="004B6482">
              <w:t>SOC chemotherapy</w:t>
            </w:r>
            <w:r>
              <w:t>.</w:t>
            </w:r>
          </w:p>
        </w:tc>
      </w:tr>
      <w:tr w:rsidR="003C7577" w:rsidRPr="0098262F" w14:paraId="37D39CFD" w14:textId="77777777" w:rsidTr="00253D14">
        <w:tc>
          <w:tcPr>
            <w:tcW w:w="1271" w:type="dxa"/>
            <w:vAlign w:val="center"/>
          </w:tcPr>
          <w:p w14:paraId="70E9D3FC" w14:textId="77777777" w:rsidR="003C7577" w:rsidRPr="0098262F" w:rsidRDefault="003C7577">
            <w:pPr>
              <w:pStyle w:val="COMTabletext"/>
            </w:pPr>
            <w:r w:rsidRPr="0098262F">
              <w:t>Outcomes</w:t>
            </w:r>
          </w:p>
        </w:tc>
        <w:tc>
          <w:tcPr>
            <w:tcW w:w="7885" w:type="dxa"/>
            <w:vAlign w:val="center"/>
          </w:tcPr>
          <w:p w14:paraId="55765625" w14:textId="33ED1070" w:rsidR="003C7577" w:rsidRPr="0098262F" w:rsidRDefault="003C7577">
            <w:pPr>
              <w:pStyle w:val="COMTabletext"/>
            </w:pPr>
            <w:r w:rsidRPr="00587295">
              <w:t xml:space="preserve">Overall survival, progression-free survival, objective response rate, duration of response, </w:t>
            </w:r>
            <w:r>
              <w:t>patient-reported outcomes (</w:t>
            </w:r>
            <w:r w:rsidRPr="00753E55">
              <w:t xml:space="preserve">disease-related symptoms of chest pain, cough and </w:t>
            </w:r>
            <w:r w:rsidR="00FC65E4" w:rsidRPr="00753E55">
              <w:t>dy</w:t>
            </w:r>
            <w:r w:rsidR="00FC65E4">
              <w:t>s</w:t>
            </w:r>
            <w:r w:rsidR="00FC65E4" w:rsidRPr="00753E55">
              <w:t>pnoea</w:t>
            </w:r>
            <w:r w:rsidRPr="00753E55">
              <w:t xml:space="preserve"> measured by the EORTC</w:t>
            </w:r>
            <w:r>
              <w:t xml:space="preserve"> </w:t>
            </w:r>
            <w:r w:rsidRPr="00753E55">
              <w:t>QLQ-LC13 and EORTC</w:t>
            </w:r>
            <w:r>
              <w:t xml:space="preserve"> </w:t>
            </w:r>
            <w:r w:rsidRPr="00753E55">
              <w:t>QLQ-C30; EQ-5D-5L and EQ-VAS)</w:t>
            </w:r>
            <w:r w:rsidRPr="00587295">
              <w:t xml:space="preserve"> and safety</w:t>
            </w:r>
            <w:r>
              <w:t>.</w:t>
            </w:r>
          </w:p>
        </w:tc>
      </w:tr>
      <w:tr w:rsidR="003C7577" w:rsidRPr="0098262F" w14:paraId="242D5AFA" w14:textId="77777777" w:rsidTr="00253D14">
        <w:tc>
          <w:tcPr>
            <w:tcW w:w="1271" w:type="dxa"/>
            <w:vAlign w:val="center"/>
          </w:tcPr>
          <w:p w14:paraId="4C3A5DB1" w14:textId="77777777" w:rsidR="003C7577" w:rsidRPr="0098262F" w:rsidRDefault="003C7577">
            <w:pPr>
              <w:pStyle w:val="COMTabletext"/>
            </w:pPr>
            <w:r w:rsidRPr="0098262F">
              <w:t>Clinical claim</w:t>
            </w:r>
          </w:p>
        </w:tc>
        <w:tc>
          <w:tcPr>
            <w:tcW w:w="7885" w:type="dxa"/>
            <w:vAlign w:val="center"/>
          </w:tcPr>
          <w:p w14:paraId="76292996" w14:textId="77777777" w:rsidR="003C7577" w:rsidRPr="0098262F" w:rsidRDefault="003C7577">
            <w:pPr>
              <w:pStyle w:val="COMTabletext"/>
            </w:pPr>
            <w:r w:rsidRPr="00B37CC0">
              <w:t xml:space="preserve">Tarlatamab </w:t>
            </w:r>
            <w:r>
              <w:t>is</w:t>
            </w:r>
            <w:r w:rsidRPr="00B37CC0">
              <w:t xml:space="preserve"> superior</w:t>
            </w:r>
            <w:r>
              <w:t xml:space="preserve"> in terms of </w:t>
            </w:r>
            <w:r w:rsidRPr="00B37CC0">
              <w:t>efficacy and safety compared with SOC chemotherapy</w:t>
            </w:r>
            <w:r w:rsidRPr="0098262F">
              <w:t xml:space="preserve">. </w:t>
            </w:r>
          </w:p>
        </w:tc>
      </w:tr>
    </w:tbl>
    <w:p w14:paraId="7B07E97B" w14:textId="77777777" w:rsidR="003C7577" w:rsidRDefault="003C7577" w:rsidP="003C7577">
      <w:pPr>
        <w:pStyle w:val="COMTablefooter"/>
      </w:pPr>
      <w:r>
        <w:t>Source: Table 1.1.1-1, p10 of the submission.</w:t>
      </w:r>
    </w:p>
    <w:p w14:paraId="79950A84" w14:textId="7AC26BF9" w:rsidR="003C7577" w:rsidRPr="0098262F" w:rsidRDefault="003C7577" w:rsidP="003C7577">
      <w:pPr>
        <w:pStyle w:val="COMTablefooter"/>
      </w:pPr>
      <w:r>
        <w:t xml:space="preserve">Abbreviations: </w:t>
      </w:r>
      <w:r w:rsidRPr="00753E55">
        <w:t>EORTC</w:t>
      </w:r>
      <w:r>
        <w:t xml:space="preserve"> </w:t>
      </w:r>
      <w:r w:rsidRPr="00753E55">
        <w:t>QLQ-C30</w:t>
      </w:r>
      <w:r>
        <w:t xml:space="preserve">, European Organisation for Research and Treatment of Cancer Quality of Life Questionnaire 30; EORTC-QLQ-LC13, </w:t>
      </w:r>
      <w:r w:rsidRPr="00B505FE">
        <w:t>European Organisation for Research and Treatment of Cancer Quality of Life Questionnaire Lung Cancer 13</w:t>
      </w:r>
      <w:r>
        <w:t>; ES-SCLC, extensive-stage small cell lung cancer;</w:t>
      </w:r>
      <w:r w:rsidR="00001482">
        <w:t xml:space="preserve"> </w:t>
      </w:r>
      <w:r w:rsidR="00001482" w:rsidRPr="00E46B50">
        <w:t>EQ-5D-5L</w:t>
      </w:r>
      <w:r w:rsidR="00001482">
        <w:t>,</w:t>
      </w:r>
      <w:r w:rsidR="00001482" w:rsidRPr="00E46B50">
        <w:t xml:space="preserve"> </w:t>
      </w:r>
      <w:r w:rsidR="00001482" w:rsidRPr="00A27F3F">
        <w:t>EuroQol 5-Dimension 5-Level questionnaire</w:t>
      </w:r>
      <w:r w:rsidR="00001482">
        <w:t>;</w:t>
      </w:r>
      <w:r>
        <w:t xml:space="preserve"> </w:t>
      </w:r>
      <w:r w:rsidRPr="00FE2452">
        <w:t>SOC, standard of care</w:t>
      </w:r>
      <w:r>
        <w:t>; VAS, visual analogue scale.</w:t>
      </w:r>
    </w:p>
    <w:p w14:paraId="6B4AB6C2" w14:textId="7F01D731" w:rsidR="005C25FF" w:rsidRPr="0098262F" w:rsidRDefault="005C25FF" w:rsidP="001C6B82">
      <w:pPr>
        <w:pStyle w:val="COMESH2"/>
      </w:pPr>
      <w:bookmarkStart w:id="2" w:name="_Toc219878273"/>
      <w:r w:rsidRPr="0098262F">
        <w:t>Background</w:t>
      </w:r>
      <w:bookmarkEnd w:id="2"/>
    </w:p>
    <w:p w14:paraId="2C521D6D" w14:textId="78CF03EE" w:rsidR="005C25FF" w:rsidRPr="0098262F" w:rsidRDefault="005C25FF" w:rsidP="00E30122">
      <w:pPr>
        <w:pStyle w:val="COMESSubsectionheading"/>
      </w:pPr>
      <w:bookmarkStart w:id="3" w:name="_Toc22897638"/>
      <w:bookmarkStart w:id="4" w:name="_Toc219878274"/>
      <w:r w:rsidRPr="0098262F">
        <w:t>Registration status</w:t>
      </w:r>
      <w:bookmarkEnd w:id="3"/>
      <w:bookmarkEnd w:id="4"/>
    </w:p>
    <w:p w14:paraId="64808385" w14:textId="317888BC" w:rsidR="00852443" w:rsidRPr="00855F39" w:rsidRDefault="00852443" w:rsidP="00852443">
      <w:pPr>
        <w:pStyle w:val="COMESnumberedpara"/>
      </w:pPr>
      <w:r w:rsidRPr="00C83E2D">
        <w:t xml:space="preserve">Tarlatamab received provisional </w:t>
      </w:r>
      <w:r w:rsidR="00D274EA">
        <w:t xml:space="preserve">TGA </w:t>
      </w:r>
      <w:r w:rsidRPr="00C83E2D">
        <w:t xml:space="preserve">approval on 26 June 2025 for the treatment of adult patients with ES-SCLC with disease progression on or after platinum-based </w:t>
      </w:r>
      <w:r w:rsidRPr="00855F39">
        <w:t xml:space="preserve">chemotherapy. Provisional approval was based on the non-comparative, phase 2 DeLLphi-301 trial study (third-line treatment). </w:t>
      </w:r>
      <w:r w:rsidR="00151D3F" w:rsidRPr="00855F39">
        <w:t>Continued approval of this indication was dependent on verification and description of benefit in confirmatory trials</w:t>
      </w:r>
      <w:r w:rsidR="006A3DAA" w:rsidRPr="00855F39">
        <w:t>.</w:t>
      </w:r>
    </w:p>
    <w:p w14:paraId="0277D0B8" w14:textId="77777777" w:rsidR="00B72E07" w:rsidRPr="00855F39" w:rsidRDefault="00B72E07" w:rsidP="00B72E07">
      <w:pPr>
        <w:pStyle w:val="COMESnumberedpara"/>
      </w:pPr>
      <w:r w:rsidRPr="00855F39">
        <w:lastRenderedPageBreak/>
        <w:t>The sponsor has since submitted the confirmatory DeLLphi-304 trial (second-line treatment) to the TGA to progress from provisional to full approval, with the Delegate’s overview expected on 7 July 2026.</w:t>
      </w:r>
    </w:p>
    <w:p w14:paraId="3DCDA512" w14:textId="77777777" w:rsidR="00D025E0" w:rsidRPr="0098262F" w:rsidRDefault="00D025E0" w:rsidP="00D025E0">
      <w:pPr>
        <w:pStyle w:val="COMESnumberedpara"/>
      </w:pPr>
      <w:bookmarkStart w:id="5" w:name="_Toc22897639"/>
      <w:r w:rsidRPr="00855F39">
        <w:t>The proposed indication in the associated draft Product Information is for the treatment of adult patients with small cell lung cancer</w:t>
      </w:r>
      <w:r w:rsidRPr="001475BA">
        <w:t xml:space="preserve"> (SCLC) with disease progression on or after platinum-based chemotherapy</w:t>
      </w:r>
      <w:r>
        <w:t xml:space="preserve">, and </w:t>
      </w:r>
      <w:r w:rsidRPr="001475BA">
        <w:t>does not limit treatment to extensive stage disease.</w:t>
      </w:r>
    </w:p>
    <w:p w14:paraId="76AA5B49" w14:textId="77777777" w:rsidR="000908CA" w:rsidRPr="0098262F" w:rsidRDefault="000908CA" w:rsidP="00E30122">
      <w:pPr>
        <w:pStyle w:val="COMESSubsectionheading"/>
      </w:pPr>
      <w:bookmarkStart w:id="6" w:name="_Toc219878275"/>
      <w:bookmarkEnd w:id="5"/>
      <w:r w:rsidRPr="0098262F">
        <w:t>Previous PBAC consideration</w:t>
      </w:r>
      <w:bookmarkEnd w:id="6"/>
    </w:p>
    <w:p w14:paraId="639D104D" w14:textId="77777777" w:rsidR="00F045CC" w:rsidRDefault="00F045CC" w:rsidP="00F045CC">
      <w:pPr>
        <w:pStyle w:val="COMESnumberedpara"/>
      </w:pPr>
      <w:r>
        <w:t xml:space="preserve">Tarlatamab </w:t>
      </w:r>
      <w:r w:rsidRPr="006E3215">
        <w:t>for third</w:t>
      </w:r>
      <w:r>
        <w:t>-</w:t>
      </w:r>
      <w:r w:rsidRPr="006E3215">
        <w:t xml:space="preserve">line ES-SCLC </w:t>
      </w:r>
      <w:r>
        <w:t xml:space="preserve">(based on the DeLLphi-301 study) was submitted for consideration at the </w:t>
      </w:r>
      <w:r w:rsidRPr="008E5B2D">
        <w:t>March 2025</w:t>
      </w:r>
      <w:r>
        <w:t xml:space="preserve"> PBAC meeting and was considered by the ESC and DUSC but withdrawn </w:t>
      </w:r>
      <w:r w:rsidRPr="006E3215">
        <w:t>prior to consideration by the PBAC</w:t>
      </w:r>
      <w:r>
        <w:t>.</w:t>
      </w:r>
    </w:p>
    <w:p w14:paraId="25348499" w14:textId="77777777" w:rsidR="00470C6A" w:rsidRDefault="007371AB" w:rsidP="00470C6A">
      <w:pPr>
        <w:pStyle w:val="COMESnumberedpara"/>
      </w:pPr>
      <w:r>
        <w:t>At the November 2025 meeting t</w:t>
      </w:r>
      <w:r w:rsidRPr="008A6453">
        <w:t xml:space="preserve">he PBAC did not recommend listing lurbinectedin </w:t>
      </w:r>
      <w:r>
        <w:t xml:space="preserve">(in combination with atezolizumab) for </w:t>
      </w:r>
      <w:r w:rsidRPr="001A2BC5">
        <w:t>the maintenance treatment of ES-SCLC in adult patients whose disease has not progressed after first line induction therapy with atezolizumab, carboplatin and etoposide</w:t>
      </w:r>
      <w:r w:rsidR="00424B7D">
        <w:rPr>
          <w:rStyle w:val="FootnoteReference"/>
        </w:rPr>
        <w:footnoteReference w:id="1"/>
      </w:r>
      <w:r>
        <w:t>.</w:t>
      </w:r>
    </w:p>
    <w:p w14:paraId="00D3314E" w14:textId="43768ED0" w:rsidR="001C7AB9" w:rsidRPr="001C7AB9" w:rsidRDefault="00B50DB8" w:rsidP="002E7962">
      <w:pPr>
        <w:pStyle w:val="COMESH2"/>
      </w:pPr>
      <w:bookmarkStart w:id="7" w:name="_Toc107902078"/>
      <w:bookmarkStart w:id="8" w:name="_Toc219878276"/>
      <w:bookmarkEnd w:id="7"/>
      <w:r w:rsidRPr="0098262F">
        <w:t>Requested listing</w:t>
      </w:r>
      <w:bookmarkEnd w:id="8"/>
    </w:p>
    <w:p w14:paraId="748257C6" w14:textId="616F5632" w:rsidR="009217C8" w:rsidRDefault="002A08FE" w:rsidP="009217C8">
      <w:pPr>
        <w:pStyle w:val="COMESnumberedpara"/>
      </w:pPr>
      <w:r>
        <w:t>The proposed listing with change</w:t>
      </w:r>
      <w:r w:rsidR="00B83445">
        <w:t>s</w:t>
      </w:r>
      <w:r>
        <w:t xml:space="preserve"> suggested by the Secretariat is shown below.</w:t>
      </w:r>
    </w:p>
    <w:p w14:paraId="41D197DA" w14:textId="7647C2EF" w:rsidR="00985D6F" w:rsidRDefault="00985D6F" w:rsidP="00985D6F">
      <w:pPr>
        <w:pStyle w:val="COMESnumberedpara"/>
        <w:numPr>
          <w:ilvl w:val="0"/>
          <w:numId w:val="0"/>
        </w:numPr>
        <w:rPr>
          <w:b/>
          <w:bCs/>
        </w:rPr>
      </w:pPr>
      <w:r w:rsidRPr="00985D6F">
        <w:rPr>
          <w:b/>
          <w:bCs/>
        </w:rPr>
        <w:t>Initial treatment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Initial treatment"/>
      </w:tblPr>
      <w:tblGrid>
        <w:gridCol w:w="2689"/>
        <w:gridCol w:w="1437"/>
        <w:gridCol w:w="1437"/>
        <w:gridCol w:w="1623"/>
        <w:gridCol w:w="1881"/>
      </w:tblGrid>
      <w:tr w:rsidR="0032369E" w:rsidRPr="00D27BFA" w14:paraId="17699745" w14:textId="77777777" w:rsidTr="004D14E5">
        <w:trPr>
          <w:cantSplit/>
          <w:trHeight w:val="20"/>
        </w:trPr>
        <w:tc>
          <w:tcPr>
            <w:tcW w:w="2689" w:type="dxa"/>
            <w:vAlign w:val="center"/>
          </w:tcPr>
          <w:p w14:paraId="1C9FA472" w14:textId="77777777" w:rsidR="0032369E" w:rsidRPr="00D27BFA" w:rsidRDefault="0032369E">
            <w:pPr>
              <w:keepLines/>
              <w:rPr>
                <w:rFonts w:ascii="Arial Narrow" w:hAnsi="Arial Narrow"/>
                <w:b/>
                <w:bCs/>
                <w:sz w:val="20"/>
                <w:szCs w:val="20"/>
              </w:rPr>
            </w:pPr>
            <w:r w:rsidRPr="00D27BFA">
              <w:rPr>
                <w:rFonts w:ascii="Arial Narrow" w:hAnsi="Arial Narrow"/>
                <w:b/>
                <w:bCs/>
                <w:sz w:val="20"/>
                <w:szCs w:val="20"/>
              </w:rPr>
              <w:t>MEDICINAL PRODUCT</w:t>
            </w:r>
          </w:p>
          <w:p w14:paraId="33745B51" w14:textId="77777777" w:rsidR="0032369E" w:rsidRPr="00D27BFA" w:rsidRDefault="0032369E">
            <w:pPr>
              <w:keepLines/>
              <w:rPr>
                <w:rFonts w:ascii="Arial Narrow" w:hAnsi="Arial Narrow"/>
                <w:b/>
                <w:bCs/>
                <w:sz w:val="20"/>
                <w:szCs w:val="20"/>
              </w:rPr>
            </w:pPr>
            <w:r w:rsidRPr="00D27BFA">
              <w:rPr>
                <w:rFonts w:ascii="Arial Narrow" w:hAnsi="Arial Narrow"/>
                <w:b/>
                <w:bCs/>
                <w:sz w:val="20"/>
                <w:szCs w:val="20"/>
              </w:rPr>
              <w:t>Form</w:t>
            </w:r>
          </w:p>
        </w:tc>
        <w:tc>
          <w:tcPr>
            <w:tcW w:w="1437" w:type="dxa"/>
            <w:vAlign w:val="center"/>
          </w:tcPr>
          <w:p w14:paraId="251E5C66" w14:textId="77777777" w:rsidR="0032369E" w:rsidRPr="00D27BFA" w:rsidRDefault="0032369E">
            <w:pPr>
              <w:keepLines/>
              <w:jc w:val="center"/>
              <w:rPr>
                <w:rFonts w:ascii="Arial Narrow" w:hAnsi="Arial Narrow"/>
                <w:b/>
                <w:sz w:val="20"/>
                <w:szCs w:val="20"/>
              </w:rPr>
            </w:pPr>
            <w:r w:rsidRPr="00D27BFA">
              <w:rPr>
                <w:rFonts w:ascii="Arial Narrow" w:hAnsi="Arial Narrow"/>
                <w:b/>
                <w:sz w:val="20"/>
                <w:szCs w:val="20"/>
              </w:rPr>
              <w:t>PBS item code</w:t>
            </w:r>
          </w:p>
        </w:tc>
        <w:tc>
          <w:tcPr>
            <w:tcW w:w="1437" w:type="dxa"/>
            <w:vAlign w:val="center"/>
          </w:tcPr>
          <w:p w14:paraId="5B1B202F" w14:textId="5CF4AB38" w:rsidR="0032369E" w:rsidRPr="00D27BFA" w:rsidRDefault="00393FA8">
            <w:pPr>
              <w:keepLines/>
              <w:jc w:val="center"/>
              <w:rPr>
                <w:rFonts w:ascii="Arial Narrow" w:hAnsi="Arial Narrow"/>
                <w:b/>
                <w:sz w:val="20"/>
                <w:szCs w:val="20"/>
              </w:rPr>
            </w:pPr>
            <w:r w:rsidRPr="00393FA8">
              <w:rPr>
                <w:rFonts w:ascii="Arial Narrow" w:hAnsi="Arial Narrow"/>
                <w:b/>
                <w:sz w:val="20"/>
                <w:szCs w:val="20"/>
              </w:rPr>
              <w:t>Dispensed Price Max Amt</w:t>
            </w:r>
          </w:p>
        </w:tc>
        <w:tc>
          <w:tcPr>
            <w:tcW w:w="1623" w:type="dxa"/>
            <w:vAlign w:val="center"/>
          </w:tcPr>
          <w:p w14:paraId="3AAE97CC" w14:textId="77777777" w:rsidR="0032369E" w:rsidRPr="00D27BFA" w:rsidRDefault="0032369E">
            <w:pPr>
              <w:keepLines/>
              <w:jc w:val="center"/>
              <w:rPr>
                <w:rFonts w:ascii="Arial Narrow" w:hAnsi="Arial Narrow"/>
                <w:b/>
                <w:sz w:val="20"/>
                <w:szCs w:val="20"/>
              </w:rPr>
            </w:pPr>
            <w:r w:rsidRPr="00D27BFA">
              <w:rPr>
                <w:rFonts w:ascii="Arial Narrow" w:hAnsi="Arial Narrow"/>
                <w:b/>
                <w:sz w:val="20"/>
                <w:szCs w:val="20"/>
              </w:rPr>
              <w:t>Max. Amount</w:t>
            </w:r>
          </w:p>
          <w:p w14:paraId="57023617" w14:textId="77777777" w:rsidR="0032369E" w:rsidRPr="00D27BFA" w:rsidRDefault="0032369E">
            <w:pPr>
              <w:keepLines/>
              <w:jc w:val="center"/>
              <w:rPr>
                <w:rFonts w:ascii="Arial Narrow" w:hAnsi="Arial Narrow"/>
                <w:b/>
                <w:sz w:val="20"/>
                <w:szCs w:val="20"/>
              </w:rPr>
            </w:pPr>
          </w:p>
        </w:tc>
        <w:tc>
          <w:tcPr>
            <w:tcW w:w="1881" w:type="dxa"/>
            <w:vAlign w:val="center"/>
          </w:tcPr>
          <w:p w14:paraId="0AE1E70D" w14:textId="77777777" w:rsidR="0032369E" w:rsidRPr="00D27BFA" w:rsidRDefault="0032369E">
            <w:pPr>
              <w:keepLines/>
              <w:jc w:val="center"/>
              <w:rPr>
                <w:rFonts w:ascii="Arial Narrow" w:hAnsi="Arial Narrow"/>
                <w:b/>
                <w:sz w:val="20"/>
                <w:szCs w:val="20"/>
              </w:rPr>
            </w:pPr>
            <w:r w:rsidRPr="00D27BFA">
              <w:rPr>
                <w:rFonts w:ascii="Arial Narrow" w:hAnsi="Arial Narrow"/>
                <w:b/>
                <w:sz w:val="20"/>
                <w:szCs w:val="20"/>
              </w:rPr>
              <w:t>№.of Rpts</w:t>
            </w:r>
          </w:p>
        </w:tc>
      </w:tr>
      <w:tr w:rsidR="0032369E" w:rsidRPr="00D27BFA" w14:paraId="1711D320" w14:textId="77777777" w:rsidTr="004D14E5">
        <w:trPr>
          <w:cantSplit/>
          <w:trHeight w:val="20"/>
        </w:trPr>
        <w:tc>
          <w:tcPr>
            <w:tcW w:w="2689" w:type="dxa"/>
            <w:vAlign w:val="center"/>
          </w:tcPr>
          <w:p w14:paraId="48DCF8B9" w14:textId="77777777" w:rsidR="0032369E" w:rsidRPr="00D27BFA" w:rsidRDefault="0032369E">
            <w:pPr>
              <w:keepLines/>
              <w:rPr>
                <w:rFonts w:ascii="Arial Narrow" w:hAnsi="Arial Narrow"/>
                <w:sz w:val="20"/>
                <w:szCs w:val="20"/>
              </w:rPr>
            </w:pPr>
            <w:r w:rsidRPr="00D27BFA">
              <w:rPr>
                <w:rFonts w:ascii="Arial Narrow" w:hAnsi="Arial Narrow"/>
                <w:sz w:val="20"/>
                <w:szCs w:val="20"/>
              </w:rPr>
              <w:t>TARLATAMAB</w:t>
            </w:r>
          </w:p>
          <w:p w14:paraId="603EB60F" w14:textId="77777777" w:rsidR="0032369E" w:rsidRPr="00D27BFA" w:rsidRDefault="0032369E">
            <w:pPr>
              <w:keepLines/>
              <w:rPr>
                <w:rFonts w:ascii="Arial Narrow" w:hAnsi="Arial Narrow"/>
                <w:b/>
                <w:bCs/>
                <w:sz w:val="20"/>
                <w:szCs w:val="20"/>
              </w:rPr>
            </w:pPr>
            <w:r w:rsidRPr="00D27BFA">
              <w:rPr>
                <w:rFonts w:ascii="Arial Narrow" w:hAnsi="Arial Narrow"/>
                <w:sz w:val="20"/>
                <w:szCs w:val="20"/>
              </w:rPr>
              <w:t>Injection</w:t>
            </w:r>
          </w:p>
        </w:tc>
        <w:tc>
          <w:tcPr>
            <w:tcW w:w="1437" w:type="dxa"/>
            <w:vAlign w:val="center"/>
          </w:tcPr>
          <w:p w14:paraId="60DB4A05" w14:textId="77777777" w:rsidR="0032369E" w:rsidRPr="00D27BFA" w:rsidRDefault="0032369E">
            <w:pPr>
              <w:keepLines/>
              <w:jc w:val="center"/>
              <w:rPr>
                <w:rFonts w:ascii="Arial Narrow" w:hAnsi="Arial Narrow"/>
                <w:bCs/>
                <w:sz w:val="20"/>
                <w:szCs w:val="20"/>
              </w:rPr>
            </w:pPr>
            <w:r w:rsidRPr="00D27BFA">
              <w:rPr>
                <w:rFonts w:ascii="Arial Narrow" w:hAnsi="Arial Narrow"/>
                <w:bCs/>
                <w:sz w:val="20"/>
                <w:szCs w:val="20"/>
              </w:rPr>
              <w:t>NEW (Public)</w:t>
            </w:r>
          </w:p>
          <w:p w14:paraId="288B3D9F" w14:textId="77777777" w:rsidR="0032369E" w:rsidRPr="00D27BFA" w:rsidRDefault="0032369E">
            <w:pPr>
              <w:keepLines/>
              <w:jc w:val="center"/>
              <w:rPr>
                <w:rFonts w:ascii="Arial Narrow" w:hAnsi="Arial Narrow"/>
                <w:bCs/>
                <w:sz w:val="20"/>
                <w:szCs w:val="20"/>
              </w:rPr>
            </w:pPr>
            <w:r w:rsidRPr="00D27BFA">
              <w:rPr>
                <w:rFonts w:ascii="Arial Narrow" w:hAnsi="Arial Narrow"/>
                <w:bCs/>
                <w:sz w:val="20"/>
                <w:szCs w:val="20"/>
              </w:rPr>
              <w:t>NEW (Private)</w:t>
            </w:r>
          </w:p>
        </w:tc>
        <w:tc>
          <w:tcPr>
            <w:tcW w:w="1437" w:type="dxa"/>
            <w:vAlign w:val="center"/>
          </w:tcPr>
          <w:p w14:paraId="0A9A4B45" w14:textId="77777777" w:rsidR="00393FA8" w:rsidRPr="00393FA8" w:rsidRDefault="00393FA8" w:rsidP="00393FA8">
            <w:pPr>
              <w:keepLines/>
              <w:jc w:val="center"/>
              <w:rPr>
                <w:rFonts w:ascii="Arial Narrow" w:hAnsi="Arial Narrow"/>
                <w:bCs/>
                <w:sz w:val="20"/>
                <w:szCs w:val="20"/>
              </w:rPr>
            </w:pPr>
            <w:r w:rsidRPr="00393FA8">
              <w:rPr>
                <w:rFonts w:ascii="Arial Narrow" w:hAnsi="Arial Narrow"/>
                <w:bCs/>
                <w:sz w:val="20"/>
                <w:szCs w:val="20"/>
              </w:rPr>
              <w:t>Public hospital</w:t>
            </w:r>
          </w:p>
          <w:p w14:paraId="5C463F6D" w14:textId="3036274F" w:rsidR="00393FA8" w:rsidRPr="00393FA8" w:rsidRDefault="00393FA8" w:rsidP="00393FA8">
            <w:pPr>
              <w:keepLines/>
              <w:jc w:val="center"/>
              <w:rPr>
                <w:rFonts w:ascii="Arial Narrow" w:hAnsi="Arial Narrow"/>
                <w:bCs/>
                <w:sz w:val="20"/>
                <w:szCs w:val="20"/>
              </w:rPr>
            </w:pPr>
            <w:r w:rsidRPr="00393FA8">
              <w:rPr>
                <w:rFonts w:ascii="Arial Narrow" w:hAnsi="Arial Narrow"/>
                <w:bCs/>
                <w:sz w:val="20"/>
                <w:szCs w:val="20"/>
              </w:rPr>
              <w:t>$</w:t>
            </w:r>
            <w:r w:rsidR="003D0BC2" w:rsidRPr="003D0BC2">
              <w:rPr>
                <w:rFonts w:ascii="Arial Narrow" w:hAnsi="Arial Narrow"/>
                <w:bCs/>
                <w:sz w:val="2"/>
                <w:szCs w:val="20"/>
                <w:highlight w:val="black"/>
              </w:rPr>
              <w:t>redacted content</w:t>
            </w:r>
          </w:p>
          <w:p w14:paraId="0DFC1CA1" w14:textId="77777777" w:rsidR="00393FA8" w:rsidRPr="00393FA8" w:rsidRDefault="00393FA8" w:rsidP="00393FA8">
            <w:pPr>
              <w:keepLines/>
              <w:jc w:val="center"/>
              <w:rPr>
                <w:rFonts w:ascii="Arial Narrow" w:hAnsi="Arial Narrow"/>
                <w:bCs/>
                <w:sz w:val="20"/>
                <w:szCs w:val="20"/>
              </w:rPr>
            </w:pPr>
            <w:r w:rsidRPr="00393FA8">
              <w:rPr>
                <w:rFonts w:ascii="Arial Narrow" w:hAnsi="Arial Narrow"/>
                <w:bCs/>
                <w:sz w:val="20"/>
                <w:szCs w:val="20"/>
              </w:rPr>
              <w:t>Private hospital</w:t>
            </w:r>
          </w:p>
          <w:p w14:paraId="1CBE00A5" w14:textId="090DCB64" w:rsidR="0032369E" w:rsidRPr="00D27BFA" w:rsidRDefault="00393FA8" w:rsidP="00393FA8">
            <w:pPr>
              <w:keepLines/>
              <w:jc w:val="center"/>
              <w:rPr>
                <w:rFonts w:ascii="Arial Narrow" w:hAnsi="Arial Narrow"/>
                <w:bCs/>
                <w:sz w:val="12"/>
                <w:szCs w:val="12"/>
              </w:rPr>
            </w:pPr>
            <w:r w:rsidRPr="00393FA8">
              <w:rPr>
                <w:rFonts w:ascii="Arial Narrow" w:hAnsi="Arial Narrow"/>
                <w:bCs/>
                <w:sz w:val="20"/>
                <w:szCs w:val="20"/>
              </w:rPr>
              <w:t>$</w:t>
            </w:r>
            <w:r w:rsidR="003D0BC2" w:rsidRPr="003D0BC2">
              <w:rPr>
                <w:rFonts w:ascii="Arial Narrow" w:hAnsi="Arial Narrow"/>
                <w:bCs/>
                <w:sz w:val="2"/>
                <w:szCs w:val="20"/>
                <w:highlight w:val="black"/>
              </w:rPr>
              <w:t>redacted content</w:t>
            </w:r>
          </w:p>
        </w:tc>
        <w:tc>
          <w:tcPr>
            <w:tcW w:w="1623" w:type="dxa"/>
            <w:vAlign w:val="center"/>
          </w:tcPr>
          <w:p w14:paraId="402B72BD" w14:textId="77777777" w:rsidR="0032369E" w:rsidRPr="00D27BFA" w:rsidRDefault="0032369E">
            <w:pPr>
              <w:keepLines/>
              <w:jc w:val="center"/>
              <w:rPr>
                <w:rFonts w:ascii="Arial Narrow" w:hAnsi="Arial Narrow"/>
                <w:bCs/>
                <w:i/>
                <w:iCs/>
                <w:sz w:val="20"/>
                <w:szCs w:val="20"/>
              </w:rPr>
            </w:pPr>
            <w:r w:rsidRPr="00D27BFA">
              <w:rPr>
                <w:rFonts w:ascii="Arial Narrow" w:hAnsi="Arial Narrow"/>
                <w:bCs/>
                <w:sz w:val="20"/>
                <w:szCs w:val="20"/>
              </w:rPr>
              <w:t xml:space="preserve">1 </w:t>
            </w:r>
            <w:r w:rsidRPr="00A90024">
              <w:rPr>
                <w:rFonts w:ascii="Arial Narrow" w:hAnsi="Arial Narrow"/>
                <w:bCs/>
                <w:sz w:val="20"/>
                <w:szCs w:val="20"/>
              </w:rPr>
              <w:t>mg</w:t>
            </w:r>
          </w:p>
        </w:tc>
        <w:tc>
          <w:tcPr>
            <w:tcW w:w="1881" w:type="dxa"/>
            <w:vAlign w:val="center"/>
          </w:tcPr>
          <w:p w14:paraId="5DDD8A5C" w14:textId="77777777" w:rsidR="0032369E" w:rsidRPr="00D27BFA" w:rsidRDefault="0032369E">
            <w:pPr>
              <w:keepLines/>
              <w:jc w:val="center"/>
              <w:rPr>
                <w:rFonts w:ascii="Arial Narrow" w:hAnsi="Arial Narrow"/>
                <w:bCs/>
                <w:sz w:val="20"/>
                <w:szCs w:val="20"/>
              </w:rPr>
            </w:pPr>
            <w:r w:rsidRPr="00D27BFA">
              <w:rPr>
                <w:rFonts w:ascii="Arial Narrow" w:hAnsi="Arial Narrow"/>
                <w:bCs/>
                <w:sz w:val="20"/>
                <w:szCs w:val="20"/>
              </w:rPr>
              <w:t>0</w:t>
            </w:r>
          </w:p>
        </w:tc>
      </w:tr>
      <w:tr w:rsidR="00E04F77" w:rsidRPr="00D27BFA" w14:paraId="3E4A6B41" w14:textId="77777777" w:rsidTr="004D14E5">
        <w:trPr>
          <w:cantSplit/>
          <w:trHeight w:val="20"/>
        </w:trPr>
        <w:tc>
          <w:tcPr>
            <w:tcW w:w="9067" w:type="dxa"/>
            <w:gridSpan w:val="5"/>
            <w:vAlign w:val="center"/>
          </w:tcPr>
          <w:p w14:paraId="21DD3517" w14:textId="77777777" w:rsidR="00E04F77" w:rsidRPr="00D27BFA" w:rsidRDefault="00E04F77">
            <w:pPr>
              <w:keepLines/>
              <w:rPr>
                <w:rFonts w:ascii="Arial Narrow" w:hAnsi="Arial Narrow"/>
                <w:b/>
                <w:bCs/>
                <w:sz w:val="20"/>
                <w:szCs w:val="20"/>
              </w:rPr>
            </w:pPr>
            <w:r w:rsidRPr="00D27BFA">
              <w:rPr>
                <w:rFonts w:ascii="Arial Narrow" w:hAnsi="Arial Narrow"/>
                <w:b/>
                <w:bCs/>
                <w:sz w:val="20"/>
                <w:szCs w:val="20"/>
              </w:rPr>
              <w:t xml:space="preserve">Available brands </w:t>
            </w:r>
          </w:p>
        </w:tc>
      </w:tr>
      <w:tr w:rsidR="00E04F77" w:rsidRPr="00D27BFA" w14:paraId="2E1D21BA" w14:textId="77777777" w:rsidTr="004D14E5">
        <w:trPr>
          <w:cantSplit/>
          <w:trHeight w:val="20"/>
        </w:trPr>
        <w:tc>
          <w:tcPr>
            <w:tcW w:w="9067" w:type="dxa"/>
            <w:gridSpan w:val="5"/>
            <w:vAlign w:val="center"/>
          </w:tcPr>
          <w:p w14:paraId="4801636C" w14:textId="77777777" w:rsidR="00E04F77" w:rsidRPr="00D27BFA" w:rsidRDefault="00E04F77">
            <w:pPr>
              <w:keepNext/>
              <w:rPr>
                <w:rFonts w:ascii="Arial Narrow" w:hAnsi="Arial Narrow"/>
                <w:sz w:val="20"/>
                <w:szCs w:val="20"/>
              </w:rPr>
            </w:pPr>
            <w:r w:rsidRPr="00D27BFA">
              <w:rPr>
                <w:rFonts w:ascii="Arial Narrow" w:hAnsi="Arial Narrow"/>
                <w:sz w:val="20"/>
                <w:szCs w:val="20"/>
              </w:rPr>
              <w:t>Imdelltra</w:t>
            </w:r>
          </w:p>
          <w:p w14:paraId="784FF2A8" w14:textId="77777777" w:rsidR="00E04F77" w:rsidRPr="00D27BFA" w:rsidRDefault="00E04F77">
            <w:pPr>
              <w:keepLines/>
              <w:rPr>
                <w:rFonts w:ascii="Arial Narrow" w:hAnsi="Arial Narrow"/>
                <w:sz w:val="20"/>
                <w:szCs w:val="20"/>
              </w:rPr>
            </w:pPr>
            <w:r w:rsidRPr="00D27BFA">
              <w:rPr>
                <w:rFonts w:ascii="Arial Narrow" w:hAnsi="Arial Narrow"/>
                <w:sz w:val="20"/>
                <w:szCs w:val="20"/>
              </w:rPr>
              <w:t>(Tarlatamab 1 mg injection, 1 vial)</w:t>
            </w:r>
          </w:p>
        </w:tc>
      </w:tr>
      <w:tr w:rsidR="00E04F77" w:rsidRPr="00D27BFA" w14:paraId="295BD60D" w14:textId="77777777" w:rsidTr="004D14E5">
        <w:trPr>
          <w:cantSplit/>
          <w:trHeight w:val="20"/>
        </w:trPr>
        <w:tc>
          <w:tcPr>
            <w:tcW w:w="9067" w:type="dxa"/>
            <w:gridSpan w:val="5"/>
            <w:vAlign w:val="center"/>
          </w:tcPr>
          <w:p w14:paraId="2EA39870" w14:textId="77777777" w:rsidR="00E04F77" w:rsidRPr="00A90024" w:rsidRDefault="00E04F77">
            <w:pPr>
              <w:keepNext/>
              <w:rPr>
                <w:rFonts w:ascii="Arial Narrow" w:hAnsi="Arial Narrow"/>
                <w:sz w:val="20"/>
                <w:szCs w:val="20"/>
              </w:rPr>
            </w:pPr>
            <w:r w:rsidRPr="00A90024">
              <w:rPr>
                <w:rFonts w:ascii="Arial Narrow" w:hAnsi="Arial Narrow"/>
                <w:sz w:val="20"/>
                <w:szCs w:val="20"/>
              </w:rPr>
              <w:t>Imdelltra</w:t>
            </w:r>
          </w:p>
          <w:p w14:paraId="551BDF8C" w14:textId="77777777" w:rsidR="00E04F77" w:rsidRPr="00D27BFA" w:rsidRDefault="00E04F77">
            <w:pPr>
              <w:keepNext/>
              <w:rPr>
                <w:rFonts w:ascii="Arial Narrow" w:hAnsi="Arial Narrow"/>
                <w:i/>
                <w:iCs/>
                <w:sz w:val="20"/>
                <w:szCs w:val="20"/>
              </w:rPr>
            </w:pPr>
            <w:r w:rsidRPr="00A90024">
              <w:rPr>
                <w:rFonts w:ascii="Arial Narrow" w:hAnsi="Arial Narrow"/>
                <w:sz w:val="20"/>
                <w:szCs w:val="20"/>
              </w:rPr>
              <w:t>(Tarlatamab 10 mg injection, 1 vial)</w:t>
            </w:r>
          </w:p>
        </w:tc>
      </w:tr>
      <w:tr w:rsidR="00E04F77" w:rsidRPr="00D27BFA" w14:paraId="10AFF5D3" w14:textId="77777777" w:rsidTr="004D14E5">
        <w:tblPrEx>
          <w:tblCellMar>
            <w:top w:w="15" w:type="dxa"/>
            <w:bottom w:w="15" w:type="dxa"/>
          </w:tblCellMar>
          <w:tblLook w:val="04A0" w:firstRow="1" w:lastRow="0" w:firstColumn="1" w:lastColumn="0" w:noHBand="0" w:noVBand="1"/>
        </w:tblPrEx>
        <w:trPr>
          <w:trHeight w:val="20"/>
        </w:trPr>
        <w:tc>
          <w:tcPr>
            <w:tcW w:w="9067" w:type="dxa"/>
            <w:gridSpan w:val="5"/>
            <w:tcBorders>
              <w:top w:val="single" w:sz="4" w:space="0" w:color="auto"/>
              <w:left w:val="single" w:sz="4" w:space="0" w:color="auto"/>
              <w:right w:val="single" w:sz="4" w:space="0" w:color="auto"/>
            </w:tcBorders>
            <w:vAlign w:val="center"/>
          </w:tcPr>
          <w:p w14:paraId="432F828B" w14:textId="77777777" w:rsidR="00E04F77" w:rsidRPr="00D27BFA" w:rsidRDefault="00E04F77">
            <w:pPr>
              <w:rPr>
                <w:rFonts w:ascii="Arial Narrow" w:hAnsi="Arial Narrow"/>
                <w:sz w:val="20"/>
                <w:szCs w:val="20"/>
              </w:rPr>
            </w:pPr>
          </w:p>
        </w:tc>
      </w:tr>
      <w:tr w:rsidR="004D14E5" w:rsidRPr="00D27BFA" w14:paraId="75430553" w14:textId="77777777" w:rsidTr="004D14E5">
        <w:tblPrEx>
          <w:tblCellMar>
            <w:top w:w="15" w:type="dxa"/>
            <w:bottom w:w="15" w:type="dxa"/>
          </w:tblCellMar>
          <w:tblLook w:val="04A0" w:firstRow="1" w:lastRow="0" w:firstColumn="1" w:lastColumn="0" w:noHBand="0" w:noVBand="1"/>
        </w:tblPrEx>
        <w:trPr>
          <w:trHeight w:val="20"/>
        </w:trPr>
        <w:tc>
          <w:tcPr>
            <w:tcW w:w="9067" w:type="dxa"/>
            <w:gridSpan w:val="5"/>
            <w:tcBorders>
              <w:top w:val="single" w:sz="4" w:space="0" w:color="auto"/>
              <w:left w:val="single" w:sz="4" w:space="0" w:color="auto"/>
              <w:bottom w:val="single" w:sz="4" w:space="0" w:color="auto"/>
              <w:right w:val="single" w:sz="4" w:space="0" w:color="auto"/>
            </w:tcBorders>
            <w:vAlign w:val="center"/>
          </w:tcPr>
          <w:p w14:paraId="6FAA59C6" w14:textId="77777777" w:rsidR="004D14E5" w:rsidRPr="00D27BFA" w:rsidRDefault="004D14E5">
            <w:pPr>
              <w:keepLines/>
              <w:jc w:val="left"/>
              <w:rPr>
                <w:rFonts w:ascii="Arial Narrow" w:hAnsi="Arial Narrow"/>
                <w:sz w:val="20"/>
                <w:szCs w:val="20"/>
              </w:rPr>
            </w:pPr>
            <w:r w:rsidRPr="00D27BFA">
              <w:rPr>
                <w:rFonts w:ascii="Arial Narrow" w:hAnsi="Arial Narrow"/>
                <w:b/>
                <w:sz w:val="20"/>
                <w:szCs w:val="20"/>
              </w:rPr>
              <w:t>Category / Program:</w:t>
            </w:r>
            <w:r w:rsidRPr="00D27BFA">
              <w:rPr>
                <w:rFonts w:ascii="Arial Narrow" w:hAnsi="Arial Narrow"/>
                <w:sz w:val="20"/>
                <w:szCs w:val="20"/>
              </w:rPr>
              <w:t xml:space="preserve"> </w:t>
            </w:r>
            <w:r w:rsidRPr="00D27BFA">
              <w:rPr>
                <w:rFonts w:ascii="Arial Narrow" w:hAnsi="Arial Narrow"/>
                <w:sz w:val="20"/>
                <w:szCs w:val="20"/>
              </w:rPr>
              <w:fldChar w:fldCharType="begin">
                <w:ffData>
                  <w:name w:val=""/>
                  <w:enabled/>
                  <w:calcOnExit w:val="0"/>
                  <w:checkBox>
                    <w:sizeAuto/>
                    <w:default w:val="1"/>
                  </w:checkBox>
                </w:ffData>
              </w:fldChar>
            </w:r>
            <w:r w:rsidRPr="00D27BFA">
              <w:rPr>
                <w:rFonts w:ascii="Arial Narrow" w:hAnsi="Arial Narrow"/>
                <w:sz w:val="20"/>
                <w:szCs w:val="20"/>
              </w:rPr>
              <w:instrText xml:space="preserve"> FORMCHECKBOX </w:instrText>
            </w:r>
            <w:r w:rsidRPr="00D27BFA">
              <w:rPr>
                <w:rFonts w:ascii="Arial Narrow" w:hAnsi="Arial Narrow"/>
                <w:sz w:val="20"/>
                <w:szCs w:val="20"/>
              </w:rPr>
            </w:r>
            <w:r w:rsidRPr="00D27BFA">
              <w:rPr>
                <w:rFonts w:ascii="Arial Narrow" w:hAnsi="Arial Narrow"/>
                <w:sz w:val="20"/>
                <w:szCs w:val="20"/>
              </w:rPr>
              <w:fldChar w:fldCharType="separate"/>
            </w:r>
            <w:r w:rsidRPr="00D27BFA">
              <w:rPr>
                <w:rFonts w:ascii="Arial Narrow" w:hAnsi="Arial Narrow"/>
                <w:sz w:val="20"/>
                <w:szCs w:val="20"/>
              </w:rPr>
              <w:fldChar w:fldCharType="end"/>
            </w:r>
            <w:r w:rsidRPr="00D27BFA">
              <w:rPr>
                <w:rFonts w:ascii="Arial Narrow" w:hAnsi="Arial Narrow"/>
                <w:sz w:val="20"/>
                <w:szCs w:val="20"/>
              </w:rPr>
              <w:t xml:space="preserve"> </w:t>
            </w:r>
            <w:r w:rsidRPr="00D27BFA">
              <w:rPr>
                <w:rFonts w:ascii="Arial Narrow" w:eastAsia="Calibri" w:hAnsi="Arial Narrow"/>
                <w:sz w:val="20"/>
                <w:szCs w:val="20"/>
              </w:rPr>
              <w:t>Section 100 – Efficient Funding of Chemotherapy – Public (IP)/ Private (IV)</w:t>
            </w:r>
          </w:p>
        </w:tc>
      </w:tr>
      <w:tr w:rsidR="004D14E5" w:rsidRPr="00D27BFA" w14:paraId="275FA662" w14:textId="77777777" w:rsidTr="004D14E5">
        <w:tblPrEx>
          <w:tblCellMar>
            <w:top w:w="15" w:type="dxa"/>
            <w:bottom w:w="15" w:type="dxa"/>
          </w:tblCellMar>
          <w:tblLook w:val="04A0" w:firstRow="1" w:lastRow="0" w:firstColumn="1" w:lastColumn="0" w:noHBand="0" w:noVBand="1"/>
        </w:tblPrEx>
        <w:trPr>
          <w:trHeight w:val="20"/>
        </w:trPr>
        <w:tc>
          <w:tcPr>
            <w:tcW w:w="9067" w:type="dxa"/>
            <w:gridSpan w:val="5"/>
            <w:tcBorders>
              <w:top w:val="single" w:sz="4" w:space="0" w:color="auto"/>
              <w:left w:val="single" w:sz="4" w:space="0" w:color="auto"/>
              <w:bottom w:val="single" w:sz="4" w:space="0" w:color="auto"/>
              <w:right w:val="single" w:sz="4" w:space="0" w:color="auto"/>
            </w:tcBorders>
            <w:vAlign w:val="center"/>
          </w:tcPr>
          <w:p w14:paraId="010E9465" w14:textId="77777777" w:rsidR="004D14E5" w:rsidRPr="00D27BFA" w:rsidRDefault="004D14E5">
            <w:pPr>
              <w:keepLines/>
              <w:jc w:val="left"/>
              <w:rPr>
                <w:rFonts w:ascii="Arial Narrow" w:hAnsi="Arial Narrow"/>
                <w:b/>
                <w:sz w:val="20"/>
                <w:szCs w:val="20"/>
              </w:rPr>
            </w:pPr>
            <w:r w:rsidRPr="00D27BFA">
              <w:rPr>
                <w:rFonts w:ascii="Arial Narrow" w:hAnsi="Arial Narrow"/>
                <w:b/>
                <w:sz w:val="20"/>
                <w:szCs w:val="20"/>
              </w:rPr>
              <w:t xml:space="preserve">Prescriber type: </w:t>
            </w:r>
            <w:r w:rsidRPr="00D27BFA">
              <w:rPr>
                <w:rFonts w:ascii="Arial Narrow" w:hAnsi="Arial Narrow"/>
                <w:sz w:val="20"/>
                <w:szCs w:val="20"/>
              </w:rPr>
              <w:fldChar w:fldCharType="begin">
                <w:ffData>
                  <w:name w:val=""/>
                  <w:enabled/>
                  <w:calcOnExit w:val="0"/>
                  <w:checkBox>
                    <w:sizeAuto/>
                    <w:default w:val="1"/>
                  </w:checkBox>
                </w:ffData>
              </w:fldChar>
            </w:r>
            <w:r w:rsidRPr="00D27BFA">
              <w:rPr>
                <w:rFonts w:ascii="Arial Narrow" w:hAnsi="Arial Narrow"/>
                <w:sz w:val="20"/>
                <w:szCs w:val="20"/>
              </w:rPr>
              <w:instrText xml:space="preserve"> FORMCHECKBOX </w:instrText>
            </w:r>
            <w:r w:rsidRPr="00D27BFA">
              <w:rPr>
                <w:rFonts w:ascii="Arial Narrow" w:hAnsi="Arial Narrow"/>
                <w:sz w:val="20"/>
                <w:szCs w:val="20"/>
              </w:rPr>
            </w:r>
            <w:r w:rsidRPr="00D27BFA">
              <w:rPr>
                <w:rFonts w:ascii="Arial Narrow" w:hAnsi="Arial Narrow"/>
                <w:sz w:val="20"/>
                <w:szCs w:val="20"/>
              </w:rPr>
              <w:fldChar w:fldCharType="separate"/>
            </w:r>
            <w:r w:rsidRPr="00D27BFA">
              <w:rPr>
                <w:rFonts w:ascii="Arial Narrow" w:hAnsi="Arial Narrow"/>
                <w:sz w:val="20"/>
                <w:szCs w:val="20"/>
              </w:rPr>
              <w:fldChar w:fldCharType="end"/>
            </w:r>
            <w:r w:rsidRPr="00D27BFA">
              <w:rPr>
                <w:rFonts w:ascii="Arial Narrow" w:hAnsi="Arial Narrow"/>
                <w:sz w:val="20"/>
                <w:szCs w:val="20"/>
              </w:rPr>
              <w:t xml:space="preserve"> Medical Practitioners </w:t>
            </w:r>
          </w:p>
        </w:tc>
      </w:tr>
      <w:tr w:rsidR="004D14E5" w:rsidRPr="00D27BFA" w14:paraId="7C3E23A3" w14:textId="77777777" w:rsidTr="004D14E5">
        <w:tblPrEx>
          <w:tblCellMar>
            <w:top w:w="15" w:type="dxa"/>
            <w:bottom w:w="15" w:type="dxa"/>
          </w:tblCellMar>
          <w:tblLook w:val="04A0" w:firstRow="1" w:lastRow="0" w:firstColumn="1" w:lastColumn="0" w:noHBand="0" w:noVBand="1"/>
        </w:tblPrEx>
        <w:trPr>
          <w:trHeight w:val="220"/>
        </w:trPr>
        <w:tc>
          <w:tcPr>
            <w:tcW w:w="9067" w:type="dxa"/>
            <w:gridSpan w:val="5"/>
            <w:tcBorders>
              <w:top w:val="single" w:sz="4" w:space="0" w:color="auto"/>
              <w:left w:val="single" w:sz="4" w:space="0" w:color="auto"/>
              <w:bottom w:val="single" w:sz="4" w:space="0" w:color="auto"/>
              <w:right w:val="single" w:sz="4" w:space="0" w:color="auto"/>
            </w:tcBorders>
            <w:vAlign w:val="center"/>
          </w:tcPr>
          <w:p w14:paraId="68A0CF50" w14:textId="77777777" w:rsidR="004D14E5" w:rsidRPr="00D27BFA" w:rsidRDefault="004D14E5">
            <w:pPr>
              <w:keepLines/>
              <w:jc w:val="left"/>
              <w:rPr>
                <w:rFonts w:ascii="Arial Narrow" w:hAnsi="Arial Narrow"/>
                <w:sz w:val="20"/>
                <w:szCs w:val="20"/>
              </w:rPr>
            </w:pPr>
            <w:r w:rsidRPr="00D27BFA">
              <w:rPr>
                <w:rFonts w:ascii="Arial Narrow" w:hAnsi="Arial Narrow"/>
                <w:b/>
                <w:sz w:val="20"/>
                <w:szCs w:val="20"/>
              </w:rPr>
              <w:t xml:space="preserve">Benefit type: </w:t>
            </w:r>
            <w:r w:rsidRPr="00D27BFA">
              <w:rPr>
                <w:rFonts w:ascii="Arial Narrow" w:hAnsi="Arial Narrow"/>
                <w:sz w:val="20"/>
                <w:szCs w:val="20"/>
              </w:rPr>
              <w:fldChar w:fldCharType="begin">
                <w:ffData>
                  <w:name w:val=""/>
                  <w:enabled/>
                  <w:calcOnExit w:val="0"/>
                  <w:checkBox>
                    <w:sizeAuto/>
                    <w:default w:val="1"/>
                  </w:checkBox>
                </w:ffData>
              </w:fldChar>
            </w:r>
            <w:r w:rsidRPr="00D27BFA">
              <w:rPr>
                <w:rFonts w:ascii="Arial Narrow" w:hAnsi="Arial Narrow"/>
                <w:sz w:val="20"/>
                <w:szCs w:val="20"/>
              </w:rPr>
              <w:instrText xml:space="preserve"> FORMCHECKBOX </w:instrText>
            </w:r>
            <w:r w:rsidRPr="00D27BFA">
              <w:rPr>
                <w:rFonts w:ascii="Arial Narrow" w:hAnsi="Arial Narrow"/>
                <w:sz w:val="20"/>
                <w:szCs w:val="20"/>
              </w:rPr>
            </w:r>
            <w:r w:rsidRPr="00D27BFA">
              <w:rPr>
                <w:rFonts w:ascii="Arial Narrow" w:hAnsi="Arial Narrow"/>
                <w:sz w:val="20"/>
                <w:szCs w:val="20"/>
              </w:rPr>
              <w:fldChar w:fldCharType="separate"/>
            </w:r>
            <w:r w:rsidRPr="00D27BFA">
              <w:rPr>
                <w:rFonts w:ascii="Arial Narrow" w:hAnsi="Arial Narrow"/>
                <w:sz w:val="20"/>
                <w:szCs w:val="20"/>
              </w:rPr>
              <w:fldChar w:fldCharType="end"/>
            </w:r>
            <w:r w:rsidRPr="00D27BFA">
              <w:rPr>
                <w:rFonts w:ascii="Arial Narrow" w:hAnsi="Arial Narrow"/>
                <w:sz w:val="20"/>
                <w:szCs w:val="20"/>
              </w:rPr>
              <w:t xml:space="preserve"> </w:t>
            </w:r>
            <w:r w:rsidRPr="00D27BFA">
              <w:rPr>
                <w:rFonts w:ascii="Arial Narrow" w:eastAsia="Calibri" w:hAnsi="Arial Narrow"/>
                <w:sz w:val="20"/>
                <w:szCs w:val="20"/>
              </w:rPr>
              <w:t>Authority Required (Streamlined)</w:t>
            </w:r>
            <w:r w:rsidRPr="00C91CE2">
              <w:rPr>
                <w:rFonts w:ascii="Arial Narrow" w:eastAsia="Calibri" w:hAnsi="Arial Narrow"/>
                <w:i/>
                <w:iCs/>
                <w:sz w:val="20"/>
                <w:szCs w:val="20"/>
              </w:rPr>
              <w:t xml:space="preserve"> [new code]</w:t>
            </w:r>
          </w:p>
        </w:tc>
      </w:tr>
      <w:tr w:rsidR="004D14E5" w:rsidRPr="00D27BFA" w14:paraId="1C8DB7C9" w14:textId="77777777" w:rsidTr="004D14E5">
        <w:tblPrEx>
          <w:tblCellMar>
            <w:top w:w="15" w:type="dxa"/>
            <w:bottom w:w="15" w:type="dxa"/>
          </w:tblCellMar>
          <w:tblLook w:val="04A0" w:firstRow="1" w:lastRow="0" w:firstColumn="1" w:lastColumn="0" w:noHBand="0" w:noVBand="1"/>
        </w:tblPrEx>
        <w:trPr>
          <w:trHeight w:val="49"/>
        </w:trPr>
        <w:tc>
          <w:tcPr>
            <w:tcW w:w="9067" w:type="dxa"/>
            <w:gridSpan w:val="5"/>
            <w:tcBorders>
              <w:top w:val="single" w:sz="4" w:space="0" w:color="auto"/>
              <w:left w:val="single" w:sz="4" w:space="0" w:color="auto"/>
              <w:bottom w:val="single" w:sz="4" w:space="0" w:color="auto"/>
              <w:right w:val="single" w:sz="4" w:space="0" w:color="auto"/>
            </w:tcBorders>
            <w:vAlign w:val="center"/>
          </w:tcPr>
          <w:p w14:paraId="0DAF63A0" w14:textId="4354EFAA" w:rsidR="004D14E5" w:rsidRPr="00D27BFA" w:rsidRDefault="004D14E5">
            <w:pPr>
              <w:jc w:val="left"/>
              <w:rPr>
                <w:rFonts w:ascii="Arial Narrow" w:hAnsi="Arial Narrow"/>
                <w:b/>
                <w:sz w:val="20"/>
                <w:szCs w:val="20"/>
              </w:rPr>
            </w:pPr>
            <w:r w:rsidRPr="00D27BFA">
              <w:rPr>
                <w:rFonts w:ascii="Arial Narrow" w:hAnsi="Arial Narrow"/>
                <w:b/>
                <w:sz w:val="20"/>
                <w:szCs w:val="20"/>
              </w:rPr>
              <w:t>Prescribing rule level:</w:t>
            </w:r>
          </w:p>
        </w:tc>
      </w:tr>
      <w:tr w:rsidR="004D14E5" w:rsidRPr="00D27BFA" w14:paraId="5E4904E3" w14:textId="77777777" w:rsidTr="004D14E5">
        <w:tblPrEx>
          <w:tblCellMar>
            <w:top w:w="15" w:type="dxa"/>
            <w:bottom w:w="15" w:type="dxa"/>
          </w:tblCellMar>
          <w:tblLook w:val="04A0" w:firstRow="1" w:lastRow="0" w:firstColumn="1" w:lastColumn="0" w:noHBand="0" w:noVBand="1"/>
        </w:tblPrEx>
        <w:trPr>
          <w:trHeight w:val="20"/>
        </w:trPr>
        <w:tc>
          <w:tcPr>
            <w:tcW w:w="9067" w:type="dxa"/>
            <w:gridSpan w:val="5"/>
            <w:tcBorders>
              <w:top w:val="single" w:sz="4" w:space="0" w:color="auto"/>
              <w:left w:val="single" w:sz="4" w:space="0" w:color="auto"/>
              <w:bottom w:val="single" w:sz="4" w:space="0" w:color="auto"/>
              <w:right w:val="single" w:sz="4" w:space="0" w:color="auto"/>
            </w:tcBorders>
            <w:vAlign w:val="center"/>
          </w:tcPr>
          <w:p w14:paraId="6AE05FCC" w14:textId="77777777" w:rsidR="004D14E5" w:rsidRPr="00D27BFA" w:rsidRDefault="004D14E5">
            <w:pPr>
              <w:rPr>
                <w:rFonts w:ascii="Arial Narrow" w:hAnsi="Arial Narrow"/>
                <w:b/>
                <w:bCs/>
                <w:sz w:val="20"/>
                <w:szCs w:val="20"/>
              </w:rPr>
            </w:pPr>
            <w:r w:rsidRPr="00D27BFA">
              <w:rPr>
                <w:rFonts w:ascii="Arial Narrow" w:hAnsi="Arial Narrow"/>
                <w:b/>
                <w:bCs/>
                <w:sz w:val="20"/>
                <w:szCs w:val="20"/>
              </w:rPr>
              <w:t>Administrative Advice:</w:t>
            </w:r>
          </w:p>
          <w:p w14:paraId="3CC7F684" w14:textId="77777777" w:rsidR="004D14E5" w:rsidRPr="00D27BFA" w:rsidRDefault="004D14E5">
            <w:pPr>
              <w:rPr>
                <w:rFonts w:ascii="Arial Narrow" w:hAnsi="Arial Narrow"/>
                <w:sz w:val="20"/>
                <w:szCs w:val="20"/>
              </w:rPr>
            </w:pPr>
            <w:r w:rsidRPr="00D27BFA">
              <w:rPr>
                <w:rFonts w:ascii="Arial Narrow" w:hAnsi="Arial Narrow"/>
                <w:sz w:val="20"/>
                <w:szCs w:val="20"/>
              </w:rPr>
              <w:t>No increase in the maximum number of repeats may be authorised.</w:t>
            </w:r>
          </w:p>
        </w:tc>
      </w:tr>
      <w:tr w:rsidR="004D14E5" w:rsidRPr="00D27BFA" w14:paraId="22710586" w14:textId="77777777" w:rsidTr="004D14E5">
        <w:tblPrEx>
          <w:tblCellMar>
            <w:top w:w="15" w:type="dxa"/>
            <w:bottom w:w="15" w:type="dxa"/>
          </w:tblCellMar>
          <w:tblLook w:val="04A0" w:firstRow="1" w:lastRow="0" w:firstColumn="1" w:lastColumn="0" w:noHBand="0" w:noVBand="1"/>
        </w:tblPrEx>
        <w:trPr>
          <w:trHeight w:val="20"/>
        </w:trPr>
        <w:tc>
          <w:tcPr>
            <w:tcW w:w="9067" w:type="dxa"/>
            <w:gridSpan w:val="5"/>
            <w:tcBorders>
              <w:top w:val="single" w:sz="4" w:space="0" w:color="auto"/>
              <w:left w:val="single" w:sz="4" w:space="0" w:color="auto"/>
              <w:bottom w:val="single" w:sz="4" w:space="0" w:color="auto"/>
              <w:right w:val="single" w:sz="4" w:space="0" w:color="auto"/>
            </w:tcBorders>
            <w:vAlign w:val="center"/>
          </w:tcPr>
          <w:p w14:paraId="5C2762D3" w14:textId="77777777" w:rsidR="004D14E5" w:rsidRPr="00D27BFA" w:rsidRDefault="004D14E5">
            <w:pPr>
              <w:keepLines/>
              <w:rPr>
                <w:rFonts w:ascii="Arial Narrow" w:hAnsi="Arial Narrow"/>
                <w:b/>
                <w:bCs/>
                <w:sz w:val="20"/>
                <w:szCs w:val="20"/>
              </w:rPr>
            </w:pPr>
            <w:r w:rsidRPr="00D27BFA">
              <w:rPr>
                <w:rFonts w:ascii="Arial Narrow" w:hAnsi="Arial Narrow"/>
                <w:b/>
                <w:bCs/>
                <w:sz w:val="20"/>
                <w:szCs w:val="20"/>
              </w:rPr>
              <w:lastRenderedPageBreak/>
              <w:t>Administrative Advice:</w:t>
            </w:r>
          </w:p>
          <w:p w14:paraId="6E07205A" w14:textId="77777777" w:rsidR="004D14E5" w:rsidRPr="00D27BFA" w:rsidRDefault="004D14E5">
            <w:pPr>
              <w:rPr>
                <w:rFonts w:cs="Aptos"/>
                <w:sz w:val="18"/>
                <w:szCs w:val="18"/>
              </w:rPr>
            </w:pPr>
            <w:r w:rsidRPr="00D27BFA">
              <w:rPr>
                <w:rFonts w:ascii="Arial Narrow" w:hAnsi="Arial Narrow"/>
                <w:sz w:val="20"/>
                <w:szCs w:val="20"/>
              </w:rPr>
              <w:t>No increase in the maximum amount or number of units may be authorised.</w:t>
            </w:r>
            <w:r w:rsidRPr="00D27BFA">
              <w:rPr>
                <w:rFonts w:cs="Aptos"/>
                <w:sz w:val="18"/>
                <w:szCs w:val="18"/>
              </w:rPr>
              <w:t xml:space="preserve"> </w:t>
            </w:r>
          </w:p>
        </w:tc>
      </w:tr>
      <w:tr w:rsidR="004D14E5" w:rsidRPr="00D27BFA" w14:paraId="5053458C" w14:textId="77777777" w:rsidTr="004D14E5">
        <w:tblPrEx>
          <w:tblCellMar>
            <w:top w:w="15" w:type="dxa"/>
            <w:bottom w:w="15" w:type="dxa"/>
          </w:tblCellMar>
          <w:tblLook w:val="04A0" w:firstRow="1" w:lastRow="0" w:firstColumn="1" w:lastColumn="0" w:noHBand="0" w:noVBand="1"/>
        </w:tblPrEx>
        <w:trPr>
          <w:trHeight w:val="20"/>
        </w:trPr>
        <w:tc>
          <w:tcPr>
            <w:tcW w:w="9067" w:type="dxa"/>
            <w:gridSpan w:val="5"/>
            <w:tcBorders>
              <w:top w:val="single" w:sz="4" w:space="0" w:color="auto"/>
              <w:left w:val="single" w:sz="4" w:space="0" w:color="auto"/>
              <w:bottom w:val="single" w:sz="4" w:space="0" w:color="auto"/>
              <w:right w:val="single" w:sz="4" w:space="0" w:color="auto"/>
            </w:tcBorders>
            <w:vAlign w:val="center"/>
          </w:tcPr>
          <w:p w14:paraId="0AC5DD72" w14:textId="6DB43837" w:rsidR="004D14E5" w:rsidRPr="00D27BFA" w:rsidRDefault="004D14E5">
            <w:pPr>
              <w:rPr>
                <w:rFonts w:ascii="Arial Narrow" w:hAnsi="Arial Narrow"/>
                <w:b/>
                <w:bCs/>
                <w:i/>
                <w:iCs/>
                <w:sz w:val="20"/>
                <w:szCs w:val="20"/>
              </w:rPr>
            </w:pPr>
            <w:r w:rsidRPr="00D27BFA">
              <w:rPr>
                <w:rFonts w:ascii="Arial Narrow" w:hAnsi="Arial Narrow"/>
                <w:b/>
                <w:bCs/>
                <w:sz w:val="20"/>
                <w:szCs w:val="20"/>
              </w:rPr>
              <w:t>Caution:</w:t>
            </w:r>
          </w:p>
          <w:p w14:paraId="63CD26B8" w14:textId="77777777" w:rsidR="004D14E5" w:rsidRPr="00D27BFA" w:rsidRDefault="004D14E5">
            <w:pPr>
              <w:keepLines/>
              <w:rPr>
                <w:rFonts w:ascii="Arial Narrow" w:hAnsi="Arial Narrow"/>
                <w:b/>
                <w:bCs/>
                <w:sz w:val="20"/>
                <w:szCs w:val="20"/>
              </w:rPr>
            </w:pPr>
            <w:r w:rsidRPr="00D27BFA">
              <w:rPr>
                <w:rFonts w:ascii="Arial Narrow" w:hAnsi="Arial Narrow"/>
                <w:sz w:val="20"/>
                <w:szCs w:val="20"/>
              </w:rPr>
              <w:t>Careful monitoring of patients is required due to risk of developing life-threatening Cytokine Release Syndrome (CRS) and Immune Effector Cell-Associated Neurotoxicity Syndrome (ICANS).</w:t>
            </w:r>
            <w:r w:rsidRPr="00D27BFA">
              <w:rPr>
                <w:rFonts w:cs="Calibri"/>
                <w:sz w:val="20"/>
              </w:rPr>
              <w:t> </w:t>
            </w:r>
          </w:p>
        </w:tc>
      </w:tr>
      <w:tr w:rsidR="004D14E5" w:rsidRPr="00D27BFA" w14:paraId="5E1C866B" w14:textId="77777777" w:rsidTr="004D14E5">
        <w:tblPrEx>
          <w:tblCellMar>
            <w:top w:w="15" w:type="dxa"/>
            <w:bottom w:w="15" w:type="dxa"/>
          </w:tblCellMar>
          <w:tblLook w:val="04A0" w:firstRow="1" w:lastRow="0" w:firstColumn="1" w:lastColumn="0" w:noHBand="0" w:noVBand="1"/>
        </w:tblPrEx>
        <w:trPr>
          <w:trHeight w:val="20"/>
        </w:trPr>
        <w:tc>
          <w:tcPr>
            <w:tcW w:w="9067" w:type="dxa"/>
            <w:gridSpan w:val="5"/>
            <w:tcBorders>
              <w:top w:val="single" w:sz="4" w:space="0" w:color="auto"/>
              <w:left w:val="single" w:sz="4" w:space="0" w:color="auto"/>
              <w:bottom w:val="single" w:sz="4" w:space="0" w:color="auto"/>
              <w:right w:val="single" w:sz="4" w:space="0" w:color="auto"/>
            </w:tcBorders>
            <w:vAlign w:val="center"/>
          </w:tcPr>
          <w:p w14:paraId="02F3CD6D" w14:textId="77777777" w:rsidR="004D14E5" w:rsidRPr="00D27BFA" w:rsidRDefault="004D14E5">
            <w:pPr>
              <w:keepLines/>
              <w:rPr>
                <w:rFonts w:ascii="Arial Narrow" w:hAnsi="Arial Narrow"/>
                <w:b/>
                <w:bCs/>
                <w:sz w:val="20"/>
                <w:szCs w:val="20"/>
              </w:rPr>
            </w:pPr>
            <w:r w:rsidRPr="00D27BFA">
              <w:rPr>
                <w:rFonts w:ascii="Arial Narrow" w:hAnsi="Arial Narrow"/>
                <w:b/>
                <w:sz w:val="20"/>
                <w:szCs w:val="20"/>
              </w:rPr>
              <w:t>Restriction Summary [new1] / Treatment of Concept: [new1A]</w:t>
            </w:r>
          </w:p>
        </w:tc>
      </w:tr>
      <w:tr w:rsidR="004D14E5" w:rsidRPr="00D27BFA" w14:paraId="4EC04207" w14:textId="77777777" w:rsidTr="004D14E5">
        <w:tblPrEx>
          <w:tblCellMar>
            <w:top w:w="15" w:type="dxa"/>
            <w:bottom w:w="15" w:type="dxa"/>
          </w:tblCellMar>
          <w:tblLook w:val="04A0" w:firstRow="1" w:lastRow="0" w:firstColumn="1" w:lastColumn="0" w:noHBand="0" w:noVBand="1"/>
        </w:tblPrEx>
        <w:trPr>
          <w:cantSplit/>
          <w:trHeight w:val="20"/>
        </w:trPr>
        <w:tc>
          <w:tcPr>
            <w:tcW w:w="9067" w:type="dxa"/>
            <w:gridSpan w:val="5"/>
            <w:vAlign w:val="center"/>
            <w:hideMark/>
          </w:tcPr>
          <w:p w14:paraId="2D5FC974" w14:textId="77777777" w:rsidR="004D14E5" w:rsidRPr="00D27BFA" w:rsidRDefault="004D14E5">
            <w:pPr>
              <w:keepLines/>
              <w:rPr>
                <w:rFonts w:ascii="Arial Narrow" w:hAnsi="Arial Narrow"/>
                <w:sz w:val="20"/>
                <w:szCs w:val="20"/>
              </w:rPr>
            </w:pPr>
            <w:r w:rsidRPr="00D27BFA">
              <w:rPr>
                <w:rFonts w:ascii="Arial Narrow" w:hAnsi="Arial Narrow"/>
                <w:b/>
                <w:bCs/>
                <w:sz w:val="20"/>
                <w:szCs w:val="20"/>
              </w:rPr>
              <w:t>Indication:</w:t>
            </w:r>
            <w:r w:rsidRPr="00D27BFA">
              <w:rPr>
                <w:rFonts w:ascii="Arial Narrow" w:hAnsi="Arial Narrow"/>
                <w:sz w:val="20"/>
                <w:szCs w:val="20"/>
              </w:rPr>
              <w:t xml:space="preserve"> Extensive-stage small cell lung cancer </w:t>
            </w:r>
          </w:p>
        </w:tc>
      </w:tr>
      <w:tr w:rsidR="004D14E5" w:rsidRPr="00D27BFA" w14:paraId="13BFFB58" w14:textId="77777777" w:rsidTr="004D14E5">
        <w:tblPrEx>
          <w:tblCellMar>
            <w:top w:w="15" w:type="dxa"/>
            <w:bottom w:w="15" w:type="dxa"/>
          </w:tblCellMar>
          <w:tblLook w:val="04A0" w:firstRow="1" w:lastRow="0" w:firstColumn="1" w:lastColumn="0" w:noHBand="0" w:noVBand="1"/>
        </w:tblPrEx>
        <w:trPr>
          <w:cantSplit/>
          <w:trHeight w:val="20"/>
        </w:trPr>
        <w:tc>
          <w:tcPr>
            <w:tcW w:w="9067" w:type="dxa"/>
            <w:gridSpan w:val="5"/>
            <w:vAlign w:val="center"/>
            <w:hideMark/>
          </w:tcPr>
          <w:p w14:paraId="04DFAB6C" w14:textId="77777777" w:rsidR="004D14E5" w:rsidRPr="00D27BFA" w:rsidRDefault="004D14E5">
            <w:pPr>
              <w:rPr>
                <w:rFonts w:ascii="Arial Narrow" w:hAnsi="Arial Narrow"/>
                <w:i/>
                <w:iCs/>
                <w:sz w:val="20"/>
                <w:szCs w:val="20"/>
              </w:rPr>
            </w:pPr>
            <w:r w:rsidRPr="00D27BFA">
              <w:rPr>
                <w:rFonts w:ascii="Arial Narrow" w:hAnsi="Arial Narrow"/>
                <w:b/>
                <w:bCs/>
                <w:sz w:val="20"/>
                <w:szCs w:val="20"/>
              </w:rPr>
              <w:t>Treatment Phase:</w:t>
            </w:r>
            <w:r w:rsidRPr="00D27BFA">
              <w:rPr>
                <w:rFonts w:ascii="Arial Narrow" w:hAnsi="Arial Narrow"/>
                <w:sz w:val="20"/>
                <w:szCs w:val="20"/>
              </w:rPr>
              <w:t xml:space="preserve"> Initial treatment </w:t>
            </w:r>
          </w:p>
        </w:tc>
      </w:tr>
      <w:tr w:rsidR="004D14E5" w:rsidRPr="00D27BFA" w14:paraId="12EED2EC" w14:textId="77777777" w:rsidTr="004D14E5">
        <w:tblPrEx>
          <w:tblCellMar>
            <w:top w:w="15" w:type="dxa"/>
            <w:bottom w:w="15" w:type="dxa"/>
          </w:tblCellMar>
          <w:tblLook w:val="04A0" w:firstRow="1" w:lastRow="0" w:firstColumn="1" w:lastColumn="0" w:noHBand="0" w:noVBand="1"/>
        </w:tblPrEx>
        <w:trPr>
          <w:cantSplit/>
          <w:trHeight w:val="20"/>
        </w:trPr>
        <w:tc>
          <w:tcPr>
            <w:tcW w:w="9067" w:type="dxa"/>
            <w:gridSpan w:val="5"/>
            <w:vAlign w:val="center"/>
            <w:hideMark/>
          </w:tcPr>
          <w:p w14:paraId="50421A11" w14:textId="77777777" w:rsidR="004D14E5" w:rsidRPr="00D27BFA" w:rsidRDefault="004D14E5">
            <w:pPr>
              <w:rPr>
                <w:rFonts w:ascii="Arial Narrow" w:hAnsi="Arial Narrow"/>
                <w:sz w:val="20"/>
                <w:szCs w:val="20"/>
              </w:rPr>
            </w:pPr>
            <w:r w:rsidRPr="00D27BFA">
              <w:rPr>
                <w:rFonts w:ascii="Arial Narrow" w:hAnsi="Arial Narrow"/>
                <w:b/>
                <w:bCs/>
                <w:sz w:val="20"/>
                <w:szCs w:val="20"/>
              </w:rPr>
              <w:t xml:space="preserve">Clinical criteria: </w:t>
            </w:r>
          </w:p>
        </w:tc>
      </w:tr>
      <w:tr w:rsidR="004D14E5" w:rsidRPr="00D27BFA" w14:paraId="28A145F8" w14:textId="77777777" w:rsidTr="004D14E5">
        <w:tblPrEx>
          <w:tblCellMar>
            <w:top w:w="15" w:type="dxa"/>
            <w:bottom w:w="15" w:type="dxa"/>
          </w:tblCellMar>
          <w:tblLook w:val="04A0" w:firstRow="1" w:lastRow="0" w:firstColumn="1" w:lastColumn="0" w:noHBand="0" w:noVBand="1"/>
        </w:tblPrEx>
        <w:trPr>
          <w:cantSplit/>
          <w:trHeight w:val="20"/>
        </w:trPr>
        <w:tc>
          <w:tcPr>
            <w:tcW w:w="9067" w:type="dxa"/>
            <w:gridSpan w:val="5"/>
            <w:vAlign w:val="center"/>
            <w:hideMark/>
          </w:tcPr>
          <w:p w14:paraId="7D1EFB72" w14:textId="77777777" w:rsidR="004D14E5" w:rsidRPr="00D27BFA" w:rsidRDefault="004D14E5">
            <w:pPr>
              <w:tabs>
                <w:tab w:val="num" w:pos="720"/>
              </w:tabs>
              <w:rPr>
                <w:rFonts w:ascii="Arial Narrow" w:hAnsi="Arial Narrow"/>
                <w:sz w:val="20"/>
                <w:szCs w:val="20"/>
              </w:rPr>
            </w:pPr>
            <w:r w:rsidRPr="00D27BFA">
              <w:rPr>
                <w:rFonts w:ascii="Arial Narrow" w:hAnsi="Arial Narrow"/>
                <w:sz w:val="20"/>
                <w:szCs w:val="20"/>
              </w:rPr>
              <w:t>The condition must have progressed on or after treatment with a platinum-based chemotherapy (PBC)</w:t>
            </w:r>
          </w:p>
        </w:tc>
      </w:tr>
      <w:tr w:rsidR="004D14E5" w:rsidRPr="00D27BFA" w14:paraId="3ECD103A" w14:textId="77777777" w:rsidTr="004D14E5">
        <w:tblPrEx>
          <w:tblCellMar>
            <w:top w:w="15" w:type="dxa"/>
            <w:bottom w:w="15" w:type="dxa"/>
          </w:tblCellMar>
          <w:tblLook w:val="04A0" w:firstRow="1" w:lastRow="0" w:firstColumn="1" w:lastColumn="0" w:noHBand="0" w:noVBand="1"/>
        </w:tblPrEx>
        <w:trPr>
          <w:cantSplit/>
          <w:trHeight w:val="20"/>
        </w:trPr>
        <w:tc>
          <w:tcPr>
            <w:tcW w:w="9067" w:type="dxa"/>
            <w:gridSpan w:val="5"/>
            <w:vAlign w:val="center"/>
            <w:hideMark/>
          </w:tcPr>
          <w:p w14:paraId="54F464D5" w14:textId="77777777" w:rsidR="004D14E5" w:rsidRPr="00D27BFA" w:rsidRDefault="004D14E5">
            <w:pPr>
              <w:rPr>
                <w:rFonts w:ascii="Arial Narrow" w:hAnsi="Arial Narrow"/>
                <w:sz w:val="20"/>
                <w:szCs w:val="20"/>
              </w:rPr>
            </w:pPr>
            <w:r w:rsidRPr="00D27BFA">
              <w:rPr>
                <w:rFonts w:ascii="Arial Narrow" w:hAnsi="Arial Narrow"/>
                <w:b/>
                <w:bCs/>
                <w:sz w:val="20"/>
                <w:szCs w:val="20"/>
              </w:rPr>
              <w:t>AND</w:t>
            </w:r>
          </w:p>
        </w:tc>
      </w:tr>
      <w:tr w:rsidR="004D14E5" w:rsidRPr="00D27BFA" w14:paraId="2944E15D" w14:textId="77777777" w:rsidTr="004D14E5">
        <w:tblPrEx>
          <w:tblCellMar>
            <w:top w:w="15" w:type="dxa"/>
            <w:bottom w:w="15" w:type="dxa"/>
          </w:tblCellMar>
          <w:tblLook w:val="04A0" w:firstRow="1" w:lastRow="0" w:firstColumn="1" w:lastColumn="0" w:noHBand="0" w:noVBand="1"/>
        </w:tblPrEx>
        <w:trPr>
          <w:cantSplit/>
          <w:trHeight w:val="20"/>
        </w:trPr>
        <w:tc>
          <w:tcPr>
            <w:tcW w:w="9067" w:type="dxa"/>
            <w:gridSpan w:val="5"/>
            <w:vAlign w:val="center"/>
            <w:hideMark/>
          </w:tcPr>
          <w:p w14:paraId="48420EF6" w14:textId="77777777" w:rsidR="004D14E5" w:rsidRPr="00D27BFA" w:rsidRDefault="004D14E5">
            <w:pPr>
              <w:rPr>
                <w:rFonts w:ascii="Arial Narrow" w:hAnsi="Arial Narrow"/>
                <w:sz w:val="20"/>
                <w:szCs w:val="20"/>
              </w:rPr>
            </w:pPr>
            <w:r w:rsidRPr="00D27BFA">
              <w:rPr>
                <w:rFonts w:ascii="Arial Narrow" w:hAnsi="Arial Narrow"/>
                <w:b/>
                <w:bCs/>
                <w:sz w:val="20"/>
                <w:szCs w:val="20"/>
              </w:rPr>
              <w:t>Clinical criteria:</w:t>
            </w:r>
          </w:p>
        </w:tc>
      </w:tr>
      <w:tr w:rsidR="004D14E5" w:rsidRPr="00D27BFA" w14:paraId="7AB5EC2D" w14:textId="77777777" w:rsidTr="004D14E5">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0BE21114" w14:textId="77777777" w:rsidR="004D14E5" w:rsidRPr="00D27BFA" w:rsidRDefault="004D14E5">
            <w:pPr>
              <w:rPr>
                <w:rFonts w:ascii="Arial Narrow" w:hAnsi="Arial Narrow"/>
                <w:sz w:val="20"/>
                <w:szCs w:val="20"/>
              </w:rPr>
            </w:pPr>
            <w:r w:rsidRPr="00D27BFA">
              <w:rPr>
                <w:rFonts w:ascii="Arial Narrow" w:hAnsi="Arial Narrow"/>
                <w:sz w:val="20"/>
                <w:szCs w:val="20"/>
              </w:rPr>
              <w:t>The treatment must be the sole PBS-subsidised therapy for this condition.</w:t>
            </w:r>
          </w:p>
        </w:tc>
      </w:tr>
      <w:tr w:rsidR="004D14E5" w:rsidRPr="00D27BFA" w14:paraId="6EE11211" w14:textId="77777777" w:rsidTr="004D14E5">
        <w:tblPrEx>
          <w:tblCellMar>
            <w:top w:w="15" w:type="dxa"/>
            <w:bottom w:w="15" w:type="dxa"/>
          </w:tblCellMar>
          <w:tblLook w:val="04A0" w:firstRow="1" w:lastRow="0" w:firstColumn="1" w:lastColumn="0" w:noHBand="0" w:noVBand="1"/>
        </w:tblPrEx>
        <w:trPr>
          <w:cantSplit/>
          <w:trHeight w:val="20"/>
        </w:trPr>
        <w:tc>
          <w:tcPr>
            <w:tcW w:w="9067" w:type="dxa"/>
            <w:gridSpan w:val="5"/>
            <w:vAlign w:val="center"/>
            <w:hideMark/>
          </w:tcPr>
          <w:p w14:paraId="1B3B28E8" w14:textId="77777777" w:rsidR="004D14E5" w:rsidRPr="00D27BFA" w:rsidRDefault="004D14E5">
            <w:pPr>
              <w:rPr>
                <w:rFonts w:ascii="Arial Narrow" w:hAnsi="Arial Narrow"/>
                <w:b/>
                <w:bCs/>
                <w:sz w:val="20"/>
                <w:szCs w:val="20"/>
              </w:rPr>
            </w:pPr>
            <w:r w:rsidRPr="00D27BFA">
              <w:rPr>
                <w:rFonts w:ascii="Arial Narrow" w:hAnsi="Arial Narrow"/>
                <w:b/>
                <w:bCs/>
                <w:sz w:val="20"/>
                <w:szCs w:val="20"/>
              </w:rPr>
              <w:t xml:space="preserve">Prescribing Instructions: </w:t>
            </w:r>
          </w:p>
          <w:p w14:paraId="479D0BF8" w14:textId="77777777" w:rsidR="004D14E5" w:rsidRPr="00D27BFA" w:rsidRDefault="004D14E5">
            <w:pPr>
              <w:rPr>
                <w:rFonts w:ascii="Arial Narrow" w:hAnsi="Arial Narrow"/>
                <w:sz w:val="20"/>
                <w:szCs w:val="20"/>
              </w:rPr>
            </w:pPr>
            <w:r w:rsidRPr="00D27BFA">
              <w:rPr>
                <w:rFonts w:ascii="Arial Narrow" w:hAnsi="Arial Narrow"/>
                <w:sz w:val="20"/>
                <w:szCs w:val="20"/>
              </w:rPr>
              <w:t>This drug is not PBS-subsidised if it is administered to an in-patient in a public hospital setting</w:t>
            </w:r>
          </w:p>
        </w:tc>
      </w:tr>
      <w:tr w:rsidR="004D14E5" w:rsidRPr="00D27BFA" w14:paraId="6AB920C9" w14:textId="77777777" w:rsidTr="004D14E5">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628ADB70" w14:textId="77777777" w:rsidR="004D14E5" w:rsidRDefault="004D14E5">
            <w:pPr>
              <w:rPr>
                <w:rFonts w:ascii="Arial Narrow" w:hAnsi="Arial Narrow"/>
                <w:b/>
                <w:bCs/>
                <w:i/>
                <w:iCs/>
                <w:sz w:val="20"/>
                <w:szCs w:val="20"/>
              </w:rPr>
            </w:pPr>
            <w:r w:rsidRPr="00C91CE2">
              <w:rPr>
                <w:rFonts w:ascii="Arial Narrow" w:hAnsi="Arial Narrow"/>
                <w:b/>
                <w:bCs/>
                <w:i/>
                <w:iCs/>
                <w:sz w:val="20"/>
                <w:szCs w:val="20"/>
              </w:rPr>
              <w:t xml:space="preserve">Prescribing Instructions: </w:t>
            </w:r>
          </w:p>
          <w:p w14:paraId="04114B3B" w14:textId="77777777" w:rsidR="004D14E5" w:rsidRPr="00C91CE2" w:rsidRDefault="004D14E5">
            <w:pPr>
              <w:rPr>
                <w:rFonts w:ascii="Arial Narrow" w:hAnsi="Arial Narrow"/>
                <w:strike/>
                <w:sz w:val="20"/>
                <w:szCs w:val="20"/>
                <w:u w:val="single"/>
              </w:rPr>
            </w:pPr>
            <w:r w:rsidRPr="00C91CE2">
              <w:rPr>
                <w:rFonts w:ascii="Arial Narrow" w:hAnsi="Arial Narrow"/>
                <w:strike/>
                <w:sz w:val="20"/>
                <w:szCs w:val="20"/>
                <w:u w:val="single"/>
              </w:rPr>
              <w:t>Based on current PI:</w:t>
            </w:r>
          </w:p>
          <w:p w14:paraId="267FCD5C" w14:textId="77777777" w:rsidR="004D14E5" w:rsidRPr="00D27BFA" w:rsidRDefault="004D14E5">
            <w:pPr>
              <w:rPr>
                <w:rFonts w:ascii="Arial Narrow" w:hAnsi="Arial Narrow"/>
                <w:sz w:val="20"/>
                <w:szCs w:val="20"/>
              </w:rPr>
            </w:pPr>
            <w:r w:rsidRPr="00D27BFA">
              <w:rPr>
                <w:rFonts w:ascii="Arial Narrow" w:hAnsi="Arial Narrow"/>
                <w:sz w:val="20"/>
                <w:szCs w:val="20"/>
              </w:rPr>
              <w:t>According to the Therapeutic Goods Administration (TGA)-approved Product Information (PI), hospitalisation is recommended for at least 16 hours after (and during) the first infusion (on Day 1). </w:t>
            </w:r>
          </w:p>
          <w:p w14:paraId="0FF5FB5F" w14:textId="77777777" w:rsidR="004D14E5" w:rsidRPr="00360F03" w:rsidRDefault="004D14E5">
            <w:pPr>
              <w:rPr>
                <w:rFonts w:cs="Aptos"/>
                <w:sz w:val="18"/>
                <w:szCs w:val="18"/>
              </w:rPr>
            </w:pPr>
            <w:r w:rsidRPr="00D27BFA">
              <w:rPr>
                <w:rFonts w:ascii="Arial Narrow" w:hAnsi="Arial Narrow"/>
                <w:sz w:val="20"/>
                <w:szCs w:val="20"/>
              </w:rPr>
              <w:t>Patients should remain within 1-hour of an appropriate healthcare setting and be accompanied by a caregiver for at least 24 hours after the first two doses (on Days 1 and 8). Subsequent doses may be monitored at the discretion of the treating clinician.</w:t>
            </w:r>
            <w:r w:rsidRPr="00D27BFA">
              <w:rPr>
                <w:rFonts w:cs="Aptos"/>
                <w:sz w:val="18"/>
                <w:szCs w:val="18"/>
              </w:rPr>
              <w:t> </w:t>
            </w:r>
          </w:p>
        </w:tc>
      </w:tr>
      <w:tr w:rsidR="004D14E5" w:rsidRPr="00D27BFA" w14:paraId="48ADC10E" w14:textId="77777777" w:rsidTr="004D14E5">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336B97E5" w14:textId="77777777" w:rsidR="004D14E5" w:rsidRPr="00C91CE2" w:rsidRDefault="004D14E5">
            <w:pPr>
              <w:rPr>
                <w:rFonts w:ascii="Arial Narrow" w:hAnsi="Arial Narrow"/>
                <w:b/>
                <w:bCs/>
                <w:strike/>
                <w:sz w:val="20"/>
                <w:szCs w:val="20"/>
              </w:rPr>
            </w:pPr>
            <w:r w:rsidRPr="00C91CE2">
              <w:rPr>
                <w:rFonts w:ascii="Arial Narrow" w:hAnsi="Arial Narrow"/>
                <w:b/>
                <w:bCs/>
                <w:strike/>
                <w:sz w:val="20"/>
                <w:szCs w:val="20"/>
              </w:rPr>
              <w:t xml:space="preserve">Prescribing Instructions: </w:t>
            </w:r>
          </w:p>
          <w:p w14:paraId="41AF0368" w14:textId="77777777" w:rsidR="004D14E5" w:rsidRPr="00C91CE2" w:rsidRDefault="004D14E5">
            <w:pPr>
              <w:rPr>
                <w:rFonts w:ascii="Arial Narrow" w:hAnsi="Arial Narrow"/>
                <w:strike/>
                <w:sz w:val="20"/>
                <w:szCs w:val="20"/>
                <w:u w:val="single"/>
              </w:rPr>
            </w:pPr>
            <w:r w:rsidRPr="00C91CE2">
              <w:rPr>
                <w:rFonts w:ascii="Arial Narrow" w:hAnsi="Arial Narrow"/>
                <w:strike/>
                <w:sz w:val="20"/>
                <w:szCs w:val="20"/>
                <w:u w:val="single"/>
              </w:rPr>
              <w:t>Alternative based on proposed PI:</w:t>
            </w:r>
          </w:p>
          <w:p w14:paraId="7222971A" w14:textId="78AA447F" w:rsidR="004D14E5" w:rsidRPr="00C91CE2" w:rsidRDefault="004D14E5">
            <w:pPr>
              <w:rPr>
                <w:rFonts w:ascii="Arial Narrow" w:hAnsi="Arial Narrow"/>
                <w:strike/>
                <w:sz w:val="20"/>
                <w:szCs w:val="20"/>
              </w:rPr>
            </w:pPr>
            <w:r w:rsidRPr="00C91CE2">
              <w:rPr>
                <w:rFonts w:ascii="Arial Narrow" w:hAnsi="Arial Narrow"/>
                <w:strike/>
                <w:sz w:val="20"/>
                <w:szCs w:val="20"/>
              </w:rPr>
              <w:t>Monitor patients from the start of the infusion for 1 to 2 hours on Day 1 in an appropriate health care setting</w:t>
            </w:r>
            <w:r w:rsidR="003D0BC2">
              <w:rPr>
                <w:rFonts w:ascii="Arial Narrow" w:hAnsi="Arial Narrow"/>
                <w:strike/>
                <w:sz w:val="20"/>
                <w:szCs w:val="20"/>
              </w:rPr>
              <w:t xml:space="preserve"> </w:t>
            </w:r>
          </w:p>
          <w:p w14:paraId="340BB6FC" w14:textId="77777777" w:rsidR="004D14E5" w:rsidRPr="00C91CE2" w:rsidRDefault="004D14E5">
            <w:pPr>
              <w:rPr>
                <w:rFonts w:ascii="Arial Narrow" w:hAnsi="Arial Narrow"/>
                <w:strike/>
                <w:sz w:val="20"/>
                <w:szCs w:val="20"/>
              </w:rPr>
            </w:pPr>
            <w:r w:rsidRPr="00C91CE2">
              <w:rPr>
                <w:rFonts w:ascii="Arial Narrow" w:hAnsi="Arial Narrow"/>
                <w:strike/>
                <w:sz w:val="20"/>
                <w:szCs w:val="20"/>
              </w:rPr>
              <w:t>On Day 8 and subsequent infusions monitor patients at the discretion of the healthcare professional.</w:t>
            </w:r>
          </w:p>
          <w:p w14:paraId="4077A2CF" w14:textId="77777777" w:rsidR="004D14E5" w:rsidRPr="00C91CE2" w:rsidRDefault="004D14E5">
            <w:pPr>
              <w:rPr>
                <w:rFonts w:ascii="Arial Narrow" w:hAnsi="Arial Narrow"/>
                <w:b/>
                <w:bCs/>
                <w:strike/>
                <w:sz w:val="20"/>
                <w:szCs w:val="20"/>
              </w:rPr>
            </w:pPr>
            <w:r w:rsidRPr="00C91CE2">
              <w:rPr>
                <w:rFonts w:ascii="Arial Narrow" w:hAnsi="Arial Narrow"/>
                <w:strike/>
                <w:sz w:val="20"/>
                <w:szCs w:val="20"/>
              </w:rPr>
              <w:t>Recommend that patients remain within 1-hour proximity of an appropriate healthcare setting for at least 24 hours from the start of infusion following Day 1 and Day 8 doses, accompanied by a caregiver.</w:t>
            </w:r>
          </w:p>
        </w:tc>
      </w:tr>
    </w:tbl>
    <w:p w14:paraId="28BB4110" w14:textId="77777777" w:rsidR="007E444C" w:rsidRPr="00985D6F" w:rsidRDefault="007E444C" w:rsidP="00985D6F">
      <w:pPr>
        <w:pStyle w:val="COMESnumberedpara"/>
        <w:numPr>
          <w:ilvl w:val="0"/>
          <w:numId w:val="0"/>
        </w:numPr>
        <w:rPr>
          <w:b/>
          <w:bCs/>
        </w:rPr>
      </w:pPr>
    </w:p>
    <w:p w14:paraId="1908787F" w14:textId="14377A78" w:rsidR="002E7962" w:rsidRPr="00985D6F" w:rsidRDefault="00985D6F" w:rsidP="002E7962">
      <w:pPr>
        <w:pStyle w:val="COMESnumberedpara"/>
        <w:numPr>
          <w:ilvl w:val="0"/>
          <w:numId w:val="0"/>
        </w:numPr>
        <w:rPr>
          <w:b/>
          <w:bCs/>
        </w:rPr>
      </w:pPr>
      <w:r>
        <w:rPr>
          <w:b/>
          <w:bCs/>
        </w:rPr>
        <w:t>Continuing</w:t>
      </w:r>
      <w:r w:rsidR="00A16683">
        <w:rPr>
          <w:b/>
          <w:bCs/>
        </w:rPr>
        <w:t xml:space="preserve"> and grandfather </w:t>
      </w:r>
      <w:r w:rsidRPr="00985D6F">
        <w:rPr>
          <w:b/>
          <w:bCs/>
        </w:rPr>
        <w:t>treatment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Continuing and grandfather treatment"/>
      </w:tblPr>
      <w:tblGrid>
        <w:gridCol w:w="2405"/>
        <w:gridCol w:w="1579"/>
        <w:gridCol w:w="1579"/>
        <w:gridCol w:w="1623"/>
        <w:gridCol w:w="1881"/>
      </w:tblGrid>
      <w:tr w:rsidR="009D16F1" w:rsidRPr="00D27BFA" w14:paraId="1F2741FE" w14:textId="77777777" w:rsidTr="0033637F">
        <w:trPr>
          <w:cantSplit/>
          <w:trHeight w:val="20"/>
        </w:trPr>
        <w:tc>
          <w:tcPr>
            <w:tcW w:w="2405" w:type="dxa"/>
            <w:vAlign w:val="center"/>
          </w:tcPr>
          <w:p w14:paraId="15031B07" w14:textId="77777777" w:rsidR="009D16F1" w:rsidRPr="00D27BFA" w:rsidRDefault="009D16F1">
            <w:pPr>
              <w:keepLines/>
              <w:rPr>
                <w:rFonts w:ascii="Arial Narrow" w:hAnsi="Arial Narrow"/>
                <w:b/>
                <w:bCs/>
                <w:sz w:val="20"/>
                <w:szCs w:val="20"/>
              </w:rPr>
            </w:pPr>
            <w:r w:rsidRPr="00D27BFA">
              <w:rPr>
                <w:rFonts w:ascii="Arial Narrow" w:hAnsi="Arial Narrow"/>
                <w:b/>
                <w:bCs/>
                <w:sz w:val="20"/>
                <w:szCs w:val="20"/>
              </w:rPr>
              <w:t>MEDICINAL PRODUCT</w:t>
            </w:r>
          </w:p>
          <w:p w14:paraId="3330885A" w14:textId="77777777" w:rsidR="009D16F1" w:rsidRPr="00D27BFA" w:rsidRDefault="009D16F1">
            <w:pPr>
              <w:keepLines/>
              <w:rPr>
                <w:rFonts w:ascii="Arial Narrow" w:hAnsi="Arial Narrow"/>
                <w:b/>
                <w:bCs/>
                <w:sz w:val="20"/>
                <w:szCs w:val="20"/>
              </w:rPr>
            </w:pPr>
            <w:r w:rsidRPr="00D27BFA">
              <w:rPr>
                <w:rFonts w:ascii="Arial Narrow" w:hAnsi="Arial Narrow"/>
                <w:b/>
                <w:bCs/>
                <w:sz w:val="20"/>
                <w:szCs w:val="20"/>
              </w:rPr>
              <w:t>Form</w:t>
            </w:r>
          </w:p>
        </w:tc>
        <w:tc>
          <w:tcPr>
            <w:tcW w:w="1579" w:type="dxa"/>
            <w:vAlign w:val="center"/>
          </w:tcPr>
          <w:p w14:paraId="0A809730" w14:textId="77777777" w:rsidR="009D16F1" w:rsidRPr="00D27BFA" w:rsidRDefault="009D16F1">
            <w:pPr>
              <w:keepLines/>
              <w:jc w:val="center"/>
              <w:rPr>
                <w:rFonts w:ascii="Arial Narrow" w:hAnsi="Arial Narrow"/>
                <w:b/>
                <w:sz w:val="20"/>
                <w:szCs w:val="20"/>
              </w:rPr>
            </w:pPr>
            <w:r w:rsidRPr="00D27BFA">
              <w:rPr>
                <w:rFonts w:ascii="Arial Narrow" w:hAnsi="Arial Narrow"/>
                <w:b/>
                <w:sz w:val="20"/>
                <w:szCs w:val="20"/>
              </w:rPr>
              <w:t>PBS item code</w:t>
            </w:r>
          </w:p>
        </w:tc>
        <w:tc>
          <w:tcPr>
            <w:tcW w:w="1579" w:type="dxa"/>
            <w:vAlign w:val="center"/>
          </w:tcPr>
          <w:p w14:paraId="57CBB888" w14:textId="6162FE27" w:rsidR="009D16F1" w:rsidRPr="00D27BFA" w:rsidRDefault="009D16F1">
            <w:pPr>
              <w:keepLines/>
              <w:jc w:val="center"/>
              <w:rPr>
                <w:rFonts w:ascii="Arial Narrow" w:hAnsi="Arial Narrow"/>
                <w:b/>
                <w:sz w:val="20"/>
                <w:szCs w:val="20"/>
              </w:rPr>
            </w:pPr>
            <w:r w:rsidRPr="00393FA8">
              <w:rPr>
                <w:rFonts w:ascii="Arial Narrow" w:hAnsi="Arial Narrow"/>
                <w:b/>
                <w:sz w:val="20"/>
                <w:szCs w:val="20"/>
              </w:rPr>
              <w:t>Dispensed Price Max Amt</w:t>
            </w:r>
          </w:p>
        </w:tc>
        <w:tc>
          <w:tcPr>
            <w:tcW w:w="1623" w:type="dxa"/>
            <w:vAlign w:val="center"/>
          </w:tcPr>
          <w:p w14:paraId="3D730CA7" w14:textId="77777777" w:rsidR="009D16F1" w:rsidRPr="00D27BFA" w:rsidRDefault="009D16F1">
            <w:pPr>
              <w:keepLines/>
              <w:jc w:val="center"/>
              <w:rPr>
                <w:rFonts w:ascii="Arial Narrow" w:hAnsi="Arial Narrow"/>
                <w:b/>
                <w:sz w:val="20"/>
                <w:szCs w:val="20"/>
              </w:rPr>
            </w:pPr>
            <w:r w:rsidRPr="00D27BFA">
              <w:rPr>
                <w:rFonts w:ascii="Arial Narrow" w:hAnsi="Arial Narrow"/>
                <w:b/>
                <w:sz w:val="20"/>
                <w:szCs w:val="20"/>
              </w:rPr>
              <w:t>Max. Amount</w:t>
            </w:r>
          </w:p>
          <w:p w14:paraId="01B934F2" w14:textId="77777777" w:rsidR="009D16F1" w:rsidRPr="00D27BFA" w:rsidRDefault="009D16F1">
            <w:pPr>
              <w:keepLines/>
              <w:jc w:val="center"/>
              <w:rPr>
                <w:rFonts w:ascii="Arial Narrow" w:hAnsi="Arial Narrow"/>
                <w:b/>
                <w:sz w:val="20"/>
                <w:szCs w:val="20"/>
              </w:rPr>
            </w:pPr>
          </w:p>
        </w:tc>
        <w:tc>
          <w:tcPr>
            <w:tcW w:w="1881" w:type="dxa"/>
            <w:vAlign w:val="center"/>
          </w:tcPr>
          <w:p w14:paraId="3930C5F6" w14:textId="77777777" w:rsidR="009D16F1" w:rsidRPr="00D27BFA" w:rsidRDefault="009D16F1">
            <w:pPr>
              <w:keepLines/>
              <w:jc w:val="center"/>
              <w:rPr>
                <w:rFonts w:ascii="Arial Narrow" w:hAnsi="Arial Narrow"/>
                <w:b/>
                <w:sz w:val="20"/>
                <w:szCs w:val="20"/>
              </w:rPr>
            </w:pPr>
            <w:r w:rsidRPr="00D27BFA">
              <w:rPr>
                <w:rFonts w:ascii="Arial Narrow" w:hAnsi="Arial Narrow"/>
                <w:b/>
                <w:sz w:val="20"/>
                <w:szCs w:val="20"/>
              </w:rPr>
              <w:t>№.of Rpts</w:t>
            </w:r>
          </w:p>
        </w:tc>
      </w:tr>
      <w:tr w:rsidR="009D16F1" w:rsidRPr="00D27BFA" w14:paraId="4DC6C3EE" w14:textId="77777777" w:rsidTr="0033637F">
        <w:trPr>
          <w:cantSplit/>
          <w:trHeight w:val="20"/>
        </w:trPr>
        <w:tc>
          <w:tcPr>
            <w:tcW w:w="2405" w:type="dxa"/>
            <w:vAlign w:val="center"/>
          </w:tcPr>
          <w:p w14:paraId="401B6CAA" w14:textId="77777777" w:rsidR="009D16F1" w:rsidRPr="00D27BFA" w:rsidRDefault="009D16F1">
            <w:pPr>
              <w:keepLines/>
              <w:rPr>
                <w:rFonts w:ascii="Arial Narrow" w:hAnsi="Arial Narrow"/>
                <w:sz w:val="20"/>
                <w:szCs w:val="20"/>
              </w:rPr>
            </w:pPr>
            <w:r w:rsidRPr="00D27BFA">
              <w:rPr>
                <w:rFonts w:ascii="Arial Narrow" w:hAnsi="Arial Narrow"/>
                <w:sz w:val="20"/>
                <w:szCs w:val="20"/>
              </w:rPr>
              <w:t>TARLATAMAB</w:t>
            </w:r>
          </w:p>
          <w:p w14:paraId="772482DB" w14:textId="77777777" w:rsidR="009D16F1" w:rsidRPr="00D27BFA" w:rsidRDefault="009D16F1">
            <w:pPr>
              <w:keepLines/>
              <w:rPr>
                <w:rFonts w:ascii="Arial Narrow" w:hAnsi="Arial Narrow"/>
                <w:b/>
                <w:bCs/>
                <w:sz w:val="20"/>
                <w:szCs w:val="20"/>
              </w:rPr>
            </w:pPr>
            <w:r w:rsidRPr="00D27BFA">
              <w:rPr>
                <w:rFonts w:ascii="Arial Narrow" w:hAnsi="Arial Narrow"/>
                <w:sz w:val="20"/>
                <w:szCs w:val="20"/>
              </w:rPr>
              <w:t>Injection</w:t>
            </w:r>
          </w:p>
        </w:tc>
        <w:tc>
          <w:tcPr>
            <w:tcW w:w="1579" w:type="dxa"/>
            <w:vAlign w:val="center"/>
          </w:tcPr>
          <w:p w14:paraId="7F609AF5" w14:textId="77777777" w:rsidR="009D16F1" w:rsidRDefault="009D16F1">
            <w:pPr>
              <w:keepLines/>
              <w:jc w:val="center"/>
              <w:rPr>
                <w:rFonts w:ascii="Arial Narrow" w:hAnsi="Arial Narrow"/>
                <w:bCs/>
                <w:sz w:val="20"/>
                <w:szCs w:val="20"/>
              </w:rPr>
            </w:pPr>
            <w:r w:rsidRPr="00D27BFA">
              <w:rPr>
                <w:rFonts w:ascii="Arial Narrow" w:hAnsi="Arial Narrow"/>
                <w:bCs/>
                <w:sz w:val="20"/>
                <w:szCs w:val="20"/>
              </w:rPr>
              <w:t>NEW (Public)</w:t>
            </w:r>
          </w:p>
          <w:p w14:paraId="1C9DE427" w14:textId="3825B0DA" w:rsidR="009D16F1" w:rsidRPr="00D27BFA" w:rsidRDefault="009D16F1">
            <w:pPr>
              <w:keepLines/>
              <w:jc w:val="center"/>
              <w:rPr>
                <w:rFonts w:ascii="Arial Narrow" w:hAnsi="Arial Narrow"/>
                <w:bCs/>
                <w:sz w:val="20"/>
                <w:szCs w:val="20"/>
              </w:rPr>
            </w:pPr>
            <w:r w:rsidRPr="00D27BFA">
              <w:rPr>
                <w:rFonts w:ascii="Arial Narrow" w:hAnsi="Arial Narrow"/>
                <w:bCs/>
                <w:sz w:val="20"/>
                <w:szCs w:val="20"/>
              </w:rPr>
              <w:t>NEW (Private)</w:t>
            </w:r>
          </w:p>
        </w:tc>
        <w:tc>
          <w:tcPr>
            <w:tcW w:w="1579" w:type="dxa"/>
            <w:vAlign w:val="center"/>
          </w:tcPr>
          <w:p w14:paraId="4DED9535" w14:textId="77777777" w:rsidR="009D16F1" w:rsidRPr="009D16F1" w:rsidRDefault="009D16F1" w:rsidP="009D16F1">
            <w:pPr>
              <w:keepLines/>
              <w:jc w:val="center"/>
              <w:rPr>
                <w:rFonts w:ascii="Arial Narrow" w:hAnsi="Arial Narrow"/>
                <w:bCs/>
                <w:sz w:val="20"/>
                <w:szCs w:val="20"/>
              </w:rPr>
            </w:pPr>
            <w:r w:rsidRPr="009D16F1">
              <w:rPr>
                <w:rFonts w:ascii="Arial Narrow" w:hAnsi="Arial Narrow"/>
                <w:bCs/>
                <w:sz w:val="20"/>
                <w:szCs w:val="20"/>
              </w:rPr>
              <w:t>Public hospital</w:t>
            </w:r>
          </w:p>
          <w:p w14:paraId="2E81EE44" w14:textId="4E58187C" w:rsidR="009D16F1" w:rsidRPr="009D16F1" w:rsidRDefault="009D16F1" w:rsidP="009D16F1">
            <w:pPr>
              <w:keepLines/>
              <w:jc w:val="center"/>
              <w:rPr>
                <w:rFonts w:ascii="Arial Narrow" w:hAnsi="Arial Narrow"/>
                <w:bCs/>
                <w:sz w:val="20"/>
                <w:szCs w:val="20"/>
              </w:rPr>
            </w:pPr>
            <w:r w:rsidRPr="009D16F1">
              <w:rPr>
                <w:rFonts w:ascii="Arial Narrow" w:hAnsi="Arial Narrow"/>
                <w:bCs/>
                <w:sz w:val="20"/>
                <w:szCs w:val="20"/>
              </w:rPr>
              <w:t>$</w:t>
            </w:r>
            <w:r w:rsidR="003D0BC2" w:rsidRPr="003D0BC2">
              <w:rPr>
                <w:rFonts w:ascii="Arial Narrow" w:hAnsi="Arial Narrow"/>
                <w:bCs/>
                <w:sz w:val="2"/>
                <w:szCs w:val="20"/>
                <w:highlight w:val="black"/>
              </w:rPr>
              <w:t>redacted content</w:t>
            </w:r>
          </w:p>
          <w:p w14:paraId="499E82A4" w14:textId="77777777" w:rsidR="009D16F1" w:rsidRPr="009D16F1" w:rsidRDefault="009D16F1" w:rsidP="009D16F1">
            <w:pPr>
              <w:keepLines/>
              <w:jc w:val="center"/>
              <w:rPr>
                <w:rFonts w:ascii="Arial Narrow" w:hAnsi="Arial Narrow"/>
                <w:bCs/>
                <w:sz w:val="20"/>
                <w:szCs w:val="20"/>
              </w:rPr>
            </w:pPr>
            <w:r w:rsidRPr="009D16F1">
              <w:rPr>
                <w:rFonts w:ascii="Arial Narrow" w:hAnsi="Arial Narrow"/>
                <w:bCs/>
                <w:sz w:val="20"/>
                <w:szCs w:val="20"/>
              </w:rPr>
              <w:t>Private hospital</w:t>
            </w:r>
          </w:p>
          <w:p w14:paraId="10814F1F" w14:textId="145DA950" w:rsidR="009D16F1" w:rsidRPr="009D16F1" w:rsidRDefault="009D16F1" w:rsidP="009D16F1">
            <w:pPr>
              <w:keepLines/>
              <w:jc w:val="center"/>
              <w:rPr>
                <w:rFonts w:ascii="Arial Narrow" w:hAnsi="Arial Narrow"/>
                <w:bCs/>
                <w:sz w:val="20"/>
                <w:szCs w:val="20"/>
              </w:rPr>
            </w:pPr>
            <w:r w:rsidRPr="009D16F1">
              <w:rPr>
                <w:rFonts w:ascii="Arial Narrow" w:hAnsi="Arial Narrow"/>
                <w:bCs/>
                <w:sz w:val="20"/>
                <w:szCs w:val="20"/>
              </w:rPr>
              <w:t>$</w:t>
            </w:r>
            <w:r w:rsidR="003D0BC2" w:rsidRPr="003D0BC2">
              <w:rPr>
                <w:rFonts w:ascii="Arial Narrow" w:hAnsi="Arial Narrow"/>
                <w:bCs/>
                <w:sz w:val="2"/>
                <w:szCs w:val="20"/>
                <w:highlight w:val="black"/>
              </w:rPr>
              <w:t>redacted content</w:t>
            </w:r>
          </w:p>
        </w:tc>
        <w:tc>
          <w:tcPr>
            <w:tcW w:w="1623" w:type="dxa"/>
            <w:vAlign w:val="center"/>
          </w:tcPr>
          <w:p w14:paraId="4BC514E1" w14:textId="77777777" w:rsidR="009D16F1" w:rsidRPr="00D27BFA" w:rsidRDefault="009D16F1">
            <w:pPr>
              <w:keepLines/>
              <w:jc w:val="center"/>
              <w:rPr>
                <w:rFonts w:ascii="Arial Narrow" w:hAnsi="Arial Narrow"/>
                <w:bCs/>
                <w:i/>
                <w:iCs/>
                <w:sz w:val="20"/>
                <w:szCs w:val="20"/>
              </w:rPr>
            </w:pPr>
            <w:r w:rsidRPr="00D27BFA">
              <w:rPr>
                <w:rFonts w:ascii="Arial Narrow" w:hAnsi="Arial Narrow"/>
                <w:bCs/>
                <w:sz w:val="20"/>
                <w:szCs w:val="20"/>
              </w:rPr>
              <w:t>1</w:t>
            </w:r>
            <w:r w:rsidRPr="00A90024">
              <w:rPr>
                <w:rFonts w:ascii="Arial Narrow" w:hAnsi="Arial Narrow"/>
                <w:bCs/>
                <w:sz w:val="20"/>
                <w:szCs w:val="20"/>
              </w:rPr>
              <w:t>0 mg</w:t>
            </w:r>
          </w:p>
        </w:tc>
        <w:tc>
          <w:tcPr>
            <w:tcW w:w="1881" w:type="dxa"/>
            <w:vAlign w:val="center"/>
          </w:tcPr>
          <w:p w14:paraId="62BED38D" w14:textId="77777777" w:rsidR="009D16F1" w:rsidRPr="00D27BFA" w:rsidRDefault="009D16F1">
            <w:pPr>
              <w:keepLines/>
              <w:jc w:val="center"/>
              <w:rPr>
                <w:rFonts w:ascii="Arial Narrow" w:hAnsi="Arial Narrow"/>
                <w:bCs/>
                <w:sz w:val="20"/>
                <w:szCs w:val="20"/>
              </w:rPr>
            </w:pPr>
            <w:r w:rsidRPr="00D27BFA">
              <w:rPr>
                <w:rFonts w:ascii="Arial Narrow" w:hAnsi="Arial Narrow"/>
                <w:bCs/>
                <w:sz w:val="20"/>
                <w:szCs w:val="20"/>
              </w:rPr>
              <w:t>6</w:t>
            </w:r>
          </w:p>
        </w:tc>
      </w:tr>
      <w:tr w:rsidR="00985D6F" w:rsidRPr="00D27BFA" w14:paraId="7AB29203" w14:textId="77777777" w:rsidTr="0033637F">
        <w:trPr>
          <w:cantSplit/>
          <w:trHeight w:val="20"/>
        </w:trPr>
        <w:tc>
          <w:tcPr>
            <w:tcW w:w="9067" w:type="dxa"/>
            <w:gridSpan w:val="5"/>
            <w:vAlign w:val="center"/>
          </w:tcPr>
          <w:p w14:paraId="5D575707" w14:textId="77777777" w:rsidR="00985D6F" w:rsidRPr="00D27BFA" w:rsidRDefault="00985D6F">
            <w:pPr>
              <w:keepLines/>
              <w:rPr>
                <w:rFonts w:ascii="Arial Narrow" w:hAnsi="Arial Narrow"/>
                <w:b/>
                <w:bCs/>
                <w:sz w:val="20"/>
                <w:szCs w:val="20"/>
              </w:rPr>
            </w:pPr>
            <w:r w:rsidRPr="00D27BFA">
              <w:rPr>
                <w:rFonts w:ascii="Arial Narrow" w:hAnsi="Arial Narrow"/>
                <w:b/>
                <w:bCs/>
                <w:sz w:val="20"/>
                <w:szCs w:val="20"/>
              </w:rPr>
              <w:t xml:space="preserve">Available brands </w:t>
            </w:r>
          </w:p>
        </w:tc>
      </w:tr>
      <w:tr w:rsidR="00985D6F" w:rsidRPr="00D27BFA" w14:paraId="48B1DF87" w14:textId="77777777" w:rsidTr="0033637F">
        <w:trPr>
          <w:cantSplit/>
          <w:trHeight w:val="20"/>
        </w:trPr>
        <w:tc>
          <w:tcPr>
            <w:tcW w:w="9067" w:type="dxa"/>
            <w:gridSpan w:val="5"/>
            <w:vAlign w:val="center"/>
          </w:tcPr>
          <w:p w14:paraId="2F988190" w14:textId="77777777" w:rsidR="00985D6F" w:rsidRPr="00A90024" w:rsidRDefault="00985D6F">
            <w:pPr>
              <w:keepNext/>
              <w:rPr>
                <w:rFonts w:ascii="Arial Narrow" w:hAnsi="Arial Narrow"/>
                <w:sz w:val="20"/>
                <w:szCs w:val="20"/>
              </w:rPr>
            </w:pPr>
            <w:r w:rsidRPr="00A90024">
              <w:rPr>
                <w:rFonts w:ascii="Arial Narrow" w:hAnsi="Arial Narrow"/>
                <w:sz w:val="20"/>
                <w:szCs w:val="20"/>
              </w:rPr>
              <w:t>Imdelltra</w:t>
            </w:r>
          </w:p>
          <w:p w14:paraId="08AF508D" w14:textId="77777777" w:rsidR="00985D6F" w:rsidRPr="00D27BFA" w:rsidRDefault="00985D6F">
            <w:pPr>
              <w:keepLines/>
              <w:rPr>
                <w:rFonts w:ascii="Arial Narrow" w:hAnsi="Arial Narrow"/>
                <w:b/>
                <w:bCs/>
                <w:sz w:val="20"/>
                <w:szCs w:val="20"/>
              </w:rPr>
            </w:pPr>
            <w:r w:rsidRPr="00A90024">
              <w:rPr>
                <w:rFonts w:ascii="Arial Narrow" w:hAnsi="Arial Narrow"/>
                <w:sz w:val="20"/>
                <w:szCs w:val="20"/>
              </w:rPr>
              <w:t>(Tarlatamab 1 mg injection, 1 vial)</w:t>
            </w:r>
          </w:p>
        </w:tc>
      </w:tr>
      <w:tr w:rsidR="00985D6F" w:rsidRPr="00D27BFA" w14:paraId="3C49ED1B" w14:textId="77777777" w:rsidTr="0033637F">
        <w:trPr>
          <w:cantSplit/>
          <w:trHeight w:val="20"/>
        </w:trPr>
        <w:tc>
          <w:tcPr>
            <w:tcW w:w="9067" w:type="dxa"/>
            <w:gridSpan w:val="5"/>
            <w:vAlign w:val="center"/>
          </w:tcPr>
          <w:p w14:paraId="6AD9219F" w14:textId="77777777" w:rsidR="00985D6F" w:rsidRPr="00D27BFA" w:rsidRDefault="00985D6F">
            <w:pPr>
              <w:keepNext/>
              <w:rPr>
                <w:rFonts w:ascii="Arial Narrow" w:hAnsi="Arial Narrow"/>
                <w:sz w:val="20"/>
                <w:szCs w:val="20"/>
              </w:rPr>
            </w:pPr>
            <w:r w:rsidRPr="00D27BFA">
              <w:rPr>
                <w:rFonts w:ascii="Arial Narrow" w:hAnsi="Arial Narrow"/>
                <w:sz w:val="20"/>
                <w:szCs w:val="20"/>
              </w:rPr>
              <w:t>Imdelltra</w:t>
            </w:r>
          </w:p>
          <w:p w14:paraId="26EBB9F7" w14:textId="77777777" w:rsidR="00985D6F" w:rsidRPr="00D27BFA" w:rsidRDefault="00985D6F">
            <w:pPr>
              <w:keepLines/>
              <w:rPr>
                <w:rFonts w:ascii="Arial Narrow" w:hAnsi="Arial Narrow"/>
                <w:sz w:val="20"/>
                <w:szCs w:val="20"/>
              </w:rPr>
            </w:pPr>
            <w:r w:rsidRPr="00D27BFA">
              <w:rPr>
                <w:rFonts w:ascii="Arial Narrow" w:hAnsi="Arial Narrow"/>
                <w:sz w:val="20"/>
                <w:szCs w:val="20"/>
              </w:rPr>
              <w:t>(Tarlatamab 10 mg injection, 1 vial)</w:t>
            </w:r>
          </w:p>
        </w:tc>
      </w:tr>
      <w:tr w:rsidR="00985D6F" w:rsidRPr="00D27BFA" w14:paraId="2F1A1A2D" w14:textId="77777777" w:rsidTr="0033637F">
        <w:tblPrEx>
          <w:tblCellMar>
            <w:top w:w="15" w:type="dxa"/>
            <w:bottom w:w="15" w:type="dxa"/>
          </w:tblCellMar>
          <w:tblLook w:val="04A0" w:firstRow="1" w:lastRow="0" w:firstColumn="1" w:lastColumn="0" w:noHBand="0" w:noVBand="1"/>
        </w:tblPrEx>
        <w:trPr>
          <w:trHeight w:val="20"/>
        </w:trPr>
        <w:tc>
          <w:tcPr>
            <w:tcW w:w="9067" w:type="dxa"/>
            <w:gridSpan w:val="5"/>
            <w:tcBorders>
              <w:top w:val="single" w:sz="4" w:space="0" w:color="auto"/>
              <w:left w:val="single" w:sz="4" w:space="0" w:color="auto"/>
              <w:right w:val="single" w:sz="4" w:space="0" w:color="auto"/>
            </w:tcBorders>
            <w:vAlign w:val="center"/>
          </w:tcPr>
          <w:p w14:paraId="7B19FD5F" w14:textId="77777777" w:rsidR="00985D6F" w:rsidRPr="00D27BFA" w:rsidRDefault="00985D6F">
            <w:pPr>
              <w:rPr>
                <w:rFonts w:ascii="Arial Narrow" w:hAnsi="Arial Narrow"/>
                <w:sz w:val="20"/>
                <w:szCs w:val="20"/>
              </w:rPr>
            </w:pPr>
          </w:p>
        </w:tc>
      </w:tr>
      <w:tr w:rsidR="0033637F" w:rsidRPr="00D27BFA" w14:paraId="5AC47B8D" w14:textId="77777777" w:rsidTr="0033637F">
        <w:tblPrEx>
          <w:tblCellMar>
            <w:top w:w="15" w:type="dxa"/>
            <w:bottom w:w="15" w:type="dxa"/>
          </w:tblCellMar>
          <w:tblLook w:val="04A0" w:firstRow="1" w:lastRow="0" w:firstColumn="1" w:lastColumn="0" w:noHBand="0" w:noVBand="1"/>
        </w:tblPrEx>
        <w:trPr>
          <w:trHeight w:val="20"/>
        </w:trPr>
        <w:tc>
          <w:tcPr>
            <w:tcW w:w="9067" w:type="dxa"/>
            <w:gridSpan w:val="5"/>
            <w:tcBorders>
              <w:top w:val="single" w:sz="4" w:space="0" w:color="auto"/>
              <w:left w:val="single" w:sz="4" w:space="0" w:color="auto"/>
              <w:bottom w:val="single" w:sz="4" w:space="0" w:color="auto"/>
              <w:right w:val="single" w:sz="4" w:space="0" w:color="auto"/>
            </w:tcBorders>
            <w:vAlign w:val="center"/>
          </w:tcPr>
          <w:p w14:paraId="4B5A1AD7" w14:textId="77777777" w:rsidR="0033637F" w:rsidRPr="00D27BFA" w:rsidRDefault="0033637F">
            <w:pPr>
              <w:keepLines/>
              <w:jc w:val="left"/>
              <w:rPr>
                <w:rFonts w:ascii="Arial Narrow" w:hAnsi="Arial Narrow"/>
                <w:sz w:val="20"/>
                <w:szCs w:val="20"/>
              </w:rPr>
            </w:pPr>
            <w:r w:rsidRPr="00D27BFA">
              <w:rPr>
                <w:rFonts w:ascii="Arial Narrow" w:hAnsi="Arial Narrow"/>
                <w:b/>
                <w:sz w:val="20"/>
                <w:szCs w:val="20"/>
              </w:rPr>
              <w:t>Category / Program:</w:t>
            </w:r>
            <w:r w:rsidRPr="00D27BFA">
              <w:rPr>
                <w:rFonts w:ascii="Arial Narrow" w:hAnsi="Arial Narrow"/>
                <w:sz w:val="20"/>
                <w:szCs w:val="20"/>
              </w:rPr>
              <w:t xml:space="preserve"> </w:t>
            </w:r>
            <w:r w:rsidRPr="00D27BFA">
              <w:rPr>
                <w:rFonts w:ascii="Arial Narrow" w:hAnsi="Arial Narrow"/>
                <w:sz w:val="20"/>
                <w:szCs w:val="20"/>
              </w:rPr>
              <w:fldChar w:fldCharType="begin">
                <w:ffData>
                  <w:name w:val=""/>
                  <w:enabled/>
                  <w:calcOnExit w:val="0"/>
                  <w:checkBox>
                    <w:sizeAuto/>
                    <w:default w:val="1"/>
                  </w:checkBox>
                </w:ffData>
              </w:fldChar>
            </w:r>
            <w:r w:rsidRPr="00D27BFA">
              <w:rPr>
                <w:rFonts w:ascii="Arial Narrow" w:hAnsi="Arial Narrow"/>
                <w:sz w:val="20"/>
                <w:szCs w:val="20"/>
              </w:rPr>
              <w:instrText xml:space="preserve"> FORMCHECKBOX </w:instrText>
            </w:r>
            <w:r w:rsidRPr="00D27BFA">
              <w:rPr>
                <w:rFonts w:ascii="Arial Narrow" w:hAnsi="Arial Narrow"/>
                <w:sz w:val="20"/>
                <w:szCs w:val="20"/>
              </w:rPr>
            </w:r>
            <w:r w:rsidRPr="00D27BFA">
              <w:rPr>
                <w:rFonts w:ascii="Arial Narrow" w:hAnsi="Arial Narrow"/>
                <w:sz w:val="20"/>
                <w:szCs w:val="20"/>
              </w:rPr>
              <w:fldChar w:fldCharType="separate"/>
            </w:r>
            <w:r w:rsidRPr="00D27BFA">
              <w:rPr>
                <w:rFonts w:ascii="Arial Narrow" w:hAnsi="Arial Narrow"/>
                <w:sz w:val="20"/>
                <w:szCs w:val="20"/>
              </w:rPr>
              <w:fldChar w:fldCharType="end"/>
            </w:r>
            <w:r w:rsidRPr="00D27BFA">
              <w:rPr>
                <w:rFonts w:ascii="Arial Narrow" w:hAnsi="Arial Narrow"/>
                <w:sz w:val="20"/>
                <w:szCs w:val="20"/>
              </w:rPr>
              <w:t xml:space="preserve"> </w:t>
            </w:r>
            <w:r w:rsidRPr="00D27BFA">
              <w:rPr>
                <w:rFonts w:ascii="Arial Narrow" w:eastAsia="Calibri" w:hAnsi="Arial Narrow"/>
                <w:sz w:val="20"/>
                <w:szCs w:val="20"/>
              </w:rPr>
              <w:t>Section 100 – Efficient Funding of Chemotherapy – Public (IP)/ Private (IV)</w:t>
            </w:r>
          </w:p>
        </w:tc>
      </w:tr>
      <w:tr w:rsidR="0033637F" w:rsidRPr="00D27BFA" w14:paraId="4A2BC89E" w14:textId="77777777" w:rsidTr="0033637F">
        <w:tblPrEx>
          <w:tblCellMar>
            <w:top w:w="15" w:type="dxa"/>
            <w:bottom w:w="15" w:type="dxa"/>
          </w:tblCellMar>
          <w:tblLook w:val="04A0" w:firstRow="1" w:lastRow="0" w:firstColumn="1" w:lastColumn="0" w:noHBand="0" w:noVBand="1"/>
        </w:tblPrEx>
        <w:trPr>
          <w:trHeight w:val="20"/>
        </w:trPr>
        <w:tc>
          <w:tcPr>
            <w:tcW w:w="9067" w:type="dxa"/>
            <w:gridSpan w:val="5"/>
            <w:tcBorders>
              <w:top w:val="single" w:sz="4" w:space="0" w:color="auto"/>
              <w:left w:val="single" w:sz="4" w:space="0" w:color="auto"/>
              <w:bottom w:val="single" w:sz="4" w:space="0" w:color="auto"/>
              <w:right w:val="single" w:sz="4" w:space="0" w:color="auto"/>
            </w:tcBorders>
            <w:vAlign w:val="center"/>
          </w:tcPr>
          <w:p w14:paraId="1C497C21" w14:textId="77777777" w:rsidR="0033637F" w:rsidRPr="00D27BFA" w:rsidRDefault="0033637F">
            <w:pPr>
              <w:keepLines/>
              <w:jc w:val="left"/>
              <w:rPr>
                <w:rFonts w:ascii="Arial Narrow" w:hAnsi="Arial Narrow"/>
                <w:b/>
                <w:sz w:val="20"/>
                <w:szCs w:val="20"/>
              </w:rPr>
            </w:pPr>
            <w:r w:rsidRPr="00D27BFA">
              <w:rPr>
                <w:rFonts w:ascii="Arial Narrow" w:hAnsi="Arial Narrow"/>
                <w:b/>
                <w:sz w:val="20"/>
                <w:szCs w:val="20"/>
              </w:rPr>
              <w:t xml:space="preserve">Prescriber type: </w:t>
            </w:r>
            <w:r w:rsidRPr="00D27BFA">
              <w:rPr>
                <w:rFonts w:ascii="Arial Narrow" w:hAnsi="Arial Narrow"/>
                <w:sz w:val="20"/>
                <w:szCs w:val="20"/>
              </w:rPr>
              <w:fldChar w:fldCharType="begin">
                <w:ffData>
                  <w:name w:val=""/>
                  <w:enabled/>
                  <w:calcOnExit w:val="0"/>
                  <w:checkBox>
                    <w:sizeAuto/>
                    <w:default w:val="1"/>
                  </w:checkBox>
                </w:ffData>
              </w:fldChar>
            </w:r>
            <w:r w:rsidRPr="00D27BFA">
              <w:rPr>
                <w:rFonts w:ascii="Arial Narrow" w:hAnsi="Arial Narrow"/>
                <w:sz w:val="20"/>
                <w:szCs w:val="20"/>
              </w:rPr>
              <w:instrText xml:space="preserve"> FORMCHECKBOX </w:instrText>
            </w:r>
            <w:r w:rsidRPr="00D27BFA">
              <w:rPr>
                <w:rFonts w:ascii="Arial Narrow" w:hAnsi="Arial Narrow"/>
                <w:sz w:val="20"/>
                <w:szCs w:val="20"/>
              </w:rPr>
            </w:r>
            <w:r w:rsidRPr="00D27BFA">
              <w:rPr>
                <w:rFonts w:ascii="Arial Narrow" w:hAnsi="Arial Narrow"/>
                <w:sz w:val="20"/>
                <w:szCs w:val="20"/>
              </w:rPr>
              <w:fldChar w:fldCharType="separate"/>
            </w:r>
            <w:r w:rsidRPr="00D27BFA">
              <w:rPr>
                <w:rFonts w:ascii="Arial Narrow" w:hAnsi="Arial Narrow"/>
                <w:sz w:val="20"/>
                <w:szCs w:val="20"/>
              </w:rPr>
              <w:fldChar w:fldCharType="end"/>
            </w:r>
            <w:r w:rsidRPr="00D27BFA">
              <w:rPr>
                <w:rFonts w:ascii="Arial Narrow" w:hAnsi="Arial Narrow"/>
                <w:sz w:val="20"/>
                <w:szCs w:val="20"/>
              </w:rPr>
              <w:t xml:space="preserve"> Medical Practitioners </w:t>
            </w:r>
          </w:p>
        </w:tc>
      </w:tr>
      <w:tr w:rsidR="0033637F" w:rsidRPr="00D27BFA" w14:paraId="3FDE7994" w14:textId="77777777" w:rsidTr="0033637F">
        <w:tblPrEx>
          <w:tblCellMar>
            <w:top w:w="15" w:type="dxa"/>
            <w:bottom w:w="15" w:type="dxa"/>
          </w:tblCellMar>
          <w:tblLook w:val="04A0" w:firstRow="1" w:lastRow="0" w:firstColumn="1" w:lastColumn="0" w:noHBand="0" w:noVBand="1"/>
        </w:tblPrEx>
        <w:trPr>
          <w:trHeight w:val="20"/>
        </w:trPr>
        <w:tc>
          <w:tcPr>
            <w:tcW w:w="9067" w:type="dxa"/>
            <w:gridSpan w:val="5"/>
            <w:tcBorders>
              <w:top w:val="single" w:sz="4" w:space="0" w:color="auto"/>
              <w:left w:val="single" w:sz="4" w:space="0" w:color="auto"/>
              <w:bottom w:val="single" w:sz="4" w:space="0" w:color="auto"/>
              <w:right w:val="single" w:sz="4" w:space="0" w:color="auto"/>
            </w:tcBorders>
            <w:vAlign w:val="center"/>
          </w:tcPr>
          <w:p w14:paraId="29EE8E86" w14:textId="77777777" w:rsidR="0033637F" w:rsidRPr="00D27BFA" w:rsidRDefault="0033637F">
            <w:pPr>
              <w:keepLines/>
              <w:jc w:val="left"/>
              <w:rPr>
                <w:rFonts w:ascii="Arial Narrow" w:hAnsi="Arial Narrow"/>
                <w:sz w:val="20"/>
                <w:szCs w:val="20"/>
              </w:rPr>
            </w:pPr>
            <w:r w:rsidRPr="00D27BFA">
              <w:rPr>
                <w:rFonts w:ascii="Arial Narrow" w:hAnsi="Arial Narrow"/>
                <w:b/>
                <w:sz w:val="20"/>
                <w:szCs w:val="20"/>
              </w:rPr>
              <w:t xml:space="preserve">Benefit type: </w:t>
            </w:r>
            <w:r w:rsidRPr="00D27BFA">
              <w:rPr>
                <w:rFonts w:ascii="Arial Narrow" w:hAnsi="Arial Narrow"/>
                <w:sz w:val="20"/>
                <w:szCs w:val="20"/>
              </w:rPr>
              <w:fldChar w:fldCharType="begin">
                <w:ffData>
                  <w:name w:val=""/>
                  <w:enabled/>
                  <w:calcOnExit w:val="0"/>
                  <w:checkBox>
                    <w:sizeAuto/>
                    <w:default w:val="1"/>
                  </w:checkBox>
                </w:ffData>
              </w:fldChar>
            </w:r>
            <w:r w:rsidRPr="00D27BFA">
              <w:rPr>
                <w:rFonts w:ascii="Arial Narrow" w:hAnsi="Arial Narrow"/>
                <w:sz w:val="20"/>
                <w:szCs w:val="20"/>
              </w:rPr>
              <w:instrText xml:space="preserve"> FORMCHECKBOX </w:instrText>
            </w:r>
            <w:r w:rsidRPr="00D27BFA">
              <w:rPr>
                <w:rFonts w:ascii="Arial Narrow" w:hAnsi="Arial Narrow"/>
                <w:sz w:val="20"/>
                <w:szCs w:val="20"/>
              </w:rPr>
            </w:r>
            <w:r w:rsidRPr="00D27BFA">
              <w:rPr>
                <w:rFonts w:ascii="Arial Narrow" w:hAnsi="Arial Narrow"/>
                <w:sz w:val="20"/>
                <w:szCs w:val="20"/>
              </w:rPr>
              <w:fldChar w:fldCharType="separate"/>
            </w:r>
            <w:r w:rsidRPr="00D27BFA">
              <w:rPr>
                <w:rFonts w:ascii="Arial Narrow" w:hAnsi="Arial Narrow"/>
                <w:sz w:val="20"/>
                <w:szCs w:val="20"/>
              </w:rPr>
              <w:fldChar w:fldCharType="end"/>
            </w:r>
            <w:r w:rsidRPr="00D27BFA">
              <w:rPr>
                <w:rFonts w:ascii="Arial Narrow" w:hAnsi="Arial Narrow"/>
                <w:sz w:val="20"/>
                <w:szCs w:val="20"/>
              </w:rPr>
              <w:t xml:space="preserve"> </w:t>
            </w:r>
            <w:r w:rsidRPr="00D27BFA">
              <w:rPr>
                <w:rFonts w:ascii="Arial Narrow" w:eastAsia="Calibri" w:hAnsi="Arial Narrow"/>
                <w:sz w:val="20"/>
                <w:szCs w:val="20"/>
              </w:rPr>
              <w:t xml:space="preserve">Authority Required (Streamlined) </w:t>
            </w:r>
            <w:r w:rsidRPr="00A16683">
              <w:rPr>
                <w:rFonts w:ascii="Arial Narrow" w:eastAsia="Calibri" w:hAnsi="Arial Narrow"/>
                <w:i/>
                <w:iCs/>
                <w:sz w:val="20"/>
                <w:szCs w:val="20"/>
              </w:rPr>
              <w:t>[new code]</w:t>
            </w:r>
          </w:p>
        </w:tc>
      </w:tr>
      <w:tr w:rsidR="0033637F" w:rsidRPr="00D27BFA" w14:paraId="0126FC99" w14:textId="77777777" w:rsidTr="0033637F">
        <w:tblPrEx>
          <w:tblCellMar>
            <w:top w:w="15" w:type="dxa"/>
            <w:bottom w:w="15" w:type="dxa"/>
          </w:tblCellMar>
          <w:tblLook w:val="04A0" w:firstRow="1" w:lastRow="0" w:firstColumn="1" w:lastColumn="0" w:noHBand="0" w:noVBand="1"/>
        </w:tblPrEx>
        <w:trPr>
          <w:trHeight w:val="49"/>
        </w:trPr>
        <w:tc>
          <w:tcPr>
            <w:tcW w:w="9067" w:type="dxa"/>
            <w:gridSpan w:val="5"/>
            <w:tcBorders>
              <w:top w:val="single" w:sz="4" w:space="0" w:color="auto"/>
              <w:left w:val="single" w:sz="4" w:space="0" w:color="auto"/>
              <w:bottom w:val="single" w:sz="4" w:space="0" w:color="auto"/>
              <w:right w:val="single" w:sz="4" w:space="0" w:color="auto"/>
            </w:tcBorders>
            <w:vAlign w:val="center"/>
          </w:tcPr>
          <w:p w14:paraId="57736643" w14:textId="10B4DC60" w:rsidR="0033637F" w:rsidRPr="00D27BFA" w:rsidRDefault="0033637F">
            <w:pPr>
              <w:jc w:val="left"/>
              <w:rPr>
                <w:rFonts w:ascii="Arial Narrow" w:hAnsi="Arial Narrow"/>
                <w:b/>
                <w:sz w:val="20"/>
                <w:szCs w:val="20"/>
              </w:rPr>
            </w:pPr>
            <w:r w:rsidRPr="00D27BFA">
              <w:rPr>
                <w:rFonts w:ascii="Arial Narrow" w:hAnsi="Arial Narrow"/>
                <w:b/>
                <w:sz w:val="20"/>
                <w:szCs w:val="20"/>
              </w:rPr>
              <w:t>Prescribing rule level:</w:t>
            </w:r>
          </w:p>
        </w:tc>
      </w:tr>
      <w:tr w:rsidR="0033637F" w:rsidRPr="00D27BFA" w14:paraId="045D44C3" w14:textId="77777777" w:rsidTr="0033637F">
        <w:tblPrEx>
          <w:tblCellMar>
            <w:top w:w="15" w:type="dxa"/>
            <w:bottom w:w="15" w:type="dxa"/>
          </w:tblCellMar>
          <w:tblLook w:val="04A0" w:firstRow="1" w:lastRow="0" w:firstColumn="1" w:lastColumn="0" w:noHBand="0" w:noVBand="1"/>
        </w:tblPrEx>
        <w:trPr>
          <w:trHeight w:val="20"/>
        </w:trPr>
        <w:tc>
          <w:tcPr>
            <w:tcW w:w="9067" w:type="dxa"/>
            <w:gridSpan w:val="5"/>
            <w:tcBorders>
              <w:top w:val="single" w:sz="4" w:space="0" w:color="auto"/>
              <w:left w:val="single" w:sz="4" w:space="0" w:color="auto"/>
              <w:bottom w:val="single" w:sz="4" w:space="0" w:color="auto"/>
              <w:right w:val="single" w:sz="4" w:space="0" w:color="auto"/>
            </w:tcBorders>
            <w:vAlign w:val="center"/>
          </w:tcPr>
          <w:p w14:paraId="74C227CB" w14:textId="77777777" w:rsidR="0033637F" w:rsidRPr="00D27BFA" w:rsidRDefault="0033637F">
            <w:pPr>
              <w:rPr>
                <w:rFonts w:ascii="Arial Narrow" w:hAnsi="Arial Narrow"/>
                <w:b/>
                <w:bCs/>
                <w:sz w:val="20"/>
                <w:szCs w:val="20"/>
              </w:rPr>
            </w:pPr>
            <w:r w:rsidRPr="00D27BFA">
              <w:rPr>
                <w:rFonts w:ascii="Arial Narrow" w:hAnsi="Arial Narrow"/>
                <w:b/>
                <w:bCs/>
                <w:sz w:val="20"/>
                <w:szCs w:val="20"/>
              </w:rPr>
              <w:t>Administrative Advice:</w:t>
            </w:r>
          </w:p>
          <w:p w14:paraId="577D7E25" w14:textId="77777777" w:rsidR="0033637F" w:rsidRPr="00D27BFA" w:rsidRDefault="0033637F">
            <w:pPr>
              <w:rPr>
                <w:rFonts w:ascii="Arial Narrow" w:hAnsi="Arial Narrow"/>
                <w:sz w:val="20"/>
                <w:szCs w:val="20"/>
              </w:rPr>
            </w:pPr>
            <w:r w:rsidRPr="00D27BFA">
              <w:rPr>
                <w:rFonts w:ascii="Arial Narrow" w:hAnsi="Arial Narrow"/>
                <w:sz w:val="20"/>
                <w:szCs w:val="20"/>
              </w:rPr>
              <w:t>No increase in the maximum number of repeats may be authorised.</w:t>
            </w:r>
          </w:p>
        </w:tc>
      </w:tr>
      <w:tr w:rsidR="0033637F" w:rsidRPr="00D27BFA" w14:paraId="476CA5F0" w14:textId="77777777" w:rsidTr="0033637F">
        <w:tblPrEx>
          <w:tblCellMar>
            <w:top w:w="15" w:type="dxa"/>
            <w:bottom w:w="15" w:type="dxa"/>
          </w:tblCellMar>
          <w:tblLook w:val="04A0" w:firstRow="1" w:lastRow="0" w:firstColumn="1" w:lastColumn="0" w:noHBand="0" w:noVBand="1"/>
        </w:tblPrEx>
        <w:trPr>
          <w:trHeight w:val="20"/>
        </w:trPr>
        <w:tc>
          <w:tcPr>
            <w:tcW w:w="9067" w:type="dxa"/>
            <w:gridSpan w:val="5"/>
            <w:tcBorders>
              <w:top w:val="single" w:sz="4" w:space="0" w:color="auto"/>
              <w:left w:val="single" w:sz="4" w:space="0" w:color="auto"/>
              <w:bottom w:val="single" w:sz="4" w:space="0" w:color="auto"/>
              <w:right w:val="single" w:sz="4" w:space="0" w:color="auto"/>
            </w:tcBorders>
            <w:vAlign w:val="center"/>
          </w:tcPr>
          <w:p w14:paraId="342C533B" w14:textId="77777777" w:rsidR="0033637F" w:rsidRPr="00D27BFA" w:rsidRDefault="0033637F">
            <w:pPr>
              <w:keepLines/>
              <w:rPr>
                <w:rFonts w:ascii="Arial Narrow" w:hAnsi="Arial Narrow"/>
                <w:b/>
                <w:bCs/>
                <w:sz w:val="20"/>
                <w:szCs w:val="20"/>
              </w:rPr>
            </w:pPr>
            <w:r w:rsidRPr="00D27BFA">
              <w:rPr>
                <w:rFonts w:ascii="Arial Narrow" w:hAnsi="Arial Narrow"/>
                <w:b/>
                <w:bCs/>
                <w:sz w:val="20"/>
                <w:szCs w:val="20"/>
              </w:rPr>
              <w:t>Administrative Advice:</w:t>
            </w:r>
          </w:p>
          <w:p w14:paraId="2381D8F3" w14:textId="77777777" w:rsidR="0033637F" w:rsidRPr="00D27BFA" w:rsidRDefault="0033637F">
            <w:pPr>
              <w:rPr>
                <w:rFonts w:cs="Aptos"/>
                <w:sz w:val="18"/>
                <w:szCs w:val="18"/>
              </w:rPr>
            </w:pPr>
            <w:r w:rsidRPr="00D27BFA">
              <w:rPr>
                <w:rFonts w:ascii="Arial Narrow" w:hAnsi="Arial Narrow"/>
                <w:sz w:val="20"/>
                <w:szCs w:val="20"/>
              </w:rPr>
              <w:lastRenderedPageBreak/>
              <w:t>No increase in the maximum amount or number of units may be authorised.</w:t>
            </w:r>
            <w:r w:rsidRPr="00D27BFA">
              <w:rPr>
                <w:rFonts w:cs="Aptos"/>
                <w:sz w:val="18"/>
                <w:szCs w:val="18"/>
              </w:rPr>
              <w:t xml:space="preserve"> </w:t>
            </w:r>
          </w:p>
        </w:tc>
      </w:tr>
      <w:tr w:rsidR="0033637F" w:rsidRPr="00D27BFA" w14:paraId="6890EFF7" w14:textId="77777777" w:rsidTr="0033637F">
        <w:tblPrEx>
          <w:tblCellMar>
            <w:top w:w="15" w:type="dxa"/>
            <w:bottom w:w="15" w:type="dxa"/>
          </w:tblCellMar>
          <w:tblLook w:val="04A0" w:firstRow="1" w:lastRow="0" w:firstColumn="1" w:lastColumn="0" w:noHBand="0" w:noVBand="1"/>
        </w:tblPrEx>
        <w:trPr>
          <w:trHeight w:val="20"/>
        </w:trPr>
        <w:tc>
          <w:tcPr>
            <w:tcW w:w="9067" w:type="dxa"/>
            <w:gridSpan w:val="5"/>
            <w:tcBorders>
              <w:top w:val="single" w:sz="4" w:space="0" w:color="auto"/>
              <w:left w:val="single" w:sz="4" w:space="0" w:color="auto"/>
              <w:bottom w:val="single" w:sz="4" w:space="0" w:color="auto"/>
              <w:right w:val="single" w:sz="4" w:space="0" w:color="auto"/>
            </w:tcBorders>
            <w:vAlign w:val="center"/>
          </w:tcPr>
          <w:p w14:paraId="200DF6CB" w14:textId="444589FA" w:rsidR="0033637F" w:rsidRPr="00D27BFA" w:rsidRDefault="0033637F">
            <w:pPr>
              <w:rPr>
                <w:rFonts w:ascii="Arial Narrow" w:hAnsi="Arial Narrow"/>
                <w:b/>
                <w:bCs/>
                <w:i/>
                <w:iCs/>
                <w:sz w:val="20"/>
                <w:szCs w:val="20"/>
              </w:rPr>
            </w:pPr>
            <w:r w:rsidRPr="00D27BFA">
              <w:rPr>
                <w:rFonts w:ascii="Arial Narrow" w:hAnsi="Arial Narrow"/>
                <w:b/>
                <w:bCs/>
                <w:sz w:val="20"/>
                <w:szCs w:val="20"/>
              </w:rPr>
              <w:lastRenderedPageBreak/>
              <w:t>Caution:</w:t>
            </w:r>
          </w:p>
          <w:p w14:paraId="52C19C2B" w14:textId="77777777" w:rsidR="0033637F" w:rsidRPr="00D27BFA" w:rsidRDefault="0033637F">
            <w:pPr>
              <w:keepLines/>
              <w:rPr>
                <w:rFonts w:ascii="Arial Narrow" w:hAnsi="Arial Narrow"/>
                <w:b/>
                <w:bCs/>
                <w:sz w:val="20"/>
                <w:szCs w:val="20"/>
              </w:rPr>
            </w:pPr>
            <w:r w:rsidRPr="00D27BFA">
              <w:rPr>
                <w:rFonts w:ascii="Arial Narrow" w:hAnsi="Arial Narrow"/>
                <w:sz w:val="20"/>
                <w:szCs w:val="20"/>
              </w:rPr>
              <w:t>Careful monitoring of patients is required due to risk of developing life-threatening Cytokine Release Syndrome (CRS) and Immune Effector Cell-Associated Neurotoxicity Syndrome (ICANS).</w:t>
            </w:r>
            <w:r w:rsidRPr="00D27BFA">
              <w:rPr>
                <w:rFonts w:cs="Calibri"/>
                <w:sz w:val="20"/>
              </w:rPr>
              <w:t> </w:t>
            </w:r>
          </w:p>
        </w:tc>
      </w:tr>
      <w:tr w:rsidR="0033637F" w:rsidRPr="00D27BFA" w14:paraId="56C8ECA1" w14:textId="77777777" w:rsidTr="0033637F">
        <w:tblPrEx>
          <w:tblCellMar>
            <w:top w:w="15" w:type="dxa"/>
            <w:bottom w:w="15" w:type="dxa"/>
          </w:tblCellMar>
          <w:tblLook w:val="04A0" w:firstRow="1" w:lastRow="0" w:firstColumn="1" w:lastColumn="0" w:noHBand="0" w:noVBand="1"/>
        </w:tblPrEx>
        <w:trPr>
          <w:trHeight w:val="20"/>
        </w:trPr>
        <w:tc>
          <w:tcPr>
            <w:tcW w:w="9067" w:type="dxa"/>
            <w:gridSpan w:val="5"/>
            <w:tcBorders>
              <w:top w:val="single" w:sz="4" w:space="0" w:color="auto"/>
              <w:left w:val="single" w:sz="4" w:space="0" w:color="auto"/>
              <w:bottom w:val="single" w:sz="4" w:space="0" w:color="auto"/>
              <w:right w:val="single" w:sz="4" w:space="0" w:color="auto"/>
            </w:tcBorders>
            <w:vAlign w:val="center"/>
          </w:tcPr>
          <w:p w14:paraId="51E19975" w14:textId="77777777" w:rsidR="0033637F" w:rsidRPr="00D27BFA" w:rsidRDefault="0033637F">
            <w:pPr>
              <w:keepLines/>
              <w:rPr>
                <w:rFonts w:ascii="Arial Narrow" w:hAnsi="Arial Narrow"/>
                <w:b/>
                <w:bCs/>
                <w:sz w:val="20"/>
                <w:szCs w:val="20"/>
              </w:rPr>
            </w:pPr>
            <w:r w:rsidRPr="00D27BFA">
              <w:rPr>
                <w:rFonts w:ascii="Arial Narrow" w:hAnsi="Arial Narrow"/>
                <w:b/>
                <w:sz w:val="20"/>
                <w:szCs w:val="20"/>
              </w:rPr>
              <w:t>Restriction Summary [new2] / Treatment of Concept: [new2A]</w:t>
            </w:r>
          </w:p>
        </w:tc>
      </w:tr>
      <w:tr w:rsidR="0033637F" w:rsidRPr="00D27BFA" w14:paraId="2F3E0379"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hideMark/>
          </w:tcPr>
          <w:p w14:paraId="018D929B" w14:textId="77777777" w:rsidR="0033637F" w:rsidRPr="00D27BFA" w:rsidRDefault="0033637F">
            <w:pPr>
              <w:keepLines/>
              <w:rPr>
                <w:rFonts w:ascii="Arial Narrow" w:hAnsi="Arial Narrow"/>
                <w:i/>
                <w:iCs/>
                <w:sz w:val="20"/>
                <w:szCs w:val="20"/>
              </w:rPr>
            </w:pPr>
            <w:r w:rsidRPr="00D27BFA">
              <w:rPr>
                <w:rFonts w:ascii="Arial Narrow" w:hAnsi="Arial Narrow"/>
                <w:b/>
                <w:bCs/>
                <w:sz w:val="20"/>
                <w:szCs w:val="20"/>
              </w:rPr>
              <w:t>Indication:</w:t>
            </w:r>
            <w:r w:rsidRPr="00D27BFA">
              <w:rPr>
                <w:rFonts w:ascii="Arial Narrow" w:hAnsi="Arial Narrow"/>
                <w:sz w:val="20"/>
                <w:szCs w:val="20"/>
              </w:rPr>
              <w:t xml:space="preserve"> Extensive-stage small cell lung </w:t>
            </w:r>
            <w:r w:rsidRPr="00A90024">
              <w:rPr>
                <w:rFonts w:ascii="Arial Narrow" w:hAnsi="Arial Narrow"/>
                <w:sz w:val="20"/>
                <w:szCs w:val="20"/>
              </w:rPr>
              <w:t>cancer</w:t>
            </w:r>
          </w:p>
        </w:tc>
      </w:tr>
      <w:tr w:rsidR="0033637F" w:rsidRPr="00D27BFA" w14:paraId="56DD366B"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hideMark/>
          </w:tcPr>
          <w:p w14:paraId="2C4B1123" w14:textId="77777777" w:rsidR="0033637F" w:rsidRPr="00D27BFA" w:rsidRDefault="0033637F">
            <w:pPr>
              <w:rPr>
                <w:rFonts w:ascii="Arial Narrow" w:hAnsi="Arial Narrow"/>
                <w:i/>
                <w:iCs/>
                <w:sz w:val="20"/>
                <w:szCs w:val="20"/>
              </w:rPr>
            </w:pPr>
            <w:r w:rsidRPr="00D27BFA">
              <w:rPr>
                <w:rFonts w:ascii="Arial Narrow" w:hAnsi="Arial Narrow"/>
                <w:b/>
                <w:bCs/>
                <w:sz w:val="20"/>
                <w:szCs w:val="20"/>
              </w:rPr>
              <w:t>Treatment Phase:</w:t>
            </w:r>
            <w:r w:rsidRPr="00D27BFA">
              <w:rPr>
                <w:rFonts w:ascii="Arial Narrow" w:hAnsi="Arial Narrow"/>
                <w:sz w:val="20"/>
                <w:szCs w:val="20"/>
              </w:rPr>
              <w:t xml:space="preserve"> Continuing treatment </w:t>
            </w:r>
          </w:p>
        </w:tc>
      </w:tr>
      <w:tr w:rsidR="0033637F" w:rsidRPr="00D27BFA" w14:paraId="48A93E7D"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hideMark/>
          </w:tcPr>
          <w:p w14:paraId="0D4C7175" w14:textId="77777777" w:rsidR="0033637F" w:rsidRPr="00D27BFA" w:rsidRDefault="0033637F">
            <w:pPr>
              <w:rPr>
                <w:rFonts w:ascii="Arial Narrow" w:hAnsi="Arial Narrow"/>
                <w:sz w:val="20"/>
                <w:szCs w:val="20"/>
              </w:rPr>
            </w:pPr>
            <w:r w:rsidRPr="00D27BFA">
              <w:rPr>
                <w:rFonts w:ascii="Arial Narrow" w:hAnsi="Arial Narrow"/>
                <w:b/>
                <w:bCs/>
                <w:sz w:val="20"/>
                <w:szCs w:val="20"/>
              </w:rPr>
              <w:t xml:space="preserve">Clinical criteria: </w:t>
            </w:r>
          </w:p>
        </w:tc>
      </w:tr>
      <w:tr w:rsidR="0033637F" w:rsidRPr="00D27BFA" w14:paraId="1FA4E41E"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hideMark/>
          </w:tcPr>
          <w:p w14:paraId="69634041" w14:textId="77777777" w:rsidR="0033637F" w:rsidRPr="00D27BFA" w:rsidRDefault="0033637F">
            <w:pPr>
              <w:tabs>
                <w:tab w:val="num" w:pos="720"/>
              </w:tabs>
              <w:rPr>
                <w:rFonts w:ascii="Arial Narrow" w:hAnsi="Arial Narrow"/>
                <w:sz w:val="20"/>
                <w:szCs w:val="20"/>
              </w:rPr>
            </w:pPr>
            <w:r w:rsidRPr="00D27BFA">
              <w:rPr>
                <w:rFonts w:ascii="Arial Narrow" w:hAnsi="Arial Narrow"/>
                <w:sz w:val="20"/>
                <w:szCs w:val="20"/>
              </w:rPr>
              <w:t>Patient must have previously received PBS-subsidised treatment with this drug for this condition,</w:t>
            </w:r>
          </w:p>
        </w:tc>
      </w:tr>
      <w:tr w:rsidR="0033637F" w:rsidRPr="00D27BFA" w14:paraId="6EB50321"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hideMark/>
          </w:tcPr>
          <w:p w14:paraId="315A427A" w14:textId="77777777" w:rsidR="0033637F" w:rsidRPr="00D27BFA" w:rsidRDefault="0033637F">
            <w:pPr>
              <w:rPr>
                <w:rFonts w:ascii="Arial Narrow" w:hAnsi="Arial Narrow"/>
                <w:sz w:val="20"/>
                <w:szCs w:val="20"/>
              </w:rPr>
            </w:pPr>
            <w:r w:rsidRPr="00D27BFA">
              <w:rPr>
                <w:rFonts w:ascii="Arial Narrow" w:hAnsi="Arial Narrow"/>
                <w:b/>
                <w:bCs/>
                <w:sz w:val="20"/>
                <w:szCs w:val="20"/>
              </w:rPr>
              <w:t>AND</w:t>
            </w:r>
          </w:p>
        </w:tc>
      </w:tr>
      <w:tr w:rsidR="0033637F" w:rsidRPr="00D27BFA" w14:paraId="51F12CAD"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hideMark/>
          </w:tcPr>
          <w:p w14:paraId="678AC695" w14:textId="77777777" w:rsidR="0033637F" w:rsidRPr="00D27BFA" w:rsidRDefault="0033637F">
            <w:pPr>
              <w:rPr>
                <w:rFonts w:ascii="Arial Narrow" w:hAnsi="Arial Narrow"/>
                <w:sz w:val="20"/>
                <w:szCs w:val="20"/>
              </w:rPr>
            </w:pPr>
            <w:r w:rsidRPr="00D27BFA">
              <w:rPr>
                <w:rFonts w:ascii="Arial Narrow" w:hAnsi="Arial Narrow"/>
                <w:b/>
                <w:bCs/>
                <w:sz w:val="20"/>
                <w:szCs w:val="20"/>
              </w:rPr>
              <w:t>Clinical criteria:</w:t>
            </w:r>
          </w:p>
        </w:tc>
      </w:tr>
      <w:tr w:rsidR="0033637F" w:rsidRPr="00D27BFA" w14:paraId="5A9E64A9"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7327D835" w14:textId="77777777" w:rsidR="0033637F" w:rsidRPr="00D27BFA" w:rsidRDefault="0033637F">
            <w:pPr>
              <w:rPr>
                <w:rFonts w:ascii="Arial Narrow" w:hAnsi="Arial Narrow"/>
                <w:sz w:val="20"/>
                <w:szCs w:val="20"/>
              </w:rPr>
            </w:pPr>
            <w:r w:rsidRPr="00D27BFA">
              <w:rPr>
                <w:rFonts w:ascii="Arial Narrow" w:hAnsi="Arial Narrow"/>
                <w:sz w:val="20"/>
                <w:szCs w:val="20"/>
              </w:rPr>
              <w:t>The treatment must be the sole PBS-subsidised therapy for this condition.</w:t>
            </w:r>
          </w:p>
        </w:tc>
      </w:tr>
      <w:tr w:rsidR="0033637F" w:rsidRPr="00D27BFA" w14:paraId="604A0FCC"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hideMark/>
          </w:tcPr>
          <w:p w14:paraId="55C4219B" w14:textId="77777777" w:rsidR="0033637F" w:rsidRPr="00D27BFA" w:rsidRDefault="0033637F">
            <w:pPr>
              <w:rPr>
                <w:rFonts w:ascii="Arial Narrow" w:hAnsi="Arial Narrow"/>
                <w:sz w:val="20"/>
                <w:szCs w:val="20"/>
              </w:rPr>
            </w:pPr>
            <w:r w:rsidRPr="00D27BFA">
              <w:rPr>
                <w:rFonts w:ascii="Arial Narrow" w:hAnsi="Arial Narrow"/>
                <w:b/>
                <w:bCs/>
                <w:sz w:val="20"/>
                <w:szCs w:val="20"/>
              </w:rPr>
              <w:t>AND</w:t>
            </w:r>
          </w:p>
        </w:tc>
      </w:tr>
      <w:tr w:rsidR="0033637F" w:rsidRPr="00D27BFA" w14:paraId="43F99DB1"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670B9FAD" w14:textId="77777777" w:rsidR="0033637F" w:rsidRPr="00D27BFA" w:rsidRDefault="0033637F">
            <w:pPr>
              <w:rPr>
                <w:rFonts w:ascii="Arial Narrow" w:eastAsia="Arial Narrow" w:hAnsi="Arial Narrow" w:cs="Arial Narrow"/>
                <w:sz w:val="20"/>
                <w:szCs w:val="20"/>
              </w:rPr>
            </w:pPr>
            <w:r w:rsidRPr="00D27BFA">
              <w:rPr>
                <w:rFonts w:ascii="Arial Narrow" w:hAnsi="Arial Narrow"/>
                <w:b/>
                <w:bCs/>
                <w:sz w:val="20"/>
                <w:szCs w:val="20"/>
              </w:rPr>
              <w:t>Clinical criteria:</w:t>
            </w:r>
          </w:p>
        </w:tc>
      </w:tr>
      <w:tr w:rsidR="0033637F" w:rsidRPr="00D27BFA" w14:paraId="4A46122D"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1D2908DF" w14:textId="77777777" w:rsidR="0033637F" w:rsidRPr="00D27BFA" w:rsidRDefault="0033637F">
            <w:pPr>
              <w:tabs>
                <w:tab w:val="num" w:pos="720"/>
              </w:tabs>
              <w:rPr>
                <w:rFonts w:cs="Calibri"/>
                <w:sz w:val="18"/>
                <w:szCs w:val="18"/>
              </w:rPr>
            </w:pPr>
            <w:r w:rsidRPr="00D27BFA">
              <w:rPr>
                <w:rFonts w:ascii="Arial Narrow" w:hAnsi="Arial Narrow"/>
                <w:sz w:val="20"/>
                <w:szCs w:val="20"/>
              </w:rPr>
              <w:t>Patient must not have developed disease progression while being treated with this drug for this condition.</w:t>
            </w:r>
          </w:p>
        </w:tc>
      </w:tr>
      <w:tr w:rsidR="0033637F" w:rsidRPr="00D27BFA" w14:paraId="4042032F"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hideMark/>
          </w:tcPr>
          <w:p w14:paraId="54C574F6" w14:textId="77777777" w:rsidR="0033637F" w:rsidRPr="00D27BFA" w:rsidRDefault="0033637F">
            <w:pPr>
              <w:rPr>
                <w:rFonts w:ascii="Arial Narrow" w:hAnsi="Arial Narrow"/>
                <w:b/>
                <w:bCs/>
                <w:sz w:val="20"/>
                <w:szCs w:val="20"/>
              </w:rPr>
            </w:pPr>
            <w:r w:rsidRPr="00D27BFA">
              <w:rPr>
                <w:rFonts w:ascii="Arial Narrow" w:hAnsi="Arial Narrow"/>
                <w:b/>
                <w:bCs/>
                <w:sz w:val="20"/>
                <w:szCs w:val="20"/>
              </w:rPr>
              <w:t xml:space="preserve">Prescribing Instructions: </w:t>
            </w:r>
          </w:p>
          <w:p w14:paraId="3624E3C0" w14:textId="77777777" w:rsidR="0033637F" w:rsidRPr="00D27BFA" w:rsidRDefault="0033637F">
            <w:pPr>
              <w:rPr>
                <w:rFonts w:ascii="Arial Narrow" w:hAnsi="Arial Narrow"/>
                <w:sz w:val="20"/>
                <w:szCs w:val="20"/>
              </w:rPr>
            </w:pPr>
            <w:r w:rsidRPr="00D27BFA">
              <w:rPr>
                <w:rFonts w:ascii="Arial Narrow" w:hAnsi="Arial Narrow"/>
                <w:sz w:val="20"/>
                <w:szCs w:val="20"/>
              </w:rPr>
              <w:t>This drug is not PBS-subsidised if it is administered to an in-patient in a public hospital setting</w:t>
            </w:r>
          </w:p>
        </w:tc>
      </w:tr>
      <w:tr w:rsidR="0033637F" w:rsidRPr="00D27BFA" w14:paraId="155D8009"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50D1A2C0" w14:textId="77777777" w:rsidR="0033637F" w:rsidRPr="00D27BFA" w:rsidRDefault="0033637F">
            <w:pPr>
              <w:rPr>
                <w:rFonts w:ascii="Arial Narrow" w:hAnsi="Arial Narrow"/>
                <w:b/>
                <w:bCs/>
                <w:sz w:val="20"/>
                <w:szCs w:val="20"/>
              </w:rPr>
            </w:pPr>
            <w:r w:rsidRPr="00D27BFA">
              <w:rPr>
                <w:rFonts w:ascii="Arial Narrow" w:hAnsi="Arial Narrow"/>
                <w:b/>
                <w:sz w:val="20"/>
                <w:szCs w:val="20"/>
              </w:rPr>
              <w:t>Restriction Summary [new3] / Treatment of Concept: [new3A]</w:t>
            </w:r>
          </w:p>
        </w:tc>
      </w:tr>
      <w:tr w:rsidR="0033637F" w:rsidRPr="00D27BFA" w14:paraId="2F1684FD"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554E1207" w14:textId="77777777" w:rsidR="0033637F" w:rsidRPr="00D27BFA" w:rsidRDefault="0033637F">
            <w:pPr>
              <w:rPr>
                <w:rFonts w:ascii="Arial Narrow" w:hAnsi="Arial Narrow"/>
                <w:b/>
                <w:bCs/>
                <w:sz w:val="20"/>
                <w:szCs w:val="20"/>
              </w:rPr>
            </w:pPr>
            <w:r w:rsidRPr="00D27BFA">
              <w:rPr>
                <w:rFonts w:ascii="Arial Narrow" w:hAnsi="Arial Narrow"/>
                <w:b/>
                <w:bCs/>
                <w:sz w:val="20"/>
                <w:szCs w:val="20"/>
              </w:rPr>
              <w:t>Indication:</w:t>
            </w:r>
            <w:r w:rsidRPr="00D27BFA">
              <w:rPr>
                <w:rFonts w:ascii="Arial Narrow" w:hAnsi="Arial Narrow"/>
                <w:sz w:val="20"/>
                <w:szCs w:val="20"/>
              </w:rPr>
              <w:t xml:space="preserve"> Extensive-stage small cell lung cancer </w:t>
            </w:r>
          </w:p>
        </w:tc>
      </w:tr>
      <w:tr w:rsidR="0033637F" w:rsidRPr="00D27BFA" w14:paraId="0D2A2547"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182CE3C1" w14:textId="65DACDE7" w:rsidR="0033637F" w:rsidRPr="00D27BFA" w:rsidRDefault="0033637F">
            <w:pPr>
              <w:rPr>
                <w:rFonts w:ascii="Arial Narrow" w:hAnsi="Arial Narrow"/>
                <w:b/>
                <w:bCs/>
                <w:sz w:val="20"/>
                <w:szCs w:val="20"/>
              </w:rPr>
            </w:pPr>
            <w:r w:rsidRPr="00D27BFA">
              <w:rPr>
                <w:rFonts w:ascii="Arial Narrow" w:hAnsi="Arial Narrow"/>
                <w:b/>
                <w:bCs/>
                <w:sz w:val="20"/>
                <w:szCs w:val="20"/>
              </w:rPr>
              <w:t>Treatment Phase:</w:t>
            </w:r>
            <w:r w:rsidRPr="00D27BFA">
              <w:rPr>
                <w:rFonts w:ascii="Arial Narrow" w:hAnsi="Arial Narrow"/>
                <w:sz w:val="20"/>
                <w:szCs w:val="20"/>
              </w:rPr>
              <w:t xml:space="preserve"> </w:t>
            </w:r>
            <w:r w:rsidRPr="00507D34">
              <w:rPr>
                <w:rFonts w:ascii="Arial Narrow" w:hAnsi="Arial Narrow"/>
                <w:strike/>
                <w:sz w:val="20"/>
                <w:szCs w:val="20"/>
              </w:rPr>
              <w:t>Transitioning from non-PBS to PBS-subsidised supply – Grandfather arrangements</w:t>
            </w:r>
            <w:r>
              <w:rPr>
                <w:rFonts w:ascii="Arial Narrow" w:hAnsi="Arial Narrow"/>
                <w:sz w:val="20"/>
                <w:szCs w:val="20"/>
              </w:rPr>
              <w:t xml:space="preserve"> </w:t>
            </w:r>
            <w:r w:rsidRPr="009859A0">
              <w:rPr>
                <w:rFonts w:ascii="Arial Narrow" w:hAnsi="Arial Narrow"/>
                <w:i/>
                <w:iCs/>
                <w:sz w:val="20"/>
                <w:szCs w:val="20"/>
              </w:rPr>
              <w:t>Transitioning from non-PBS to PBS-subsidised supply – Grandfather arrangements</w:t>
            </w:r>
          </w:p>
        </w:tc>
      </w:tr>
      <w:tr w:rsidR="0033637F" w:rsidRPr="00D27BFA" w14:paraId="32880C4B"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7A1FD700" w14:textId="77777777" w:rsidR="0033637F" w:rsidRPr="00D27BFA" w:rsidRDefault="0033637F">
            <w:pPr>
              <w:rPr>
                <w:rFonts w:ascii="Arial Narrow" w:hAnsi="Arial Narrow"/>
                <w:b/>
                <w:bCs/>
                <w:sz w:val="20"/>
                <w:szCs w:val="20"/>
              </w:rPr>
            </w:pPr>
            <w:r w:rsidRPr="00D27BFA">
              <w:rPr>
                <w:rFonts w:ascii="Arial Narrow" w:hAnsi="Arial Narrow"/>
                <w:b/>
                <w:bCs/>
                <w:sz w:val="20"/>
                <w:szCs w:val="20"/>
              </w:rPr>
              <w:t xml:space="preserve">Clinical criteria: </w:t>
            </w:r>
          </w:p>
        </w:tc>
      </w:tr>
      <w:tr w:rsidR="0033637F" w:rsidRPr="00D27BFA" w14:paraId="73A00B43"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15D6FC76" w14:textId="77777777" w:rsidR="0033637F" w:rsidRPr="00D27BFA" w:rsidRDefault="0033637F">
            <w:pPr>
              <w:rPr>
                <w:rFonts w:ascii="Arial Narrow" w:hAnsi="Arial Narrow"/>
                <w:b/>
                <w:bCs/>
                <w:sz w:val="20"/>
                <w:szCs w:val="20"/>
              </w:rPr>
            </w:pPr>
            <w:r w:rsidRPr="00D27BFA">
              <w:rPr>
                <w:rFonts w:ascii="Arial Narrow" w:hAnsi="Arial Narrow"/>
                <w:sz w:val="20"/>
                <w:szCs w:val="20"/>
              </w:rPr>
              <w:t>Patient must have received non-PBS subsidised treatment with this drug for this PBS indication prior to [</w:t>
            </w:r>
            <w:r w:rsidRPr="009859A0">
              <w:rPr>
                <w:rFonts w:ascii="Arial Narrow" w:hAnsi="Arial Narrow"/>
                <w:strike/>
                <w:sz w:val="20"/>
                <w:szCs w:val="20"/>
              </w:rPr>
              <w:t xml:space="preserve">insert </w:t>
            </w:r>
            <w:r w:rsidRPr="00D27BFA">
              <w:rPr>
                <w:rFonts w:ascii="Arial Narrow" w:hAnsi="Arial Narrow"/>
                <w:sz w:val="20"/>
                <w:szCs w:val="20"/>
              </w:rPr>
              <w:t>listing date]</w:t>
            </w:r>
          </w:p>
        </w:tc>
      </w:tr>
      <w:tr w:rsidR="0033637F" w:rsidRPr="00D27BFA" w14:paraId="161A9197"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033151C5" w14:textId="77777777" w:rsidR="0033637F" w:rsidRPr="00D27BFA" w:rsidRDefault="0033637F">
            <w:pPr>
              <w:rPr>
                <w:rFonts w:ascii="Arial Narrow" w:hAnsi="Arial Narrow"/>
                <w:b/>
                <w:bCs/>
                <w:sz w:val="20"/>
                <w:szCs w:val="20"/>
              </w:rPr>
            </w:pPr>
            <w:r w:rsidRPr="00D27BFA">
              <w:rPr>
                <w:rFonts w:ascii="Arial Narrow" w:hAnsi="Arial Narrow"/>
                <w:b/>
                <w:bCs/>
                <w:sz w:val="20"/>
                <w:szCs w:val="20"/>
              </w:rPr>
              <w:t>AND</w:t>
            </w:r>
          </w:p>
        </w:tc>
      </w:tr>
      <w:tr w:rsidR="0033637F" w:rsidRPr="00D27BFA" w14:paraId="748D02C1"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5D75355C" w14:textId="77777777" w:rsidR="0033637F" w:rsidRPr="00D27BFA" w:rsidRDefault="0033637F">
            <w:pPr>
              <w:rPr>
                <w:rFonts w:ascii="Arial Narrow" w:hAnsi="Arial Narrow"/>
                <w:b/>
                <w:bCs/>
                <w:sz w:val="20"/>
                <w:szCs w:val="20"/>
              </w:rPr>
            </w:pPr>
            <w:r w:rsidRPr="00D27BFA">
              <w:rPr>
                <w:rFonts w:ascii="Arial Narrow" w:hAnsi="Arial Narrow"/>
                <w:b/>
                <w:bCs/>
                <w:sz w:val="20"/>
                <w:szCs w:val="20"/>
              </w:rPr>
              <w:t>Clinical criteria:</w:t>
            </w:r>
          </w:p>
        </w:tc>
      </w:tr>
      <w:tr w:rsidR="0033637F" w:rsidRPr="00D27BFA" w14:paraId="34D16B4E"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4BE8960E" w14:textId="77777777" w:rsidR="0033637F" w:rsidRPr="00D27BFA" w:rsidRDefault="0033637F">
            <w:pPr>
              <w:rPr>
                <w:rFonts w:ascii="Arial Narrow" w:hAnsi="Arial Narrow"/>
                <w:b/>
                <w:bCs/>
                <w:sz w:val="20"/>
                <w:szCs w:val="20"/>
              </w:rPr>
            </w:pPr>
            <w:r w:rsidRPr="00D27BFA">
              <w:rPr>
                <w:rFonts w:ascii="Arial Narrow" w:hAnsi="Arial Narrow"/>
                <w:sz w:val="20"/>
                <w:szCs w:val="20"/>
              </w:rPr>
              <w:t>The condition must have progressed on or after treatment with a platinum-based chemotherapy (PBC)</w:t>
            </w:r>
          </w:p>
        </w:tc>
      </w:tr>
      <w:tr w:rsidR="0033637F" w:rsidRPr="00D27BFA" w14:paraId="36791906"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01D72A29" w14:textId="77777777" w:rsidR="0033637F" w:rsidRPr="00D27BFA" w:rsidRDefault="0033637F">
            <w:pPr>
              <w:rPr>
                <w:rFonts w:ascii="Arial Narrow" w:hAnsi="Arial Narrow"/>
                <w:b/>
                <w:bCs/>
                <w:sz w:val="20"/>
                <w:szCs w:val="20"/>
              </w:rPr>
            </w:pPr>
            <w:r w:rsidRPr="00D27BFA">
              <w:rPr>
                <w:rFonts w:ascii="Arial Narrow" w:hAnsi="Arial Narrow"/>
                <w:b/>
                <w:bCs/>
                <w:sz w:val="20"/>
                <w:szCs w:val="20"/>
              </w:rPr>
              <w:t>AND</w:t>
            </w:r>
          </w:p>
        </w:tc>
      </w:tr>
      <w:tr w:rsidR="0033637F" w:rsidRPr="00D27BFA" w14:paraId="7B86CC19"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4A50096F" w14:textId="77777777" w:rsidR="0033637F" w:rsidRPr="00D27BFA" w:rsidRDefault="0033637F">
            <w:pPr>
              <w:rPr>
                <w:rFonts w:ascii="Arial Narrow" w:hAnsi="Arial Narrow"/>
                <w:b/>
                <w:bCs/>
                <w:sz w:val="20"/>
                <w:szCs w:val="20"/>
              </w:rPr>
            </w:pPr>
            <w:r w:rsidRPr="00D27BFA">
              <w:rPr>
                <w:rFonts w:ascii="Arial Narrow" w:hAnsi="Arial Narrow"/>
                <w:b/>
                <w:bCs/>
                <w:sz w:val="20"/>
                <w:szCs w:val="20"/>
              </w:rPr>
              <w:t>Clinical criteria:</w:t>
            </w:r>
          </w:p>
        </w:tc>
      </w:tr>
      <w:tr w:rsidR="0033637F" w:rsidRPr="00D27BFA" w14:paraId="15DB8F1A"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23BC9CE4" w14:textId="77777777" w:rsidR="0033637F" w:rsidRPr="00D27BFA" w:rsidRDefault="0033637F">
            <w:pPr>
              <w:rPr>
                <w:rFonts w:ascii="Arial Narrow" w:hAnsi="Arial Narrow"/>
                <w:b/>
                <w:bCs/>
                <w:sz w:val="20"/>
                <w:szCs w:val="20"/>
              </w:rPr>
            </w:pPr>
            <w:r w:rsidRPr="00D27BFA">
              <w:rPr>
                <w:rFonts w:ascii="Arial Narrow" w:hAnsi="Arial Narrow"/>
                <w:sz w:val="20"/>
                <w:szCs w:val="20"/>
              </w:rPr>
              <w:t>The treatment must be the sole PBS-subsidised therapy for this condition.</w:t>
            </w:r>
          </w:p>
        </w:tc>
      </w:tr>
      <w:tr w:rsidR="0033637F" w:rsidRPr="00D27BFA" w14:paraId="40E1EC1A"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5C1C331E" w14:textId="77777777" w:rsidR="0033637F" w:rsidRPr="00D27BFA" w:rsidRDefault="0033637F">
            <w:pPr>
              <w:rPr>
                <w:rFonts w:ascii="Arial Narrow" w:hAnsi="Arial Narrow"/>
                <w:b/>
                <w:bCs/>
                <w:sz w:val="20"/>
                <w:szCs w:val="20"/>
              </w:rPr>
            </w:pPr>
            <w:r w:rsidRPr="00D27BFA">
              <w:rPr>
                <w:rFonts w:ascii="Arial Narrow" w:hAnsi="Arial Narrow"/>
                <w:b/>
                <w:bCs/>
                <w:sz w:val="20"/>
                <w:szCs w:val="20"/>
              </w:rPr>
              <w:t>AND</w:t>
            </w:r>
          </w:p>
        </w:tc>
      </w:tr>
      <w:tr w:rsidR="0033637F" w:rsidRPr="00D27BFA" w14:paraId="7658F3BF"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3BC1013A" w14:textId="77777777" w:rsidR="0033637F" w:rsidRPr="00D27BFA" w:rsidRDefault="0033637F">
            <w:pPr>
              <w:rPr>
                <w:rFonts w:ascii="Arial Narrow" w:hAnsi="Arial Narrow"/>
                <w:b/>
                <w:bCs/>
                <w:sz w:val="20"/>
                <w:szCs w:val="20"/>
              </w:rPr>
            </w:pPr>
            <w:r w:rsidRPr="00D27BFA">
              <w:rPr>
                <w:rFonts w:ascii="Arial Narrow" w:hAnsi="Arial Narrow"/>
                <w:b/>
                <w:bCs/>
                <w:sz w:val="20"/>
                <w:szCs w:val="20"/>
              </w:rPr>
              <w:t>Clinical criteria:</w:t>
            </w:r>
          </w:p>
        </w:tc>
      </w:tr>
      <w:tr w:rsidR="0033637F" w:rsidRPr="00D27BFA" w14:paraId="353C4B30"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0826028B" w14:textId="77777777" w:rsidR="0033637F" w:rsidRPr="00D27BFA" w:rsidRDefault="0033637F">
            <w:pPr>
              <w:rPr>
                <w:rFonts w:ascii="Arial Narrow" w:hAnsi="Arial Narrow"/>
                <w:b/>
                <w:bCs/>
                <w:sz w:val="20"/>
                <w:szCs w:val="20"/>
              </w:rPr>
            </w:pPr>
            <w:r w:rsidRPr="00D27BFA">
              <w:rPr>
                <w:rFonts w:ascii="Arial Narrow" w:hAnsi="Arial Narrow"/>
                <w:sz w:val="20"/>
                <w:szCs w:val="20"/>
              </w:rPr>
              <w:t>Patient must not have developed disease progression while being treated with this drug for this condition.</w:t>
            </w:r>
          </w:p>
        </w:tc>
      </w:tr>
      <w:tr w:rsidR="0033637F" w:rsidRPr="00D27BFA" w14:paraId="17F8D45F" w14:textId="77777777" w:rsidTr="0033637F">
        <w:tblPrEx>
          <w:tblCellMar>
            <w:top w:w="15" w:type="dxa"/>
            <w:bottom w:w="15" w:type="dxa"/>
          </w:tblCellMar>
          <w:tblLook w:val="04A0" w:firstRow="1" w:lastRow="0" w:firstColumn="1" w:lastColumn="0" w:noHBand="0" w:noVBand="1"/>
        </w:tblPrEx>
        <w:trPr>
          <w:cantSplit/>
          <w:trHeight w:val="20"/>
        </w:trPr>
        <w:tc>
          <w:tcPr>
            <w:tcW w:w="9067" w:type="dxa"/>
            <w:gridSpan w:val="5"/>
            <w:vAlign w:val="center"/>
          </w:tcPr>
          <w:p w14:paraId="30750EEE" w14:textId="77777777" w:rsidR="0033637F" w:rsidRPr="00D27BFA" w:rsidRDefault="0033637F">
            <w:pPr>
              <w:rPr>
                <w:rFonts w:ascii="Arial Narrow" w:hAnsi="Arial Narrow"/>
                <w:b/>
                <w:bCs/>
                <w:sz w:val="20"/>
                <w:szCs w:val="20"/>
              </w:rPr>
            </w:pPr>
            <w:r w:rsidRPr="00D27BFA">
              <w:rPr>
                <w:rFonts w:ascii="Arial Narrow" w:hAnsi="Arial Narrow"/>
                <w:b/>
                <w:bCs/>
                <w:sz w:val="20"/>
                <w:szCs w:val="20"/>
              </w:rPr>
              <w:t xml:space="preserve">Prescribing Instructions: </w:t>
            </w:r>
          </w:p>
          <w:p w14:paraId="15CA9668" w14:textId="77777777" w:rsidR="0033637F" w:rsidRPr="00D27BFA" w:rsidRDefault="0033637F">
            <w:pPr>
              <w:rPr>
                <w:rFonts w:ascii="Arial Narrow" w:hAnsi="Arial Narrow"/>
                <w:b/>
                <w:bCs/>
                <w:sz w:val="20"/>
                <w:szCs w:val="20"/>
              </w:rPr>
            </w:pPr>
            <w:r w:rsidRPr="00D27BFA">
              <w:rPr>
                <w:rFonts w:ascii="Arial Narrow" w:hAnsi="Arial Narrow"/>
                <w:sz w:val="20"/>
                <w:szCs w:val="20"/>
              </w:rPr>
              <w:t>This drug is not PBS-subsidised if it is administered to an in-patient in a public hospital setting</w:t>
            </w:r>
          </w:p>
        </w:tc>
      </w:tr>
    </w:tbl>
    <w:p w14:paraId="4ECA649D" w14:textId="77777777" w:rsidR="00985D6F" w:rsidRDefault="00985D6F" w:rsidP="002E7962">
      <w:pPr>
        <w:pStyle w:val="COMESnumberedpara"/>
        <w:numPr>
          <w:ilvl w:val="0"/>
          <w:numId w:val="0"/>
        </w:numPr>
      </w:pPr>
    </w:p>
    <w:p w14:paraId="3CC97BA2" w14:textId="2048C68F" w:rsidR="006E68B8" w:rsidRPr="00C35E03" w:rsidRDefault="00171DDE" w:rsidP="00B666F9">
      <w:pPr>
        <w:pStyle w:val="COMESnumberedpara"/>
      </w:pPr>
      <w:bookmarkStart w:id="9" w:name="_Ref226643887"/>
      <w:r>
        <w:t xml:space="preserve">The </w:t>
      </w:r>
      <w:r w:rsidR="00B666F9">
        <w:t>s</w:t>
      </w:r>
      <w:r>
        <w:t xml:space="preserve">ubmission proposed an </w:t>
      </w:r>
      <w:r w:rsidR="00732C8A">
        <w:t>effective ex-manu</w:t>
      </w:r>
      <w:r w:rsidR="007E5B48">
        <w:t xml:space="preserve">facturer price (EMP) of </w:t>
      </w:r>
      <w:r w:rsidR="00580BB5">
        <w:t>$</w:t>
      </w:r>
      <w:r w:rsidR="003D0BC2" w:rsidRPr="003D0BC2">
        <w:rPr>
          <w:sz w:val="2"/>
          <w:highlight w:val="black"/>
        </w:rPr>
        <w:t>redacted content</w:t>
      </w:r>
      <w:r w:rsidR="00580BB5">
        <w:t xml:space="preserve"> per 1 mg </w:t>
      </w:r>
      <w:r w:rsidR="0009215B">
        <w:t xml:space="preserve">vial </w:t>
      </w:r>
      <w:r w:rsidR="00B666F9">
        <w:t>$</w:t>
      </w:r>
      <w:r w:rsidR="003D0BC2" w:rsidRPr="003D0BC2">
        <w:rPr>
          <w:sz w:val="2"/>
          <w:highlight w:val="black"/>
        </w:rPr>
        <w:t>redacted content</w:t>
      </w:r>
      <w:r w:rsidR="00B666F9">
        <w:t xml:space="preserve"> per 10 mg vial</w:t>
      </w:r>
      <w:r w:rsidR="00327A73">
        <w:t>)</w:t>
      </w:r>
      <w:r w:rsidR="00B666F9">
        <w:t xml:space="preserve">. </w:t>
      </w:r>
      <w:r w:rsidR="0009665D">
        <w:t xml:space="preserve">The Pre-PBAC Response </w:t>
      </w:r>
      <w:r w:rsidR="00614033">
        <w:t xml:space="preserve">proposed a revised </w:t>
      </w:r>
      <w:r w:rsidR="000A356A">
        <w:t xml:space="preserve">effective </w:t>
      </w:r>
      <w:r w:rsidR="00614033">
        <w:t xml:space="preserve">price and </w:t>
      </w:r>
      <w:r w:rsidR="000A356A">
        <w:t xml:space="preserve">a </w:t>
      </w:r>
      <w:r w:rsidR="00614033">
        <w:t>special pricing arrangement for tarlatamab</w:t>
      </w:r>
      <w:r w:rsidR="00790460">
        <w:t xml:space="preserve">. </w:t>
      </w:r>
      <w:r w:rsidR="007C7967">
        <w:t>The Pre-PBAC Response proposed a</w:t>
      </w:r>
      <w:r w:rsidR="00132317">
        <w:t xml:space="preserve"> published </w:t>
      </w:r>
      <w:r w:rsidR="004911CD">
        <w:t>EMP</w:t>
      </w:r>
      <w:r w:rsidR="00892857">
        <w:t xml:space="preserve"> of $</w:t>
      </w:r>
      <w:r w:rsidR="003D0BC2" w:rsidRPr="003D0BC2">
        <w:rPr>
          <w:sz w:val="2"/>
          <w:highlight w:val="black"/>
        </w:rPr>
        <w:t>redacted content</w:t>
      </w:r>
      <w:r w:rsidR="00300345">
        <w:t xml:space="preserve"> per 1 mg vial ($</w:t>
      </w:r>
      <w:r w:rsidR="003D0BC2" w:rsidRPr="003D0BC2">
        <w:rPr>
          <w:sz w:val="2"/>
          <w:highlight w:val="black"/>
        </w:rPr>
        <w:t>redacted content</w:t>
      </w:r>
      <w:r w:rsidR="00300345">
        <w:t xml:space="preserve"> per 10 mg vial)</w:t>
      </w:r>
      <w:r w:rsidR="001D7562">
        <w:t xml:space="preserve"> and </w:t>
      </w:r>
      <w:r w:rsidR="00132317">
        <w:t>an effective EMP of $</w:t>
      </w:r>
      <w:r w:rsidR="003D0BC2" w:rsidRPr="003D0BC2">
        <w:rPr>
          <w:sz w:val="2"/>
          <w:highlight w:val="black"/>
        </w:rPr>
        <w:t>redacted content</w:t>
      </w:r>
      <w:r w:rsidR="00132317">
        <w:t xml:space="preserve"> per 1 mg vial (</w:t>
      </w:r>
      <w:r w:rsidR="005940F6">
        <w:t>$</w:t>
      </w:r>
      <w:r w:rsidR="003D0BC2" w:rsidRPr="003D0BC2">
        <w:rPr>
          <w:sz w:val="2"/>
          <w:highlight w:val="black"/>
        </w:rPr>
        <w:t>redacted content</w:t>
      </w:r>
      <w:r w:rsidR="005940F6">
        <w:t xml:space="preserve"> per 10 mg vial).</w:t>
      </w:r>
      <w:bookmarkEnd w:id="9"/>
      <w:r w:rsidR="005940F6">
        <w:t xml:space="preserve"> </w:t>
      </w:r>
    </w:p>
    <w:p w14:paraId="58913BF2" w14:textId="4FDC7A50" w:rsidR="00AD4AEF" w:rsidRPr="00726F37" w:rsidRDefault="00AD4AEF" w:rsidP="00AD4AEF">
      <w:pPr>
        <w:pStyle w:val="COMESnumberedpara"/>
        <w:rPr>
          <w:color w:val="0066FF"/>
        </w:rPr>
      </w:pPr>
      <w:bookmarkStart w:id="10" w:name="_Ref226545510"/>
      <w:r w:rsidRPr="00726F37">
        <w:t>The requested restriction is narrower than the proposed TGA indication, which does not limit treatment to extensive stage disease. The key trial, DeLLphi-304, enrolled patients with Stage II SCLC (&lt;0.5%) and Stage III SCLC (7.6%), with an unknown proportion of patients with Stage III SCLC meeting the criteria for ES-SCLC.</w:t>
      </w:r>
      <w:r w:rsidRPr="00BD0037">
        <w:t xml:space="preserve"> </w:t>
      </w:r>
      <w:r w:rsidR="007F6751" w:rsidRPr="00BD0037">
        <w:t xml:space="preserve">The </w:t>
      </w:r>
      <w:r w:rsidR="007F6751" w:rsidRPr="00BD0037">
        <w:lastRenderedPageBreak/>
        <w:t>evaluation considered that</w:t>
      </w:r>
      <w:r w:rsidR="00152F5B" w:rsidRPr="00BD0037">
        <w:t xml:space="preserve"> there</w:t>
      </w:r>
      <w:r w:rsidR="007F6751" w:rsidRPr="007F6751">
        <w:rPr>
          <w:i/>
          <w:iCs/>
        </w:rPr>
        <w:t xml:space="preserve"> </w:t>
      </w:r>
      <w:r w:rsidRPr="00726F37">
        <w:t>is a risk that tarlatamab may be used outside the proposed restriction in patients with limited stage SCLC.</w:t>
      </w:r>
      <w:r w:rsidR="00DB0572">
        <w:t xml:space="preserve"> </w:t>
      </w:r>
      <w:bookmarkEnd w:id="10"/>
    </w:p>
    <w:p w14:paraId="4090CF32" w14:textId="5FE8DF22" w:rsidR="00232A99" w:rsidRDefault="00AD4AEF" w:rsidP="00232A99">
      <w:pPr>
        <w:pStyle w:val="COMESnumberedpara"/>
      </w:pPr>
      <w:bookmarkStart w:id="11" w:name="_Ref226546125"/>
      <w:r w:rsidRPr="00726F37">
        <w:t xml:space="preserve">The requested restriction </w:t>
      </w:r>
      <w:r w:rsidR="00B54CB7">
        <w:t xml:space="preserve">includes a stopping rule </w:t>
      </w:r>
      <w:r w:rsidRPr="00726F37">
        <w:t>exclud</w:t>
      </w:r>
      <w:r w:rsidR="00B54CB7">
        <w:t>ing</w:t>
      </w:r>
      <w:r w:rsidRPr="00726F37">
        <w:t xml:space="preserve"> treatment with PBS subsidised tarlatamab after disease progression. This </w:t>
      </w:r>
      <w:r w:rsidR="007C1012">
        <w:t>differed from</w:t>
      </w:r>
      <w:r w:rsidR="0020589A">
        <w:t xml:space="preserve"> </w:t>
      </w:r>
      <w:r w:rsidRPr="00726F37">
        <w:t xml:space="preserve">the proposed TGA indication, which does not exclude treatment after further disease progression, and the DeLLphi-304 </w:t>
      </w:r>
      <w:r w:rsidR="00945637" w:rsidRPr="00726F37">
        <w:t>trial</w:t>
      </w:r>
      <w:r w:rsidRPr="00726F37">
        <w:t xml:space="preserve"> which allowed post-progression treatment with tarlatamab </w:t>
      </w:r>
      <w:r w:rsidR="00527576" w:rsidRPr="00726F37">
        <w:t>(</w:t>
      </w:r>
      <w:r w:rsidRPr="00726F37">
        <w:t xml:space="preserve">approximately 40% of </w:t>
      </w:r>
      <w:r w:rsidR="00527576" w:rsidRPr="00726F37">
        <w:t xml:space="preserve">tarlatamab </w:t>
      </w:r>
      <w:r w:rsidRPr="00726F37">
        <w:t>patients</w:t>
      </w:r>
      <w:r w:rsidR="00527576" w:rsidRPr="00726F37">
        <w:t>)</w:t>
      </w:r>
      <w:r w:rsidRPr="00726F37">
        <w:t>.</w:t>
      </w:r>
      <w:r w:rsidR="00BB2887">
        <w:t xml:space="preserve"> </w:t>
      </w:r>
      <w:r w:rsidR="00900E76">
        <w:t>The PBAC considered that the proposed stopping rule was reasonable.</w:t>
      </w:r>
      <w:bookmarkEnd w:id="11"/>
    </w:p>
    <w:p w14:paraId="75BC3AD8" w14:textId="36F08B74" w:rsidR="00232A99" w:rsidRPr="00232A99" w:rsidRDefault="00232A99" w:rsidP="00232A99">
      <w:pPr>
        <w:pStyle w:val="COMESnumberedpara"/>
      </w:pPr>
      <w:bookmarkStart w:id="12" w:name="_Ref226550296"/>
      <w:r w:rsidRPr="00232A99">
        <w:rPr>
          <w:lang w:val="en-US" w:eastAsia="en-GB"/>
        </w:rPr>
        <w:t>Reflecting tarlatamab’s positioning as a</w:t>
      </w:r>
      <w:r w:rsidR="0015706D">
        <w:rPr>
          <w:lang w:val="en-US" w:eastAsia="en-GB"/>
        </w:rPr>
        <w:t xml:space="preserve"> second or subsequent </w:t>
      </w:r>
      <w:r w:rsidRPr="00232A99">
        <w:rPr>
          <w:lang w:val="en-US" w:eastAsia="en-GB"/>
        </w:rPr>
        <w:t xml:space="preserve">therapy for ES-SCLC, the proposed restrictions require that patients must have progressed on or after </w:t>
      </w:r>
      <w:r w:rsidR="00D8234E">
        <w:rPr>
          <w:lang w:val="en-US" w:eastAsia="en-GB"/>
        </w:rPr>
        <w:t>platinum-based chemotherapy (</w:t>
      </w:r>
      <w:r w:rsidRPr="00232A99">
        <w:rPr>
          <w:lang w:val="en-US" w:eastAsia="en-GB"/>
        </w:rPr>
        <w:t>PBC</w:t>
      </w:r>
      <w:r w:rsidR="00D8234E">
        <w:rPr>
          <w:lang w:val="en-US" w:eastAsia="en-GB"/>
        </w:rPr>
        <w:t>)</w:t>
      </w:r>
      <w:r w:rsidRPr="00232A99">
        <w:rPr>
          <w:lang w:val="en-US" w:eastAsia="en-GB"/>
        </w:rPr>
        <w:t xml:space="preserve">. </w:t>
      </w:r>
      <w:r w:rsidR="00843900">
        <w:rPr>
          <w:lang w:val="en-US" w:eastAsia="en-GB"/>
        </w:rPr>
        <w:t xml:space="preserve">The restriction </w:t>
      </w:r>
      <w:r w:rsidR="00887840">
        <w:rPr>
          <w:lang w:val="en-US" w:eastAsia="en-GB"/>
        </w:rPr>
        <w:t xml:space="preserve">precludes access </w:t>
      </w:r>
      <w:r w:rsidR="006B21CA">
        <w:rPr>
          <w:lang w:val="en-US" w:eastAsia="en-GB"/>
        </w:rPr>
        <w:t>to patients</w:t>
      </w:r>
      <w:r w:rsidR="00467E74">
        <w:rPr>
          <w:lang w:val="en-US" w:eastAsia="en-GB"/>
        </w:rPr>
        <w:t xml:space="preserve"> </w:t>
      </w:r>
      <w:r w:rsidRPr="00232A99">
        <w:rPr>
          <w:lang w:val="en-US" w:eastAsia="en-GB"/>
        </w:rPr>
        <w:t>with a clinical contraindication or intolerance to PBC</w:t>
      </w:r>
      <w:r w:rsidR="00467E74">
        <w:rPr>
          <w:lang w:val="en-US" w:eastAsia="en-GB"/>
        </w:rPr>
        <w:t>. The PBAC considered that this was appropriate</w:t>
      </w:r>
      <w:r w:rsidR="009B28FA">
        <w:rPr>
          <w:lang w:val="en-US" w:eastAsia="en-GB"/>
        </w:rPr>
        <w:t xml:space="preserve">, noting that </w:t>
      </w:r>
      <w:r w:rsidR="00C73707">
        <w:rPr>
          <w:lang w:val="en-US" w:eastAsia="en-GB"/>
        </w:rPr>
        <w:t>contraindications to PB</w:t>
      </w:r>
      <w:r w:rsidR="00527DE2">
        <w:rPr>
          <w:lang w:val="en-US" w:eastAsia="en-GB"/>
        </w:rPr>
        <w:t>C</w:t>
      </w:r>
      <w:r w:rsidR="00C73707">
        <w:rPr>
          <w:lang w:val="en-US" w:eastAsia="en-GB"/>
        </w:rPr>
        <w:t xml:space="preserve"> are rare</w:t>
      </w:r>
      <w:r w:rsidR="00BF3386">
        <w:rPr>
          <w:lang w:val="en-US" w:eastAsia="en-GB"/>
        </w:rPr>
        <w:t>.</w:t>
      </w:r>
      <w:bookmarkEnd w:id="12"/>
    </w:p>
    <w:p w14:paraId="74B0E402" w14:textId="43499FE1" w:rsidR="00055AB6" w:rsidRPr="008E3C0B" w:rsidRDefault="00265A5D" w:rsidP="00055AB6">
      <w:pPr>
        <w:pStyle w:val="COMESnumberedpara"/>
      </w:pPr>
      <w:bookmarkStart w:id="13" w:name="_Ref226546600"/>
      <w:r w:rsidRPr="00726F37">
        <w:t>In the requested initial treatment restriction, the submission proposed 2 alternative prescribing instructions for monitoring tarlatamab due to the risks of cytokine release syndrome (CRS) and neurological toxicity, based on the current and proposed TGA Product Information</w:t>
      </w:r>
      <w:r w:rsidR="00EF0ED0">
        <w:t xml:space="preserve"> (PI)</w:t>
      </w:r>
      <w:r w:rsidRPr="00726F37">
        <w:t xml:space="preserve"> documents. The draft </w:t>
      </w:r>
      <w:r w:rsidR="005D4C40">
        <w:t xml:space="preserve">PI </w:t>
      </w:r>
      <w:r w:rsidRPr="00726F37">
        <w:t>reduces the monitoring requirements following the first dose of tarlatamab from 16 to 1</w:t>
      </w:r>
      <w:r w:rsidRPr="00726F37">
        <w:rPr>
          <w:rFonts w:cstheme="minorHAnsi"/>
        </w:rPr>
        <w:t>–</w:t>
      </w:r>
      <w:r w:rsidRPr="00726F37">
        <w:t xml:space="preserve">2 hours, based on findings from a sub-study of the DeLLphi-304 trial. </w:t>
      </w:r>
      <w:r w:rsidR="00D9455F" w:rsidRPr="00BD0037">
        <w:t>In the DeLLphi-304 trial, monitoring was required on Days 1 and 8 for 48 hours initially, which was subsequently reduced to 6 to 8 hours. The DeLLphi-304 clinical study report</w:t>
      </w:r>
      <w:r w:rsidR="00E04E44" w:rsidRPr="00BD0037">
        <w:t xml:space="preserve"> (CSR)</w:t>
      </w:r>
      <w:r w:rsidR="00D9455F" w:rsidRPr="00BD0037">
        <w:t xml:space="preserve"> noted that the reduced duration of monitoring did not alter the established </w:t>
      </w:r>
      <w:r w:rsidR="001D011E" w:rsidRPr="00BD0037">
        <w:t>CRS</w:t>
      </w:r>
      <w:r w:rsidR="00D9455F" w:rsidRPr="00BD0037">
        <w:t xml:space="preserve"> profile of tarlatamab including severity, time to intervention, time to resolution, and the outcome.</w:t>
      </w:r>
      <w:r w:rsidR="00F04AFF" w:rsidRPr="00BD0037">
        <w:t xml:space="preserve"> </w:t>
      </w:r>
      <w:r w:rsidR="005D4C40" w:rsidRPr="00BD0037">
        <w:t>The proposed change to</w:t>
      </w:r>
      <w:r w:rsidR="0014050E" w:rsidRPr="00BD0037">
        <w:t xml:space="preserve"> the</w:t>
      </w:r>
      <w:r w:rsidR="00CC3B21" w:rsidRPr="00BD0037">
        <w:t xml:space="preserve"> </w:t>
      </w:r>
      <w:r w:rsidR="0083094B" w:rsidRPr="00BD0037">
        <w:t xml:space="preserve">monitoring requirements </w:t>
      </w:r>
      <w:r w:rsidR="005D4C40" w:rsidRPr="00BD0037">
        <w:t xml:space="preserve">in the PI </w:t>
      </w:r>
      <w:r w:rsidR="0014050E" w:rsidRPr="00BD0037">
        <w:t>have not yet been accepted by the TGA</w:t>
      </w:r>
      <w:r w:rsidR="0016198C" w:rsidRPr="00BD0037">
        <w:t xml:space="preserve"> and the Delegate’s overview </w:t>
      </w:r>
      <w:r w:rsidR="00DD374D">
        <w:t>was not available at the time of</w:t>
      </w:r>
      <w:r w:rsidR="0016198C" w:rsidRPr="00BD0037">
        <w:t xml:space="preserve"> PBAC consideration (</w:t>
      </w:r>
      <w:r w:rsidR="00DD374D">
        <w:t xml:space="preserve">expected due date: </w:t>
      </w:r>
      <w:r w:rsidR="0016198C" w:rsidRPr="00BD0037">
        <w:t>7 July 2026</w:t>
      </w:r>
      <w:r w:rsidR="0016198C" w:rsidRPr="00734369">
        <w:t>).</w:t>
      </w:r>
      <w:r w:rsidR="00A95FD9" w:rsidRPr="00734369">
        <w:t xml:space="preserve"> </w:t>
      </w:r>
      <w:r w:rsidR="00AA69C5" w:rsidRPr="00734369">
        <w:t xml:space="preserve">The </w:t>
      </w:r>
      <w:r w:rsidR="00D92312" w:rsidRPr="00734369">
        <w:t xml:space="preserve">PBAC </w:t>
      </w:r>
      <w:r w:rsidR="00015622" w:rsidRPr="00734369">
        <w:t>considered</w:t>
      </w:r>
      <w:r w:rsidR="00374DE1" w:rsidRPr="00734369">
        <w:t xml:space="preserve"> </w:t>
      </w:r>
      <w:r w:rsidR="003E127F" w:rsidRPr="00734369">
        <w:t>that</w:t>
      </w:r>
      <w:r w:rsidR="00553884" w:rsidRPr="00734369">
        <w:t xml:space="preserve"> the</w:t>
      </w:r>
      <w:r w:rsidR="00402B74" w:rsidRPr="00734369">
        <w:t xml:space="preserve"> </w:t>
      </w:r>
      <w:r w:rsidR="00191EE5" w:rsidRPr="00734369">
        <w:t>prescribing instruction</w:t>
      </w:r>
      <w:r w:rsidR="007D1921" w:rsidRPr="00734369">
        <w:t xml:space="preserve"> </w:t>
      </w:r>
      <w:r w:rsidR="003A2540" w:rsidRPr="00734369">
        <w:t>outlining</w:t>
      </w:r>
      <w:r w:rsidR="007D1921" w:rsidRPr="00734369">
        <w:t xml:space="preserve"> </w:t>
      </w:r>
      <w:r w:rsidR="00553884" w:rsidRPr="00734369">
        <w:t>monitoring requirements</w:t>
      </w:r>
      <w:r w:rsidR="00102C61" w:rsidRPr="00734369">
        <w:t xml:space="preserve"> should be</w:t>
      </w:r>
      <w:r w:rsidR="00553884" w:rsidRPr="00734369">
        <w:t xml:space="preserve"> </w:t>
      </w:r>
      <w:r w:rsidR="003A2540" w:rsidRPr="00734369">
        <w:t>consistent</w:t>
      </w:r>
      <w:r w:rsidR="00553884" w:rsidRPr="00734369">
        <w:t xml:space="preserve"> with the current TGA approved PI</w:t>
      </w:r>
      <w:r w:rsidR="008E3C0B">
        <w:t xml:space="preserve">, i.e. </w:t>
      </w:r>
      <w:r w:rsidR="00B52E81">
        <w:t>‘</w:t>
      </w:r>
      <w:r w:rsidR="008E3C0B" w:rsidRPr="008E3C0B">
        <w:t>Monitor patients from the start of the infusion for 16 hours on Cycle 1 Day 1 in an appropriate healthcare setting</w:t>
      </w:r>
      <w:r w:rsidR="00B52E81">
        <w:t>’</w:t>
      </w:r>
      <w:r w:rsidR="0090013A">
        <w:t xml:space="preserve">, </w:t>
      </w:r>
      <w:r w:rsidR="00DB1CA8">
        <w:t xml:space="preserve">and </w:t>
      </w:r>
      <w:r w:rsidR="00DE470A">
        <w:t xml:space="preserve">agreed with the </w:t>
      </w:r>
      <w:r w:rsidR="0023251A">
        <w:t xml:space="preserve">submission that </w:t>
      </w:r>
      <w:r w:rsidR="00DB1CA8">
        <w:t>a hospital is the best placed setting in this circumstance.</w:t>
      </w:r>
      <w:bookmarkEnd w:id="13"/>
      <w:r w:rsidR="00D103C6">
        <w:t xml:space="preserve"> </w:t>
      </w:r>
    </w:p>
    <w:p w14:paraId="6902A7C8" w14:textId="5A836ABC" w:rsidR="00265A5D" w:rsidRPr="00726F37" w:rsidRDefault="00265A5D" w:rsidP="00BB3394">
      <w:pPr>
        <w:pStyle w:val="COMESnumberedpara"/>
        <w:numPr>
          <w:ilvl w:val="0"/>
          <w:numId w:val="0"/>
        </w:numPr>
        <w:rPr>
          <w:color w:val="0066FF"/>
        </w:rPr>
      </w:pPr>
    </w:p>
    <w:p w14:paraId="3F0A3F82" w14:textId="67478DAE" w:rsidR="00055AB6" w:rsidRDefault="00945A9A" w:rsidP="00055AB6">
      <w:pPr>
        <w:pStyle w:val="COMESnumberedpara"/>
      </w:pPr>
      <w:bookmarkStart w:id="14" w:name="_Ref226546700"/>
      <w:r w:rsidRPr="00726F37">
        <w:t xml:space="preserve">The proposed clinical criteria limiting tarlatamab to second-line and subsequent therapy is consistent with the key DeLLphi-304 trial, which enrolled patients whose disease had progressed or recurred after a platinum-based regimen. However, the DeLLphi-304 trial enrolled patients with a baseline Eastern Cooperative Oncology Group (ECOG) performance score of 0 or 1, and an estimated life expectancy of more than 12 weeks; requirements not included in the clinical criteria of the requested restriction. </w:t>
      </w:r>
      <w:r w:rsidRPr="00BD0037">
        <w:t>Th</w:t>
      </w:r>
      <w:r w:rsidR="00CF195B" w:rsidRPr="00BD0037">
        <w:t>e evaluation considered that th</w:t>
      </w:r>
      <w:r w:rsidRPr="00BD0037">
        <w:t xml:space="preserve">ese differences, and the exclusion of limited-stage disease, may result in patients with a poorer prognosis being treated with </w:t>
      </w:r>
      <w:r w:rsidRPr="007F6C15">
        <w:t>tarlatamab on the PBS compared to patients in the DeLLphi-304 trial</w:t>
      </w:r>
      <w:r w:rsidR="003D107F" w:rsidRPr="007F6C15">
        <w:t xml:space="preserve"> (see </w:t>
      </w:r>
      <w:r w:rsidR="009B51AC" w:rsidRPr="007F6C15">
        <w:t>paragraph</w:t>
      </w:r>
      <w:r w:rsidR="00615E52" w:rsidRPr="007F6C15">
        <w:t xml:space="preserve"> </w:t>
      </w:r>
      <w:r w:rsidR="00615E52" w:rsidRPr="007F6C15">
        <w:fldChar w:fldCharType="begin"/>
      </w:r>
      <w:r w:rsidR="00615E52" w:rsidRPr="007F6C15">
        <w:instrText xml:space="preserve"> REF _Ref222583133 \r \h </w:instrText>
      </w:r>
      <w:r w:rsidR="00BD0037" w:rsidRPr="007F6C15">
        <w:instrText xml:space="preserve"> \* MERGEFORMAT </w:instrText>
      </w:r>
      <w:r w:rsidR="00615E52" w:rsidRPr="007F6C15">
        <w:fldChar w:fldCharType="separate"/>
      </w:r>
      <w:r w:rsidR="00D23029">
        <w:t>6.46</w:t>
      </w:r>
      <w:r w:rsidR="00615E52" w:rsidRPr="007F6C15">
        <w:fldChar w:fldCharType="end"/>
      </w:r>
      <w:r w:rsidR="003D107F" w:rsidRPr="007F6C15">
        <w:t xml:space="preserve"> for further detail on this topic</w:t>
      </w:r>
      <w:r w:rsidR="00615E52" w:rsidRPr="007F6C15">
        <w:t>).</w:t>
      </w:r>
      <w:r w:rsidR="009B51AC" w:rsidRPr="007F6C15">
        <w:t xml:space="preserve"> </w:t>
      </w:r>
      <w:r w:rsidR="00A754F8" w:rsidRPr="007F6C15">
        <w:rPr>
          <w:rFonts w:eastAsia="Calibri"/>
        </w:rPr>
        <w:t>T</w:t>
      </w:r>
      <w:r w:rsidR="00261D7F" w:rsidRPr="007F6C15">
        <w:rPr>
          <w:rFonts w:eastAsia="Calibri"/>
        </w:rPr>
        <w:t>he ESC</w:t>
      </w:r>
      <w:r w:rsidR="00A754F8" w:rsidRPr="007F6C15">
        <w:rPr>
          <w:rFonts w:eastAsia="Calibri"/>
        </w:rPr>
        <w:t xml:space="preserve"> considered the generalisability </w:t>
      </w:r>
      <w:r w:rsidR="00A754F8" w:rsidRPr="007F6C15">
        <w:rPr>
          <w:rFonts w:eastAsia="Calibri"/>
        </w:rPr>
        <w:lastRenderedPageBreak/>
        <w:t xml:space="preserve">of the trial to the </w:t>
      </w:r>
      <w:r w:rsidR="00C62A2B" w:rsidRPr="007F6C15">
        <w:rPr>
          <w:rFonts w:eastAsia="Calibri"/>
        </w:rPr>
        <w:t>proposed population was likely reasonable</w:t>
      </w:r>
      <w:r w:rsidR="0033638A" w:rsidRPr="007F6C15">
        <w:rPr>
          <w:rFonts w:eastAsia="Calibri"/>
        </w:rPr>
        <w:t xml:space="preserve">. However, the ESC </w:t>
      </w:r>
      <w:r w:rsidR="00783E0D" w:rsidRPr="007F6C15">
        <w:rPr>
          <w:rFonts w:eastAsia="Calibri"/>
        </w:rPr>
        <w:t>considered that</w:t>
      </w:r>
      <w:r w:rsidR="00783E0D" w:rsidRPr="00BD0037">
        <w:rPr>
          <w:rFonts w:eastAsia="Calibri"/>
        </w:rPr>
        <w:t xml:space="preserve"> the</w:t>
      </w:r>
      <w:r w:rsidR="0033638A" w:rsidRPr="00BD0037">
        <w:rPr>
          <w:rFonts w:eastAsia="Calibri"/>
        </w:rPr>
        <w:t xml:space="preserve"> inclusion of a criterion requiring patients to have a performance status of 0 or 1 in the proposed restriction may be appropriate.</w:t>
      </w:r>
      <w:bookmarkEnd w:id="14"/>
    </w:p>
    <w:p w14:paraId="5FA16349" w14:textId="73E21831" w:rsidR="00E73A4F" w:rsidRDefault="00011959" w:rsidP="00055AB6">
      <w:pPr>
        <w:pStyle w:val="COMESnumberedpara"/>
      </w:pPr>
      <w:bookmarkStart w:id="15" w:name="_Ref226547111"/>
      <w:r w:rsidRPr="00BD0037">
        <w:t xml:space="preserve">The submission requested a maximum amount of 1 mg (i.e., 1 vial) with no repeats for the initial listing and a maximum amount of 10 mg (i.e., 1 vial) with 6 repeats for the continuing and grandfather listings. The submission noted that no repeats are proposed or needed for the initial therapy, since it accommodates for the 1 mg step dose administered on day 1. For the continuing treatment phase, the submission stated that 6 repeats would align with existing listings for PD-L1 inhibitor drugs that provide sufficient repeats for either 3 x 3 weekly cycles (i.e. 9 weeks of therapy) or </w:t>
      </w:r>
      <w:r w:rsidR="00AC0A26" w:rsidRPr="00BD0037">
        <w:t>3</w:t>
      </w:r>
      <w:r w:rsidRPr="00BD0037">
        <w:t xml:space="preserve"> x 4 weekly cycles (i.e. 12 weeks of therapy). </w:t>
      </w:r>
      <w:r w:rsidR="000567F0" w:rsidRPr="00BD0037">
        <w:t xml:space="preserve">The ESC noted that </w:t>
      </w:r>
      <w:r w:rsidR="008053DE" w:rsidRPr="00BD0037">
        <w:t>6 repeats would allow for</w:t>
      </w:r>
      <w:r w:rsidR="00F532AE" w:rsidRPr="00BD0037">
        <w:t xml:space="preserve"> 7 x </w:t>
      </w:r>
      <w:r w:rsidR="00A4496D" w:rsidRPr="00BD0037">
        <w:t xml:space="preserve">2 weekly cycles (i.e. 14 weeks of therapy) and considered that </w:t>
      </w:r>
      <w:r w:rsidR="00DF342E" w:rsidRPr="00BD0037">
        <w:t xml:space="preserve">the number of repeats could be reduced, </w:t>
      </w:r>
      <w:r w:rsidR="00651892" w:rsidRPr="00BD0037">
        <w:t xml:space="preserve">given the median time to </w:t>
      </w:r>
      <w:r w:rsidR="000E5778" w:rsidRPr="00BD0037">
        <w:t xml:space="preserve">a </w:t>
      </w:r>
      <w:r w:rsidR="00651892" w:rsidRPr="00BD0037">
        <w:t xml:space="preserve">response </w:t>
      </w:r>
      <w:r w:rsidR="00215CFC" w:rsidRPr="00BD0037">
        <w:t xml:space="preserve">for tarlatamab is </w:t>
      </w:r>
      <w:r w:rsidR="000E5778" w:rsidRPr="00BD0037">
        <w:t>6 weeks</w:t>
      </w:r>
      <w:r w:rsidR="00AE5BAC">
        <w:t xml:space="preserve">, based on both </w:t>
      </w:r>
      <w:r w:rsidR="00201F40">
        <w:t>the De</w:t>
      </w:r>
      <w:r w:rsidR="00F62A65">
        <w:t>LL</w:t>
      </w:r>
      <w:r w:rsidR="00B3076E">
        <w:t>phi-301 and De</w:t>
      </w:r>
      <w:r w:rsidR="00F62A65">
        <w:t>LL</w:t>
      </w:r>
      <w:r w:rsidR="00B3076E">
        <w:t xml:space="preserve">phi-304 </w:t>
      </w:r>
      <w:r w:rsidR="00BD2A7D">
        <w:t xml:space="preserve">clinical </w:t>
      </w:r>
      <w:r w:rsidR="00B3076E">
        <w:t>trials</w:t>
      </w:r>
      <w:r w:rsidR="005354DD">
        <w:t xml:space="preserve"> </w:t>
      </w:r>
      <w:r w:rsidR="00F62A65">
        <w:t>(</w:t>
      </w:r>
      <w:r w:rsidR="005C32AC">
        <w:t xml:space="preserve">paragraphs </w:t>
      </w:r>
      <w:r w:rsidR="008F19C7">
        <w:fldChar w:fldCharType="begin"/>
      </w:r>
      <w:r w:rsidR="008F19C7">
        <w:instrText xml:space="preserve"> REF _Ref226538631 \r \h </w:instrText>
      </w:r>
      <w:r w:rsidR="008F19C7">
        <w:fldChar w:fldCharType="separate"/>
      </w:r>
      <w:r w:rsidR="00D23029">
        <w:t>6.29</w:t>
      </w:r>
      <w:r w:rsidR="008F19C7">
        <w:fldChar w:fldCharType="end"/>
      </w:r>
      <w:r w:rsidR="008F19C7">
        <w:t xml:space="preserve"> </w:t>
      </w:r>
      <w:r w:rsidR="00FB4A8B">
        <w:t xml:space="preserve">and </w:t>
      </w:r>
      <w:r w:rsidR="005C32AC">
        <w:fldChar w:fldCharType="begin"/>
      </w:r>
      <w:r w:rsidR="005C32AC">
        <w:instrText xml:space="preserve"> REF _Ref226539625 \r \h </w:instrText>
      </w:r>
      <w:r w:rsidR="005C32AC">
        <w:fldChar w:fldCharType="separate"/>
      </w:r>
      <w:r w:rsidR="00D23029">
        <w:t>6.24</w:t>
      </w:r>
      <w:r w:rsidR="005C32AC">
        <w:fldChar w:fldCharType="end"/>
      </w:r>
      <w:r w:rsidR="005C32AC">
        <w:t>, respectively).</w:t>
      </w:r>
      <w:bookmarkEnd w:id="15"/>
    </w:p>
    <w:p w14:paraId="6B3767B6" w14:textId="31F6F9BA" w:rsidR="00A05CE3" w:rsidRDefault="006E68B8" w:rsidP="00E60393">
      <w:pPr>
        <w:pStyle w:val="COMESnumberedpara"/>
      </w:pPr>
      <w:bookmarkStart w:id="16" w:name="_Ref226547754"/>
      <w:r w:rsidRPr="00726F37">
        <w:t xml:space="preserve">The submission requested </w:t>
      </w:r>
      <w:r w:rsidR="00A236EF">
        <w:t xml:space="preserve">a </w:t>
      </w:r>
      <w:r w:rsidRPr="00726F37">
        <w:t>grandfather provision to allow eligible patients who may have initiated tarlatamab prior to its PBS listing (e.g. accessing through private prescription or a sponsor-supported program) to receive PBS treatment with tarlatamab. The submission did not provide an estimate of the potential number of patients requiring grandfathered treatment.</w:t>
      </w:r>
      <w:r w:rsidR="00AC4B1B">
        <w:t xml:space="preserve"> The PBAC </w:t>
      </w:r>
      <w:r w:rsidR="001C5820">
        <w:t>considered</w:t>
      </w:r>
      <w:r w:rsidR="00AC4B1B">
        <w:t xml:space="preserve"> that the </w:t>
      </w:r>
      <w:r w:rsidR="00DF3891">
        <w:t>grandfather</w:t>
      </w:r>
      <w:r w:rsidR="00AC4B1B">
        <w:t xml:space="preserve"> listing </w:t>
      </w:r>
      <w:r w:rsidR="00BD7EF3">
        <w:t xml:space="preserve">should </w:t>
      </w:r>
      <w:r w:rsidR="00AC4B1B">
        <w:t>allow patients</w:t>
      </w:r>
      <w:r w:rsidR="00BD7EF3">
        <w:t xml:space="preserve"> who had previously received treatment </w:t>
      </w:r>
      <w:r w:rsidR="00DB080E">
        <w:t>via compassionate access means</w:t>
      </w:r>
      <w:r w:rsidR="00716A91">
        <w:t xml:space="preserve">, </w:t>
      </w:r>
      <w:r w:rsidR="00C2583E">
        <w:t xml:space="preserve">to </w:t>
      </w:r>
      <w:r w:rsidR="00DB080E">
        <w:t>be able</w:t>
      </w:r>
      <w:r w:rsidR="00AC4B1B">
        <w:t xml:space="preserve"> to </w:t>
      </w:r>
      <w:r w:rsidR="005E276C">
        <w:t xml:space="preserve">bypass the monitoring requirements </w:t>
      </w:r>
      <w:r w:rsidR="00F27280">
        <w:t xml:space="preserve">required during the </w:t>
      </w:r>
      <w:r w:rsidR="0027745F">
        <w:t>first treatment cycle.</w:t>
      </w:r>
      <w:bookmarkEnd w:id="16"/>
      <w:r w:rsidR="0027745F">
        <w:t xml:space="preserve"> </w:t>
      </w:r>
    </w:p>
    <w:p w14:paraId="55E17305" w14:textId="701EDDFF" w:rsidR="003C20B5" w:rsidRPr="00A05CE3" w:rsidRDefault="003C20B5" w:rsidP="00A05CE3">
      <w:pPr>
        <w:pStyle w:val="COMESnumberedpara"/>
        <w:numPr>
          <w:ilvl w:val="0"/>
          <w:numId w:val="0"/>
        </w:numPr>
        <w:ind w:left="720"/>
      </w:pPr>
      <w:r w:rsidRPr="00A05CE3">
        <w:rPr>
          <w:i/>
          <w:iCs/>
        </w:rPr>
        <w:br/>
        <w:t>For more detail on PBAC’s view, see section 7 PBAC outcome.</w:t>
      </w:r>
    </w:p>
    <w:p w14:paraId="7075B85C" w14:textId="62A47B7B" w:rsidR="00B50DB8" w:rsidRPr="00726F37" w:rsidDel="00195452" w:rsidRDefault="00203181" w:rsidP="004E18E9">
      <w:pPr>
        <w:pStyle w:val="COMESH2"/>
      </w:pPr>
      <w:bookmarkStart w:id="17" w:name="_Toc219878277"/>
      <w:r w:rsidRPr="00726F37" w:rsidDel="00195452">
        <w:t xml:space="preserve">Population and </w:t>
      </w:r>
      <w:r w:rsidR="008E0D3C" w:rsidRPr="00726F37" w:rsidDel="00195452">
        <w:t>d</w:t>
      </w:r>
      <w:r w:rsidRPr="00726F37" w:rsidDel="00195452">
        <w:t>isease</w:t>
      </w:r>
      <w:bookmarkEnd w:id="17"/>
    </w:p>
    <w:p w14:paraId="16B073B4" w14:textId="00ACEE07" w:rsidR="000C3146" w:rsidRPr="00726F37" w:rsidRDefault="000C3146" w:rsidP="000C3146">
      <w:pPr>
        <w:pStyle w:val="COMESnumberedpara"/>
      </w:pPr>
      <w:r w:rsidRPr="00726F37">
        <w:t xml:space="preserve">The Australian Institute of Health and Welfare </w:t>
      </w:r>
      <w:r w:rsidR="00C40A0F" w:rsidRPr="00726F37">
        <w:t xml:space="preserve">(AIHW) </w:t>
      </w:r>
      <w:r w:rsidRPr="00726F37">
        <w:t>estimated there would be 15,108 new cases of lung cancer diagnosed in 2025, representing 9% of all cancer diagnoses in Australia (AIHW, 2023). Lung cancer is differentiated on biopsy or cytology into two broad categories: non-small cell lung cancer (NSCLC), and SCLC. The submission noted that SCLC represents approximately 11.75% of all lung cancer cases (</w:t>
      </w:r>
      <w:r w:rsidR="00966A87" w:rsidRPr="00726F37">
        <w:t>AIHW 2011</w:t>
      </w:r>
      <w:r w:rsidRPr="00726F37">
        <w:t>).</w:t>
      </w:r>
    </w:p>
    <w:p w14:paraId="0A53784A" w14:textId="77777777" w:rsidR="000C3146" w:rsidRPr="00726F37" w:rsidRDefault="000C3146" w:rsidP="000C3146">
      <w:pPr>
        <w:pStyle w:val="COMESnumberedpara"/>
      </w:pPr>
      <w:r w:rsidRPr="00726F37">
        <w:t xml:space="preserve">SCLC is a poorly differentiated, neuroendocrine carcinoma, characterised by rapid disease progression, rapid tumour growth, and early development of metastases to multiple organ systems and lymph nodes (commonly involving the brain, liver or bone). SCLC is categorised into two broad prognostic groups: </w:t>
      </w:r>
    </w:p>
    <w:p w14:paraId="3F3A75B1" w14:textId="28DB5833" w:rsidR="000C3146" w:rsidRPr="00726F37" w:rsidRDefault="000C3146" w:rsidP="00C12064">
      <w:pPr>
        <w:pStyle w:val="COMESbulletlist"/>
      </w:pPr>
      <w:r w:rsidRPr="00726F37">
        <w:t>Limited stage disease (LS-SCLC), confined to an ipsilateral hemithorax with or without spread to mediastinal lymph nodes (broadly captured in SCLC</w:t>
      </w:r>
      <w:r w:rsidR="009557DC" w:rsidRPr="00726F37">
        <w:t xml:space="preserve"> tumour, nodes and metastasis</w:t>
      </w:r>
      <w:r w:rsidRPr="00726F37">
        <w:t xml:space="preserve"> </w:t>
      </w:r>
      <w:r w:rsidR="009557DC" w:rsidRPr="00726F37">
        <w:t>[</w:t>
      </w:r>
      <w:r w:rsidRPr="00726F37">
        <w:t>TNM</w:t>
      </w:r>
      <w:r w:rsidR="009557DC" w:rsidRPr="00726F37">
        <w:t>]</w:t>
      </w:r>
      <w:r w:rsidRPr="00726F37">
        <w:t xml:space="preserve"> Stage</w:t>
      </w:r>
      <w:r w:rsidR="000A3D3E" w:rsidRPr="00726F37">
        <w:t>s</w:t>
      </w:r>
      <w:r w:rsidRPr="00726F37">
        <w:t xml:space="preserve"> 1</w:t>
      </w:r>
      <w:r w:rsidR="000A3D3E" w:rsidRPr="00726F37">
        <w:rPr>
          <w:rFonts w:cstheme="minorHAnsi"/>
        </w:rPr>
        <w:t>–</w:t>
      </w:r>
      <w:r w:rsidRPr="00726F37">
        <w:t>3).</w:t>
      </w:r>
    </w:p>
    <w:p w14:paraId="40C1D3BA" w14:textId="0E137586" w:rsidR="000C3146" w:rsidRPr="00726F37" w:rsidRDefault="000C3146" w:rsidP="00C12064">
      <w:pPr>
        <w:pStyle w:val="COMESbulletlist"/>
      </w:pPr>
      <w:r w:rsidRPr="00726F37">
        <w:lastRenderedPageBreak/>
        <w:t>Extensive stage disease (ES-SCLC), includes all SCLC not confined to the origin ipsilateral hemithorax, including malignant pleural/pericardial effusion or hematogenous metastases and/or metastases in extrathoracic organs or tissues (NCCN 2024; broadly captured in SCLC TNM Stage 4, including all SCLC with related extrathoracic metastasis).</w:t>
      </w:r>
      <w:r w:rsidR="00437B88" w:rsidRPr="00726F37">
        <w:t xml:space="preserve"> </w:t>
      </w:r>
    </w:p>
    <w:p w14:paraId="66E46AE6" w14:textId="0ACAED04" w:rsidR="000C3146" w:rsidRPr="00726F37" w:rsidRDefault="000C3146" w:rsidP="000C3146">
      <w:pPr>
        <w:pStyle w:val="COMESnumberedpara"/>
      </w:pPr>
      <w:r w:rsidRPr="00726F37">
        <w:t>Approximately 71.3% of patients with SCLC present with ES-SCLC at diagnosis. Of the remaining 28.7% of patients with limited stage disease, an estimated 75% will progress to ES-SCLC (Rudin et al. 2021; Wang et al. 2023; Blackall et al. 2023). Prognosis in SCLC is poor and dependent on disease progression at diagnosis. UpToDate (2025) reports that median survival for patients with LS-SCLC ranges from 15 to 30 months, with 5 year survival of 10% to 13%; and median survival for patients with ES-SCLC ranges from 8 to 13 months, with 5 year survival of 1% to 2%.</w:t>
      </w:r>
    </w:p>
    <w:p w14:paraId="63E5DBB5" w14:textId="77777777" w:rsidR="000C3146" w:rsidRPr="00726F37" w:rsidRDefault="000C3146" w:rsidP="000C3146">
      <w:pPr>
        <w:pStyle w:val="COMESnumberedpara"/>
      </w:pPr>
      <w:r w:rsidRPr="00726F37">
        <w:t>Most ES-SCLC patients are symptomatic at diagnosis, reporting substantial impairment of physical, cognitive, emotional, and social functioning, and a broad range of disease and/or metastases related symptoms (dyspnoea, chest pain, cough, fatigue, anorexia, weight loss, bone pain, neurological symptoms, depression, anxiety; Sugimura et al. 2006). The median age at diagnosis for patients presenting with ES-SCLC has increased over the last decade from 65 years to 69 years (Wang et al. 2023; Blackall et al. 2023). While most cases of ES-SCLC are initially sensitive to chemotherapy, relapse is frequent, and the overall mortality rate is high (National Cancer Institute 2023).</w:t>
      </w:r>
    </w:p>
    <w:p w14:paraId="042AAD03" w14:textId="390207ED" w:rsidR="000C3146" w:rsidRPr="00726F37" w:rsidRDefault="000C3146" w:rsidP="000C3146">
      <w:pPr>
        <w:pStyle w:val="COMESnumberedpara"/>
      </w:pPr>
      <w:r w:rsidRPr="00726F37">
        <w:t xml:space="preserve">The clinical management algorithm positions tarlatamab as an alternative second-line or subsequent therapy for patients with ES-SCLC, following first-line treatment with a platinum-based chemotherapy plus etoposide (with or without an immune checkpoint inhibitor) for platinum resistant/refractory or platinum sensitive patients. Treatment with tarlatamab would be in place of rechallenge with a platinum-based chemotherapy plus etoposide or another non-platinum chemotherapy (typically topotecan, </w:t>
      </w:r>
      <w:r w:rsidR="00947988" w:rsidRPr="00726F37">
        <w:t>cyclophosphamide plus doxorubicin plus vincristine [</w:t>
      </w:r>
      <w:r w:rsidRPr="00726F37">
        <w:t>CAV</w:t>
      </w:r>
      <w:r w:rsidR="00947988" w:rsidRPr="00726F37">
        <w:t>]</w:t>
      </w:r>
      <w:r w:rsidRPr="00726F37">
        <w:t>, or irinotecan).</w:t>
      </w:r>
    </w:p>
    <w:p w14:paraId="4CE9B40B" w14:textId="674AE434" w:rsidR="00F7335B" w:rsidRPr="003C20B5" w:rsidRDefault="000C3146" w:rsidP="00BA0B8E">
      <w:pPr>
        <w:pStyle w:val="COMESnumberedpara"/>
        <w:rPr>
          <w:i/>
          <w:color w:val="3366FF"/>
        </w:rPr>
      </w:pPr>
      <w:r w:rsidRPr="00726F37">
        <w:t>The submission stated that it is anticipated that most use of tarlatamab will be as a second-line therapy, with a minority of patients receiving tarlatamab in subsequent lines of therapy.</w:t>
      </w:r>
    </w:p>
    <w:p w14:paraId="614A7FF8" w14:textId="6FF3D9DC" w:rsidR="003C20B5" w:rsidRPr="00E67537" w:rsidRDefault="00E67537" w:rsidP="00FE5D21">
      <w:pPr>
        <w:pStyle w:val="COMESnumberedpara"/>
        <w:numPr>
          <w:ilvl w:val="0"/>
          <w:numId w:val="0"/>
        </w:numPr>
        <w:ind w:left="720"/>
        <w:rPr>
          <w:i/>
        </w:rPr>
      </w:pPr>
      <w:r>
        <w:rPr>
          <w:i/>
        </w:rPr>
        <w:br/>
      </w:r>
      <w:r w:rsidRPr="00E67537">
        <w:rPr>
          <w:i/>
        </w:rPr>
        <w:t>For more detail on PBAC’s view, see section 7 PBAC outcome.</w:t>
      </w:r>
    </w:p>
    <w:p w14:paraId="51E5AE96" w14:textId="136A63B1" w:rsidR="00B50DB8" w:rsidRPr="00726F37" w:rsidRDefault="00B50DB8" w:rsidP="004E18E9">
      <w:pPr>
        <w:pStyle w:val="COMESH2"/>
      </w:pPr>
      <w:bookmarkStart w:id="18" w:name="_Toc219878278"/>
      <w:r w:rsidRPr="00726F37">
        <w:t>Comparator</w:t>
      </w:r>
      <w:bookmarkEnd w:id="18"/>
    </w:p>
    <w:p w14:paraId="5BD345FD" w14:textId="75EBC92B" w:rsidR="00E67537" w:rsidRDefault="00DA1CB1" w:rsidP="00D01A53">
      <w:pPr>
        <w:pStyle w:val="COMESnumberedpara"/>
      </w:pPr>
      <w:r w:rsidRPr="00726F37">
        <w:t xml:space="preserve">The submission nominated SOC as the main comparator. </w:t>
      </w:r>
      <w:r w:rsidR="00F70503" w:rsidRPr="00726F37">
        <w:t xml:space="preserve">In Australian clinical practice, </w:t>
      </w:r>
      <w:r w:rsidRPr="00726F37">
        <w:t>SOC chemotherapies include a platinum-based therapy (cisplatin/carboplatin) plus etoposide, CAV, and irinotecan or topotecan, with no single therapy predominating.</w:t>
      </w:r>
      <w:r w:rsidR="00196B04" w:rsidRPr="00726F37">
        <w:t xml:space="preserve"> In the DeLLphi-304 trial, </w:t>
      </w:r>
      <w:r w:rsidR="00E20C94" w:rsidRPr="00726F37">
        <w:t>SOC chemotherapies included topotecan (used in 72% of patients), lurbinectedin (</w:t>
      </w:r>
      <w:r w:rsidR="00F70503" w:rsidRPr="00726F37">
        <w:t xml:space="preserve">18%), and </w:t>
      </w:r>
      <w:r w:rsidR="00E20C94" w:rsidRPr="00726F37">
        <w:t>amrubicin (9%)</w:t>
      </w:r>
      <w:r w:rsidR="00AD596F" w:rsidRPr="00726F37">
        <w:t>.</w:t>
      </w:r>
      <w:r w:rsidRPr="00726F37">
        <w:t xml:space="preserve"> Topotecan was proposed as a </w:t>
      </w:r>
      <w:r w:rsidRPr="00726F37">
        <w:lastRenderedPageBreak/>
        <w:t xml:space="preserve">proxy for SOC chemotherapies (largely for the purpose of the economic evaluation) given it </w:t>
      </w:r>
      <w:r w:rsidR="00FE0D3F" w:rsidRPr="00726F37">
        <w:t>is available</w:t>
      </w:r>
      <w:r w:rsidR="00457052" w:rsidRPr="00726F37">
        <w:t xml:space="preserve"> and widely used</w:t>
      </w:r>
      <w:r w:rsidR="00FE0D3F" w:rsidRPr="00726F37">
        <w:t xml:space="preserve"> in Australia, </w:t>
      </w:r>
      <w:r w:rsidRPr="00726F37">
        <w:t>was the predominant comparator therapy administered in the key DeLLphi-304 trial</w:t>
      </w:r>
      <w:r w:rsidR="00AD596F" w:rsidRPr="00726F37">
        <w:t>, and lurbinectedin and amrubicin</w:t>
      </w:r>
      <w:r w:rsidR="00FE0D3F" w:rsidRPr="00726F37">
        <w:t xml:space="preserve"> are not widely used in Australia</w:t>
      </w:r>
      <w:r w:rsidRPr="00726F37">
        <w:t xml:space="preserve">. </w:t>
      </w:r>
      <w:r w:rsidR="002F2D0E" w:rsidRPr="00726F37">
        <w:t xml:space="preserve">The submission claimed that other chemotherapies used for second-line and subsequent treatment in Australia (including platinum plus etoposide, CAV, and irinotecan) are similar in efficacy to topotecan. </w:t>
      </w:r>
      <w:r w:rsidR="00931303" w:rsidRPr="00E85489">
        <w:t xml:space="preserve">The ESC considered that </w:t>
      </w:r>
      <w:r w:rsidRPr="00E85489">
        <w:t>SOC</w:t>
      </w:r>
      <w:r w:rsidR="00695DEE" w:rsidRPr="00E85489">
        <w:t>,</w:t>
      </w:r>
      <w:r w:rsidRPr="00E85489">
        <w:t xml:space="preserve"> </w:t>
      </w:r>
      <w:r w:rsidR="00695DEE" w:rsidRPr="00E85489">
        <w:t xml:space="preserve">as defined </w:t>
      </w:r>
      <w:r w:rsidR="00801B01" w:rsidRPr="00E85489">
        <w:t>in</w:t>
      </w:r>
      <w:r w:rsidR="00695DEE" w:rsidRPr="00E85489">
        <w:t xml:space="preserve"> the submission, </w:t>
      </w:r>
      <w:r w:rsidR="009358F7" w:rsidRPr="00E85489">
        <w:t>was</w:t>
      </w:r>
      <w:r w:rsidRPr="00E85489">
        <w:t xml:space="preserve"> an appropriate </w:t>
      </w:r>
      <w:r w:rsidR="009358F7" w:rsidRPr="00E85489">
        <w:t xml:space="preserve">choice of </w:t>
      </w:r>
      <w:r w:rsidRPr="00E85489">
        <w:t>comparator.</w:t>
      </w:r>
    </w:p>
    <w:p w14:paraId="6574D78D" w14:textId="77777777" w:rsidR="00D01A53" w:rsidRDefault="00D01A53" w:rsidP="00D01A53">
      <w:pPr>
        <w:pStyle w:val="COMESnumberedpara"/>
        <w:numPr>
          <w:ilvl w:val="0"/>
          <w:numId w:val="0"/>
        </w:numPr>
        <w:ind w:left="720"/>
      </w:pPr>
    </w:p>
    <w:p w14:paraId="7B413BB3" w14:textId="5330D845" w:rsidR="00E67537" w:rsidRPr="00E67537" w:rsidRDefault="00E67537" w:rsidP="00FE5D21">
      <w:pPr>
        <w:pStyle w:val="COMESnumberedpara"/>
        <w:numPr>
          <w:ilvl w:val="0"/>
          <w:numId w:val="0"/>
        </w:numPr>
        <w:ind w:firstLine="720"/>
        <w:rPr>
          <w:i/>
          <w:iCs/>
        </w:rPr>
      </w:pPr>
      <w:r w:rsidRPr="00E67537">
        <w:rPr>
          <w:i/>
          <w:iCs/>
        </w:rPr>
        <w:t>For more detail on PBAC’s view, see section 7 PBAC outcome.</w:t>
      </w:r>
    </w:p>
    <w:p w14:paraId="7F9C27C8" w14:textId="77777777" w:rsidR="00223D5A" w:rsidRPr="00726F37" w:rsidRDefault="00223D5A" w:rsidP="00223D5A">
      <w:pPr>
        <w:pStyle w:val="COMESH2"/>
        <w:numPr>
          <w:ilvl w:val="0"/>
          <w:numId w:val="1"/>
        </w:numPr>
      </w:pPr>
      <w:bookmarkStart w:id="19" w:name="_Toc219878279"/>
      <w:bookmarkStart w:id="20" w:name="_Toc22897640"/>
      <w:r w:rsidRPr="00726F37">
        <w:t>Consideration of the evidence</w:t>
      </w:r>
      <w:bookmarkEnd w:id="19"/>
    </w:p>
    <w:p w14:paraId="6D2BCBD5" w14:textId="77777777" w:rsidR="006659D1" w:rsidRPr="008D3C8F" w:rsidRDefault="006659D1" w:rsidP="008D3C8F">
      <w:pPr>
        <w:pStyle w:val="COMESSubsectionheading"/>
      </w:pPr>
      <w:bookmarkStart w:id="21" w:name="_Hlk76375935"/>
      <w:bookmarkStart w:id="22" w:name="_Toc219878280"/>
      <w:r w:rsidRPr="008D3C8F">
        <w:t>Sponsor hearing</w:t>
      </w:r>
    </w:p>
    <w:p w14:paraId="44378FD5" w14:textId="0152503C" w:rsidR="006659D1" w:rsidRDefault="006659D1" w:rsidP="006659D1">
      <w:pPr>
        <w:widowControl w:val="0"/>
        <w:numPr>
          <w:ilvl w:val="1"/>
          <w:numId w:val="1"/>
        </w:numPr>
        <w:spacing w:after="120"/>
        <w:rPr>
          <w:rFonts w:asciiTheme="minorHAnsi" w:hAnsiTheme="minorHAnsi"/>
          <w:bCs/>
          <w:snapToGrid w:val="0"/>
        </w:rPr>
      </w:pPr>
      <w:bookmarkStart w:id="23" w:name="_Hlk76382586"/>
      <w:r w:rsidRPr="006659D1">
        <w:rPr>
          <w:rFonts w:asciiTheme="minorHAnsi" w:hAnsiTheme="minorHAnsi"/>
          <w:bCs/>
          <w:snapToGrid w:val="0"/>
        </w:rPr>
        <w:t>The sponsor requested a hearing for this item.</w:t>
      </w:r>
      <w:r w:rsidR="0059237F">
        <w:rPr>
          <w:rFonts w:asciiTheme="minorHAnsi" w:hAnsiTheme="minorHAnsi"/>
          <w:bCs/>
          <w:snapToGrid w:val="0"/>
        </w:rPr>
        <w:t xml:space="preserve"> Two thoracic medical oncologists</w:t>
      </w:r>
      <w:r w:rsidR="00D53953">
        <w:rPr>
          <w:rFonts w:asciiTheme="minorHAnsi" w:hAnsiTheme="minorHAnsi"/>
          <w:bCs/>
          <w:snapToGrid w:val="0"/>
        </w:rPr>
        <w:t xml:space="preserve"> described the </w:t>
      </w:r>
      <w:r w:rsidR="0075765F">
        <w:rPr>
          <w:rFonts w:asciiTheme="minorHAnsi" w:hAnsiTheme="minorHAnsi"/>
          <w:bCs/>
          <w:snapToGrid w:val="0"/>
        </w:rPr>
        <w:t>severity of the condition</w:t>
      </w:r>
      <w:r w:rsidR="003D36D0">
        <w:rPr>
          <w:rFonts w:asciiTheme="minorHAnsi" w:hAnsiTheme="minorHAnsi"/>
          <w:bCs/>
          <w:snapToGrid w:val="0"/>
        </w:rPr>
        <w:t>, poor prognosis</w:t>
      </w:r>
      <w:r w:rsidR="0075765F">
        <w:rPr>
          <w:rFonts w:asciiTheme="minorHAnsi" w:hAnsiTheme="minorHAnsi"/>
          <w:bCs/>
          <w:snapToGrid w:val="0"/>
        </w:rPr>
        <w:t xml:space="preserve"> and impact on patients’ quality of life under the current standard of care.</w:t>
      </w:r>
      <w:r w:rsidR="00802000">
        <w:rPr>
          <w:rFonts w:asciiTheme="minorHAnsi" w:hAnsiTheme="minorHAnsi"/>
          <w:bCs/>
          <w:snapToGrid w:val="0"/>
        </w:rPr>
        <w:t xml:space="preserve"> </w:t>
      </w:r>
      <w:r w:rsidR="00A418DF">
        <w:rPr>
          <w:rFonts w:asciiTheme="minorHAnsi" w:hAnsiTheme="minorHAnsi"/>
          <w:bCs/>
          <w:snapToGrid w:val="0"/>
        </w:rPr>
        <w:t xml:space="preserve">The </w:t>
      </w:r>
      <w:r w:rsidR="00802000">
        <w:rPr>
          <w:rFonts w:asciiTheme="minorHAnsi" w:hAnsiTheme="minorHAnsi"/>
          <w:bCs/>
          <w:snapToGrid w:val="0"/>
        </w:rPr>
        <w:t>clinician</w:t>
      </w:r>
      <w:r w:rsidR="00A418DF">
        <w:rPr>
          <w:rFonts w:asciiTheme="minorHAnsi" w:hAnsiTheme="minorHAnsi"/>
          <w:bCs/>
          <w:snapToGrid w:val="0"/>
        </w:rPr>
        <w:t>s</w:t>
      </w:r>
      <w:r w:rsidR="00802000">
        <w:rPr>
          <w:rFonts w:asciiTheme="minorHAnsi" w:hAnsiTheme="minorHAnsi"/>
          <w:bCs/>
          <w:snapToGrid w:val="0"/>
        </w:rPr>
        <w:t xml:space="preserve"> emphasised </w:t>
      </w:r>
      <w:r w:rsidR="006764B1">
        <w:rPr>
          <w:rFonts w:asciiTheme="minorHAnsi" w:hAnsiTheme="minorHAnsi"/>
          <w:bCs/>
          <w:snapToGrid w:val="0"/>
        </w:rPr>
        <w:t xml:space="preserve">the significant unmet need of the patient population and </w:t>
      </w:r>
      <w:r w:rsidR="00136DED">
        <w:rPr>
          <w:rFonts w:asciiTheme="minorHAnsi" w:hAnsiTheme="minorHAnsi"/>
          <w:bCs/>
          <w:snapToGrid w:val="0"/>
        </w:rPr>
        <w:t xml:space="preserve">persisting </w:t>
      </w:r>
      <w:r w:rsidR="006764B1">
        <w:rPr>
          <w:rFonts w:asciiTheme="minorHAnsi" w:hAnsiTheme="minorHAnsi"/>
          <w:bCs/>
          <w:snapToGrid w:val="0"/>
        </w:rPr>
        <w:t xml:space="preserve">lack of treatment </w:t>
      </w:r>
      <w:r w:rsidR="00136DED">
        <w:rPr>
          <w:rFonts w:asciiTheme="minorHAnsi" w:hAnsiTheme="minorHAnsi"/>
          <w:bCs/>
          <w:snapToGrid w:val="0"/>
        </w:rPr>
        <w:t>advances</w:t>
      </w:r>
      <w:r w:rsidR="006764B1">
        <w:rPr>
          <w:rFonts w:asciiTheme="minorHAnsi" w:hAnsiTheme="minorHAnsi"/>
          <w:bCs/>
          <w:snapToGrid w:val="0"/>
        </w:rPr>
        <w:t xml:space="preserve"> in</w:t>
      </w:r>
      <w:r w:rsidR="00136DED">
        <w:rPr>
          <w:rFonts w:asciiTheme="minorHAnsi" w:hAnsiTheme="minorHAnsi"/>
          <w:bCs/>
          <w:snapToGrid w:val="0"/>
        </w:rPr>
        <w:t xml:space="preserve"> ES-SCLC</w:t>
      </w:r>
      <w:r w:rsidR="00352CD1">
        <w:rPr>
          <w:rFonts w:asciiTheme="minorHAnsi" w:hAnsiTheme="minorHAnsi"/>
          <w:bCs/>
          <w:snapToGrid w:val="0"/>
        </w:rPr>
        <w:t xml:space="preserve">. </w:t>
      </w:r>
      <w:r w:rsidR="008F198E">
        <w:rPr>
          <w:rFonts w:asciiTheme="minorHAnsi" w:hAnsiTheme="minorHAnsi"/>
          <w:bCs/>
          <w:snapToGrid w:val="0"/>
        </w:rPr>
        <w:t>The hearing highlighted concerns with current</w:t>
      </w:r>
      <w:r w:rsidR="0057362F">
        <w:rPr>
          <w:rFonts w:asciiTheme="minorHAnsi" w:hAnsiTheme="minorHAnsi"/>
          <w:bCs/>
          <w:snapToGrid w:val="0"/>
        </w:rPr>
        <w:t xml:space="preserve"> second line treatments </w:t>
      </w:r>
      <w:r w:rsidR="006822E2">
        <w:rPr>
          <w:rFonts w:asciiTheme="minorHAnsi" w:hAnsiTheme="minorHAnsi"/>
          <w:bCs/>
          <w:snapToGrid w:val="0"/>
        </w:rPr>
        <w:t>in SCLC which have limited benefit</w:t>
      </w:r>
      <w:r w:rsidR="004D3109">
        <w:rPr>
          <w:rFonts w:asciiTheme="minorHAnsi" w:hAnsiTheme="minorHAnsi"/>
          <w:bCs/>
          <w:snapToGrid w:val="0"/>
        </w:rPr>
        <w:t>, significant side effects</w:t>
      </w:r>
      <w:r w:rsidR="006822E2">
        <w:rPr>
          <w:rFonts w:asciiTheme="minorHAnsi" w:hAnsiTheme="minorHAnsi"/>
          <w:bCs/>
          <w:snapToGrid w:val="0"/>
        </w:rPr>
        <w:t xml:space="preserve"> and</w:t>
      </w:r>
      <w:r w:rsidR="004D3109">
        <w:rPr>
          <w:rFonts w:asciiTheme="minorHAnsi" w:hAnsiTheme="minorHAnsi"/>
          <w:bCs/>
          <w:snapToGrid w:val="0"/>
        </w:rPr>
        <w:t xml:space="preserve"> </w:t>
      </w:r>
      <w:r w:rsidR="006822E2">
        <w:rPr>
          <w:rFonts w:asciiTheme="minorHAnsi" w:hAnsiTheme="minorHAnsi"/>
          <w:bCs/>
          <w:snapToGrid w:val="0"/>
        </w:rPr>
        <w:t>toxicity</w:t>
      </w:r>
      <w:r w:rsidR="008F198E">
        <w:rPr>
          <w:rFonts w:asciiTheme="minorHAnsi" w:hAnsiTheme="minorHAnsi"/>
          <w:bCs/>
          <w:snapToGrid w:val="0"/>
        </w:rPr>
        <w:t>.</w:t>
      </w:r>
      <w:r w:rsidR="00352CD1">
        <w:rPr>
          <w:rFonts w:asciiTheme="minorHAnsi" w:hAnsiTheme="minorHAnsi"/>
          <w:bCs/>
          <w:snapToGrid w:val="0"/>
        </w:rPr>
        <w:t xml:space="preserve"> </w:t>
      </w:r>
      <w:r w:rsidR="00136DED">
        <w:rPr>
          <w:rFonts w:asciiTheme="minorHAnsi" w:hAnsiTheme="minorHAnsi"/>
          <w:bCs/>
          <w:snapToGrid w:val="0"/>
        </w:rPr>
        <w:t>The</w:t>
      </w:r>
      <w:r w:rsidR="00352CD1">
        <w:rPr>
          <w:rFonts w:asciiTheme="minorHAnsi" w:hAnsiTheme="minorHAnsi"/>
          <w:bCs/>
          <w:snapToGrid w:val="0"/>
        </w:rPr>
        <w:t xml:space="preserve"> clinicians described their experiences </w:t>
      </w:r>
      <w:r w:rsidR="005612D6">
        <w:rPr>
          <w:rFonts w:asciiTheme="minorHAnsi" w:hAnsiTheme="minorHAnsi"/>
          <w:bCs/>
          <w:snapToGrid w:val="0"/>
        </w:rPr>
        <w:t xml:space="preserve">of </w:t>
      </w:r>
      <w:r w:rsidR="0002236A">
        <w:rPr>
          <w:rFonts w:asciiTheme="minorHAnsi" w:hAnsiTheme="minorHAnsi"/>
          <w:bCs/>
          <w:snapToGrid w:val="0"/>
        </w:rPr>
        <w:t>patient</w:t>
      </w:r>
      <w:r w:rsidR="00F47395">
        <w:rPr>
          <w:rFonts w:asciiTheme="minorHAnsi" w:hAnsiTheme="minorHAnsi"/>
          <w:bCs/>
          <w:snapToGrid w:val="0"/>
        </w:rPr>
        <w:t>s</w:t>
      </w:r>
      <w:r w:rsidR="0002236A">
        <w:rPr>
          <w:rFonts w:asciiTheme="minorHAnsi" w:hAnsiTheme="minorHAnsi"/>
          <w:bCs/>
          <w:snapToGrid w:val="0"/>
        </w:rPr>
        <w:t xml:space="preserve"> involved in</w:t>
      </w:r>
      <w:r w:rsidR="00352CD1">
        <w:rPr>
          <w:rFonts w:asciiTheme="minorHAnsi" w:hAnsiTheme="minorHAnsi"/>
          <w:bCs/>
          <w:snapToGrid w:val="0"/>
        </w:rPr>
        <w:t xml:space="preserve"> </w:t>
      </w:r>
      <w:r w:rsidR="0002236A">
        <w:rPr>
          <w:rFonts w:asciiTheme="minorHAnsi" w:hAnsiTheme="minorHAnsi"/>
          <w:bCs/>
          <w:snapToGrid w:val="0"/>
        </w:rPr>
        <w:t xml:space="preserve">tarlatamab </w:t>
      </w:r>
      <w:r w:rsidR="00352CD1">
        <w:rPr>
          <w:rFonts w:asciiTheme="minorHAnsi" w:hAnsiTheme="minorHAnsi"/>
          <w:bCs/>
          <w:snapToGrid w:val="0"/>
        </w:rPr>
        <w:t>clinical trials</w:t>
      </w:r>
      <w:r w:rsidR="002359C3">
        <w:rPr>
          <w:rFonts w:asciiTheme="minorHAnsi" w:hAnsiTheme="minorHAnsi"/>
          <w:bCs/>
          <w:snapToGrid w:val="0"/>
        </w:rPr>
        <w:t xml:space="preserve"> and the </w:t>
      </w:r>
      <w:r w:rsidR="00874CE6">
        <w:rPr>
          <w:rFonts w:asciiTheme="minorHAnsi" w:hAnsiTheme="minorHAnsi"/>
          <w:bCs/>
          <w:snapToGrid w:val="0"/>
        </w:rPr>
        <w:t xml:space="preserve">observed </w:t>
      </w:r>
      <w:r w:rsidR="002359C3">
        <w:rPr>
          <w:rFonts w:asciiTheme="minorHAnsi" w:hAnsiTheme="minorHAnsi"/>
          <w:bCs/>
          <w:snapToGrid w:val="0"/>
        </w:rPr>
        <w:t>benefi</w:t>
      </w:r>
      <w:r w:rsidR="00E40E15">
        <w:rPr>
          <w:rFonts w:asciiTheme="minorHAnsi" w:hAnsiTheme="minorHAnsi"/>
          <w:bCs/>
          <w:snapToGrid w:val="0"/>
        </w:rPr>
        <w:t>ts including symptom relief, improved quality of life and durability of treatment.</w:t>
      </w:r>
      <w:r w:rsidR="00352CD1">
        <w:rPr>
          <w:rFonts w:asciiTheme="minorHAnsi" w:hAnsiTheme="minorHAnsi"/>
          <w:bCs/>
          <w:snapToGrid w:val="0"/>
        </w:rPr>
        <w:t xml:space="preserve"> </w:t>
      </w:r>
      <w:r w:rsidR="00D43873">
        <w:rPr>
          <w:rFonts w:asciiTheme="minorHAnsi" w:hAnsiTheme="minorHAnsi"/>
          <w:bCs/>
          <w:snapToGrid w:val="0"/>
        </w:rPr>
        <w:t>W</w:t>
      </w:r>
      <w:r w:rsidR="00C72F8A">
        <w:rPr>
          <w:rFonts w:asciiTheme="minorHAnsi" w:hAnsiTheme="minorHAnsi"/>
          <w:bCs/>
          <w:snapToGrid w:val="0"/>
        </w:rPr>
        <w:t>hile the potential side effects</w:t>
      </w:r>
      <w:r w:rsidR="008B3D2F">
        <w:rPr>
          <w:rFonts w:asciiTheme="minorHAnsi" w:hAnsiTheme="minorHAnsi"/>
          <w:bCs/>
          <w:snapToGrid w:val="0"/>
        </w:rPr>
        <w:t xml:space="preserve"> and initial toxicity</w:t>
      </w:r>
      <w:r w:rsidR="00C72F8A">
        <w:rPr>
          <w:rFonts w:asciiTheme="minorHAnsi" w:hAnsiTheme="minorHAnsi"/>
          <w:bCs/>
          <w:snapToGrid w:val="0"/>
        </w:rPr>
        <w:t xml:space="preserve"> of tarlatamab </w:t>
      </w:r>
      <w:r w:rsidR="00ED2F7D">
        <w:rPr>
          <w:rFonts w:asciiTheme="minorHAnsi" w:hAnsiTheme="minorHAnsi"/>
          <w:bCs/>
          <w:snapToGrid w:val="0"/>
        </w:rPr>
        <w:t>was</w:t>
      </w:r>
      <w:r w:rsidR="00C72F8A">
        <w:rPr>
          <w:rFonts w:asciiTheme="minorHAnsi" w:hAnsiTheme="minorHAnsi"/>
          <w:bCs/>
          <w:snapToGrid w:val="0"/>
        </w:rPr>
        <w:t xml:space="preserve"> acknowledge</w:t>
      </w:r>
      <w:r w:rsidR="008B3D2F">
        <w:rPr>
          <w:rFonts w:asciiTheme="minorHAnsi" w:hAnsiTheme="minorHAnsi"/>
          <w:bCs/>
          <w:snapToGrid w:val="0"/>
        </w:rPr>
        <w:t>d</w:t>
      </w:r>
      <w:r w:rsidR="00ED2F7D">
        <w:rPr>
          <w:rFonts w:asciiTheme="minorHAnsi" w:hAnsiTheme="minorHAnsi"/>
          <w:bCs/>
          <w:snapToGrid w:val="0"/>
        </w:rPr>
        <w:t>,</w:t>
      </w:r>
      <w:r w:rsidR="00C72F8A">
        <w:rPr>
          <w:rFonts w:asciiTheme="minorHAnsi" w:hAnsiTheme="minorHAnsi"/>
          <w:bCs/>
          <w:snapToGrid w:val="0"/>
        </w:rPr>
        <w:t xml:space="preserve"> the </w:t>
      </w:r>
      <w:r w:rsidR="008B3D2F">
        <w:rPr>
          <w:rFonts w:asciiTheme="minorHAnsi" w:hAnsiTheme="minorHAnsi"/>
          <w:bCs/>
          <w:snapToGrid w:val="0"/>
        </w:rPr>
        <w:t>clinicians</w:t>
      </w:r>
      <w:r w:rsidR="00C72F8A">
        <w:rPr>
          <w:rFonts w:asciiTheme="minorHAnsi" w:hAnsiTheme="minorHAnsi"/>
          <w:bCs/>
          <w:snapToGrid w:val="0"/>
        </w:rPr>
        <w:t xml:space="preserve"> considered </w:t>
      </w:r>
      <w:r w:rsidR="008B3D2F">
        <w:rPr>
          <w:rFonts w:asciiTheme="minorHAnsi" w:hAnsiTheme="minorHAnsi"/>
          <w:bCs/>
          <w:snapToGrid w:val="0"/>
        </w:rPr>
        <w:t xml:space="preserve">them to be of a short duration and </w:t>
      </w:r>
      <w:r w:rsidR="00D93183">
        <w:rPr>
          <w:rFonts w:asciiTheme="minorHAnsi" w:hAnsiTheme="minorHAnsi"/>
          <w:bCs/>
          <w:snapToGrid w:val="0"/>
        </w:rPr>
        <w:t>preferrable to alternative second line chemotherapies</w:t>
      </w:r>
      <w:r w:rsidR="00C72F8A">
        <w:rPr>
          <w:rFonts w:asciiTheme="minorHAnsi" w:hAnsiTheme="minorHAnsi"/>
          <w:bCs/>
          <w:snapToGrid w:val="0"/>
        </w:rPr>
        <w:t xml:space="preserve"> </w:t>
      </w:r>
      <w:r w:rsidR="00D93183">
        <w:rPr>
          <w:rFonts w:asciiTheme="minorHAnsi" w:hAnsiTheme="minorHAnsi"/>
          <w:bCs/>
          <w:snapToGrid w:val="0"/>
        </w:rPr>
        <w:t xml:space="preserve">which </w:t>
      </w:r>
      <w:r w:rsidR="008B3D2F">
        <w:rPr>
          <w:rFonts w:asciiTheme="minorHAnsi" w:hAnsiTheme="minorHAnsi"/>
          <w:bCs/>
          <w:snapToGrid w:val="0"/>
        </w:rPr>
        <w:t xml:space="preserve">result in continuous toxicity and </w:t>
      </w:r>
      <w:r w:rsidR="00D93183">
        <w:rPr>
          <w:rFonts w:asciiTheme="minorHAnsi" w:hAnsiTheme="minorHAnsi"/>
          <w:bCs/>
          <w:snapToGrid w:val="0"/>
        </w:rPr>
        <w:t>enduring</w:t>
      </w:r>
      <w:r w:rsidR="00BC23E4">
        <w:rPr>
          <w:rFonts w:asciiTheme="minorHAnsi" w:hAnsiTheme="minorHAnsi"/>
          <w:bCs/>
          <w:snapToGrid w:val="0"/>
        </w:rPr>
        <w:t xml:space="preserve"> side effects. </w:t>
      </w:r>
      <w:r w:rsidR="00AE2469">
        <w:rPr>
          <w:rFonts w:asciiTheme="minorHAnsi" w:hAnsiTheme="minorHAnsi"/>
          <w:bCs/>
          <w:snapToGrid w:val="0"/>
        </w:rPr>
        <w:t xml:space="preserve">The hearing highlighted </w:t>
      </w:r>
      <w:r w:rsidR="00A7576C">
        <w:rPr>
          <w:rFonts w:asciiTheme="minorHAnsi" w:hAnsiTheme="minorHAnsi"/>
          <w:bCs/>
          <w:snapToGrid w:val="0"/>
        </w:rPr>
        <w:t xml:space="preserve">the patient group as hopeful and </w:t>
      </w:r>
      <w:r w:rsidR="00CA2CCA">
        <w:rPr>
          <w:rFonts w:asciiTheme="minorHAnsi" w:hAnsiTheme="minorHAnsi"/>
          <w:bCs/>
          <w:snapToGrid w:val="0"/>
        </w:rPr>
        <w:t>motivated to engage in an effective</w:t>
      </w:r>
      <w:r w:rsidR="00FE0BB0">
        <w:rPr>
          <w:rFonts w:asciiTheme="minorHAnsi" w:hAnsiTheme="minorHAnsi"/>
          <w:bCs/>
          <w:snapToGrid w:val="0"/>
        </w:rPr>
        <w:t xml:space="preserve"> second line treatment, the clinicians viewed tarlatamab as potentially transformative for people with ES-SCLC.</w:t>
      </w:r>
      <w:r w:rsidR="00CA2CCA">
        <w:rPr>
          <w:rFonts w:asciiTheme="minorHAnsi" w:hAnsiTheme="minorHAnsi"/>
          <w:bCs/>
          <w:snapToGrid w:val="0"/>
        </w:rPr>
        <w:t xml:space="preserve"> </w:t>
      </w:r>
    </w:p>
    <w:bookmarkEnd w:id="23"/>
    <w:p w14:paraId="0077F3E9" w14:textId="77777777" w:rsidR="006659D1" w:rsidRPr="008D3C8F" w:rsidRDefault="006659D1" w:rsidP="008D3C8F">
      <w:pPr>
        <w:pStyle w:val="COMESSubsectionheading"/>
      </w:pPr>
      <w:r w:rsidRPr="008D3C8F">
        <w:t>Consumer inputs</w:t>
      </w:r>
    </w:p>
    <w:p w14:paraId="7E1B759F" w14:textId="5E335F0A" w:rsidR="00512C8D" w:rsidRPr="00371F9C" w:rsidRDefault="00512C8D" w:rsidP="00512C8D">
      <w:pPr>
        <w:pStyle w:val="COMESnumberedpara"/>
      </w:pPr>
      <w:r w:rsidRPr="00371F9C">
        <w:t>The PBAC noted and welcomed input from health care professionals (</w:t>
      </w:r>
      <w:r w:rsidR="008D3C8F">
        <w:t>9</w:t>
      </w:r>
      <w:r w:rsidRPr="00371F9C">
        <w:t xml:space="preserve">), individuals who would like access to tarlatamab (2) and medical (1) and consumer (2) organisations via the Office of Health Technology Assessment Consultation Hub. </w:t>
      </w:r>
    </w:p>
    <w:p w14:paraId="7E7C5EDA" w14:textId="4FD2E155" w:rsidR="00512C8D" w:rsidRPr="00371F9C" w:rsidRDefault="00512C8D" w:rsidP="00512C8D">
      <w:pPr>
        <w:pStyle w:val="COMESnumberedpara"/>
      </w:pPr>
      <w:r w:rsidRPr="00371F9C">
        <w:t xml:space="preserve">Health care professionals highlighted the high clinical need for patients with ES-SCLC, noting that patients currently have limited treatment options with only modest benefit and typically experience rapidly progressive disease, profound symptom burden and extremely limited survival. Health care professionals noted the improved clinical responses and overall survival observed in tarlatamab clinical trial patients compared with SOC and considered that these improvements were clinically meaningful and vitally important for patients and their families. Health care professionals considered the toxicity profile to be predictable, monitorable, and </w:t>
      </w:r>
      <w:r w:rsidRPr="00371F9C">
        <w:lastRenderedPageBreak/>
        <w:t xml:space="preserve">manageable in real-world oncology settings. Comments noted that the availability of tarlatamab on the PBS would help to reduce geographical inequities in cancer outcomes for patients </w:t>
      </w:r>
      <w:r w:rsidR="007D2A52">
        <w:t>currently</w:t>
      </w:r>
      <w:r w:rsidRPr="00371F9C">
        <w:t xml:space="preserve"> living in rural and remote communities, not</w:t>
      </w:r>
      <w:r w:rsidR="00451D96">
        <w:t>ing</w:t>
      </w:r>
      <w:r w:rsidRPr="00371F9C">
        <w:t xml:space="preserve"> that many patients </w:t>
      </w:r>
      <w:r w:rsidR="00922CD7">
        <w:t>must</w:t>
      </w:r>
      <w:r w:rsidRPr="00371F9C">
        <w:t xml:space="preserve"> travel </w:t>
      </w:r>
      <w:r w:rsidR="00471B96">
        <w:t>long distances</w:t>
      </w:r>
      <w:r w:rsidRPr="00371F9C">
        <w:t xml:space="preserve"> to access clinical trials. Comments noted that the availability of tarlatamab on the PBS would allow patients to remain closer to home and be supported by family and carers. This would lessen the emotional, financial, and logistical burden of treatment, benefiting both patients and their families and caregivers. One health care professional noted that in their state, </w:t>
      </w:r>
      <w:r w:rsidR="00891B54">
        <w:t xml:space="preserve">regional </w:t>
      </w:r>
      <w:r w:rsidRPr="00371F9C">
        <w:t>oncology services had recently developed additional capabilities and would be prepared to monitor and manage CRS and immune effector cell-associated neurotoxicity syndrome (ICANS). However, other comments noted that some smaller rural centres may not have the resources to develop the additional infrastructure required to monitor and treat CRS and ICANS.</w:t>
      </w:r>
    </w:p>
    <w:p w14:paraId="754E5B4C" w14:textId="77777777" w:rsidR="005218A1" w:rsidRDefault="00512C8D" w:rsidP="00E30122">
      <w:pPr>
        <w:pStyle w:val="COMESnumberedpara"/>
      </w:pPr>
      <w:r w:rsidRPr="00371F9C">
        <w:t>Individuals who would like access to tarlatamab described the physical and emotional burden associated with SCLC. Comments described the side effects associated with current therapies (chemotherapy and radiotherapy) and noted that these have made it difficult for them to maintain their normal routines and connect with friends and family. Individuals considered that tarlatamab would extend their lifespan.</w:t>
      </w:r>
    </w:p>
    <w:p w14:paraId="755BF2A9" w14:textId="43451657" w:rsidR="005218A1" w:rsidRDefault="00512C8D" w:rsidP="00E30122">
      <w:pPr>
        <w:pStyle w:val="COMESnumberedpara"/>
      </w:pPr>
      <w:r w:rsidRPr="00371F9C">
        <w:t xml:space="preserve">The Thoracic Group of Australasia (TOGA), Lung Foundation Australia and Lung Cancer Australia expressed support for the proposed PBS listing of tarlatamab. Comments highlighted the high clinical need for patients with ES-SCLC, noting that patients experience a high physical and emotional burden, with current SOC providing only modest clinical benefit and poor survival outcomes and are often poorly tolerated. Comments noted the clinical benefits associated with tarlatamab vs SOC observed in the DELLphi-304 clinical trial. Comments also considered that tarlatamab had a distinct safety profile that may present acute toxicity management, cost and implementation challenges in routine Australian practice. Comments noted that due to the safety profile of tarlatamab and this being a new class of drug for the lung cancer sector, there will be the need for workplace education on identifying and managing the safety profile. However, the comments stated that overall tarlatamab remained better tolerated with side effects commonly only occurring early in the treatment process making them more predictable compared to current treatment options which are cumulative and ongoing. </w:t>
      </w:r>
      <w:bookmarkEnd w:id="21"/>
    </w:p>
    <w:p w14:paraId="609C0765" w14:textId="519251E1" w:rsidR="00B60939" w:rsidRPr="0098262F" w:rsidRDefault="00B60939" w:rsidP="00E30122">
      <w:pPr>
        <w:pStyle w:val="COMESSubsectionheading"/>
      </w:pPr>
      <w:r w:rsidRPr="0098262F">
        <w:t>Clinical trials</w:t>
      </w:r>
      <w:bookmarkEnd w:id="20"/>
      <w:bookmarkEnd w:id="22"/>
    </w:p>
    <w:p w14:paraId="7D218004" w14:textId="4A97D306" w:rsidR="001B5977" w:rsidRPr="00726F37" w:rsidRDefault="001B5977" w:rsidP="001B5977">
      <w:pPr>
        <w:pStyle w:val="COMESnumberedpara"/>
      </w:pPr>
      <w:r w:rsidRPr="00726F37">
        <w:t xml:space="preserve">The submission was based on a head-to-head phase 3, open-label, randomised trial comparing tarlatamab to SOC chemotherapy in SCLC patients with disease progression or recurrence following a </w:t>
      </w:r>
      <w:r w:rsidR="005D027E" w:rsidRPr="00726F37">
        <w:t>platinum-based</w:t>
      </w:r>
      <w:r w:rsidRPr="00726F37">
        <w:t xml:space="preserve"> regimen (DeLLphi-304). </w:t>
      </w:r>
    </w:p>
    <w:p w14:paraId="093911DE" w14:textId="7DBD9AD8" w:rsidR="001B5977" w:rsidRPr="00726F37" w:rsidRDefault="001B5977" w:rsidP="001B5977">
      <w:pPr>
        <w:pStyle w:val="COMESnumberedpara"/>
      </w:pPr>
      <w:r w:rsidRPr="00726F37">
        <w:t xml:space="preserve">The submission also presented supportive evidence from the phase 2, single arm tarlatamab study in third-line ES-SCLC patients (DeLLphi-301), including the results of indirect analyses comparing tarlatamab from the DeLLphi-301 study with SOC chemotherapy from 2 retrospective registry studies (Cancer Analysis System </w:t>
      </w:r>
      <w:r w:rsidR="00AD69F1">
        <w:t>[</w:t>
      </w:r>
      <w:r w:rsidRPr="00726F37">
        <w:t>CAS</w:t>
      </w:r>
      <w:r w:rsidR="00AD69F1">
        <w:t>]</w:t>
      </w:r>
      <w:r w:rsidRPr="00726F37">
        <w:t xml:space="preserve"> </w:t>
      </w:r>
      <w:r w:rsidRPr="00726F37">
        <w:lastRenderedPageBreak/>
        <w:t xml:space="preserve">cohort 2023; Flatiron study 2024). </w:t>
      </w:r>
      <w:r w:rsidR="00171D0F" w:rsidRPr="00E85489">
        <w:t>This evidence was provided as supportive evidence of the efficacy of tarlatamab in third-line and subsequent therapy</w:t>
      </w:r>
      <w:r w:rsidR="00575940" w:rsidRPr="00E85489">
        <w:t>.</w:t>
      </w:r>
    </w:p>
    <w:p w14:paraId="6D6F213A" w14:textId="4CBD805E" w:rsidR="001B5977" w:rsidRPr="00726F37" w:rsidRDefault="001B5977" w:rsidP="001B5977">
      <w:pPr>
        <w:pStyle w:val="COMESnumberedpara"/>
      </w:pPr>
      <w:r w:rsidRPr="00726F37">
        <w:t xml:space="preserve">Details of the studies presented in the submission are provided in </w:t>
      </w:r>
      <w:r w:rsidRPr="00726F37">
        <w:fldChar w:fldCharType="begin"/>
      </w:r>
      <w:r w:rsidRPr="00726F37">
        <w:instrText xml:space="preserve"> REF _Ref216698985 \h </w:instrText>
      </w:r>
      <w:r w:rsidR="00726F37" w:rsidRPr="00726F37">
        <w:instrText xml:space="preserve"> \* MERGEFORMAT </w:instrText>
      </w:r>
      <w:r w:rsidRPr="00726F37">
        <w:fldChar w:fldCharType="separate"/>
      </w:r>
      <w:r w:rsidR="00E26586" w:rsidRPr="00602806">
        <w:t xml:space="preserve">Table </w:t>
      </w:r>
      <w:r w:rsidR="00E26586">
        <w:rPr>
          <w:noProof/>
        </w:rPr>
        <w:t>2</w:t>
      </w:r>
      <w:r w:rsidRPr="00726F37">
        <w:fldChar w:fldCharType="end"/>
      </w:r>
      <w:r w:rsidRPr="00726F37">
        <w:t xml:space="preserve">. </w:t>
      </w:r>
    </w:p>
    <w:p w14:paraId="5B5A9505" w14:textId="52E98D30" w:rsidR="001B5977" w:rsidRDefault="001B5977" w:rsidP="001B5977">
      <w:pPr>
        <w:pStyle w:val="COMTableheadingrow"/>
      </w:pPr>
      <w:bookmarkStart w:id="24" w:name="_Ref216698985"/>
      <w:r w:rsidRPr="00602806">
        <w:t xml:space="preserve">Table </w:t>
      </w:r>
      <w:r>
        <w:fldChar w:fldCharType="begin"/>
      </w:r>
      <w:r>
        <w:instrText>SEQ Table \* ARABIC</w:instrText>
      </w:r>
      <w:r>
        <w:fldChar w:fldCharType="separate"/>
      </w:r>
      <w:r w:rsidR="00E26586">
        <w:rPr>
          <w:noProof/>
        </w:rPr>
        <w:t>2</w:t>
      </w:r>
      <w:r>
        <w:fldChar w:fldCharType="end"/>
      </w:r>
      <w:bookmarkEnd w:id="24"/>
      <w:r w:rsidRPr="0098262F">
        <w:t xml:space="preserve">: Trials </w:t>
      </w:r>
      <w:r w:rsidRPr="00713A46">
        <w:t xml:space="preserve">and associated reports presented in the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
      </w:tblPr>
      <w:tblGrid>
        <w:gridCol w:w="1436"/>
        <w:gridCol w:w="5648"/>
        <w:gridCol w:w="1933"/>
      </w:tblGrid>
      <w:tr w:rsidR="001B5977" w:rsidRPr="0098262F" w14:paraId="7A17DCE6" w14:textId="77777777">
        <w:trPr>
          <w:tblHeader/>
        </w:trPr>
        <w:tc>
          <w:tcPr>
            <w:tcW w:w="796" w:type="pct"/>
            <w:vAlign w:val="center"/>
          </w:tcPr>
          <w:p w14:paraId="3D13D0D6" w14:textId="77777777" w:rsidR="001B5977" w:rsidRPr="0098262F" w:rsidRDefault="001B5977">
            <w:pPr>
              <w:pStyle w:val="COMTableheadingrow"/>
            </w:pPr>
            <w:r w:rsidRPr="0098262F">
              <w:t>Trial ID</w:t>
            </w:r>
          </w:p>
        </w:tc>
        <w:tc>
          <w:tcPr>
            <w:tcW w:w="3132" w:type="pct"/>
            <w:vAlign w:val="center"/>
          </w:tcPr>
          <w:p w14:paraId="3C3F6A6C" w14:textId="77777777" w:rsidR="001B5977" w:rsidRPr="0098262F" w:rsidRDefault="001B5977">
            <w:pPr>
              <w:pStyle w:val="COMTableheadingrow"/>
            </w:pPr>
            <w:r w:rsidRPr="0098262F">
              <w:t>Protocol title/ Publication title</w:t>
            </w:r>
          </w:p>
        </w:tc>
        <w:tc>
          <w:tcPr>
            <w:tcW w:w="1072" w:type="pct"/>
            <w:vAlign w:val="center"/>
          </w:tcPr>
          <w:p w14:paraId="67E2926A" w14:textId="77777777" w:rsidR="001B5977" w:rsidRPr="0098262F" w:rsidRDefault="001B5977">
            <w:pPr>
              <w:pStyle w:val="COMTableheadingrow"/>
            </w:pPr>
            <w:r w:rsidRPr="0098262F">
              <w:t>Publication citation</w:t>
            </w:r>
          </w:p>
        </w:tc>
      </w:tr>
      <w:tr w:rsidR="001B5977" w:rsidRPr="0098262F" w14:paraId="3ECB6AF3" w14:textId="77777777">
        <w:trPr>
          <w:trHeight w:val="940"/>
        </w:trPr>
        <w:tc>
          <w:tcPr>
            <w:tcW w:w="796" w:type="pct"/>
            <w:vMerge w:val="restart"/>
            <w:vAlign w:val="center"/>
          </w:tcPr>
          <w:p w14:paraId="00824F15" w14:textId="77777777" w:rsidR="001B5977" w:rsidRDefault="001B5977">
            <w:pPr>
              <w:pStyle w:val="COMTabletext"/>
            </w:pPr>
            <w:r>
              <w:t>DeLLphi-304</w:t>
            </w:r>
          </w:p>
          <w:p w14:paraId="22207EEB" w14:textId="77777777" w:rsidR="001B5977" w:rsidRPr="0098262F" w:rsidRDefault="001B5977">
            <w:pPr>
              <w:pStyle w:val="COMTabletext"/>
            </w:pPr>
            <w:r>
              <w:t>(NCT05740566)</w:t>
            </w:r>
          </w:p>
        </w:tc>
        <w:tc>
          <w:tcPr>
            <w:tcW w:w="3132" w:type="pct"/>
            <w:tcBorders>
              <w:bottom w:val="nil"/>
            </w:tcBorders>
          </w:tcPr>
          <w:p w14:paraId="53B1D03E" w14:textId="77777777" w:rsidR="001B5977" w:rsidRPr="0098262F" w:rsidRDefault="001B5977">
            <w:pPr>
              <w:autoSpaceDE w:val="0"/>
              <w:autoSpaceDN w:val="0"/>
              <w:adjustRightInd w:val="0"/>
              <w:jc w:val="left"/>
              <w:rPr>
                <w:szCs w:val="18"/>
              </w:rPr>
            </w:pPr>
            <w:r w:rsidRPr="00C468D7">
              <w:rPr>
                <w:rFonts w:ascii="Arial Narrow" w:eastAsiaTheme="majorEastAsia" w:hAnsi="Arial Narrow" w:cstheme="majorBidi"/>
                <w:bCs/>
                <w:sz w:val="20"/>
                <w:szCs w:val="18"/>
              </w:rPr>
              <w:t>A randomized, open-label, phase 3 study of tarlatamab</w:t>
            </w:r>
            <w:r>
              <w:rPr>
                <w:rFonts w:ascii="Arial Narrow" w:eastAsiaTheme="majorEastAsia" w:hAnsi="Arial Narrow" w:cstheme="majorBidi"/>
                <w:bCs/>
                <w:sz w:val="20"/>
                <w:szCs w:val="18"/>
              </w:rPr>
              <w:t xml:space="preserve"> </w:t>
            </w:r>
            <w:r w:rsidRPr="00C468D7">
              <w:rPr>
                <w:rFonts w:ascii="Arial Narrow" w:eastAsiaTheme="majorEastAsia" w:hAnsi="Arial Narrow" w:cstheme="majorBidi"/>
                <w:bCs/>
                <w:sz w:val="20"/>
                <w:szCs w:val="18"/>
              </w:rPr>
              <w:t>compared with standard of care in subjects with</w:t>
            </w:r>
            <w:r>
              <w:rPr>
                <w:rFonts w:ascii="Arial Narrow" w:eastAsiaTheme="majorEastAsia" w:hAnsi="Arial Narrow" w:cstheme="majorBidi"/>
                <w:bCs/>
                <w:sz w:val="20"/>
                <w:szCs w:val="18"/>
              </w:rPr>
              <w:t xml:space="preserve"> </w:t>
            </w:r>
            <w:r w:rsidRPr="00C468D7">
              <w:rPr>
                <w:rFonts w:ascii="Arial Narrow" w:eastAsiaTheme="majorEastAsia" w:hAnsi="Arial Narrow" w:cstheme="majorBidi"/>
                <w:bCs/>
                <w:sz w:val="20"/>
                <w:szCs w:val="18"/>
              </w:rPr>
              <w:t>relapsed small cell lung cancer after platinum-based</w:t>
            </w:r>
            <w:r>
              <w:rPr>
                <w:rFonts w:ascii="Arial Narrow" w:eastAsiaTheme="majorEastAsia" w:hAnsi="Arial Narrow" w:cstheme="majorBidi"/>
                <w:bCs/>
                <w:sz w:val="20"/>
                <w:szCs w:val="18"/>
              </w:rPr>
              <w:t xml:space="preserve"> </w:t>
            </w:r>
            <w:r w:rsidRPr="00C468D7">
              <w:rPr>
                <w:rFonts w:ascii="Arial Narrow" w:hAnsi="Arial Narrow" w:cstheme="majorBidi"/>
                <w:sz w:val="20"/>
                <w:szCs w:val="18"/>
              </w:rPr>
              <w:t>first-line chemotherapy (DeLLphi-304)</w:t>
            </w:r>
            <w:r>
              <w:rPr>
                <w:szCs w:val="18"/>
              </w:rPr>
              <w:t>.</w:t>
            </w:r>
          </w:p>
        </w:tc>
        <w:tc>
          <w:tcPr>
            <w:tcW w:w="1072" w:type="pct"/>
            <w:tcBorders>
              <w:bottom w:val="nil"/>
            </w:tcBorders>
          </w:tcPr>
          <w:p w14:paraId="678EBBD1" w14:textId="77777777" w:rsidR="001B5977" w:rsidRDefault="001B5977">
            <w:pPr>
              <w:pStyle w:val="COMTabletext"/>
            </w:pPr>
            <w:r w:rsidRPr="009C2A73">
              <w:t xml:space="preserve">Clinical </w:t>
            </w:r>
            <w:r>
              <w:t>s</w:t>
            </w:r>
            <w:r w:rsidRPr="009C2A73">
              <w:t xml:space="preserve">tudy </w:t>
            </w:r>
            <w:r>
              <w:t>r</w:t>
            </w:r>
            <w:r w:rsidRPr="009C2A73">
              <w:t>eport</w:t>
            </w:r>
            <w:r>
              <w:t>,</w:t>
            </w:r>
            <w:r w:rsidRPr="009C2A73">
              <w:t xml:space="preserve"> May 2025</w:t>
            </w:r>
            <w:r>
              <w:t>.</w:t>
            </w:r>
          </w:p>
          <w:p w14:paraId="69C828A0" w14:textId="77777777" w:rsidR="001B5977" w:rsidRPr="0098262F" w:rsidRDefault="001B5977">
            <w:pPr>
              <w:pStyle w:val="COMTabletext"/>
            </w:pPr>
            <w:r>
              <w:t>Clinical study report addendum, June</w:t>
            </w:r>
            <w:r w:rsidRPr="0098262F">
              <w:t xml:space="preserve"> 20</w:t>
            </w:r>
            <w:r>
              <w:t>2</w:t>
            </w:r>
            <w:r w:rsidRPr="0098262F">
              <w:t>5</w:t>
            </w:r>
            <w:r>
              <w:t>.</w:t>
            </w:r>
          </w:p>
        </w:tc>
      </w:tr>
      <w:tr w:rsidR="001B5977" w:rsidRPr="0098262F" w14:paraId="06630627" w14:textId="77777777">
        <w:tc>
          <w:tcPr>
            <w:tcW w:w="796" w:type="pct"/>
            <w:vMerge/>
            <w:tcBorders>
              <w:bottom w:val="nil"/>
            </w:tcBorders>
            <w:vAlign w:val="center"/>
          </w:tcPr>
          <w:p w14:paraId="1CD2CA8A" w14:textId="77777777" w:rsidR="001B5977" w:rsidRPr="0098262F" w:rsidRDefault="001B5977">
            <w:pPr>
              <w:pStyle w:val="COMTabletext"/>
            </w:pPr>
          </w:p>
        </w:tc>
        <w:tc>
          <w:tcPr>
            <w:tcW w:w="3132" w:type="pct"/>
            <w:tcBorders>
              <w:top w:val="nil"/>
              <w:bottom w:val="single" w:sz="4" w:space="0" w:color="auto"/>
            </w:tcBorders>
          </w:tcPr>
          <w:p w14:paraId="5DB0D6F0" w14:textId="77777777" w:rsidR="001B5977" w:rsidRPr="0098262F" w:rsidRDefault="001B5977">
            <w:pPr>
              <w:pStyle w:val="COMTabletext"/>
              <w:rPr>
                <w:szCs w:val="18"/>
              </w:rPr>
            </w:pPr>
            <w:r w:rsidRPr="006C1706">
              <w:rPr>
                <w:szCs w:val="18"/>
              </w:rPr>
              <w:t>Mountzios G, Sun L, Cho BC, et al. Tarlatamab in small-cell lung cancer after platinum-based chemotherapy</w:t>
            </w:r>
            <w:r>
              <w:rPr>
                <w:szCs w:val="18"/>
              </w:rPr>
              <w:t>.</w:t>
            </w:r>
          </w:p>
        </w:tc>
        <w:tc>
          <w:tcPr>
            <w:tcW w:w="1072" w:type="pct"/>
            <w:tcBorders>
              <w:top w:val="nil"/>
              <w:bottom w:val="single" w:sz="4" w:space="0" w:color="auto"/>
            </w:tcBorders>
          </w:tcPr>
          <w:p w14:paraId="6432A7FA" w14:textId="77777777" w:rsidR="001B5977" w:rsidRPr="0098262F" w:rsidRDefault="001B5977">
            <w:pPr>
              <w:pStyle w:val="COMTabletext"/>
              <w:rPr>
                <w:szCs w:val="18"/>
              </w:rPr>
            </w:pPr>
            <w:r w:rsidRPr="00880084">
              <w:rPr>
                <w:i/>
                <w:iCs/>
              </w:rPr>
              <w:t>N</w:t>
            </w:r>
            <w:r>
              <w:rPr>
                <w:i/>
                <w:iCs/>
              </w:rPr>
              <w:t xml:space="preserve">ew </w:t>
            </w:r>
            <w:r w:rsidRPr="00880084">
              <w:rPr>
                <w:i/>
                <w:iCs/>
              </w:rPr>
              <w:t>E</w:t>
            </w:r>
            <w:r>
              <w:rPr>
                <w:i/>
                <w:iCs/>
              </w:rPr>
              <w:t xml:space="preserve">ngland </w:t>
            </w:r>
            <w:r w:rsidRPr="00880084">
              <w:rPr>
                <w:i/>
                <w:iCs/>
              </w:rPr>
              <w:t>J</w:t>
            </w:r>
            <w:r>
              <w:rPr>
                <w:i/>
                <w:iCs/>
              </w:rPr>
              <w:t xml:space="preserve">ournal of </w:t>
            </w:r>
            <w:r w:rsidRPr="00880084">
              <w:rPr>
                <w:i/>
                <w:iCs/>
              </w:rPr>
              <w:t>M</w:t>
            </w:r>
            <w:r>
              <w:rPr>
                <w:i/>
                <w:iCs/>
              </w:rPr>
              <w:t>edicine</w:t>
            </w:r>
            <w:r w:rsidRPr="006C1706">
              <w:t xml:space="preserve"> 2025; 393:349-</w:t>
            </w:r>
            <w:r>
              <w:t>3</w:t>
            </w:r>
            <w:r w:rsidRPr="006C1706">
              <w:t>61</w:t>
            </w:r>
            <w:r>
              <w:t>.</w:t>
            </w:r>
          </w:p>
        </w:tc>
      </w:tr>
      <w:tr w:rsidR="001B5977" w:rsidRPr="0098262F" w14:paraId="4BF0D242" w14:textId="77777777">
        <w:tc>
          <w:tcPr>
            <w:tcW w:w="5000" w:type="pct"/>
            <w:gridSpan w:val="3"/>
            <w:tcBorders>
              <w:bottom w:val="nil"/>
            </w:tcBorders>
            <w:vAlign w:val="center"/>
          </w:tcPr>
          <w:p w14:paraId="1FEFC1F7" w14:textId="77777777" w:rsidR="001B5977" w:rsidRPr="0098237B" w:rsidRDefault="001B5977">
            <w:pPr>
              <w:pStyle w:val="COMTabletext"/>
              <w:rPr>
                <w:b/>
                <w:bCs w:val="0"/>
                <w:i/>
                <w:iCs/>
              </w:rPr>
            </w:pPr>
            <w:r w:rsidRPr="0098237B">
              <w:rPr>
                <w:b/>
                <w:bCs w:val="0"/>
              </w:rPr>
              <w:t>Supportive evidence</w:t>
            </w:r>
          </w:p>
        </w:tc>
      </w:tr>
      <w:tr w:rsidR="001B5977" w:rsidRPr="0098262F" w14:paraId="2FC307A6" w14:textId="77777777">
        <w:tc>
          <w:tcPr>
            <w:tcW w:w="796" w:type="pct"/>
            <w:vMerge w:val="restart"/>
            <w:vAlign w:val="center"/>
          </w:tcPr>
          <w:p w14:paraId="70BF0A49" w14:textId="77777777" w:rsidR="001B5977" w:rsidRDefault="001B5977">
            <w:pPr>
              <w:pStyle w:val="COMTabletext"/>
            </w:pPr>
            <w:r>
              <w:t xml:space="preserve">DeLLphi-301 </w:t>
            </w:r>
          </w:p>
          <w:p w14:paraId="6BFA8A54" w14:textId="77777777" w:rsidR="001B5977" w:rsidRPr="0098262F" w:rsidRDefault="001B5977">
            <w:pPr>
              <w:pStyle w:val="COMTabletext"/>
            </w:pPr>
            <w:r>
              <w:t>(NCT05060016)</w:t>
            </w:r>
          </w:p>
        </w:tc>
        <w:tc>
          <w:tcPr>
            <w:tcW w:w="3132" w:type="pct"/>
            <w:tcBorders>
              <w:bottom w:val="nil"/>
            </w:tcBorders>
          </w:tcPr>
          <w:p w14:paraId="0599A371" w14:textId="77777777" w:rsidR="001B5977" w:rsidRPr="0098262F" w:rsidRDefault="001B5977">
            <w:pPr>
              <w:pStyle w:val="COMTabletext"/>
            </w:pPr>
            <w:r>
              <w:t>A phase 2 study evaluating the efficacy, safety, tolerability, and pharmacokinetics of tarlatamab in subjects with relapsed/refractory small cell lung cancer after two or more prior lines of treatment (DeLLphi-301).</w:t>
            </w:r>
          </w:p>
        </w:tc>
        <w:tc>
          <w:tcPr>
            <w:tcW w:w="1072" w:type="pct"/>
            <w:tcBorders>
              <w:bottom w:val="nil"/>
            </w:tcBorders>
          </w:tcPr>
          <w:p w14:paraId="721FE151" w14:textId="77777777" w:rsidR="001B5977" w:rsidRDefault="001B5977">
            <w:pPr>
              <w:pStyle w:val="COMTabletext"/>
            </w:pPr>
            <w:r w:rsidRPr="00775E6C">
              <w:t>Clinical Study Report</w:t>
            </w:r>
            <w:r>
              <w:t>, September 2023.</w:t>
            </w:r>
          </w:p>
          <w:p w14:paraId="4C13D444" w14:textId="77777777" w:rsidR="001B5977" w:rsidRPr="0098262F" w:rsidRDefault="001B5977">
            <w:pPr>
              <w:pStyle w:val="COMTabletext"/>
            </w:pPr>
            <w:r>
              <w:t xml:space="preserve">Clinical study report addendum, </w:t>
            </w:r>
            <w:r w:rsidRPr="00775E6C">
              <w:t>March 2024</w:t>
            </w:r>
            <w:r>
              <w:t>.</w:t>
            </w:r>
          </w:p>
        </w:tc>
      </w:tr>
      <w:tr w:rsidR="001B5977" w:rsidRPr="0098262F" w14:paraId="567FB53B" w14:textId="77777777">
        <w:tc>
          <w:tcPr>
            <w:tcW w:w="796" w:type="pct"/>
            <w:vMerge/>
            <w:tcBorders>
              <w:bottom w:val="single" w:sz="4" w:space="0" w:color="auto"/>
            </w:tcBorders>
            <w:vAlign w:val="center"/>
          </w:tcPr>
          <w:p w14:paraId="68094810" w14:textId="77777777" w:rsidR="001B5977" w:rsidRDefault="001B5977">
            <w:pPr>
              <w:pStyle w:val="COMTabletext"/>
            </w:pPr>
          </w:p>
        </w:tc>
        <w:tc>
          <w:tcPr>
            <w:tcW w:w="3132" w:type="pct"/>
            <w:tcBorders>
              <w:top w:val="nil"/>
              <w:bottom w:val="single" w:sz="4" w:space="0" w:color="auto"/>
            </w:tcBorders>
          </w:tcPr>
          <w:p w14:paraId="471E8912" w14:textId="77777777" w:rsidR="001B5977" w:rsidRDefault="001B5977">
            <w:pPr>
              <w:pStyle w:val="COMTabletext"/>
            </w:pPr>
            <w:r w:rsidRPr="009C2409">
              <w:t>Ahn MJ, Cho BC, Felip E, et al. Tarlatamab for patients with previously treated small-cell lung cancer.</w:t>
            </w:r>
          </w:p>
        </w:tc>
        <w:tc>
          <w:tcPr>
            <w:tcW w:w="1072" w:type="pct"/>
            <w:tcBorders>
              <w:top w:val="nil"/>
              <w:bottom w:val="single" w:sz="4" w:space="0" w:color="auto"/>
            </w:tcBorders>
          </w:tcPr>
          <w:p w14:paraId="797D49A8" w14:textId="77777777" w:rsidR="001B5977" w:rsidRPr="00775E6C" w:rsidRDefault="001B5977">
            <w:pPr>
              <w:pStyle w:val="COMTabletext"/>
            </w:pPr>
            <w:r w:rsidRPr="002D4779">
              <w:rPr>
                <w:i/>
                <w:iCs/>
              </w:rPr>
              <w:t>New England Journal of Medicine</w:t>
            </w:r>
            <w:r w:rsidRPr="0016417D">
              <w:t xml:space="preserve"> 2023</w:t>
            </w:r>
            <w:r>
              <w:t>;</w:t>
            </w:r>
            <w:r w:rsidRPr="0016417D">
              <w:t xml:space="preserve"> 389(22):</w:t>
            </w:r>
            <w:r>
              <w:t xml:space="preserve"> </w:t>
            </w:r>
            <w:r w:rsidRPr="0016417D">
              <w:t>2063-2075.</w:t>
            </w:r>
          </w:p>
        </w:tc>
      </w:tr>
      <w:tr w:rsidR="001B5977" w:rsidRPr="0098262F" w14:paraId="313EAC63" w14:textId="77777777">
        <w:tc>
          <w:tcPr>
            <w:tcW w:w="796" w:type="pct"/>
          </w:tcPr>
          <w:p w14:paraId="7C58745E" w14:textId="77777777" w:rsidR="001B5977" w:rsidRDefault="001B5977">
            <w:pPr>
              <w:pStyle w:val="COMTabletext"/>
            </w:pPr>
            <w:r w:rsidRPr="006A3BEC">
              <w:t>CAS study 2023</w:t>
            </w:r>
          </w:p>
        </w:tc>
        <w:tc>
          <w:tcPr>
            <w:tcW w:w="3132" w:type="pct"/>
            <w:vAlign w:val="center"/>
          </w:tcPr>
          <w:p w14:paraId="6875357A" w14:textId="77777777" w:rsidR="001B5977" w:rsidRPr="009C2409" w:rsidRDefault="001B5977">
            <w:pPr>
              <w:pStyle w:val="COMTabletext"/>
            </w:pPr>
            <w:r w:rsidRPr="006A3BEC">
              <w:t>A retrospective cohort study assessing patient demographics, clinical characteristics, treatment patterns, outcomes, adverse events, and all-cause healthcare resource utilisation (HCRU) in patients with small-cell lung cancer in England using the Cancer Analysis System.</w:t>
            </w:r>
          </w:p>
        </w:tc>
        <w:tc>
          <w:tcPr>
            <w:tcW w:w="1072" w:type="pct"/>
          </w:tcPr>
          <w:p w14:paraId="739188EC" w14:textId="34AA4FB3" w:rsidR="001B5977" w:rsidRPr="002D4779" w:rsidRDefault="00C34EFD">
            <w:pPr>
              <w:pStyle w:val="COMTabletext"/>
              <w:rPr>
                <w:i/>
                <w:iCs/>
              </w:rPr>
            </w:pPr>
            <w:r>
              <w:t>Sponsor</w:t>
            </w:r>
            <w:r w:rsidRPr="006A3BEC">
              <w:t xml:space="preserve"> </w:t>
            </w:r>
            <w:r w:rsidR="001B5977" w:rsidRPr="006A3BEC">
              <w:t>data on file (20220199), March 2023.</w:t>
            </w:r>
          </w:p>
        </w:tc>
      </w:tr>
      <w:tr w:rsidR="001B5977" w:rsidRPr="0098262F" w14:paraId="7E913736" w14:textId="77777777">
        <w:tc>
          <w:tcPr>
            <w:tcW w:w="796" w:type="pct"/>
            <w:tcBorders>
              <w:top w:val="single" w:sz="4" w:space="0" w:color="auto"/>
              <w:bottom w:val="single" w:sz="4" w:space="0" w:color="auto"/>
            </w:tcBorders>
          </w:tcPr>
          <w:p w14:paraId="4C68261C" w14:textId="77777777" w:rsidR="001B5977" w:rsidRDefault="001B5977">
            <w:pPr>
              <w:pStyle w:val="COMTabletext"/>
            </w:pPr>
            <w:r w:rsidRPr="008F4BFB">
              <w:t>Flatiron study 2024</w:t>
            </w:r>
          </w:p>
        </w:tc>
        <w:tc>
          <w:tcPr>
            <w:tcW w:w="3132" w:type="pct"/>
            <w:tcBorders>
              <w:top w:val="single" w:sz="4" w:space="0" w:color="auto"/>
              <w:bottom w:val="single" w:sz="4" w:space="0" w:color="auto"/>
            </w:tcBorders>
          </w:tcPr>
          <w:p w14:paraId="528AD956" w14:textId="77777777" w:rsidR="001B5977" w:rsidRPr="009C2409" w:rsidRDefault="001B5977">
            <w:pPr>
              <w:pStyle w:val="COMTabletext"/>
            </w:pPr>
            <w:r w:rsidRPr="008F4BFB">
              <w:t>Tarlatamab vs. real-world physicians’ choice of therapies in patients with relapsed or refractory small cell lung cancer after two or more prior lines of treatment: patient-level indirect treatment comparison (ITC) of DeLLphi-301 vs. Flatiron real-world data.</w:t>
            </w:r>
          </w:p>
        </w:tc>
        <w:tc>
          <w:tcPr>
            <w:tcW w:w="1072" w:type="pct"/>
            <w:tcBorders>
              <w:top w:val="single" w:sz="4" w:space="0" w:color="auto"/>
              <w:bottom w:val="single" w:sz="4" w:space="0" w:color="auto"/>
            </w:tcBorders>
          </w:tcPr>
          <w:p w14:paraId="33C097ED" w14:textId="04C05D3F" w:rsidR="001B5977" w:rsidRDefault="00C34EFD">
            <w:pPr>
              <w:pStyle w:val="COMTabletext"/>
              <w:rPr>
                <w:rStyle w:val="CommentReference"/>
                <w:rFonts w:eastAsia="Times New Roman"/>
                <w:bCs w:val="0"/>
              </w:rPr>
            </w:pPr>
            <w:r>
              <w:t>Sponsor</w:t>
            </w:r>
            <w:r w:rsidRPr="008F4BFB">
              <w:t xml:space="preserve"> </w:t>
            </w:r>
            <w:r w:rsidR="001B5977" w:rsidRPr="008F4BFB">
              <w:t>data on file (20240049), March 2024.</w:t>
            </w:r>
          </w:p>
        </w:tc>
      </w:tr>
    </w:tbl>
    <w:p w14:paraId="240003D6" w14:textId="77777777" w:rsidR="001B5977" w:rsidRDefault="001B5977" w:rsidP="001B5977">
      <w:pPr>
        <w:pStyle w:val="COMTablefooter"/>
      </w:pPr>
      <w:r w:rsidRPr="0098262F">
        <w:t xml:space="preserve">Source: </w:t>
      </w:r>
      <w:r w:rsidRPr="00560256">
        <w:t>Table 2.2.</w:t>
      </w:r>
      <w:r>
        <w:t>2</w:t>
      </w:r>
      <w:r w:rsidRPr="00560256">
        <w:t>-1, p</w:t>
      </w:r>
      <w:r>
        <w:t>29</w:t>
      </w:r>
      <w:r w:rsidRPr="00560256">
        <w:t xml:space="preserve"> of the submission. </w:t>
      </w:r>
      <w:r>
        <w:t>Attachment 2.2 of section 2 in the submission</w:t>
      </w:r>
    </w:p>
    <w:p w14:paraId="2F9FEDE7" w14:textId="77777777" w:rsidR="001B5977" w:rsidRDefault="001B5977" w:rsidP="001B5977">
      <w:pPr>
        <w:pStyle w:val="COMTablefooter"/>
      </w:pPr>
      <w:r>
        <w:t>Note: C</w:t>
      </w:r>
      <w:r w:rsidRPr="002E12D7">
        <w:t>itations relating to conference abstracts omitted</w:t>
      </w:r>
      <w:r>
        <w:t xml:space="preserve">. </w:t>
      </w:r>
    </w:p>
    <w:p w14:paraId="69DC636A" w14:textId="45088B5F" w:rsidR="00EF77DB" w:rsidRPr="0098262F" w:rsidRDefault="00EF77DB" w:rsidP="00EF77DB">
      <w:pPr>
        <w:pStyle w:val="COMESnumberedpara"/>
        <w:rPr>
          <w:color w:val="0066FF"/>
        </w:rPr>
      </w:pPr>
      <w:r w:rsidRPr="0098262F">
        <w:t>The key features of the</w:t>
      </w:r>
      <w:r>
        <w:t xml:space="preserve"> DeLLphi-304</w:t>
      </w:r>
      <w:r w:rsidRPr="0098262F">
        <w:t xml:space="preserve"> </w:t>
      </w:r>
      <w:r w:rsidR="00095C7C">
        <w:t xml:space="preserve">trial </w:t>
      </w:r>
      <w:r w:rsidRPr="0098262F">
        <w:t>are summarised in</w:t>
      </w:r>
      <w:r>
        <w:t xml:space="preserve"> </w:t>
      </w:r>
      <w:r>
        <w:fldChar w:fldCharType="begin"/>
      </w:r>
      <w:r>
        <w:instrText xml:space="preserve"> REF _Ref208486026 \h </w:instrText>
      </w:r>
      <w:r>
        <w:fldChar w:fldCharType="separate"/>
      </w:r>
      <w:r w:rsidR="00E26586" w:rsidRPr="00602806">
        <w:t xml:space="preserve">Table </w:t>
      </w:r>
      <w:r w:rsidR="00E26586">
        <w:rPr>
          <w:noProof/>
        </w:rPr>
        <w:t>3</w:t>
      </w:r>
      <w:r>
        <w:fldChar w:fldCharType="end"/>
      </w:r>
      <w:r w:rsidRPr="0098262F">
        <w:t>.</w:t>
      </w:r>
      <w:r w:rsidRPr="0098262F">
        <w:rPr>
          <w:color w:val="0066FF"/>
        </w:rPr>
        <w:t xml:space="preserve"> </w:t>
      </w:r>
    </w:p>
    <w:p w14:paraId="46DECFF8" w14:textId="5962E8E6" w:rsidR="00EF77DB" w:rsidRPr="00602806" w:rsidRDefault="00EF77DB" w:rsidP="00EF77DB">
      <w:pPr>
        <w:pStyle w:val="COMTableheadingrow"/>
      </w:pPr>
      <w:bookmarkStart w:id="25" w:name="_Ref208486026"/>
      <w:r w:rsidRPr="00602806">
        <w:t xml:space="preserve">Table </w:t>
      </w:r>
      <w:r>
        <w:fldChar w:fldCharType="begin"/>
      </w:r>
      <w:r>
        <w:instrText>SEQ Table \* ARABIC</w:instrText>
      </w:r>
      <w:r>
        <w:fldChar w:fldCharType="separate"/>
      </w:r>
      <w:r w:rsidR="00E26586">
        <w:rPr>
          <w:noProof/>
        </w:rPr>
        <w:t>3</w:t>
      </w:r>
      <w:r>
        <w:fldChar w:fldCharType="end"/>
      </w:r>
      <w:bookmarkEnd w:id="25"/>
      <w:r w:rsidRPr="00602806">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985"/>
        <w:gridCol w:w="709"/>
        <w:gridCol w:w="1701"/>
        <w:gridCol w:w="851"/>
        <w:gridCol w:w="1133"/>
        <w:gridCol w:w="2552"/>
        <w:gridCol w:w="1086"/>
      </w:tblGrid>
      <w:tr w:rsidR="00EF77DB" w:rsidRPr="0098262F" w14:paraId="32068851" w14:textId="77777777">
        <w:trPr>
          <w:cantSplit/>
          <w:tblHeader/>
        </w:trPr>
        <w:tc>
          <w:tcPr>
            <w:tcW w:w="546" w:type="pct"/>
            <w:vAlign w:val="center"/>
          </w:tcPr>
          <w:p w14:paraId="6CDD3D99" w14:textId="77777777" w:rsidR="00EF77DB" w:rsidRPr="0098262F" w:rsidRDefault="00EF77DB">
            <w:pPr>
              <w:pStyle w:val="COMTableheadingrow"/>
            </w:pPr>
            <w:r w:rsidRPr="0098262F">
              <w:t>Trial</w:t>
            </w:r>
          </w:p>
        </w:tc>
        <w:tc>
          <w:tcPr>
            <w:tcW w:w="393" w:type="pct"/>
            <w:vAlign w:val="center"/>
          </w:tcPr>
          <w:p w14:paraId="7E9114FC" w14:textId="77777777" w:rsidR="00EF77DB" w:rsidRPr="0098262F" w:rsidRDefault="00EF77DB">
            <w:pPr>
              <w:pStyle w:val="COMTableheadingrow"/>
              <w:jc w:val="center"/>
            </w:pPr>
            <w:r w:rsidRPr="0098262F">
              <w:t>N</w:t>
            </w:r>
          </w:p>
        </w:tc>
        <w:tc>
          <w:tcPr>
            <w:tcW w:w="943" w:type="pct"/>
            <w:vAlign w:val="center"/>
          </w:tcPr>
          <w:p w14:paraId="1EDEF1DF" w14:textId="77777777" w:rsidR="00EF77DB" w:rsidRPr="0098262F" w:rsidRDefault="00EF77DB">
            <w:pPr>
              <w:pStyle w:val="COMTableheadingrow"/>
              <w:jc w:val="center"/>
            </w:pPr>
            <w:r w:rsidRPr="0098262F">
              <w:t>Design/duration</w:t>
            </w:r>
          </w:p>
        </w:tc>
        <w:tc>
          <w:tcPr>
            <w:tcW w:w="472" w:type="pct"/>
            <w:vAlign w:val="center"/>
          </w:tcPr>
          <w:p w14:paraId="69F1C842" w14:textId="77777777" w:rsidR="00EF77DB" w:rsidRPr="0098262F" w:rsidRDefault="00EF77DB">
            <w:pPr>
              <w:pStyle w:val="COMTableheadingrow"/>
              <w:jc w:val="center"/>
            </w:pPr>
            <w:r w:rsidRPr="0098262F">
              <w:t>Risk of bias</w:t>
            </w:r>
          </w:p>
        </w:tc>
        <w:tc>
          <w:tcPr>
            <w:tcW w:w="628" w:type="pct"/>
            <w:vAlign w:val="center"/>
          </w:tcPr>
          <w:p w14:paraId="7B9C7A6B" w14:textId="77777777" w:rsidR="00EF77DB" w:rsidRPr="0098262F" w:rsidRDefault="00EF77DB">
            <w:pPr>
              <w:pStyle w:val="COMTableheadingrow"/>
              <w:jc w:val="center"/>
            </w:pPr>
            <w:r w:rsidRPr="0098262F">
              <w:t>Patient population</w:t>
            </w:r>
          </w:p>
        </w:tc>
        <w:tc>
          <w:tcPr>
            <w:tcW w:w="1415" w:type="pct"/>
            <w:vAlign w:val="center"/>
          </w:tcPr>
          <w:p w14:paraId="3D115109" w14:textId="77777777" w:rsidR="00EF77DB" w:rsidRPr="0098262F" w:rsidRDefault="00EF77DB">
            <w:pPr>
              <w:pStyle w:val="COMTableheadingrow"/>
              <w:jc w:val="center"/>
            </w:pPr>
            <w:r w:rsidRPr="0098262F">
              <w:t>Outcomes</w:t>
            </w:r>
          </w:p>
        </w:tc>
        <w:tc>
          <w:tcPr>
            <w:tcW w:w="602" w:type="pct"/>
            <w:vAlign w:val="center"/>
          </w:tcPr>
          <w:p w14:paraId="5C5E8AFA" w14:textId="77777777" w:rsidR="00EF77DB" w:rsidRPr="0098262F" w:rsidRDefault="00EF77DB">
            <w:pPr>
              <w:pStyle w:val="COMTableheadingrow"/>
              <w:jc w:val="center"/>
            </w:pPr>
            <w:r w:rsidRPr="0098262F">
              <w:t>Use in modelled evaluation</w:t>
            </w:r>
          </w:p>
        </w:tc>
      </w:tr>
      <w:tr w:rsidR="00EF77DB" w:rsidRPr="0098262F" w14:paraId="53856770" w14:textId="77777777">
        <w:trPr>
          <w:cantSplit/>
        </w:trPr>
        <w:tc>
          <w:tcPr>
            <w:tcW w:w="546" w:type="pct"/>
            <w:vAlign w:val="center"/>
          </w:tcPr>
          <w:p w14:paraId="3FA849B1" w14:textId="77777777" w:rsidR="00EF77DB" w:rsidRPr="0098262F" w:rsidRDefault="00EF77DB">
            <w:pPr>
              <w:pStyle w:val="COMTabletext"/>
            </w:pPr>
            <w:r w:rsidRPr="00FA4B81">
              <w:t>DeLLphi-30</w:t>
            </w:r>
            <w:r>
              <w:t>4</w:t>
            </w:r>
          </w:p>
        </w:tc>
        <w:tc>
          <w:tcPr>
            <w:tcW w:w="393" w:type="pct"/>
            <w:vAlign w:val="center"/>
          </w:tcPr>
          <w:p w14:paraId="361FE2F8" w14:textId="77777777" w:rsidR="00EF77DB" w:rsidRPr="0098262F" w:rsidRDefault="00EF77DB">
            <w:pPr>
              <w:pStyle w:val="COMTabletext"/>
              <w:jc w:val="center"/>
            </w:pPr>
            <w:r w:rsidRPr="009F1D31">
              <w:t>509</w:t>
            </w:r>
          </w:p>
        </w:tc>
        <w:tc>
          <w:tcPr>
            <w:tcW w:w="943" w:type="pct"/>
            <w:vAlign w:val="center"/>
          </w:tcPr>
          <w:p w14:paraId="00530B81" w14:textId="77777777" w:rsidR="00EF77DB" w:rsidRPr="00CC248C" w:rsidRDefault="00EF77DB">
            <w:pPr>
              <w:pStyle w:val="COMTabletext"/>
              <w:jc w:val="center"/>
            </w:pPr>
            <w:r w:rsidRPr="00CC248C">
              <w:t xml:space="preserve">Phase </w:t>
            </w:r>
            <w:r>
              <w:t>3</w:t>
            </w:r>
            <w:r w:rsidRPr="00CC248C">
              <w:t xml:space="preserve">, </w:t>
            </w:r>
            <w:r>
              <w:t>multicentre, open label, randomised controlled trial</w:t>
            </w:r>
            <w:r w:rsidRPr="00CC248C">
              <w:t>.</w:t>
            </w:r>
          </w:p>
          <w:p w14:paraId="0CED0B50" w14:textId="0CC2862E" w:rsidR="00EF77DB" w:rsidRPr="0098262F" w:rsidRDefault="00EF77DB">
            <w:pPr>
              <w:pStyle w:val="COMTabletext"/>
              <w:jc w:val="center"/>
            </w:pPr>
            <w:r>
              <w:t xml:space="preserve">Median follow-up of up to 14 </w:t>
            </w:r>
            <w:r w:rsidRPr="00CC248C">
              <w:t>months</w:t>
            </w:r>
            <w:r w:rsidR="00902B15">
              <w:t>.</w:t>
            </w:r>
          </w:p>
        </w:tc>
        <w:tc>
          <w:tcPr>
            <w:tcW w:w="472" w:type="pct"/>
            <w:vAlign w:val="center"/>
          </w:tcPr>
          <w:p w14:paraId="7CD7BF6C" w14:textId="77777777" w:rsidR="00EF77DB" w:rsidRPr="000D556F" w:rsidRDefault="00EF77DB">
            <w:pPr>
              <w:pStyle w:val="COMTabletext"/>
              <w:jc w:val="center"/>
              <w:rPr>
                <w:iCs/>
              </w:rPr>
            </w:pPr>
            <w:r w:rsidRPr="000D556F">
              <w:rPr>
                <w:iCs/>
              </w:rPr>
              <w:t>High</w:t>
            </w:r>
          </w:p>
        </w:tc>
        <w:tc>
          <w:tcPr>
            <w:tcW w:w="628" w:type="pct"/>
            <w:vAlign w:val="center"/>
          </w:tcPr>
          <w:p w14:paraId="7BD785C3" w14:textId="77777777" w:rsidR="00EF77DB" w:rsidRPr="0098262F" w:rsidRDefault="00EF77DB">
            <w:pPr>
              <w:pStyle w:val="COMTabletext"/>
              <w:jc w:val="center"/>
            </w:pPr>
            <w:r w:rsidRPr="00CE65E0">
              <w:t>Adult patients with recurrent SCLC following one platinum-based regimen.</w:t>
            </w:r>
          </w:p>
        </w:tc>
        <w:tc>
          <w:tcPr>
            <w:tcW w:w="1415" w:type="pct"/>
            <w:vAlign w:val="center"/>
          </w:tcPr>
          <w:p w14:paraId="16337E5B" w14:textId="37AF4108" w:rsidR="00EF77DB" w:rsidRPr="0098262F" w:rsidRDefault="00EF77DB">
            <w:pPr>
              <w:pStyle w:val="COMTabletext"/>
              <w:jc w:val="center"/>
            </w:pPr>
            <w:r w:rsidRPr="008510E8">
              <w:t>Overall survival, progression-free survival, objective response rate, duration of response, patient-reported outcomes</w:t>
            </w:r>
            <w:r>
              <w:t>, adverse events</w:t>
            </w:r>
          </w:p>
        </w:tc>
        <w:tc>
          <w:tcPr>
            <w:tcW w:w="602" w:type="pct"/>
            <w:vAlign w:val="center"/>
          </w:tcPr>
          <w:p w14:paraId="50832DEB" w14:textId="1F620B87" w:rsidR="00EF77DB" w:rsidRPr="0098262F" w:rsidRDefault="00EF77DB">
            <w:pPr>
              <w:pStyle w:val="COMTabletext"/>
              <w:jc w:val="center"/>
            </w:pPr>
            <w:r w:rsidRPr="00FB2D02">
              <w:t>PFS, OS,</w:t>
            </w:r>
            <w:r>
              <w:t xml:space="preserve"> TTD,</w:t>
            </w:r>
            <w:r w:rsidRPr="00FB2D02">
              <w:t xml:space="preserve"> adverse events, EQ-5D-</w:t>
            </w:r>
            <w:r w:rsidR="00A96658">
              <w:t>5</w:t>
            </w:r>
            <w:r w:rsidRPr="00FB2D02">
              <w:t>L</w:t>
            </w:r>
          </w:p>
        </w:tc>
      </w:tr>
    </w:tbl>
    <w:p w14:paraId="3FDE1013" w14:textId="77777777" w:rsidR="00EF77DB" w:rsidRDefault="00EF77DB" w:rsidP="00EF77DB">
      <w:pPr>
        <w:pStyle w:val="COMTablefooter"/>
      </w:pPr>
      <w:r w:rsidRPr="0098262F">
        <w:t xml:space="preserve">Source: </w:t>
      </w:r>
      <w:r w:rsidRPr="00311C82">
        <w:t>Section 2.3, pp31-35 of the submission</w:t>
      </w:r>
      <w:r>
        <w:t>.</w:t>
      </w:r>
      <w:r w:rsidRPr="00311C82">
        <w:t xml:space="preserve"> </w:t>
      </w:r>
    </w:p>
    <w:p w14:paraId="451B8151" w14:textId="65D8243B" w:rsidR="00EF77DB" w:rsidRPr="0098262F" w:rsidRDefault="00EF77DB" w:rsidP="00EF77DB">
      <w:pPr>
        <w:pStyle w:val="COMTablefooter"/>
        <w:rPr>
          <w:sz w:val="20"/>
        </w:rPr>
      </w:pPr>
      <w:r>
        <w:t>Abbreviations: OS, overall survival; PFS, progression-free survival; SCLC, small cell lung cancer; TTD, time to treatment discontinuation</w:t>
      </w:r>
      <w:r w:rsidRPr="0098262F">
        <w:t>.</w:t>
      </w:r>
    </w:p>
    <w:p w14:paraId="6EF217EB" w14:textId="77777777" w:rsidR="00FA7767" w:rsidRPr="00726F37" w:rsidRDefault="00FA7767" w:rsidP="00FA7767">
      <w:pPr>
        <w:pStyle w:val="COMESnumberedpara"/>
      </w:pPr>
      <w:r w:rsidRPr="00726F37">
        <w:t>The DeLLphi-304 trial is an ongoing international, open-label, randomised, controlled trial comparing tarlatamab with standard of care chemotherapy in patients with relapsed SCLC after first-line treatment with a platinum-based chemotherapy. The expected study completion date is March 2028.</w:t>
      </w:r>
    </w:p>
    <w:p w14:paraId="588C7580" w14:textId="77777777" w:rsidR="00FA7767" w:rsidRPr="00726F37" w:rsidRDefault="00FA7767" w:rsidP="00FA7767">
      <w:pPr>
        <w:pStyle w:val="COMESnumberedpara"/>
      </w:pPr>
      <w:r w:rsidRPr="00726F37">
        <w:lastRenderedPageBreak/>
        <w:t>The DeLLphi-304 trial had a high risk of bias. The open-label trial design has the potential to introduce bias, as knowledge of treatment assignment may affect disease management decisions and investigator-assessed outcomes.</w:t>
      </w:r>
    </w:p>
    <w:p w14:paraId="68A625E3" w14:textId="5A117043" w:rsidR="00B02C71" w:rsidRPr="00726F37" w:rsidRDefault="00B02C71" w:rsidP="00B02C71">
      <w:pPr>
        <w:pStyle w:val="COMESnumberedpara"/>
      </w:pPr>
      <w:r w:rsidRPr="00726F37">
        <w:rPr>
          <w:rFonts w:cstheme="minorHAnsi"/>
        </w:rPr>
        <w:t xml:space="preserve">In the DeLLphi-304 trial, tarlatamab was administered as a 60-minute intravenous infusion initiated with a step-up dose of 1 mg on day 1 of cycle 1, followed by 10 mg on days 8 and 15 of cycle 1 and then 10 mg every 2 weeks thereafter, consistent with the current tarlatamab Product Information. For the first two infusions, patients were initially monitored in the hospital for 48 hours, which was subsequently reduced through a protocol amendment to 6 to 8 hours of surveillance in the outpatient setting. Less intensive monitoring is recommended in the current tarlatamab Product Information (16 hours after the first infusion, </w:t>
      </w:r>
      <w:r w:rsidR="004E692E" w:rsidRPr="00726F37">
        <w:rPr>
          <w:rFonts w:cstheme="minorHAnsi"/>
        </w:rPr>
        <w:t xml:space="preserve">with </w:t>
      </w:r>
      <w:r w:rsidRPr="00726F37">
        <w:rPr>
          <w:rFonts w:cstheme="minorHAnsi"/>
        </w:rPr>
        <w:t>patients remaining within 1 hour of an appropriate healthcare setting for 24 hours after each infusion on Day 1 and Day 8, accompanied by a caregiver), and the draft tarlatamab Product Information (1</w:t>
      </w:r>
      <w:r w:rsidR="004132E8">
        <w:rPr>
          <w:rFonts w:cstheme="minorHAnsi"/>
        </w:rPr>
        <w:t>–</w:t>
      </w:r>
      <w:r w:rsidRPr="00726F37">
        <w:rPr>
          <w:rFonts w:cstheme="minorHAnsi"/>
        </w:rPr>
        <w:t>2 hours after infusions on Day 1 in an appropriate healthcare setting</w:t>
      </w:r>
      <w:r w:rsidR="004E692E" w:rsidRPr="00726F37">
        <w:rPr>
          <w:rFonts w:cstheme="minorHAnsi"/>
        </w:rPr>
        <w:t>,</w:t>
      </w:r>
      <w:r w:rsidRPr="00726F37">
        <w:rPr>
          <w:rFonts w:cstheme="minorHAnsi"/>
        </w:rPr>
        <w:t xml:space="preserve"> and at the discretion of the health care provider on Day 8 and subsequent infusions).</w:t>
      </w:r>
    </w:p>
    <w:p w14:paraId="7480E0AC" w14:textId="220DEF5F" w:rsidR="002C1423" w:rsidRPr="00726F37" w:rsidRDefault="002C1423" w:rsidP="002C1423">
      <w:pPr>
        <w:pStyle w:val="COMESnumberedpara"/>
      </w:pPr>
      <w:r w:rsidRPr="00726F37">
        <w:t>The dosing and administration of tarlatamab in DeLLphi-304 was subject to protocol driven dose reduction, interruption or permanent discontinuation, based on the symptoms of CRS, and ICANS, or other treatment related serious adverse events, and response to prespecified management protocols.</w:t>
      </w:r>
    </w:p>
    <w:p w14:paraId="1F849554" w14:textId="5237A620" w:rsidR="00FA7767" w:rsidRPr="00726F37" w:rsidRDefault="00FA7767" w:rsidP="00FA7767">
      <w:pPr>
        <w:pStyle w:val="COMESnumberedpara"/>
      </w:pPr>
      <w:r w:rsidRPr="00726F37">
        <w:t xml:space="preserve">The DeLLphi-304 trial was limited to patients with an ECOG performance status of 0 or 1, and patients were required to have a minimum life expectancy of 12 weeks. The trial also included a small proportion of patients with limited-stage disease (9%). The proposed </w:t>
      </w:r>
      <w:r w:rsidR="00EF3B91">
        <w:t xml:space="preserve">PBS </w:t>
      </w:r>
      <w:r w:rsidRPr="00726F37">
        <w:t>restriction does not include criteria for ECOG performance status or minimum life expectancy and the use of tarlatamab is restricted to patients with extensive-stage disease. These differences may result in patients with a poorer prognosis being treated with tarlatamab on the PBS compared to patients in the DeLLphi-304 trial, with an uncertain impact on the magnitude of benefit.</w:t>
      </w:r>
    </w:p>
    <w:p w14:paraId="7E366E5B" w14:textId="23DAA7BD" w:rsidR="004559C7" w:rsidRPr="00141956" w:rsidRDefault="00696320" w:rsidP="00307746">
      <w:pPr>
        <w:pStyle w:val="COMESnumberedpara"/>
      </w:pPr>
      <w:bookmarkStart w:id="26" w:name="_Ref222652941"/>
      <w:bookmarkStart w:id="27" w:name="_Toc22897641"/>
      <w:r w:rsidRPr="00726F37">
        <w:t>In the DeLLphi-304 trial, treatment beyond radiological progression was permitted if the investigator judged it would be of benefit to the patient, and 40% of patients with disease progression in the tarlatamab arm continued treatment with tarlatamab beyond progression. This is inconsistent with the current and draft tarlatamab Product Information</w:t>
      </w:r>
      <w:r w:rsidR="00D45C9B" w:rsidRPr="00726F37">
        <w:t xml:space="preserve"> document</w:t>
      </w:r>
      <w:r w:rsidRPr="00726F37">
        <w:t>s and proposed restriction, which does not allow treatment post-progression. Patients treated with tarlatamab after progression received more cycles of therapy and</w:t>
      </w:r>
      <w:r w:rsidR="00D45C9B" w:rsidRPr="00726F37">
        <w:t xml:space="preserve"> a</w:t>
      </w:r>
      <w:r w:rsidRPr="00726F37">
        <w:t xml:space="preserve"> longer duration of active treatment (post-progression tarlatamab (n=77) - median 8.0 cycles over 28.14 weeks; safety analysis set (n=252) - median 5.0 cycles over 18.2 weeks). Treatment with tarlatamab was associated with relatively small improvements in progression-free survival (</w:t>
      </w:r>
      <w:r w:rsidR="004A662B">
        <w:t xml:space="preserve">PFS; </w:t>
      </w:r>
      <w:r w:rsidRPr="00726F37">
        <w:t xml:space="preserve">median difference 1.0 months; see </w:t>
      </w:r>
      <w:r w:rsidRPr="00726F37">
        <w:fldChar w:fldCharType="begin"/>
      </w:r>
      <w:r w:rsidRPr="00726F37">
        <w:instrText xml:space="preserve"> REF _Ref216701305 \h  \* MERGEFORMAT </w:instrText>
      </w:r>
      <w:r w:rsidRPr="00726F37">
        <w:fldChar w:fldCharType="separate"/>
      </w:r>
      <w:r w:rsidR="00E26586" w:rsidRPr="00602806">
        <w:t xml:space="preserve">Table </w:t>
      </w:r>
      <w:r w:rsidR="00E26586">
        <w:rPr>
          <w:noProof/>
        </w:rPr>
        <w:t>5</w:t>
      </w:r>
      <w:r w:rsidRPr="00726F37">
        <w:fldChar w:fldCharType="end"/>
      </w:r>
      <w:r w:rsidRPr="00726F37">
        <w:t xml:space="preserve"> below) compared to improvements in overall survival (</w:t>
      </w:r>
      <w:r w:rsidR="00805474">
        <w:t xml:space="preserve">OS; </w:t>
      </w:r>
      <w:r w:rsidRPr="00726F37">
        <w:t xml:space="preserve">median difference 5.2 months; see </w:t>
      </w:r>
      <w:r w:rsidRPr="00726F37">
        <w:fldChar w:fldCharType="begin"/>
      </w:r>
      <w:r w:rsidRPr="00726F37">
        <w:instrText xml:space="preserve"> REF _Ref216699113 \h  \* MERGEFORMAT </w:instrText>
      </w:r>
      <w:r w:rsidRPr="00726F37">
        <w:fldChar w:fldCharType="separate"/>
      </w:r>
      <w:r w:rsidR="00E26586" w:rsidRPr="00602806">
        <w:t xml:space="preserve">Table </w:t>
      </w:r>
      <w:r w:rsidR="00E26586">
        <w:rPr>
          <w:noProof/>
        </w:rPr>
        <w:t>4</w:t>
      </w:r>
      <w:r w:rsidRPr="00726F37">
        <w:fldChar w:fldCharType="end"/>
      </w:r>
      <w:r w:rsidRPr="00726F37">
        <w:t xml:space="preserve"> below). </w:t>
      </w:r>
      <w:r w:rsidRPr="00141956">
        <w:t xml:space="preserve">The </w:t>
      </w:r>
      <w:r w:rsidR="00E0235F" w:rsidRPr="00141956">
        <w:t xml:space="preserve">evaluation considered that the </w:t>
      </w:r>
      <w:r w:rsidRPr="00141956">
        <w:t>extent to which post-progression treatment affect</w:t>
      </w:r>
      <w:r w:rsidR="00143668">
        <w:t>ed</w:t>
      </w:r>
      <w:r w:rsidRPr="00726F37">
        <w:t xml:space="preserve"> tarlatamab </w:t>
      </w:r>
      <w:r w:rsidR="00805474">
        <w:t>OS</w:t>
      </w:r>
      <w:r w:rsidRPr="00726F37">
        <w:t xml:space="preserve"> benefits </w:t>
      </w:r>
      <w:r w:rsidR="002109BC">
        <w:t>was</w:t>
      </w:r>
      <w:r w:rsidRPr="00726F37">
        <w:t xml:space="preserve"> unclear. </w:t>
      </w:r>
      <w:r w:rsidR="00E0235F" w:rsidRPr="00141956">
        <w:t xml:space="preserve">The evaluation also considered that the </w:t>
      </w:r>
      <w:r w:rsidRPr="00141956">
        <w:t xml:space="preserve">additional analysis conducted for the </w:t>
      </w:r>
      <w:r w:rsidRPr="00141956">
        <w:lastRenderedPageBreak/>
        <w:t xml:space="preserve">economic model, censoring tarlatamab </w:t>
      </w:r>
      <w:r w:rsidR="00805474" w:rsidRPr="00141956">
        <w:t>OS</w:t>
      </w:r>
      <w:r w:rsidRPr="00141956">
        <w:t xml:space="preserve"> data at post-progression tarlatamab use, was poorly documented.</w:t>
      </w:r>
      <w:r w:rsidR="00824DEE" w:rsidRPr="00141956">
        <w:t xml:space="preserve"> </w:t>
      </w:r>
      <w:r w:rsidR="000538F9" w:rsidRPr="00141956">
        <w:t>The Pre</w:t>
      </w:r>
      <w:r w:rsidR="00EA1602" w:rsidRPr="00141956">
        <w:t>-Sub</w:t>
      </w:r>
      <w:r w:rsidR="00037535" w:rsidRPr="00141956">
        <w:t>-</w:t>
      </w:r>
      <w:r w:rsidR="00EA1602" w:rsidRPr="00141956">
        <w:t>Committee Response (PSCR)</w:t>
      </w:r>
      <w:r w:rsidR="000876FE" w:rsidRPr="00141956">
        <w:t xml:space="preserve"> </w:t>
      </w:r>
      <w:r w:rsidR="006A5762" w:rsidRPr="00141956">
        <w:t>maintained that</w:t>
      </w:r>
      <w:r w:rsidR="0035728E" w:rsidRPr="00141956">
        <w:t xml:space="preserve"> post-progression</w:t>
      </w:r>
      <w:r w:rsidR="000D0AFC" w:rsidRPr="00141956">
        <w:t xml:space="preserve"> treatment with tarlatamab had minimal impact on </w:t>
      </w:r>
      <w:r w:rsidR="00C55DAC" w:rsidRPr="00141956">
        <w:t>OS</w:t>
      </w:r>
      <w:r w:rsidR="000D0AFC" w:rsidRPr="00141956">
        <w:t xml:space="preserve"> and </w:t>
      </w:r>
      <w:r w:rsidR="00540529" w:rsidRPr="00141956">
        <w:t xml:space="preserve">provided a comparison of patient characteristics for </w:t>
      </w:r>
      <w:r w:rsidR="001D75EC" w:rsidRPr="00141956">
        <w:t>those</w:t>
      </w:r>
      <w:r w:rsidR="00540529" w:rsidRPr="00141956">
        <w:t xml:space="preserve"> who continued versus discontinued tarlatamab treatment </w:t>
      </w:r>
      <w:r w:rsidR="001D75EC" w:rsidRPr="00141956">
        <w:t>upon</w:t>
      </w:r>
      <w:r w:rsidR="00540529" w:rsidRPr="00141956">
        <w:t xml:space="preserve"> disease progression, as well as additional analyses of </w:t>
      </w:r>
      <w:r w:rsidR="00D226CE" w:rsidRPr="00141956">
        <w:t>OS</w:t>
      </w:r>
      <w:r w:rsidR="00540529" w:rsidRPr="00141956">
        <w:t xml:space="preserve">, </w:t>
      </w:r>
      <w:r w:rsidR="004A662B" w:rsidRPr="00141956">
        <w:t>PFS</w:t>
      </w:r>
      <w:r w:rsidR="00540529" w:rsidRPr="00141956">
        <w:t>, and time to treatment discontinuation</w:t>
      </w:r>
      <w:r w:rsidR="00D226CE" w:rsidRPr="00141956">
        <w:t xml:space="preserve"> (TTD)</w:t>
      </w:r>
      <w:r w:rsidR="00540529" w:rsidRPr="00141956">
        <w:t xml:space="preserve"> by post-progression treatment status</w:t>
      </w:r>
      <w:r w:rsidR="00307746" w:rsidRPr="00141956">
        <w:t>.</w:t>
      </w:r>
      <w:bookmarkEnd w:id="26"/>
      <w:r w:rsidR="004678F7" w:rsidRPr="00141956">
        <w:t xml:space="preserve"> </w:t>
      </w:r>
    </w:p>
    <w:p w14:paraId="127759E0" w14:textId="11792A57" w:rsidR="00696320" w:rsidRPr="00563C40" w:rsidRDefault="004559C7" w:rsidP="00307746">
      <w:pPr>
        <w:pStyle w:val="COMESnumberedpara"/>
      </w:pPr>
      <w:bookmarkStart w:id="28" w:name="_Ref222652949"/>
      <w:r w:rsidRPr="00141956">
        <w:rPr>
          <w:rFonts w:cstheme="minorHAnsi"/>
        </w:rPr>
        <w:t>The additional data provided in the PSCR</w:t>
      </w:r>
      <w:r w:rsidR="004678F7" w:rsidRPr="00141956">
        <w:rPr>
          <w:rFonts w:cstheme="minorHAnsi"/>
        </w:rPr>
        <w:t xml:space="preserve"> indicate</w:t>
      </w:r>
      <w:r w:rsidR="0047128F" w:rsidRPr="00141956">
        <w:rPr>
          <w:rFonts w:cstheme="minorHAnsi"/>
        </w:rPr>
        <w:t>d that there were</w:t>
      </w:r>
      <w:r w:rsidR="004678F7" w:rsidRPr="00141956">
        <w:rPr>
          <w:rFonts w:cstheme="minorHAnsi"/>
        </w:rPr>
        <w:t xml:space="preserve"> differences in baseline characteristics for patients who received tarlatamab treatment post-progression compared to those who discontinued treatment</w:t>
      </w:r>
      <w:r w:rsidR="00843413" w:rsidRPr="00141956">
        <w:rPr>
          <w:rFonts w:cstheme="minorHAnsi"/>
        </w:rPr>
        <w:t>;</w:t>
      </w:r>
      <w:r w:rsidR="0070340B" w:rsidRPr="00141956">
        <w:rPr>
          <w:rFonts w:cstheme="minorHAnsi"/>
        </w:rPr>
        <w:t xml:space="preserve"> </w:t>
      </w:r>
      <w:r w:rsidR="004678F7" w:rsidRPr="00141956">
        <w:rPr>
          <w:rFonts w:cstheme="minorHAnsi"/>
        </w:rPr>
        <w:t>patients were younger</w:t>
      </w:r>
      <w:r w:rsidR="0070340B" w:rsidRPr="00141956">
        <w:rPr>
          <w:rFonts w:cstheme="minorHAnsi"/>
        </w:rPr>
        <w:t xml:space="preserve"> (</w:t>
      </w:r>
      <w:r w:rsidR="006B18F2" w:rsidRPr="00141956">
        <w:rPr>
          <w:rFonts w:cstheme="minorHAnsi"/>
        </w:rPr>
        <w:t>18–</w:t>
      </w:r>
      <w:r w:rsidR="00843413" w:rsidRPr="00141956">
        <w:rPr>
          <w:rFonts w:cstheme="minorHAnsi"/>
        </w:rPr>
        <w:t>74 years 92.8% vs 83.4%</w:t>
      </w:r>
      <w:r w:rsidR="001E40A8" w:rsidRPr="00141956">
        <w:rPr>
          <w:rFonts w:cstheme="minorHAnsi"/>
        </w:rPr>
        <w:t>)</w:t>
      </w:r>
      <w:r w:rsidR="004678F7" w:rsidRPr="00141956">
        <w:rPr>
          <w:rFonts w:cstheme="minorHAnsi"/>
        </w:rPr>
        <w:t xml:space="preserve">, with a higher </w:t>
      </w:r>
      <w:r w:rsidR="00423EC6" w:rsidRPr="00141956">
        <w:rPr>
          <w:rFonts w:cstheme="minorHAnsi"/>
        </w:rPr>
        <w:t>percentage</w:t>
      </w:r>
      <w:r w:rsidR="004678F7" w:rsidRPr="00141956">
        <w:rPr>
          <w:rFonts w:cstheme="minorHAnsi"/>
        </w:rPr>
        <w:t xml:space="preserve"> female</w:t>
      </w:r>
      <w:r w:rsidR="001E40A8" w:rsidRPr="00141956">
        <w:rPr>
          <w:rFonts w:cstheme="minorHAnsi"/>
        </w:rPr>
        <w:t xml:space="preserve"> (29.8% vs 25.2%)</w:t>
      </w:r>
      <w:r w:rsidR="004678F7" w:rsidRPr="00141956">
        <w:rPr>
          <w:rFonts w:cstheme="minorHAnsi"/>
        </w:rPr>
        <w:t>, a longer duration of response to prior platinum-based therapy</w:t>
      </w:r>
      <w:r w:rsidR="00E952A0" w:rsidRPr="00141956">
        <w:rPr>
          <w:rFonts w:cstheme="minorHAnsi"/>
        </w:rPr>
        <w:t xml:space="preserve"> (≥</w:t>
      </w:r>
      <w:r w:rsidR="007D7B66" w:rsidRPr="00141956">
        <w:rPr>
          <w:rFonts w:cstheme="minorHAnsi"/>
        </w:rPr>
        <w:t>180 days 88.1% vs 63.5%)</w:t>
      </w:r>
      <w:r w:rsidR="004678F7" w:rsidRPr="00141956">
        <w:rPr>
          <w:rFonts w:cstheme="minorHAnsi"/>
        </w:rPr>
        <w:t xml:space="preserve">, a smaller </w:t>
      </w:r>
      <w:r w:rsidR="00F90006" w:rsidRPr="00141956">
        <w:rPr>
          <w:rFonts w:cstheme="minorHAnsi"/>
        </w:rPr>
        <w:t>percentage</w:t>
      </w:r>
      <w:r w:rsidR="004678F7" w:rsidRPr="00141956">
        <w:rPr>
          <w:rFonts w:cstheme="minorHAnsi"/>
        </w:rPr>
        <w:t xml:space="preserve"> with liver metastases</w:t>
      </w:r>
      <w:r w:rsidR="007D7B66" w:rsidRPr="00141956">
        <w:rPr>
          <w:rFonts w:cstheme="minorHAnsi"/>
        </w:rPr>
        <w:t xml:space="preserve"> (22.6% vs </w:t>
      </w:r>
      <w:r w:rsidR="000818E4" w:rsidRPr="00141956">
        <w:rPr>
          <w:rFonts w:cstheme="minorHAnsi"/>
        </w:rPr>
        <w:t>47.0%)</w:t>
      </w:r>
      <w:r w:rsidR="004678F7" w:rsidRPr="00141956">
        <w:rPr>
          <w:rFonts w:cstheme="minorHAnsi"/>
        </w:rPr>
        <w:t xml:space="preserve">, and larger </w:t>
      </w:r>
      <w:r w:rsidR="00F90006" w:rsidRPr="00141956">
        <w:rPr>
          <w:rFonts w:cstheme="minorHAnsi"/>
        </w:rPr>
        <w:t>percentages</w:t>
      </w:r>
      <w:r w:rsidR="004678F7" w:rsidRPr="00141956">
        <w:rPr>
          <w:rFonts w:cstheme="minorHAnsi"/>
        </w:rPr>
        <w:t xml:space="preserve"> with brain metastases</w:t>
      </w:r>
      <w:r w:rsidR="000818E4" w:rsidRPr="00141956">
        <w:rPr>
          <w:rFonts w:cstheme="minorHAnsi"/>
        </w:rPr>
        <w:t xml:space="preserve"> (56.0% vs 35.7%)</w:t>
      </w:r>
      <w:r w:rsidR="004678F7" w:rsidRPr="00141956">
        <w:rPr>
          <w:rFonts w:cstheme="minorHAnsi"/>
        </w:rPr>
        <w:t>, current smokers</w:t>
      </w:r>
      <w:r w:rsidR="00816252" w:rsidRPr="00141956">
        <w:rPr>
          <w:rFonts w:cstheme="minorHAnsi"/>
        </w:rPr>
        <w:t xml:space="preserve"> (25% vs 15.7%)</w:t>
      </w:r>
      <w:r w:rsidR="004678F7" w:rsidRPr="00141956">
        <w:rPr>
          <w:rFonts w:cstheme="minorHAnsi"/>
        </w:rPr>
        <w:t>, and prior radiological treatment</w:t>
      </w:r>
      <w:r w:rsidR="000B7C4C" w:rsidRPr="00141956">
        <w:rPr>
          <w:rFonts w:cstheme="minorHAnsi"/>
        </w:rPr>
        <w:t xml:space="preserve"> </w:t>
      </w:r>
      <w:r w:rsidR="00816252" w:rsidRPr="00141956">
        <w:rPr>
          <w:rFonts w:cstheme="minorHAnsi"/>
        </w:rPr>
        <w:t>(</w:t>
      </w:r>
      <w:r w:rsidR="002D21DE" w:rsidRPr="00141956">
        <w:rPr>
          <w:rFonts w:cstheme="minorHAnsi"/>
        </w:rPr>
        <w:t xml:space="preserve">67.9% vs </w:t>
      </w:r>
      <w:r w:rsidR="000D7015" w:rsidRPr="00141956">
        <w:rPr>
          <w:rFonts w:cstheme="minorHAnsi"/>
        </w:rPr>
        <w:t>54.8%</w:t>
      </w:r>
      <w:r w:rsidR="004678F7" w:rsidRPr="00141956">
        <w:rPr>
          <w:rFonts w:cstheme="minorHAnsi"/>
        </w:rPr>
        <w:t>)</w:t>
      </w:r>
      <w:r w:rsidR="002853A5" w:rsidRPr="00141956">
        <w:rPr>
          <w:rFonts w:cstheme="minorHAnsi"/>
        </w:rPr>
        <w:t xml:space="preserve">. There were also </w:t>
      </w:r>
      <w:r w:rsidR="004678F7" w:rsidRPr="00141956">
        <w:rPr>
          <w:rFonts w:cstheme="minorHAnsi"/>
        </w:rPr>
        <w:t>differences in outcomes in the DeLLphi-304 trial</w:t>
      </w:r>
      <w:r w:rsidR="00102031" w:rsidRPr="00141956">
        <w:rPr>
          <w:rFonts w:cstheme="minorHAnsi"/>
        </w:rPr>
        <w:t xml:space="preserve">, where patients treated post-progression vs those </w:t>
      </w:r>
      <w:r w:rsidR="00102031" w:rsidRPr="00563C40">
        <w:rPr>
          <w:rFonts w:cstheme="minorHAnsi"/>
        </w:rPr>
        <w:t xml:space="preserve">that </w:t>
      </w:r>
      <w:r w:rsidR="00FD67D1" w:rsidRPr="00563C40">
        <w:rPr>
          <w:rFonts w:cstheme="minorHAnsi"/>
        </w:rPr>
        <w:t>discontinued</w:t>
      </w:r>
      <w:r w:rsidR="00102031" w:rsidRPr="00563C40">
        <w:rPr>
          <w:rFonts w:cstheme="minorHAnsi"/>
        </w:rPr>
        <w:t xml:space="preserve"> had a</w:t>
      </w:r>
      <w:r w:rsidR="004678F7" w:rsidRPr="00563C40">
        <w:rPr>
          <w:rFonts w:cstheme="minorHAnsi"/>
        </w:rPr>
        <w:t xml:space="preserve"> longer duration progression-free </w:t>
      </w:r>
      <w:r w:rsidR="00BB3BFE" w:rsidRPr="00563C40">
        <w:rPr>
          <w:rFonts w:cstheme="minorHAnsi"/>
        </w:rPr>
        <w:t>(</w:t>
      </w:r>
      <w:r w:rsidR="000A0FD1" w:rsidRPr="00563C40">
        <w:rPr>
          <w:rFonts w:cstheme="minorHAnsi"/>
        </w:rPr>
        <w:t xml:space="preserve">mean 5.0 vs 2.8 months) </w:t>
      </w:r>
      <w:r w:rsidR="004678F7" w:rsidRPr="00563C40">
        <w:rPr>
          <w:rFonts w:cstheme="minorHAnsi"/>
        </w:rPr>
        <w:t xml:space="preserve">and </w:t>
      </w:r>
      <w:r w:rsidR="00F14A87" w:rsidRPr="00563C40">
        <w:rPr>
          <w:rFonts w:cstheme="minorHAnsi"/>
        </w:rPr>
        <w:t xml:space="preserve">of </w:t>
      </w:r>
      <w:r w:rsidR="004678F7" w:rsidRPr="00563C40">
        <w:rPr>
          <w:rFonts w:cstheme="minorHAnsi"/>
        </w:rPr>
        <w:t>overall survival</w:t>
      </w:r>
      <w:r w:rsidR="000A0FD1" w:rsidRPr="00563C40">
        <w:rPr>
          <w:rFonts w:cstheme="minorHAnsi"/>
        </w:rPr>
        <w:t xml:space="preserve"> (mean 13.9 vs 8.3 months)</w:t>
      </w:r>
      <w:r w:rsidR="004678F7" w:rsidRPr="00563C40">
        <w:rPr>
          <w:rFonts w:cstheme="minorHAnsi"/>
        </w:rPr>
        <w:t xml:space="preserve"> for patients who received post-progression tarlatamab compared to those who discontinued at disease progression</w:t>
      </w:r>
      <w:r w:rsidR="00524210" w:rsidRPr="00563C40">
        <w:t xml:space="preserve"> (see paragraph </w:t>
      </w:r>
      <w:r w:rsidR="00D11143" w:rsidRPr="00563C40">
        <w:fldChar w:fldCharType="begin"/>
      </w:r>
      <w:r w:rsidR="00D11143" w:rsidRPr="00563C40">
        <w:instrText xml:space="preserve"> REF _Ref222654875 \r \h  \* MERGEFORMAT </w:instrText>
      </w:r>
      <w:r w:rsidR="00D11143" w:rsidRPr="00563C40">
        <w:fldChar w:fldCharType="separate"/>
      </w:r>
      <w:r w:rsidR="00E26586">
        <w:t>6.56</w:t>
      </w:r>
      <w:r w:rsidR="00D11143" w:rsidRPr="00563C40">
        <w:fldChar w:fldCharType="end"/>
      </w:r>
      <w:r w:rsidR="00524210" w:rsidRPr="00563C40">
        <w:t xml:space="preserve"> for detail</w:t>
      </w:r>
      <w:r w:rsidR="007D5939" w:rsidRPr="00563C40">
        <w:t xml:space="preserve"> related to the economic model</w:t>
      </w:r>
      <w:r w:rsidR="00524210" w:rsidRPr="00563C40">
        <w:t>).</w:t>
      </w:r>
      <w:bookmarkEnd w:id="28"/>
    </w:p>
    <w:p w14:paraId="4A4FE085" w14:textId="1C5613CC" w:rsidR="00B60939" w:rsidRPr="00563C40" w:rsidRDefault="00B60939" w:rsidP="00E30122">
      <w:pPr>
        <w:pStyle w:val="COMESSubsectionheading"/>
        <w:rPr>
          <w:iCs/>
        </w:rPr>
      </w:pPr>
      <w:bookmarkStart w:id="29" w:name="_Toc219878281"/>
      <w:r w:rsidRPr="00563C40">
        <w:t>Comparative effectiveness</w:t>
      </w:r>
      <w:bookmarkEnd w:id="27"/>
      <w:bookmarkEnd w:id="29"/>
    </w:p>
    <w:p w14:paraId="1B53377E" w14:textId="098F0F69" w:rsidR="00502996" w:rsidRPr="00726F37" w:rsidRDefault="00502996" w:rsidP="00502996">
      <w:pPr>
        <w:pStyle w:val="COMESnumberedpara"/>
      </w:pPr>
      <w:r w:rsidRPr="00563C40">
        <w:t>Results for the DeLLphi-304 trial were presented for the primary analysis (</w:t>
      </w:r>
      <w:r w:rsidR="00F401F4" w:rsidRPr="00563C40">
        <w:t>d</w:t>
      </w:r>
      <w:r w:rsidRPr="00563C40">
        <w:t>ata cutoff date</w:t>
      </w:r>
      <w:r w:rsidRPr="00726F37">
        <w:t>: 29 January 2025) and updated analyses at the subsequent follow-up, where available (</w:t>
      </w:r>
      <w:r w:rsidR="00AA3AB0" w:rsidRPr="00726F37">
        <w:t>d</w:t>
      </w:r>
      <w:r w:rsidRPr="00726F37">
        <w:t>ata cutoff date: 29 April 2025).</w:t>
      </w:r>
    </w:p>
    <w:bookmarkStart w:id="30" w:name="_Hlk216701181"/>
    <w:p w14:paraId="6284AFA4" w14:textId="1C8362A3" w:rsidR="00502996" w:rsidRPr="00726F37" w:rsidRDefault="00502996" w:rsidP="00502996">
      <w:pPr>
        <w:pStyle w:val="COMESnumberedpara"/>
        <w:rPr>
          <w:color w:val="0066FF"/>
        </w:rPr>
      </w:pPr>
      <w:r w:rsidRPr="00726F37">
        <w:fldChar w:fldCharType="begin"/>
      </w:r>
      <w:r w:rsidRPr="00726F37">
        <w:instrText xml:space="preserve"> REF _Ref216699113 \h </w:instrText>
      </w:r>
      <w:r w:rsidR="00726F37" w:rsidRPr="00726F37">
        <w:instrText xml:space="preserve"> \* MERGEFORMAT </w:instrText>
      </w:r>
      <w:r w:rsidRPr="00726F37">
        <w:fldChar w:fldCharType="separate"/>
      </w:r>
      <w:r w:rsidR="00E26586" w:rsidRPr="00602806">
        <w:t xml:space="preserve">Table </w:t>
      </w:r>
      <w:r w:rsidR="00E26586">
        <w:rPr>
          <w:noProof/>
        </w:rPr>
        <w:t>4</w:t>
      </w:r>
      <w:r w:rsidRPr="00726F37">
        <w:fldChar w:fldCharType="end"/>
      </w:r>
      <w:r w:rsidRPr="00726F37">
        <w:t xml:space="preserve"> and </w:t>
      </w:r>
      <w:r w:rsidRPr="00726F37">
        <w:fldChar w:fldCharType="begin"/>
      </w:r>
      <w:r w:rsidRPr="00726F37">
        <w:instrText xml:space="preserve"> REF _Ref208486062 \h </w:instrText>
      </w:r>
      <w:r w:rsidR="00726F37" w:rsidRPr="00726F37">
        <w:instrText xml:space="preserve"> \* MERGEFORMAT </w:instrText>
      </w:r>
      <w:r w:rsidRPr="00726F37">
        <w:fldChar w:fldCharType="separate"/>
      </w:r>
      <w:r w:rsidR="00E26586">
        <w:t xml:space="preserve">Figure </w:t>
      </w:r>
      <w:r w:rsidR="00E26586">
        <w:rPr>
          <w:noProof/>
        </w:rPr>
        <w:t>1</w:t>
      </w:r>
      <w:r w:rsidRPr="00726F37">
        <w:fldChar w:fldCharType="end"/>
      </w:r>
      <w:r w:rsidRPr="00726F37">
        <w:t xml:space="preserve"> below present the results of overall survival in the DeLLphi-304 trial.</w:t>
      </w:r>
    </w:p>
    <w:p w14:paraId="175322BD" w14:textId="005612AF" w:rsidR="00502996" w:rsidRPr="00A44919" w:rsidRDefault="00502996" w:rsidP="00502996">
      <w:pPr>
        <w:pStyle w:val="COMTableheadingrow"/>
      </w:pPr>
      <w:bookmarkStart w:id="31" w:name="_Ref216699113"/>
      <w:bookmarkEnd w:id="30"/>
      <w:r w:rsidRPr="00602806">
        <w:lastRenderedPageBreak/>
        <w:t xml:space="preserve">Table </w:t>
      </w:r>
      <w:r>
        <w:fldChar w:fldCharType="begin"/>
      </w:r>
      <w:r>
        <w:instrText>SEQ Table \* ARABIC</w:instrText>
      </w:r>
      <w:r>
        <w:fldChar w:fldCharType="separate"/>
      </w:r>
      <w:r w:rsidR="00E26586">
        <w:rPr>
          <w:noProof/>
        </w:rPr>
        <w:t>4</w:t>
      </w:r>
      <w:r>
        <w:fldChar w:fldCharType="end"/>
      </w:r>
      <w:bookmarkEnd w:id="31"/>
      <w:r>
        <w:rPr>
          <w:noProof/>
        </w:rPr>
        <w:t xml:space="preserve">: </w:t>
      </w:r>
      <w:r>
        <w:t>O</w:t>
      </w:r>
      <w:r w:rsidRPr="00A44919">
        <w:t>verall survival in the DeLLphi-304 trial</w:t>
      </w:r>
      <w:r w:rsidR="00D61D9D">
        <w:t xml:space="preserve"> (</w:t>
      </w:r>
      <w:r w:rsidR="002A7359">
        <w:t xml:space="preserve">ITT; </w:t>
      </w:r>
      <w:r w:rsidR="00D61D9D">
        <w:t>29 January 2025 and 29 April 2025 data cuts)</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Overall survival in the DeLLphi-304 trial (ITT; 29 January 2025 and 29 April 2025 data cuts)"/>
      </w:tblPr>
      <w:tblGrid>
        <w:gridCol w:w="4391"/>
        <w:gridCol w:w="2549"/>
        <w:gridCol w:w="2223"/>
      </w:tblGrid>
      <w:tr w:rsidR="00502996" w:rsidRPr="001D5AAC" w14:paraId="36E6E1ED" w14:textId="77777777">
        <w:trPr>
          <w:tblHeader/>
        </w:trPr>
        <w:tc>
          <w:tcPr>
            <w:tcW w:w="2396" w:type="pct"/>
            <w:vAlign w:val="center"/>
          </w:tcPr>
          <w:p w14:paraId="6B685F4F" w14:textId="77777777" w:rsidR="00502996" w:rsidRPr="001D5AAC" w:rsidRDefault="00502996">
            <w:pPr>
              <w:pStyle w:val="COMTableheadingrow"/>
              <w:rPr>
                <w:rFonts w:eastAsiaTheme="majorEastAsia"/>
              </w:rPr>
            </w:pPr>
          </w:p>
        </w:tc>
        <w:tc>
          <w:tcPr>
            <w:tcW w:w="1391" w:type="pct"/>
            <w:vAlign w:val="center"/>
          </w:tcPr>
          <w:p w14:paraId="1E1D51D0" w14:textId="77777777" w:rsidR="00502996" w:rsidRPr="001D5AAC" w:rsidRDefault="00502996">
            <w:pPr>
              <w:pStyle w:val="COMTableheadingrow"/>
              <w:jc w:val="center"/>
              <w:rPr>
                <w:rFonts w:eastAsiaTheme="majorEastAsia"/>
              </w:rPr>
            </w:pPr>
            <w:r w:rsidRPr="001D5AAC">
              <w:rPr>
                <w:rFonts w:eastAsiaTheme="majorEastAsia"/>
              </w:rPr>
              <w:t>Tarlatamab</w:t>
            </w:r>
            <w:r>
              <w:rPr>
                <w:rFonts w:eastAsiaTheme="majorEastAsia"/>
              </w:rPr>
              <w:t xml:space="preserve"> (N=254)</w:t>
            </w:r>
          </w:p>
        </w:tc>
        <w:tc>
          <w:tcPr>
            <w:tcW w:w="1213" w:type="pct"/>
            <w:vAlign w:val="center"/>
          </w:tcPr>
          <w:p w14:paraId="65D852A1" w14:textId="77777777" w:rsidR="00502996" w:rsidRPr="001D5AAC" w:rsidRDefault="00502996">
            <w:pPr>
              <w:pStyle w:val="COMTableheadingrow"/>
              <w:jc w:val="center"/>
              <w:rPr>
                <w:rFonts w:eastAsiaTheme="majorEastAsia"/>
              </w:rPr>
            </w:pPr>
            <w:r>
              <w:rPr>
                <w:rFonts w:eastAsiaTheme="majorEastAsia"/>
              </w:rPr>
              <w:t>SOC (N=255)</w:t>
            </w:r>
          </w:p>
        </w:tc>
      </w:tr>
      <w:tr w:rsidR="00502996" w:rsidRPr="001D5AAC" w14:paraId="154819A4" w14:textId="77777777">
        <w:tc>
          <w:tcPr>
            <w:tcW w:w="5000" w:type="pct"/>
            <w:gridSpan w:val="3"/>
            <w:vAlign w:val="center"/>
          </w:tcPr>
          <w:p w14:paraId="5276091A" w14:textId="77777777" w:rsidR="00502996" w:rsidRPr="00CE56B6" w:rsidRDefault="00502996">
            <w:pPr>
              <w:pStyle w:val="COMTabletext"/>
              <w:rPr>
                <w:rFonts w:cstheme="minorHAnsi"/>
                <w:b/>
                <w:bCs w:val="0"/>
                <w:lang w:eastAsia="en-IN"/>
              </w:rPr>
            </w:pPr>
            <w:r>
              <w:rPr>
                <w:rFonts w:cstheme="minorHAnsi"/>
                <w:b/>
                <w:bCs w:val="0"/>
                <w:lang w:eastAsia="en-IN"/>
              </w:rPr>
              <w:t>Overall survival</w:t>
            </w:r>
            <w:r w:rsidRPr="00CE56B6">
              <w:rPr>
                <w:rFonts w:cstheme="minorHAnsi"/>
                <w:b/>
                <w:bCs w:val="0"/>
                <w:lang w:eastAsia="en-IN"/>
              </w:rPr>
              <w:t xml:space="preserve"> (data cut-off 29 January 2025</w:t>
            </w:r>
            <w:r w:rsidRPr="00CE56B6">
              <w:rPr>
                <w:rFonts w:cstheme="minorHAnsi"/>
                <w:b/>
                <w:bCs w:val="0"/>
              </w:rPr>
              <w:t>)</w:t>
            </w:r>
          </w:p>
        </w:tc>
      </w:tr>
      <w:tr w:rsidR="00502996" w:rsidRPr="001D5AAC" w14:paraId="6088F175" w14:textId="77777777">
        <w:tc>
          <w:tcPr>
            <w:tcW w:w="2396" w:type="pct"/>
            <w:tcBorders>
              <w:bottom w:val="single" w:sz="4" w:space="0" w:color="auto"/>
            </w:tcBorders>
            <w:vAlign w:val="center"/>
          </w:tcPr>
          <w:p w14:paraId="0A0C7156" w14:textId="77777777" w:rsidR="00502996" w:rsidRPr="006B32CB" w:rsidRDefault="00502996">
            <w:pPr>
              <w:pStyle w:val="COMTabletext"/>
            </w:pPr>
            <w:r>
              <w:t>Median duration of follow-up, months (95% CI)</w:t>
            </w:r>
          </w:p>
        </w:tc>
        <w:tc>
          <w:tcPr>
            <w:tcW w:w="1391" w:type="pct"/>
            <w:tcBorders>
              <w:bottom w:val="single" w:sz="4" w:space="0" w:color="auto"/>
            </w:tcBorders>
            <w:vAlign w:val="center"/>
          </w:tcPr>
          <w:p w14:paraId="1A64B208" w14:textId="77777777" w:rsidR="00502996" w:rsidRPr="001D5AAC" w:rsidRDefault="00502996">
            <w:pPr>
              <w:pStyle w:val="COMTabletext"/>
              <w:jc w:val="center"/>
            </w:pPr>
            <w:r w:rsidRPr="00847709">
              <w:t>11.2 (10.4, 12.1)</w:t>
            </w:r>
          </w:p>
        </w:tc>
        <w:tc>
          <w:tcPr>
            <w:tcW w:w="1213" w:type="pct"/>
            <w:tcBorders>
              <w:bottom w:val="single" w:sz="4" w:space="0" w:color="auto"/>
            </w:tcBorders>
            <w:vAlign w:val="center"/>
          </w:tcPr>
          <w:p w14:paraId="240EA2D1" w14:textId="77777777" w:rsidR="00502996" w:rsidRPr="001D5AAC" w:rsidRDefault="00502996">
            <w:pPr>
              <w:pStyle w:val="COMTabletext"/>
              <w:jc w:val="center"/>
            </w:pPr>
            <w:r w:rsidRPr="00F904C3">
              <w:t>11.7</w:t>
            </w:r>
            <w:r>
              <w:t xml:space="preserve"> </w:t>
            </w:r>
            <w:r w:rsidRPr="00F904C3">
              <w:t>(10.6, 12.3)</w:t>
            </w:r>
          </w:p>
        </w:tc>
      </w:tr>
      <w:tr w:rsidR="00502996" w:rsidRPr="001D5AAC" w14:paraId="07BFEE39" w14:textId="77777777">
        <w:tc>
          <w:tcPr>
            <w:tcW w:w="2396" w:type="pct"/>
            <w:tcBorders>
              <w:bottom w:val="nil"/>
            </w:tcBorders>
            <w:vAlign w:val="center"/>
          </w:tcPr>
          <w:p w14:paraId="00A404ED" w14:textId="77777777" w:rsidR="00502996" w:rsidRPr="001D5AAC" w:rsidRDefault="00502996">
            <w:pPr>
              <w:pStyle w:val="COMTabletext"/>
            </w:pPr>
            <w:r>
              <w:t>Participants with e</w:t>
            </w:r>
            <w:r w:rsidRPr="000427C6">
              <w:t>vent</w:t>
            </w:r>
            <w:r>
              <w:t xml:space="preserve">, </w:t>
            </w:r>
            <w:r w:rsidRPr="000427C6">
              <w:t>n (%)</w:t>
            </w:r>
          </w:p>
        </w:tc>
        <w:tc>
          <w:tcPr>
            <w:tcW w:w="1391" w:type="pct"/>
            <w:tcBorders>
              <w:bottom w:val="nil"/>
            </w:tcBorders>
            <w:vAlign w:val="center"/>
          </w:tcPr>
          <w:p w14:paraId="2F5DAF65" w14:textId="77777777" w:rsidR="00502996" w:rsidRPr="001D5AAC" w:rsidRDefault="00502996">
            <w:pPr>
              <w:pStyle w:val="COMTabletext"/>
            </w:pPr>
          </w:p>
        </w:tc>
        <w:tc>
          <w:tcPr>
            <w:tcW w:w="1213" w:type="pct"/>
            <w:tcBorders>
              <w:bottom w:val="nil"/>
            </w:tcBorders>
            <w:vAlign w:val="center"/>
          </w:tcPr>
          <w:p w14:paraId="381E917B" w14:textId="77777777" w:rsidR="00502996" w:rsidRPr="001D5AAC" w:rsidRDefault="00502996">
            <w:pPr>
              <w:pStyle w:val="COMTabletext"/>
            </w:pPr>
          </w:p>
        </w:tc>
      </w:tr>
      <w:tr w:rsidR="00502996" w:rsidRPr="001D5AAC" w14:paraId="6BAC7C84" w14:textId="77777777">
        <w:tc>
          <w:tcPr>
            <w:tcW w:w="2396" w:type="pct"/>
            <w:tcBorders>
              <w:top w:val="nil"/>
              <w:bottom w:val="nil"/>
            </w:tcBorders>
            <w:vAlign w:val="center"/>
          </w:tcPr>
          <w:p w14:paraId="6922A3EC" w14:textId="77777777" w:rsidR="00502996" w:rsidRPr="001D5AAC" w:rsidRDefault="00502996">
            <w:pPr>
              <w:pStyle w:val="COMTabletext"/>
            </w:pPr>
            <w:r w:rsidRPr="00526524">
              <w:rPr>
                <w:bCs w:val="0"/>
              </w:rPr>
              <w:t>-</w:t>
            </w:r>
            <w:r>
              <w:t xml:space="preserve"> </w:t>
            </w:r>
            <w:r w:rsidRPr="00F45427">
              <w:t>Death</w:t>
            </w:r>
          </w:p>
        </w:tc>
        <w:tc>
          <w:tcPr>
            <w:tcW w:w="1391" w:type="pct"/>
            <w:tcBorders>
              <w:top w:val="nil"/>
              <w:bottom w:val="nil"/>
            </w:tcBorders>
            <w:vAlign w:val="center"/>
          </w:tcPr>
          <w:p w14:paraId="70F77CCF" w14:textId="77777777" w:rsidR="00502996" w:rsidRDefault="00502996">
            <w:pPr>
              <w:pStyle w:val="COMTabletext"/>
              <w:jc w:val="center"/>
            </w:pPr>
            <w:r w:rsidRPr="00CD246A">
              <w:t>111 (43.7)</w:t>
            </w:r>
          </w:p>
        </w:tc>
        <w:tc>
          <w:tcPr>
            <w:tcW w:w="1213" w:type="pct"/>
            <w:tcBorders>
              <w:top w:val="nil"/>
              <w:bottom w:val="nil"/>
            </w:tcBorders>
            <w:vAlign w:val="center"/>
          </w:tcPr>
          <w:p w14:paraId="617BF680" w14:textId="77777777" w:rsidR="00502996" w:rsidRDefault="00502996">
            <w:pPr>
              <w:pStyle w:val="COMTabletext"/>
              <w:jc w:val="center"/>
            </w:pPr>
            <w:r w:rsidRPr="001A52FA">
              <w:t>152 (59.6)</w:t>
            </w:r>
          </w:p>
        </w:tc>
      </w:tr>
      <w:tr w:rsidR="00502996" w:rsidRPr="001D5AAC" w14:paraId="0A26B5BC" w14:textId="77777777">
        <w:tc>
          <w:tcPr>
            <w:tcW w:w="2396" w:type="pct"/>
            <w:tcBorders>
              <w:top w:val="nil"/>
              <w:bottom w:val="single" w:sz="4" w:space="0" w:color="auto"/>
            </w:tcBorders>
            <w:vAlign w:val="center"/>
          </w:tcPr>
          <w:p w14:paraId="5331C2FF" w14:textId="77777777" w:rsidR="00502996" w:rsidRPr="00F45427" w:rsidRDefault="00502996">
            <w:pPr>
              <w:pStyle w:val="COMTabletext"/>
            </w:pPr>
            <w:r>
              <w:t xml:space="preserve">- </w:t>
            </w:r>
            <w:r w:rsidRPr="009C24AE">
              <w:t>Censored</w:t>
            </w:r>
          </w:p>
        </w:tc>
        <w:tc>
          <w:tcPr>
            <w:tcW w:w="1391" w:type="pct"/>
            <w:tcBorders>
              <w:top w:val="nil"/>
              <w:bottom w:val="single" w:sz="4" w:space="0" w:color="auto"/>
              <w:right w:val="single" w:sz="4" w:space="0" w:color="auto"/>
            </w:tcBorders>
            <w:vAlign w:val="center"/>
          </w:tcPr>
          <w:p w14:paraId="371291F8" w14:textId="77777777" w:rsidR="00502996" w:rsidRDefault="00502996">
            <w:pPr>
              <w:pStyle w:val="COMTabletext"/>
              <w:jc w:val="center"/>
            </w:pPr>
            <w:r w:rsidRPr="00F02587">
              <w:t>143 (56.3)</w:t>
            </w:r>
          </w:p>
        </w:tc>
        <w:tc>
          <w:tcPr>
            <w:tcW w:w="1213" w:type="pct"/>
            <w:tcBorders>
              <w:top w:val="nil"/>
              <w:left w:val="single" w:sz="4" w:space="0" w:color="auto"/>
              <w:bottom w:val="single" w:sz="4" w:space="0" w:color="auto"/>
            </w:tcBorders>
            <w:vAlign w:val="center"/>
          </w:tcPr>
          <w:p w14:paraId="5E76AF0F" w14:textId="77777777" w:rsidR="00502996" w:rsidRDefault="00502996">
            <w:pPr>
              <w:pStyle w:val="COMTabletext"/>
              <w:jc w:val="center"/>
            </w:pPr>
            <w:r w:rsidRPr="00180D02">
              <w:t>103 (40.4)</w:t>
            </w:r>
          </w:p>
        </w:tc>
      </w:tr>
      <w:tr w:rsidR="00502996" w:rsidRPr="001D5AAC" w14:paraId="5AA2BD9B" w14:textId="77777777">
        <w:tc>
          <w:tcPr>
            <w:tcW w:w="2396" w:type="pct"/>
            <w:tcBorders>
              <w:top w:val="single" w:sz="4" w:space="0" w:color="auto"/>
              <w:bottom w:val="single" w:sz="4" w:space="0" w:color="auto"/>
            </w:tcBorders>
            <w:vAlign w:val="center"/>
          </w:tcPr>
          <w:p w14:paraId="0A169443" w14:textId="77777777" w:rsidR="00502996" w:rsidRDefault="00502996">
            <w:pPr>
              <w:pStyle w:val="COMTabletext"/>
            </w:pPr>
            <w:r>
              <w:t>Median overall survival, months (95% CI)</w:t>
            </w:r>
          </w:p>
        </w:tc>
        <w:tc>
          <w:tcPr>
            <w:tcW w:w="1391" w:type="pct"/>
            <w:tcBorders>
              <w:top w:val="single" w:sz="4" w:space="0" w:color="auto"/>
              <w:bottom w:val="single" w:sz="4" w:space="0" w:color="auto"/>
              <w:right w:val="single" w:sz="4" w:space="0" w:color="auto"/>
            </w:tcBorders>
          </w:tcPr>
          <w:p w14:paraId="1F429334" w14:textId="77777777" w:rsidR="00502996" w:rsidRPr="00F02587" w:rsidRDefault="00502996">
            <w:pPr>
              <w:pStyle w:val="COMTabletext"/>
              <w:jc w:val="center"/>
            </w:pPr>
            <w:r w:rsidRPr="007A36C1">
              <w:t>13.6 (11.1, NE)</w:t>
            </w:r>
          </w:p>
        </w:tc>
        <w:tc>
          <w:tcPr>
            <w:tcW w:w="1213" w:type="pct"/>
            <w:tcBorders>
              <w:top w:val="single" w:sz="4" w:space="0" w:color="auto"/>
              <w:left w:val="single" w:sz="4" w:space="0" w:color="auto"/>
              <w:bottom w:val="single" w:sz="4" w:space="0" w:color="auto"/>
            </w:tcBorders>
          </w:tcPr>
          <w:p w14:paraId="5815E298" w14:textId="77777777" w:rsidR="00502996" w:rsidRPr="00180D02" w:rsidRDefault="00502996">
            <w:pPr>
              <w:pStyle w:val="COMTabletext"/>
              <w:jc w:val="center"/>
            </w:pPr>
            <w:r w:rsidRPr="007A36C1">
              <w:t>8.3 (7.0, 10.2)</w:t>
            </w:r>
          </w:p>
        </w:tc>
      </w:tr>
      <w:tr w:rsidR="00502996" w:rsidRPr="001D5AAC" w14:paraId="0EFE41CA" w14:textId="77777777">
        <w:tc>
          <w:tcPr>
            <w:tcW w:w="2396" w:type="pct"/>
            <w:tcBorders>
              <w:top w:val="single" w:sz="4" w:space="0" w:color="auto"/>
              <w:bottom w:val="single" w:sz="4" w:space="0" w:color="auto"/>
              <w:right w:val="single" w:sz="4" w:space="0" w:color="auto"/>
            </w:tcBorders>
            <w:vAlign w:val="center"/>
          </w:tcPr>
          <w:p w14:paraId="3050BBBA" w14:textId="77777777" w:rsidR="00502996" w:rsidRPr="001D5AAC" w:rsidRDefault="00502996">
            <w:pPr>
              <w:pStyle w:val="COMTabletext"/>
            </w:pPr>
            <w:r w:rsidRPr="007E4B24">
              <w:t>Hazard ratio (95% CI)</w:t>
            </w:r>
            <w:r>
              <w:t xml:space="preserve"> </w:t>
            </w:r>
            <w:r w:rsidRPr="004E1863">
              <w:rPr>
                <w:vertAlign w:val="superscript"/>
              </w:rPr>
              <w:t>a</w:t>
            </w:r>
          </w:p>
        </w:tc>
        <w:tc>
          <w:tcPr>
            <w:tcW w:w="2604" w:type="pct"/>
            <w:gridSpan w:val="2"/>
            <w:tcBorders>
              <w:left w:val="single" w:sz="4" w:space="0" w:color="auto"/>
              <w:bottom w:val="single" w:sz="4" w:space="0" w:color="auto"/>
            </w:tcBorders>
            <w:vAlign w:val="center"/>
          </w:tcPr>
          <w:p w14:paraId="243E8EF0" w14:textId="77777777" w:rsidR="00502996" w:rsidRPr="00964AE2" w:rsidRDefault="00502996">
            <w:pPr>
              <w:pStyle w:val="COMTabletext"/>
              <w:jc w:val="center"/>
              <w:rPr>
                <w:b/>
                <w:bCs w:val="0"/>
              </w:rPr>
            </w:pPr>
            <w:r w:rsidRPr="00964AE2">
              <w:rPr>
                <w:b/>
                <w:bCs w:val="0"/>
              </w:rPr>
              <w:t>0.599 (0.468, 0.768)</w:t>
            </w:r>
          </w:p>
        </w:tc>
      </w:tr>
      <w:tr w:rsidR="00502996" w:rsidRPr="001D5AAC" w14:paraId="582908B6" w14:textId="77777777">
        <w:tc>
          <w:tcPr>
            <w:tcW w:w="5000" w:type="pct"/>
            <w:gridSpan w:val="3"/>
            <w:vAlign w:val="center"/>
          </w:tcPr>
          <w:p w14:paraId="4B2EA97D" w14:textId="77777777" w:rsidR="00502996" w:rsidRPr="001D5AAC" w:rsidRDefault="00502996">
            <w:pPr>
              <w:pStyle w:val="COMTabletext"/>
            </w:pPr>
            <w:r>
              <w:rPr>
                <w:rFonts w:cstheme="minorHAnsi"/>
                <w:b/>
                <w:bCs w:val="0"/>
                <w:lang w:eastAsia="en-IN"/>
              </w:rPr>
              <w:t>Overall survival</w:t>
            </w:r>
            <w:r w:rsidRPr="00CE56B6">
              <w:rPr>
                <w:rFonts w:cstheme="minorHAnsi"/>
                <w:b/>
                <w:bCs w:val="0"/>
                <w:lang w:eastAsia="en-IN"/>
              </w:rPr>
              <w:t xml:space="preserve"> (data cut-off 29 </w:t>
            </w:r>
            <w:r>
              <w:rPr>
                <w:rFonts w:cstheme="minorHAnsi"/>
                <w:b/>
                <w:bCs w:val="0"/>
                <w:lang w:eastAsia="en-IN"/>
              </w:rPr>
              <w:t>April</w:t>
            </w:r>
            <w:r w:rsidRPr="00CE56B6">
              <w:rPr>
                <w:rFonts w:cstheme="minorHAnsi"/>
                <w:b/>
                <w:bCs w:val="0"/>
                <w:lang w:eastAsia="en-IN"/>
              </w:rPr>
              <w:t xml:space="preserve"> 2025</w:t>
            </w:r>
            <w:r w:rsidRPr="00CE56B6">
              <w:rPr>
                <w:rFonts w:cstheme="minorHAnsi"/>
                <w:b/>
                <w:bCs w:val="0"/>
              </w:rPr>
              <w:t>)</w:t>
            </w:r>
          </w:p>
        </w:tc>
      </w:tr>
      <w:tr w:rsidR="00502996" w:rsidRPr="001D5AAC" w14:paraId="7DBABB29" w14:textId="77777777">
        <w:tc>
          <w:tcPr>
            <w:tcW w:w="2396" w:type="pct"/>
            <w:tcBorders>
              <w:bottom w:val="single" w:sz="4" w:space="0" w:color="auto"/>
            </w:tcBorders>
            <w:vAlign w:val="center"/>
          </w:tcPr>
          <w:p w14:paraId="394001F6" w14:textId="77777777" w:rsidR="00502996" w:rsidRPr="00CE56B6" w:rsidRDefault="00502996">
            <w:pPr>
              <w:pStyle w:val="COMTabletext"/>
              <w:rPr>
                <w:rFonts w:cstheme="minorHAnsi"/>
                <w:b/>
                <w:bCs w:val="0"/>
                <w:lang w:eastAsia="en-IN"/>
              </w:rPr>
            </w:pPr>
            <w:r>
              <w:t>Median duration of follow-up, months (95% CI)</w:t>
            </w:r>
          </w:p>
        </w:tc>
        <w:tc>
          <w:tcPr>
            <w:tcW w:w="1391" w:type="pct"/>
            <w:tcBorders>
              <w:bottom w:val="single" w:sz="4" w:space="0" w:color="auto"/>
            </w:tcBorders>
          </w:tcPr>
          <w:p w14:paraId="67981E05" w14:textId="77777777" w:rsidR="00502996" w:rsidRPr="001D5AAC" w:rsidRDefault="00502996">
            <w:pPr>
              <w:pStyle w:val="COMTabletext"/>
              <w:jc w:val="center"/>
            </w:pPr>
            <w:r>
              <w:t>13.8 (13.2, 14.7)</w:t>
            </w:r>
          </w:p>
        </w:tc>
        <w:tc>
          <w:tcPr>
            <w:tcW w:w="1213" w:type="pct"/>
            <w:tcBorders>
              <w:bottom w:val="single" w:sz="4" w:space="0" w:color="auto"/>
            </w:tcBorders>
          </w:tcPr>
          <w:p w14:paraId="51C495FC" w14:textId="77777777" w:rsidR="00502996" w:rsidRPr="001D5AAC" w:rsidRDefault="00502996">
            <w:pPr>
              <w:pStyle w:val="COMTabletext"/>
              <w:jc w:val="center"/>
            </w:pPr>
            <w:r>
              <w:t>14.3 (13.2, 15.2)</w:t>
            </w:r>
          </w:p>
        </w:tc>
      </w:tr>
      <w:tr w:rsidR="00502996" w:rsidRPr="001D5AAC" w14:paraId="7F88AF6A" w14:textId="77777777">
        <w:tc>
          <w:tcPr>
            <w:tcW w:w="2396" w:type="pct"/>
            <w:tcBorders>
              <w:bottom w:val="nil"/>
            </w:tcBorders>
            <w:vAlign w:val="center"/>
          </w:tcPr>
          <w:p w14:paraId="7FAB1332" w14:textId="77777777" w:rsidR="00502996" w:rsidRPr="00CE56B6" w:rsidRDefault="00502996">
            <w:pPr>
              <w:pStyle w:val="COMTabletext"/>
              <w:rPr>
                <w:rFonts w:cstheme="minorHAnsi"/>
                <w:b/>
                <w:bCs w:val="0"/>
                <w:lang w:eastAsia="en-IN"/>
              </w:rPr>
            </w:pPr>
            <w:r>
              <w:t>Participants with e</w:t>
            </w:r>
            <w:r w:rsidRPr="000427C6">
              <w:t>vent</w:t>
            </w:r>
            <w:r>
              <w:t xml:space="preserve">, </w:t>
            </w:r>
            <w:r w:rsidRPr="000427C6">
              <w:t>n (%)</w:t>
            </w:r>
          </w:p>
        </w:tc>
        <w:tc>
          <w:tcPr>
            <w:tcW w:w="1391" w:type="pct"/>
            <w:tcBorders>
              <w:bottom w:val="nil"/>
            </w:tcBorders>
          </w:tcPr>
          <w:p w14:paraId="610C5661" w14:textId="77777777" w:rsidR="00502996" w:rsidRPr="001D5AAC" w:rsidRDefault="00502996">
            <w:pPr>
              <w:pStyle w:val="COMTabletext"/>
              <w:jc w:val="center"/>
            </w:pPr>
          </w:p>
        </w:tc>
        <w:tc>
          <w:tcPr>
            <w:tcW w:w="1213" w:type="pct"/>
            <w:tcBorders>
              <w:bottom w:val="nil"/>
            </w:tcBorders>
          </w:tcPr>
          <w:p w14:paraId="315AB2C3" w14:textId="77777777" w:rsidR="00502996" w:rsidRPr="001D5AAC" w:rsidRDefault="00502996">
            <w:pPr>
              <w:pStyle w:val="COMTabletext"/>
              <w:jc w:val="center"/>
            </w:pPr>
          </w:p>
        </w:tc>
      </w:tr>
      <w:tr w:rsidR="00502996" w:rsidRPr="001D5AAC" w14:paraId="58B1DC54" w14:textId="77777777">
        <w:tc>
          <w:tcPr>
            <w:tcW w:w="2396" w:type="pct"/>
            <w:tcBorders>
              <w:top w:val="nil"/>
              <w:bottom w:val="nil"/>
            </w:tcBorders>
            <w:vAlign w:val="center"/>
          </w:tcPr>
          <w:p w14:paraId="39BE67C6" w14:textId="77777777" w:rsidR="00502996" w:rsidRPr="00CE56B6" w:rsidRDefault="00502996">
            <w:pPr>
              <w:pStyle w:val="COMTabletext"/>
              <w:rPr>
                <w:rFonts w:cstheme="minorHAnsi"/>
                <w:b/>
                <w:bCs w:val="0"/>
                <w:lang w:eastAsia="en-IN"/>
              </w:rPr>
            </w:pPr>
            <w:r w:rsidRPr="00526524">
              <w:rPr>
                <w:bCs w:val="0"/>
              </w:rPr>
              <w:t>-</w:t>
            </w:r>
            <w:r>
              <w:t xml:space="preserve"> </w:t>
            </w:r>
            <w:r w:rsidRPr="00F45427">
              <w:t>Death</w:t>
            </w:r>
          </w:p>
        </w:tc>
        <w:tc>
          <w:tcPr>
            <w:tcW w:w="1391" w:type="pct"/>
            <w:tcBorders>
              <w:top w:val="nil"/>
              <w:bottom w:val="nil"/>
            </w:tcBorders>
          </w:tcPr>
          <w:p w14:paraId="589FF0EB" w14:textId="77777777" w:rsidR="00502996" w:rsidRPr="001D5AAC" w:rsidRDefault="00502996">
            <w:pPr>
              <w:pStyle w:val="COMTabletext"/>
              <w:jc w:val="center"/>
            </w:pPr>
            <w:r>
              <w:t>127 (50.0)</w:t>
            </w:r>
          </w:p>
        </w:tc>
        <w:tc>
          <w:tcPr>
            <w:tcW w:w="1213" w:type="pct"/>
            <w:tcBorders>
              <w:top w:val="nil"/>
              <w:bottom w:val="nil"/>
            </w:tcBorders>
          </w:tcPr>
          <w:p w14:paraId="0AEA46FC" w14:textId="77777777" w:rsidR="00502996" w:rsidRPr="001D5AAC" w:rsidRDefault="00502996">
            <w:pPr>
              <w:pStyle w:val="COMTabletext"/>
              <w:jc w:val="center"/>
            </w:pPr>
            <w:r>
              <w:t>173 (67.8)</w:t>
            </w:r>
          </w:p>
        </w:tc>
      </w:tr>
      <w:tr w:rsidR="00502996" w:rsidRPr="001D5AAC" w14:paraId="4F941BCB" w14:textId="77777777">
        <w:tc>
          <w:tcPr>
            <w:tcW w:w="2396" w:type="pct"/>
            <w:tcBorders>
              <w:top w:val="nil"/>
            </w:tcBorders>
            <w:vAlign w:val="center"/>
          </w:tcPr>
          <w:p w14:paraId="3A5E77DB" w14:textId="77777777" w:rsidR="00502996" w:rsidRPr="00CE56B6" w:rsidRDefault="00502996">
            <w:pPr>
              <w:pStyle w:val="COMTabletext"/>
              <w:rPr>
                <w:rFonts w:cstheme="minorHAnsi"/>
                <w:b/>
                <w:bCs w:val="0"/>
                <w:lang w:eastAsia="en-IN"/>
              </w:rPr>
            </w:pPr>
            <w:r>
              <w:t xml:space="preserve">- </w:t>
            </w:r>
            <w:r w:rsidRPr="009C24AE">
              <w:t>Censored</w:t>
            </w:r>
          </w:p>
        </w:tc>
        <w:tc>
          <w:tcPr>
            <w:tcW w:w="1391" w:type="pct"/>
            <w:tcBorders>
              <w:top w:val="nil"/>
            </w:tcBorders>
          </w:tcPr>
          <w:p w14:paraId="5528D144" w14:textId="77777777" w:rsidR="00502996" w:rsidRPr="001D5AAC" w:rsidRDefault="00502996">
            <w:pPr>
              <w:pStyle w:val="COMTabletext"/>
              <w:jc w:val="center"/>
            </w:pPr>
            <w:r>
              <w:t>127 (50.0)</w:t>
            </w:r>
          </w:p>
        </w:tc>
        <w:tc>
          <w:tcPr>
            <w:tcW w:w="1213" w:type="pct"/>
            <w:tcBorders>
              <w:top w:val="nil"/>
            </w:tcBorders>
          </w:tcPr>
          <w:p w14:paraId="19F10D33" w14:textId="77777777" w:rsidR="00502996" w:rsidRPr="001D5AAC" w:rsidRDefault="00502996">
            <w:pPr>
              <w:pStyle w:val="COMTabletext"/>
              <w:jc w:val="center"/>
            </w:pPr>
            <w:r>
              <w:t>82 (32.2)</w:t>
            </w:r>
          </w:p>
        </w:tc>
      </w:tr>
      <w:tr w:rsidR="00502996" w:rsidRPr="001D5AAC" w14:paraId="1E299C86" w14:textId="77777777">
        <w:tc>
          <w:tcPr>
            <w:tcW w:w="2396" w:type="pct"/>
            <w:vAlign w:val="center"/>
          </w:tcPr>
          <w:p w14:paraId="7FFB1269" w14:textId="77777777" w:rsidR="00502996" w:rsidRPr="00CE56B6" w:rsidRDefault="00502996">
            <w:pPr>
              <w:pStyle w:val="COMTabletext"/>
              <w:rPr>
                <w:rFonts w:cstheme="minorHAnsi"/>
                <w:b/>
                <w:bCs w:val="0"/>
                <w:lang w:eastAsia="en-IN"/>
              </w:rPr>
            </w:pPr>
            <w:r>
              <w:t>Median overall survival, months (95% CI)</w:t>
            </w:r>
          </w:p>
        </w:tc>
        <w:tc>
          <w:tcPr>
            <w:tcW w:w="1391" w:type="pct"/>
          </w:tcPr>
          <w:p w14:paraId="5DFE33EA" w14:textId="77777777" w:rsidR="00502996" w:rsidRPr="001D5AAC" w:rsidRDefault="00502996">
            <w:pPr>
              <w:pStyle w:val="COMTabletext"/>
              <w:jc w:val="center"/>
            </w:pPr>
            <w:r>
              <w:t>13.6 (11.9, NE)</w:t>
            </w:r>
          </w:p>
        </w:tc>
        <w:tc>
          <w:tcPr>
            <w:tcW w:w="1213" w:type="pct"/>
          </w:tcPr>
          <w:p w14:paraId="7C1A75E4" w14:textId="77777777" w:rsidR="00502996" w:rsidRPr="001D5AAC" w:rsidRDefault="00502996">
            <w:pPr>
              <w:pStyle w:val="COMTabletext"/>
              <w:jc w:val="center"/>
            </w:pPr>
            <w:r>
              <w:t>8.4 (7.2, 10.2)</w:t>
            </w:r>
          </w:p>
        </w:tc>
      </w:tr>
      <w:tr w:rsidR="00502996" w:rsidRPr="001D5AAC" w14:paraId="7B46FDC8" w14:textId="77777777">
        <w:tc>
          <w:tcPr>
            <w:tcW w:w="2396" w:type="pct"/>
            <w:tcBorders>
              <w:bottom w:val="single" w:sz="4" w:space="0" w:color="auto"/>
            </w:tcBorders>
            <w:vAlign w:val="center"/>
          </w:tcPr>
          <w:p w14:paraId="3D667B59" w14:textId="77777777" w:rsidR="00502996" w:rsidRPr="00CE56B6" w:rsidRDefault="00502996">
            <w:pPr>
              <w:pStyle w:val="COMTabletext"/>
              <w:rPr>
                <w:rFonts w:cstheme="minorHAnsi"/>
                <w:b/>
                <w:bCs w:val="0"/>
                <w:lang w:eastAsia="en-IN"/>
              </w:rPr>
            </w:pPr>
            <w:r w:rsidRPr="007E4B24">
              <w:t>Hazard ratio (95% CI)</w:t>
            </w:r>
            <w:r>
              <w:t xml:space="preserve"> </w:t>
            </w:r>
            <w:r w:rsidRPr="004E1863">
              <w:rPr>
                <w:vertAlign w:val="superscript"/>
              </w:rPr>
              <w:t>a</w:t>
            </w:r>
          </w:p>
        </w:tc>
        <w:tc>
          <w:tcPr>
            <w:tcW w:w="2604" w:type="pct"/>
            <w:gridSpan w:val="2"/>
            <w:tcBorders>
              <w:bottom w:val="single" w:sz="4" w:space="0" w:color="auto"/>
            </w:tcBorders>
          </w:tcPr>
          <w:p w14:paraId="1F96E7CA" w14:textId="77777777" w:rsidR="00502996" w:rsidRPr="0083705B" w:rsidRDefault="00502996">
            <w:pPr>
              <w:pStyle w:val="COMTabletext"/>
              <w:jc w:val="center"/>
              <w:rPr>
                <w:b/>
                <w:bCs w:val="0"/>
              </w:rPr>
            </w:pPr>
            <w:r w:rsidRPr="0083705B">
              <w:rPr>
                <w:b/>
                <w:bCs w:val="0"/>
              </w:rPr>
              <w:t>0.581 (0.461, 0.733)</w:t>
            </w:r>
          </w:p>
        </w:tc>
      </w:tr>
      <w:tr w:rsidR="00502996" w:rsidRPr="001D5AAC" w14:paraId="49C7CEDA" w14:textId="77777777">
        <w:tc>
          <w:tcPr>
            <w:tcW w:w="2396" w:type="pct"/>
            <w:tcBorders>
              <w:bottom w:val="nil"/>
            </w:tcBorders>
          </w:tcPr>
          <w:p w14:paraId="6D82D3D8" w14:textId="77777777" w:rsidR="00502996" w:rsidRPr="007F0DFA" w:rsidRDefault="00502996">
            <w:pPr>
              <w:pStyle w:val="COMTabletext"/>
            </w:pPr>
            <w:r w:rsidRPr="007F0DFA">
              <w:t xml:space="preserve">Kaplan-Meier </w:t>
            </w:r>
            <w:r>
              <w:t xml:space="preserve">overall survival </w:t>
            </w:r>
            <w:r w:rsidRPr="007F0DFA">
              <w:t>estimate</w:t>
            </w:r>
            <w:r>
              <w:t>,</w:t>
            </w:r>
            <w:r w:rsidRPr="007F0DFA">
              <w:t xml:space="preserve"> % (95% CI)</w:t>
            </w:r>
          </w:p>
        </w:tc>
        <w:tc>
          <w:tcPr>
            <w:tcW w:w="1391" w:type="pct"/>
            <w:tcBorders>
              <w:bottom w:val="nil"/>
            </w:tcBorders>
          </w:tcPr>
          <w:p w14:paraId="4F05FEC7" w14:textId="77777777" w:rsidR="00502996" w:rsidRPr="001D5AAC" w:rsidRDefault="00502996">
            <w:pPr>
              <w:pStyle w:val="COMTabletext"/>
              <w:jc w:val="center"/>
            </w:pPr>
          </w:p>
        </w:tc>
        <w:tc>
          <w:tcPr>
            <w:tcW w:w="1213" w:type="pct"/>
            <w:tcBorders>
              <w:bottom w:val="nil"/>
            </w:tcBorders>
          </w:tcPr>
          <w:p w14:paraId="340BF521" w14:textId="77777777" w:rsidR="00502996" w:rsidRPr="001D5AAC" w:rsidRDefault="00502996">
            <w:pPr>
              <w:pStyle w:val="COMTabletext"/>
              <w:jc w:val="center"/>
            </w:pPr>
          </w:p>
        </w:tc>
      </w:tr>
      <w:tr w:rsidR="00502996" w:rsidRPr="001D5AAC" w14:paraId="57528ABD" w14:textId="77777777">
        <w:tc>
          <w:tcPr>
            <w:tcW w:w="2396" w:type="pct"/>
            <w:tcBorders>
              <w:top w:val="nil"/>
              <w:bottom w:val="nil"/>
            </w:tcBorders>
          </w:tcPr>
          <w:p w14:paraId="11574F33" w14:textId="77777777" w:rsidR="00502996" w:rsidRPr="001D5AAC" w:rsidRDefault="00502996">
            <w:pPr>
              <w:pStyle w:val="COMTabletext"/>
            </w:pPr>
            <w:r>
              <w:t xml:space="preserve">- </w:t>
            </w:r>
            <w:r w:rsidRPr="007F0DFA">
              <w:t>At 6 months</w:t>
            </w:r>
          </w:p>
        </w:tc>
        <w:tc>
          <w:tcPr>
            <w:tcW w:w="1391" w:type="pct"/>
            <w:tcBorders>
              <w:top w:val="nil"/>
              <w:bottom w:val="nil"/>
            </w:tcBorders>
          </w:tcPr>
          <w:p w14:paraId="5D860E60" w14:textId="77777777" w:rsidR="00502996" w:rsidRPr="001D5AAC" w:rsidRDefault="00502996">
            <w:pPr>
              <w:pStyle w:val="COMTabletext"/>
              <w:jc w:val="center"/>
            </w:pPr>
            <w:r w:rsidRPr="00584F65">
              <w:t>75.6 (69.8, 80.4)</w:t>
            </w:r>
          </w:p>
        </w:tc>
        <w:tc>
          <w:tcPr>
            <w:tcW w:w="1213" w:type="pct"/>
            <w:tcBorders>
              <w:top w:val="nil"/>
              <w:bottom w:val="nil"/>
            </w:tcBorders>
          </w:tcPr>
          <w:p w14:paraId="7AE25136" w14:textId="77777777" w:rsidR="00502996" w:rsidRPr="001D5AAC" w:rsidRDefault="00502996">
            <w:pPr>
              <w:pStyle w:val="COMTabletext"/>
              <w:jc w:val="center"/>
            </w:pPr>
            <w:r w:rsidRPr="00A64A8A">
              <w:t>61.5 (55.2, 67.1)</w:t>
            </w:r>
          </w:p>
        </w:tc>
      </w:tr>
      <w:tr w:rsidR="00502996" w:rsidRPr="001D5AAC" w14:paraId="639E52B3" w14:textId="77777777">
        <w:tc>
          <w:tcPr>
            <w:tcW w:w="2396" w:type="pct"/>
            <w:tcBorders>
              <w:top w:val="nil"/>
              <w:bottom w:val="nil"/>
            </w:tcBorders>
          </w:tcPr>
          <w:p w14:paraId="14A153E6" w14:textId="77777777" w:rsidR="00502996" w:rsidRPr="001D5AAC" w:rsidRDefault="00502996">
            <w:pPr>
              <w:pStyle w:val="COMTabletext"/>
            </w:pPr>
            <w:r>
              <w:t xml:space="preserve">- </w:t>
            </w:r>
            <w:r w:rsidRPr="007F0DFA">
              <w:t>At 12 months</w:t>
            </w:r>
          </w:p>
        </w:tc>
        <w:tc>
          <w:tcPr>
            <w:tcW w:w="1391" w:type="pct"/>
            <w:tcBorders>
              <w:top w:val="nil"/>
              <w:bottom w:val="nil"/>
            </w:tcBorders>
          </w:tcPr>
          <w:p w14:paraId="0C1C4CDD" w14:textId="77777777" w:rsidR="00502996" w:rsidRPr="0074328E" w:rsidRDefault="00502996">
            <w:pPr>
              <w:pStyle w:val="COMTabletext"/>
              <w:jc w:val="center"/>
            </w:pPr>
            <w:r w:rsidRPr="007B69F0">
              <w:t>5</w:t>
            </w:r>
            <w:r>
              <w:t>5.8</w:t>
            </w:r>
            <w:r w:rsidRPr="007B69F0">
              <w:t xml:space="preserve"> (4</w:t>
            </w:r>
            <w:r>
              <w:t>9</w:t>
            </w:r>
            <w:r w:rsidRPr="007B69F0">
              <w:t>.</w:t>
            </w:r>
            <w:r>
              <w:t>4</w:t>
            </w:r>
            <w:r w:rsidRPr="007B69F0">
              <w:t>, 6</w:t>
            </w:r>
            <w:r>
              <w:t>1</w:t>
            </w:r>
            <w:r w:rsidRPr="007B69F0">
              <w:t>.</w:t>
            </w:r>
            <w:r>
              <w:t>8</w:t>
            </w:r>
            <w:r w:rsidRPr="007B69F0">
              <w:t>)</w:t>
            </w:r>
          </w:p>
        </w:tc>
        <w:tc>
          <w:tcPr>
            <w:tcW w:w="1213" w:type="pct"/>
            <w:tcBorders>
              <w:top w:val="nil"/>
              <w:bottom w:val="nil"/>
            </w:tcBorders>
          </w:tcPr>
          <w:p w14:paraId="34BD7781" w14:textId="77777777" w:rsidR="00502996" w:rsidRPr="0074328E" w:rsidRDefault="00502996">
            <w:pPr>
              <w:pStyle w:val="COMTabletext"/>
              <w:jc w:val="center"/>
            </w:pPr>
            <w:r w:rsidRPr="00A64A8A">
              <w:t>3</w:t>
            </w:r>
            <w:r>
              <w:t>8</w:t>
            </w:r>
            <w:r w:rsidRPr="00A64A8A">
              <w:t>.9 (3</w:t>
            </w:r>
            <w:r>
              <w:t>2</w:t>
            </w:r>
            <w:r w:rsidRPr="00A64A8A">
              <w:t>.</w:t>
            </w:r>
            <w:r>
              <w:t>8</w:t>
            </w:r>
            <w:r w:rsidRPr="00A64A8A">
              <w:t>, 4</w:t>
            </w:r>
            <w:r>
              <w:t>4</w:t>
            </w:r>
            <w:r w:rsidRPr="00A64A8A">
              <w:t>.</w:t>
            </w:r>
            <w:r>
              <w:t>9</w:t>
            </w:r>
            <w:r w:rsidRPr="00A64A8A">
              <w:t>)</w:t>
            </w:r>
          </w:p>
        </w:tc>
      </w:tr>
      <w:tr w:rsidR="00502996" w:rsidRPr="001D5AAC" w14:paraId="2ECDC05F" w14:textId="77777777">
        <w:tc>
          <w:tcPr>
            <w:tcW w:w="2396" w:type="pct"/>
            <w:tcBorders>
              <w:top w:val="nil"/>
              <w:bottom w:val="single" w:sz="4" w:space="0" w:color="auto"/>
            </w:tcBorders>
          </w:tcPr>
          <w:p w14:paraId="4BD777C4" w14:textId="77777777" w:rsidR="00502996" w:rsidRPr="001D5AAC" w:rsidRDefault="00502996">
            <w:pPr>
              <w:pStyle w:val="COMTabletext"/>
            </w:pPr>
            <w:r>
              <w:t xml:space="preserve">- </w:t>
            </w:r>
            <w:r w:rsidRPr="007F0DFA">
              <w:t>At 18 months</w:t>
            </w:r>
          </w:p>
        </w:tc>
        <w:tc>
          <w:tcPr>
            <w:tcW w:w="1391" w:type="pct"/>
            <w:tcBorders>
              <w:top w:val="nil"/>
              <w:bottom w:val="single" w:sz="4" w:space="0" w:color="auto"/>
            </w:tcBorders>
          </w:tcPr>
          <w:p w14:paraId="241A72C5" w14:textId="77777777" w:rsidR="00502996" w:rsidRPr="0074328E" w:rsidRDefault="00502996">
            <w:pPr>
              <w:pStyle w:val="COMTabletext"/>
              <w:jc w:val="center"/>
            </w:pPr>
            <w:r>
              <w:t>43.3 (35.4, 50.9)</w:t>
            </w:r>
          </w:p>
        </w:tc>
        <w:tc>
          <w:tcPr>
            <w:tcW w:w="1213" w:type="pct"/>
            <w:tcBorders>
              <w:top w:val="nil"/>
              <w:bottom w:val="single" w:sz="4" w:space="0" w:color="auto"/>
            </w:tcBorders>
          </w:tcPr>
          <w:p w14:paraId="25B1BDDE" w14:textId="77777777" w:rsidR="00502996" w:rsidRPr="0074328E" w:rsidRDefault="00502996">
            <w:pPr>
              <w:pStyle w:val="COMTabletext"/>
              <w:jc w:val="center"/>
            </w:pPr>
            <w:r w:rsidRPr="00315C9B">
              <w:t>2</w:t>
            </w:r>
            <w:r>
              <w:t>1</w:t>
            </w:r>
            <w:r w:rsidRPr="00315C9B">
              <w:t>.</w:t>
            </w:r>
            <w:r>
              <w:t>5</w:t>
            </w:r>
            <w:r w:rsidRPr="00315C9B">
              <w:t xml:space="preserve"> (1</w:t>
            </w:r>
            <w:r>
              <w:t>4.4</w:t>
            </w:r>
            <w:r w:rsidRPr="00315C9B">
              <w:t xml:space="preserve">, </w:t>
            </w:r>
            <w:r>
              <w:t>29.5</w:t>
            </w:r>
            <w:r w:rsidRPr="00315C9B">
              <w:t>)</w:t>
            </w:r>
          </w:p>
        </w:tc>
      </w:tr>
    </w:tbl>
    <w:p w14:paraId="2659C45F" w14:textId="77777777" w:rsidR="00502996" w:rsidRDefault="00502996" w:rsidP="00502996">
      <w:pPr>
        <w:pStyle w:val="COMTablefooter"/>
        <w:rPr>
          <w:b/>
          <w:bCs/>
        </w:rPr>
      </w:pPr>
      <w:r w:rsidRPr="009A1370">
        <w:t>Source:</w:t>
      </w:r>
      <w:r>
        <w:t xml:space="preserve"> Table 2.5.1-1, p46 of the submission; Table 14-4.1.1, pp7-8 of DeLLphi-304 CSR Additional tables (April 2025 data cut).</w:t>
      </w:r>
    </w:p>
    <w:p w14:paraId="5CCF2B67" w14:textId="24147B8B" w:rsidR="00502996" w:rsidRDefault="00502996" w:rsidP="00502996">
      <w:pPr>
        <w:pStyle w:val="COMTablefooter"/>
        <w:rPr>
          <w:b/>
          <w:bCs/>
        </w:rPr>
      </w:pPr>
      <w:r>
        <w:t>Abbreviations:</w:t>
      </w:r>
      <w:r w:rsidRPr="00713339">
        <w:t xml:space="preserve"> </w:t>
      </w:r>
      <w:r w:rsidRPr="006334A9">
        <w:t>CI</w:t>
      </w:r>
      <w:r>
        <w:t xml:space="preserve">, </w:t>
      </w:r>
      <w:r>
        <w:rPr>
          <w:b/>
          <w:bCs/>
        </w:rPr>
        <w:t>c</w:t>
      </w:r>
      <w:r>
        <w:t>onfidence interval;</w:t>
      </w:r>
      <w:r w:rsidRPr="006334A9">
        <w:t xml:space="preserve"> </w:t>
      </w:r>
      <w:r w:rsidR="002A7359">
        <w:t xml:space="preserve">ITT, intention to treat; </w:t>
      </w:r>
      <w:r w:rsidRPr="009A1370">
        <w:t>NE</w:t>
      </w:r>
      <w:r>
        <w:t xml:space="preserve">, </w:t>
      </w:r>
      <w:r w:rsidRPr="009A1370">
        <w:t>not estimable</w:t>
      </w:r>
      <w:r>
        <w:t>; SOC, standard of care.</w:t>
      </w:r>
    </w:p>
    <w:p w14:paraId="12C105C8" w14:textId="77777777" w:rsidR="00502996" w:rsidRDefault="00502996" w:rsidP="00502996">
      <w:pPr>
        <w:pStyle w:val="COMTablefooter"/>
      </w:pPr>
      <w:r w:rsidRPr="007451B5">
        <w:rPr>
          <w:b/>
          <w:bCs/>
        </w:rPr>
        <w:t>Bolded</w:t>
      </w:r>
      <w:r w:rsidRPr="007451B5">
        <w:t xml:space="preserve"> results were statistically significant.</w:t>
      </w:r>
    </w:p>
    <w:p w14:paraId="12078AB2" w14:textId="77777777" w:rsidR="00502996" w:rsidRDefault="00502996" w:rsidP="00502996">
      <w:pPr>
        <w:pStyle w:val="COMTablefooter"/>
      </w:pPr>
      <w:r w:rsidRPr="00B66068">
        <w:rPr>
          <w:b/>
          <w:bCs/>
          <w:vertAlign w:val="superscript"/>
        </w:rPr>
        <w:t>a</w:t>
      </w:r>
      <w:r>
        <w:rPr>
          <w:b/>
          <w:bCs/>
        </w:rPr>
        <w:t xml:space="preserve"> </w:t>
      </w:r>
      <w:r w:rsidRPr="007451B5">
        <w:t>Hazard ratio and 95% CIs estimated using a stratified Cox proportional hazards model</w:t>
      </w:r>
      <w:r>
        <w:t>.</w:t>
      </w:r>
    </w:p>
    <w:p w14:paraId="46609B9E" w14:textId="017CAF8B" w:rsidR="00502996" w:rsidRPr="0088772E" w:rsidRDefault="00502996" w:rsidP="00502996">
      <w:pPr>
        <w:pStyle w:val="COMtablefigcaption"/>
      </w:pPr>
      <w:bookmarkStart w:id="32" w:name="_Ref208486062"/>
      <w:r>
        <w:t xml:space="preserve">Figure </w:t>
      </w:r>
      <w:r>
        <w:fldChar w:fldCharType="begin"/>
      </w:r>
      <w:r>
        <w:instrText>SEQ Figure \* ARABIC</w:instrText>
      </w:r>
      <w:r>
        <w:fldChar w:fldCharType="separate"/>
      </w:r>
      <w:r w:rsidR="00E26586">
        <w:rPr>
          <w:noProof/>
        </w:rPr>
        <w:t>1</w:t>
      </w:r>
      <w:r>
        <w:fldChar w:fldCharType="end"/>
      </w:r>
      <w:bookmarkEnd w:id="32"/>
      <w:r>
        <w:t>:</w:t>
      </w:r>
      <w:r w:rsidRPr="0088772E">
        <w:t xml:space="preserve"> </w:t>
      </w:r>
      <w:r>
        <w:t>O</w:t>
      </w:r>
      <w:r w:rsidRPr="0088772E">
        <w:t xml:space="preserve">verall survival </w:t>
      </w:r>
      <w:r>
        <w:t xml:space="preserve">in the DeLLphi-304 trial </w:t>
      </w:r>
      <w:r w:rsidRPr="0088772E">
        <w:t>(</w:t>
      </w:r>
      <w:r w:rsidR="002A7359">
        <w:t xml:space="preserve">ITT; </w:t>
      </w:r>
      <w:r w:rsidRPr="0088772E">
        <w:t>29 April 2025 data cut</w:t>
      </w:r>
      <w:r>
        <w:t xml:space="preserve">) </w:t>
      </w:r>
    </w:p>
    <w:p w14:paraId="033EC4C9" w14:textId="77777777" w:rsidR="00502996" w:rsidRDefault="00502996" w:rsidP="00502996">
      <w:r w:rsidRPr="00EC563B">
        <w:rPr>
          <w:noProof/>
        </w:rPr>
        <w:drawing>
          <wp:inline distT="0" distB="0" distL="0" distR="0" wp14:anchorId="739B475E" wp14:editId="29E63402">
            <wp:extent cx="5732145" cy="2843530"/>
            <wp:effectExtent l="0" t="0" r="1905" b="0"/>
            <wp:docPr id="780010302" name="Picture 1" descr="Figure 1: Overall survival in the DeLLphi-304 trial (ITT; 29 April 2025 data c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10302" name="Picture 1" descr="Figure 1: Overall survival in the DeLLphi-304 trial (ITT; 29 April 2025 data cut) "/>
                    <pic:cNvPicPr/>
                  </pic:nvPicPr>
                  <pic:blipFill>
                    <a:blip r:embed="rId11"/>
                    <a:stretch>
                      <a:fillRect/>
                    </a:stretch>
                  </pic:blipFill>
                  <pic:spPr>
                    <a:xfrm>
                      <a:off x="0" y="0"/>
                      <a:ext cx="5732145" cy="2843530"/>
                    </a:xfrm>
                    <a:prstGeom prst="rect">
                      <a:avLst/>
                    </a:prstGeom>
                  </pic:spPr>
                </pic:pic>
              </a:graphicData>
            </a:graphic>
          </wp:inline>
        </w:drawing>
      </w:r>
    </w:p>
    <w:p w14:paraId="1A0FF1F8" w14:textId="77777777" w:rsidR="00502996" w:rsidRPr="00F249DE" w:rsidRDefault="00502996" w:rsidP="00502996">
      <w:pPr>
        <w:pStyle w:val="COMTablefooter"/>
        <w:rPr>
          <w:b/>
          <w:bCs/>
        </w:rPr>
      </w:pPr>
      <w:r w:rsidRPr="00F249DE">
        <w:t>Source: Figure 2.5.1-</w:t>
      </w:r>
      <w:r>
        <w:t>2</w:t>
      </w:r>
      <w:r w:rsidRPr="00F249DE">
        <w:t>, p47 of the submission.</w:t>
      </w:r>
    </w:p>
    <w:p w14:paraId="70C26B3E" w14:textId="76436676" w:rsidR="00502996" w:rsidRDefault="00502996" w:rsidP="00502996">
      <w:pPr>
        <w:pStyle w:val="COMTablefooter"/>
      </w:pPr>
      <w:r w:rsidRPr="00F249DE">
        <w:t xml:space="preserve">Abbreviations: </w:t>
      </w:r>
      <w:r>
        <w:t xml:space="preserve">CI, confidence interval; </w:t>
      </w:r>
      <w:r w:rsidRPr="008A3767">
        <w:t xml:space="preserve">HR, </w:t>
      </w:r>
      <w:r>
        <w:t>h</w:t>
      </w:r>
      <w:r w:rsidRPr="008A3767">
        <w:t>azard ratio</w:t>
      </w:r>
      <w:r w:rsidRPr="00781357">
        <w:t xml:space="preserve">; </w:t>
      </w:r>
      <w:r w:rsidR="002A7359">
        <w:t xml:space="preserve">ITT, intention to treat; </w:t>
      </w:r>
      <w:r w:rsidRPr="008A3767">
        <w:t xml:space="preserve">OS, </w:t>
      </w:r>
      <w:r>
        <w:t>o</w:t>
      </w:r>
      <w:r w:rsidRPr="008A3767">
        <w:t>verall survival.</w:t>
      </w:r>
    </w:p>
    <w:p w14:paraId="5DDEE8B8" w14:textId="3AE0035C" w:rsidR="00294D4F" w:rsidRPr="00726F37" w:rsidRDefault="00502996" w:rsidP="00294D4F">
      <w:pPr>
        <w:pStyle w:val="COMESnumberedpara"/>
      </w:pPr>
      <w:r w:rsidRPr="00726F37">
        <w:t>At the January 2025 data cut, based on a median follow up of 11.2 months in the tarlatamab arm and 11.7 months in the SOC chemotherapy arm, treatment with tarlatamab was associated with a statistically significant improvement in overall survival compared to SOC (</w:t>
      </w:r>
      <w:r w:rsidR="0040065D">
        <w:t>hazard ratio [</w:t>
      </w:r>
      <w:r w:rsidRPr="00726F37">
        <w:t>HR</w:t>
      </w:r>
      <w:r w:rsidR="0040065D">
        <w:t>]</w:t>
      </w:r>
      <w:r w:rsidRPr="00726F37">
        <w:t xml:space="preserve">: 0.599; 95% </w:t>
      </w:r>
      <w:r w:rsidR="0040065D">
        <w:t>confidence interval [</w:t>
      </w:r>
      <w:r w:rsidRPr="00726F37">
        <w:t>CI</w:t>
      </w:r>
      <w:r w:rsidR="0040065D">
        <w:t>]</w:t>
      </w:r>
      <w:r w:rsidRPr="00726F37">
        <w:t xml:space="preserve">: </w:t>
      </w:r>
      <w:r w:rsidRPr="00726F37">
        <w:lastRenderedPageBreak/>
        <w:t>0.468, 0.768). Median overall survival was 13.6 months in the tarlatamab arm, compared to 8.3 months in the SOC arm.</w:t>
      </w:r>
    </w:p>
    <w:p w14:paraId="6D992A8C" w14:textId="483BC3F2" w:rsidR="00502996" w:rsidRPr="00726F37" w:rsidRDefault="00502996" w:rsidP="0038024B">
      <w:pPr>
        <w:pStyle w:val="COMESnumberedpara"/>
        <w:rPr>
          <w:szCs w:val="24"/>
        </w:rPr>
      </w:pPr>
      <w:r w:rsidRPr="00726F37">
        <w:rPr>
          <w:szCs w:val="24"/>
        </w:rPr>
        <w:t xml:space="preserve">Results based on the April 2025 data cut </w:t>
      </w:r>
      <w:r w:rsidR="00294D4F" w:rsidRPr="00726F37">
        <w:rPr>
          <w:szCs w:val="24"/>
        </w:rPr>
        <w:t>(HR: 0.581; 95% CI: 0.461, 0.733) and the post hoc comparison of tarlatamab and the topotecan SOC</w:t>
      </w:r>
      <w:r w:rsidR="003A121F" w:rsidRPr="00726F37">
        <w:rPr>
          <w:szCs w:val="24"/>
        </w:rPr>
        <w:t xml:space="preserve"> subgroup</w:t>
      </w:r>
      <w:r w:rsidR="00294D4F" w:rsidRPr="00726F37">
        <w:rPr>
          <w:szCs w:val="24"/>
        </w:rPr>
        <w:t>, used in the economic evaluation (HR: 0.540; 95% CI: 0.421, 0.691; April 2025 data cut)</w:t>
      </w:r>
      <w:r w:rsidR="003B0403" w:rsidRPr="00726F37">
        <w:rPr>
          <w:szCs w:val="24"/>
        </w:rPr>
        <w:t xml:space="preserve">, were </w:t>
      </w:r>
      <w:r w:rsidR="0038024B" w:rsidRPr="00726F37">
        <w:rPr>
          <w:szCs w:val="24"/>
        </w:rPr>
        <w:t xml:space="preserve">slightly more favourable than the earlier data cut. </w:t>
      </w:r>
    </w:p>
    <w:p w14:paraId="280234F9" w14:textId="2B30D190" w:rsidR="00502996" w:rsidRPr="00726F37" w:rsidRDefault="00502996" w:rsidP="00502996">
      <w:pPr>
        <w:pStyle w:val="COMESnumberedpara"/>
        <w:rPr>
          <w:szCs w:val="24"/>
        </w:rPr>
      </w:pPr>
      <w:r w:rsidRPr="00726F37">
        <w:rPr>
          <w:szCs w:val="24"/>
        </w:rPr>
        <w:fldChar w:fldCharType="begin"/>
      </w:r>
      <w:r w:rsidRPr="00726F37">
        <w:rPr>
          <w:szCs w:val="24"/>
        </w:rPr>
        <w:instrText xml:space="preserve"> REF _Ref216701305 \h </w:instrText>
      </w:r>
      <w:r w:rsidR="003B0403" w:rsidRPr="00726F37">
        <w:rPr>
          <w:szCs w:val="24"/>
        </w:rPr>
        <w:instrText xml:space="preserve"> \* MERGEFORMAT </w:instrText>
      </w:r>
      <w:r w:rsidRPr="00726F37">
        <w:rPr>
          <w:szCs w:val="24"/>
        </w:rPr>
      </w:r>
      <w:r w:rsidRPr="00726F37">
        <w:rPr>
          <w:szCs w:val="24"/>
        </w:rPr>
        <w:fldChar w:fldCharType="separate"/>
      </w:r>
      <w:r w:rsidR="00E26586" w:rsidRPr="00E26586">
        <w:rPr>
          <w:szCs w:val="24"/>
        </w:rPr>
        <w:t xml:space="preserve">Table </w:t>
      </w:r>
      <w:r w:rsidR="00E26586" w:rsidRPr="00E26586">
        <w:rPr>
          <w:noProof/>
          <w:szCs w:val="24"/>
        </w:rPr>
        <w:t>5</w:t>
      </w:r>
      <w:r w:rsidRPr="00726F37">
        <w:rPr>
          <w:szCs w:val="24"/>
        </w:rPr>
        <w:fldChar w:fldCharType="end"/>
      </w:r>
      <w:r w:rsidRPr="00726F37">
        <w:rPr>
          <w:szCs w:val="24"/>
        </w:rPr>
        <w:t xml:space="preserve"> and </w:t>
      </w:r>
      <w:r w:rsidRPr="00726F37">
        <w:rPr>
          <w:szCs w:val="24"/>
        </w:rPr>
        <w:fldChar w:fldCharType="begin"/>
      </w:r>
      <w:r w:rsidRPr="00726F37">
        <w:rPr>
          <w:szCs w:val="24"/>
        </w:rPr>
        <w:instrText xml:space="preserve"> REF _Ref216701340 \h </w:instrText>
      </w:r>
      <w:r w:rsidR="003B0403" w:rsidRPr="00726F37">
        <w:rPr>
          <w:szCs w:val="24"/>
        </w:rPr>
        <w:instrText xml:space="preserve"> \* MERGEFORMAT </w:instrText>
      </w:r>
      <w:r w:rsidRPr="00726F37">
        <w:rPr>
          <w:szCs w:val="24"/>
        </w:rPr>
      </w:r>
      <w:r w:rsidRPr="00726F37">
        <w:rPr>
          <w:szCs w:val="24"/>
        </w:rPr>
        <w:fldChar w:fldCharType="separate"/>
      </w:r>
      <w:r w:rsidR="00E26586" w:rsidRPr="00E26586">
        <w:rPr>
          <w:szCs w:val="24"/>
        </w:rPr>
        <w:t xml:space="preserve">Figure </w:t>
      </w:r>
      <w:r w:rsidR="00E26586" w:rsidRPr="00E26586">
        <w:rPr>
          <w:noProof/>
          <w:szCs w:val="24"/>
        </w:rPr>
        <w:t>2</w:t>
      </w:r>
      <w:r w:rsidRPr="00726F37">
        <w:rPr>
          <w:szCs w:val="24"/>
        </w:rPr>
        <w:fldChar w:fldCharType="end"/>
      </w:r>
      <w:r w:rsidRPr="00726F37">
        <w:rPr>
          <w:szCs w:val="24"/>
        </w:rPr>
        <w:t xml:space="preserve"> below present the results for the key secondary outcome of </w:t>
      </w:r>
      <w:r w:rsidR="004A662B">
        <w:rPr>
          <w:szCs w:val="24"/>
        </w:rPr>
        <w:t>PFS</w:t>
      </w:r>
      <w:r w:rsidRPr="00726F37">
        <w:rPr>
          <w:szCs w:val="24"/>
        </w:rPr>
        <w:t xml:space="preserve"> in the DeLLphi-304 trial.</w:t>
      </w:r>
    </w:p>
    <w:p w14:paraId="77B6EE86" w14:textId="20A19F3A" w:rsidR="00502996" w:rsidRDefault="00502996" w:rsidP="00502996">
      <w:pPr>
        <w:pStyle w:val="COMTableheadingrow"/>
      </w:pPr>
      <w:bookmarkStart w:id="33" w:name="_Ref216701305"/>
      <w:r w:rsidRPr="00602806">
        <w:t xml:space="preserve">Table </w:t>
      </w:r>
      <w:r>
        <w:fldChar w:fldCharType="begin"/>
      </w:r>
      <w:r>
        <w:instrText>SEQ Table \* ARABIC</w:instrText>
      </w:r>
      <w:r>
        <w:fldChar w:fldCharType="separate"/>
      </w:r>
      <w:r w:rsidR="00E26586">
        <w:rPr>
          <w:noProof/>
        </w:rPr>
        <w:t>5</w:t>
      </w:r>
      <w:r>
        <w:fldChar w:fldCharType="end"/>
      </w:r>
      <w:bookmarkEnd w:id="33"/>
      <w:r>
        <w:rPr>
          <w:noProof/>
        </w:rPr>
        <w:t xml:space="preserve">: </w:t>
      </w:r>
      <w:r>
        <w:t>Investigator assessed progression</w:t>
      </w:r>
      <w:r w:rsidR="00292549">
        <w:t>-</w:t>
      </w:r>
      <w:r>
        <w:t>free</w:t>
      </w:r>
      <w:r w:rsidRPr="00752BD1">
        <w:t xml:space="preserve"> survival in the DeLLphi-304 trial</w:t>
      </w:r>
      <w:r w:rsidR="002A7359">
        <w:t xml:space="preserve"> (ITT; 29 January 2025 and 29 April 2025 data cuts)</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5: Investigator assessed progression-free survival in the DeLLphi-304 trial (ITT; 29 January 2025 and 29 April 2025 data cuts)"/>
      </w:tblPr>
      <w:tblGrid>
        <w:gridCol w:w="4391"/>
        <w:gridCol w:w="2549"/>
        <w:gridCol w:w="2223"/>
      </w:tblGrid>
      <w:tr w:rsidR="00502996" w:rsidRPr="000A0CD2" w14:paraId="752FAE38" w14:textId="77777777">
        <w:trPr>
          <w:tblHeader/>
        </w:trPr>
        <w:tc>
          <w:tcPr>
            <w:tcW w:w="2396" w:type="pct"/>
            <w:tcBorders>
              <w:bottom w:val="single" w:sz="4" w:space="0" w:color="auto"/>
            </w:tcBorders>
            <w:vAlign w:val="center"/>
          </w:tcPr>
          <w:p w14:paraId="3FE9821E" w14:textId="77777777" w:rsidR="00502996" w:rsidDel="003F6EE3" w:rsidRDefault="00502996">
            <w:pPr>
              <w:pStyle w:val="COMTabletext"/>
              <w:widowControl w:val="0"/>
            </w:pPr>
          </w:p>
        </w:tc>
        <w:tc>
          <w:tcPr>
            <w:tcW w:w="1391" w:type="pct"/>
            <w:tcBorders>
              <w:bottom w:val="single" w:sz="4" w:space="0" w:color="auto"/>
            </w:tcBorders>
            <w:vAlign w:val="center"/>
          </w:tcPr>
          <w:p w14:paraId="7C31810D" w14:textId="77777777" w:rsidR="00502996" w:rsidRPr="000A0CD2" w:rsidRDefault="00502996">
            <w:pPr>
              <w:pStyle w:val="COMTabletext"/>
              <w:jc w:val="center"/>
            </w:pPr>
            <w:r w:rsidRPr="001D5AAC">
              <w:rPr>
                <w:rFonts w:cs="Times New Roman"/>
                <w:b/>
                <w:szCs w:val="20"/>
              </w:rPr>
              <w:t>Tarlatamab</w:t>
            </w:r>
            <w:r>
              <w:rPr>
                <w:rFonts w:cs="Times New Roman"/>
                <w:b/>
                <w:szCs w:val="20"/>
              </w:rPr>
              <w:t xml:space="preserve"> (N=254)</w:t>
            </w:r>
          </w:p>
        </w:tc>
        <w:tc>
          <w:tcPr>
            <w:tcW w:w="1213" w:type="pct"/>
            <w:tcBorders>
              <w:bottom w:val="single" w:sz="4" w:space="0" w:color="auto"/>
            </w:tcBorders>
            <w:vAlign w:val="center"/>
          </w:tcPr>
          <w:p w14:paraId="1230CCDB" w14:textId="77777777" w:rsidR="00502996" w:rsidRPr="000A0CD2" w:rsidRDefault="00502996">
            <w:pPr>
              <w:pStyle w:val="COMTabletext"/>
              <w:jc w:val="center"/>
            </w:pPr>
            <w:r>
              <w:rPr>
                <w:rFonts w:cs="Times New Roman"/>
                <w:b/>
                <w:szCs w:val="20"/>
              </w:rPr>
              <w:t xml:space="preserve">SOC (N=255) </w:t>
            </w:r>
          </w:p>
        </w:tc>
      </w:tr>
      <w:tr w:rsidR="00502996" w:rsidRPr="001D5AAC" w14:paraId="253D6ED9" w14:textId="77777777">
        <w:trPr>
          <w:tblHeader/>
        </w:trPr>
        <w:tc>
          <w:tcPr>
            <w:tcW w:w="5000" w:type="pct"/>
            <w:gridSpan w:val="3"/>
            <w:vAlign w:val="center"/>
          </w:tcPr>
          <w:p w14:paraId="413B912E" w14:textId="77777777" w:rsidR="00502996" w:rsidRPr="001D5AAC" w:rsidRDefault="00502996">
            <w:pPr>
              <w:keepNext/>
              <w:widowControl w:val="0"/>
              <w:jc w:val="left"/>
              <w:rPr>
                <w:rFonts w:ascii="Arial Narrow" w:hAnsi="Arial Narrow" w:cstheme="minorHAnsi"/>
                <w:b/>
                <w:sz w:val="20"/>
                <w:szCs w:val="20"/>
                <w:lang w:eastAsia="en-IN"/>
              </w:rPr>
            </w:pPr>
            <w:r>
              <w:rPr>
                <w:rFonts w:ascii="Arial Narrow" w:hAnsi="Arial Narrow" w:cstheme="minorHAnsi"/>
                <w:b/>
                <w:sz w:val="20"/>
                <w:szCs w:val="20"/>
                <w:lang w:eastAsia="en-IN"/>
              </w:rPr>
              <w:t>Progression-free survival</w:t>
            </w:r>
            <w:r w:rsidRPr="001D5AAC">
              <w:rPr>
                <w:rFonts w:ascii="Arial Narrow" w:hAnsi="Arial Narrow" w:cstheme="minorHAnsi"/>
                <w:b/>
                <w:sz w:val="20"/>
                <w:szCs w:val="20"/>
                <w:lang w:eastAsia="en-IN"/>
              </w:rPr>
              <w:t xml:space="preserve"> (data cut-off 2</w:t>
            </w:r>
            <w:r>
              <w:rPr>
                <w:rFonts w:ascii="Arial Narrow" w:hAnsi="Arial Narrow" w:cstheme="minorHAnsi"/>
                <w:b/>
                <w:sz w:val="20"/>
                <w:szCs w:val="20"/>
                <w:lang w:eastAsia="en-IN"/>
              </w:rPr>
              <w:t>9</w:t>
            </w:r>
            <w:r w:rsidRPr="001D5AAC">
              <w:rPr>
                <w:rFonts w:ascii="Arial Narrow" w:hAnsi="Arial Narrow" w:cstheme="minorHAnsi"/>
                <w:b/>
                <w:sz w:val="20"/>
                <w:szCs w:val="20"/>
                <w:lang w:eastAsia="en-IN"/>
              </w:rPr>
              <w:t xml:space="preserve"> J</w:t>
            </w:r>
            <w:r>
              <w:rPr>
                <w:rFonts w:ascii="Arial Narrow" w:hAnsi="Arial Narrow" w:cstheme="minorHAnsi"/>
                <w:b/>
                <w:sz w:val="20"/>
                <w:szCs w:val="20"/>
                <w:lang w:eastAsia="en-IN"/>
              </w:rPr>
              <w:t>anuary</w:t>
            </w:r>
            <w:r w:rsidRPr="001D5AAC">
              <w:rPr>
                <w:rFonts w:ascii="Arial Narrow" w:hAnsi="Arial Narrow" w:cstheme="minorHAnsi"/>
                <w:b/>
                <w:sz w:val="20"/>
                <w:szCs w:val="20"/>
                <w:lang w:eastAsia="en-IN"/>
              </w:rPr>
              <w:t xml:space="preserve"> 202</w:t>
            </w:r>
            <w:r>
              <w:rPr>
                <w:rFonts w:ascii="Arial Narrow" w:hAnsi="Arial Narrow" w:cstheme="minorHAnsi"/>
                <w:b/>
                <w:sz w:val="20"/>
                <w:szCs w:val="20"/>
                <w:lang w:eastAsia="en-IN"/>
              </w:rPr>
              <w:t>5</w:t>
            </w:r>
            <w:r w:rsidRPr="001D5AAC">
              <w:rPr>
                <w:rFonts w:ascii="Arial Narrow" w:eastAsiaTheme="majorEastAsia" w:hAnsi="Arial Narrow" w:cstheme="minorHAnsi"/>
                <w:b/>
                <w:sz w:val="20"/>
                <w:szCs w:val="20"/>
              </w:rPr>
              <w:t>)</w:t>
            </w:r>
          </w:p>
        </w:tc>
      </w:tr>
      <w:tr w:rsidR="00502996" w:rsidRPr="001D5AAC" w14:paraId="5183DC0C" w14:textId="77777777">
        <w:trPr>
          <w:tblHeader/>
        </w:trPr>
        <w:tc>
          <w:tcPr>
            <w:tcW w:w="2396" w:type="pct"/>
            <w:tcBorders>
              <w:bottom w:val="single" w:sz="4" w:space="0" w:color="auto"/>
            </w:tcBorders>
            <w:vAlign w:val="center"/>
          </w:tcPr>
          <w:p w14:paraId="40D24C34" w14:textId="77777777" w:rsidR="00502996" w:rsidRPr="006B32CB" w:rsidRDefault="00502996">
            <w:pPr>
              <w:pStyle w:val="COMTabletext"/>
              <w:widowControl w:val="0"/>
            </w:pPr>
            <w:r>
              <w:t>Median duration of follow-up, months (95% CI)</w:t>
            </w:r>
          </w:p>
        </w:tc>
        <w:tc>
          <w:tcPr>
            <w:tcW w:w="1391" w:type="pct"/>
            <w:tcBorders>
              <w:bottom w:val="single" w:sz="4" w:space="0" w:color="auto"/>
            </w:tcBorders>
          </w:tcPr>
          <w:p w14:paraId="5EC24AC5" w14:textId="77777777" w:rsidR="00502996" w:rsidRPr="001D5AAC" w:rsidRDefault="00502996">
            <w:pPr>
              <w:pStyle w:val="COMTabletext"/>
              <w:widowControl w:val="0"/>
              <w:jc w:val="center"/>
            </w:pPr>
            <w:r w:rsidRPr="00D83E01">
              <w:t>11.0 (8.5, 11.2)</w:t>
            </w:r>
          </w:p>
        </w:tc>
        <w:tc>
          <w:tcPr>
            <w:tcW w:w="1213" w:type="pct"/>
            <w:tcBorders>
              <w:bottom w:val="single" w:sz="4" w:space="0" w:color="auto"/>
            </w:tcBorders>
          </w:tcPr>
          <w:p w14:paraId="5EBB4646" w14:textId="77777777" w:rsidR="00502996" w:rsidRPr="001D5AAC" w:rsidRDefault="00502996">
            <w:pPr>
              <w:pStyle w:val="COMTabletext"/>
              <w:widowControl w:val="0"/>
              <w:jc w:val="center"/>
            </w:pPr>
            <w:r w:rsidRPr="00D83E01">
              <w:t>9.7 (8.4, 11.1)</w:t>
            </w:r>
          </w:p>
        </w:tc>
      </w:tr>
      <w:tr w:rsidR="00502996" w:rsidRPr="0086246E" w14:paraId="5366DF34" w14:textId="77777777">
        <w:trPr>
          <w:tblHeader/>
        </w:trPr>
        <w:tc>
          <w:tcPr>
            <w:tcW w:w="2396" w:type="pct"/>
            <w:tcBorders>
              <w:bottom w:val="nil"/>
            </w:tcBorders>
            <w:vAlign w:val="center"/>
          </w:tcPr>
          <w:p w14:paraId="4A9D926C" w14:textId="77777777" w:rsidR="00502996" w:rsidRDefault="00502996">
            <w:pPr>
              <w:pStyle w:val="COMTabletext"/>
              <w:widowControl w:val="0"/>
            </w:pPr>
            <w:r>
              <w:t>Participants with e</w:t>
            </w:r>
            <w:r w:rsidRPr="00FB50D5">
              <w:t>vents</w:t>
            </w:r>
            <w:r>
              <w:t>,</w:t>
            </w:r>
            <w:r w:rsidRPr="00FB50D5">
              <w:t xml:space="preserve"> n (%)</w:t>
            </w:r>
          </w:p>
        </w:tc>
        <w:tc>
          <w:tcPr>
            <w:tcW w:w="1391" w:type="pct"/>
            <w:tcBorders>
              <w:bottom w:val="nil"/>
            </w:tcBorders>
            <w:vAlign w:val="center"/>
          </w:tcPr>
          <w:p w14:paraId="1A071FD0" w14:textId="77777777" w:rsidR="00502996" w:rsidRPr="0086246E" w:rsidRDefault="00502996">
            <w:pPr>
              <w:pStyle w:val="COMTabletext"/>
              <w:widowControl w:val="0"/>
              <w:jc w:val="center"/>
            </w:pPr>
            <w:r w:rsidRPr="0086246E">
              <w:t>191 (75.2)</w:t>
            </w:r>
          </w:p>
        </w:tc>
        <w:tc>
          <w:tcPr>
            <w:tcW w:w="1213" w:type="pct"/>
            <w:tcBorders>
              <w:bottom w:val="nil"/>
            </w:tcBorders>
            <w:vAlign w:val="center"/>
          </w:tcPr>
          <w:p w14:paraId="1E5C3B97" w14:textId="77777777" w:rsidR="00502996" w:rsidRPr="0086246E" w:rsidRDefault="00502996">
            <w:pPr>
              <w:pStyle w:val="COMTabletext"/>
              <w:widowControl w:val="0"/>
              <w:jc w:val="center"/>
            </w:pPr>
            <w:r w:rsidRPr="0086246E">
              <w:t>205 (80.4)</w:t>
            </w:r>
          </w:p>
        </w:tc>
      </w:tr>
      <w:tr w:rsidR="00502996" w14:paraId="3EA9EF5C" w14:textId="77777777">
        <w:trPr>
          <w:tblHeader/>
        </w:trPr>
        <w:tc>
          <w:tcPr>
            <w:tcW w:w="2396" w:type="pct"/>
            <w:tcBorders>
              <w:top w:val="nil"/>
              <w:bottom w:val="nil"/>
            </w:tcBorders>
            <w:vAlign w:val="center"/>
          </w:tcPr>
          <w:p w14:paraId="2C8DB571" w14:textId="77777777" w:rsidR="00502996" w:rsidRPr="001D5AAC" w:rsidRDefault="00502996">
            <w:pPr>
              <w:pStyle w:val="COMTabletext"/>
              <w:widowControl w:val="0"/>
            </w:pPr>
            <w:r>
              <w:t xml:space="preserve">- </w:t>
            </w:r>
            <w:r w:rsidRPr="00F45427">
              <w:t>Death</w:t>
            </w:r>
          </w:p>
        </w:tc>
        <w:tc>
          <w:tcPr>
            <w:tcW w:w="1391" w:type="pct"/>
            <w:tcBorders>
              <w:top w:val="nil"/>
              <w:bottom w:val="nil"/>
            </w:tcBorders>
          </w:tcPr>
          <w:p w14:paraId="53768AF0" w14:textId="77777777" w:rsidR="00502996" w:rsidRDefault="00502996">
            <w:pPr>
              <w:pStyle w:val="COMTabletext"/>
              <w:widowControl w:val="0"/>
              <w:jc w:val="center"/>
            </w:pPr>
            <w:r w:rsidRPr="008C16A0">
              <w:t>25 (9.8)</w:t>
            </w:r>
          </w:p>
        </w:tc>
        <w:tc>
          <w:tcPr>
            <w:tcW w:w="1213" w:type="pct"/>
            <w:tcBorders>
              <w:top w:val="nil"/>
              <w:bottom w:val="nil"/>
            </w:tcBorders>
          </w:tcPr>
          <w:p w14:paraId="05BCFFB1" w14:textId="77777777" w:rsidR="00502996" w:rsidRDefault="00502996">
            <w:pPr>
              <w:pStyle w:val="COMTabletext"/>
              <w:widowControl w:val="0"/>
              <w:jc w:val="center"/>
            </w:pPr>
            <w:r w:rsidRPr="008C16A0">
              <w:t>41 (16.1)</w:t>
            </w:r>
          </w:p>
        </w:tc>
      </w:tr>
      <w:tr w:rsidR="00502996" w:rsidRPr="000F5472" w14:paraId="310641AD" w14:textId="77777777">
        <w:trPr>
          <w:tblHeader/>
        </w:trPr>
        <w:tc>
          <w:tcPr>
            <w:tcW w:w="2396" w:type="pct"/>
            <w:tcBorders>
              <w:top w:val="nil"/>
              <w:bottom w:val="nil"/>
            </w:tcBorders>
            <w:vAlign w:val="center"/>
          </w:tcPr>
          <w:p w14:paraId="18506FE5" w14:textId="77777777" w:rsidR="00502996" w:rsidRPr="00F45427" w:rsidRDefault="00502996">
            <w:pPr>
              <w:pStyle w:val="COMTabletext"/>
              <w:widowControl w:val="0"/>
            </w:pPr>
            <w:r>
              <w:t>- Disease progression</w:t>
            </w:r>
          </w:p>
        </w:tc>
        <w:tc>
          <w:tcPr>
            <w:tcW w:w="1391" w:type="pct"/>
            <w:tcBorders>
              <w:top w:val="nil"/>
              <w:bottom w:val="nil"/>
            </w:tcBorders>
          </w:tcPr>
          <w:p w14:paraId="60E16501" w14:textId="77777777" w:rsidR="00502996" w:rsidRPr="00AA132D" w:rsidRDefault="00502996">
            <w:pPr>
              <w:pStyle w:val="COMTabletext"/>
              <w:widowControl w:val="0"/>
              <w:jc w:val="center"/>
            </w:pPr>
            <w:r w:rsidRPr="008C16A0">
              <w:t>166 (65.4)</w:t>
            </w:r>
          </w:p>
        </w:tc>
        <w:tc>
          <w:tcPr>
            <w:tcW w:w="1213" w:type="pct"/>
            <w:tcBorders>
              <w:top w:val="nil"/>
              <w:bottom w:val="nil"/>
            </w:tcBorders>
          </w:tcPr>
          <w:p w14:paraId="41ECB5C6" w14:textId="77777777" w:rsidR="00502996" w:rsidRPr="000F5472" w:rsidRDefault="00502996">
            <w:pPr>
              <w:pStyle w:val="COMTabletext"/>
              <w:widowControl w:val="0"/>
              <w:jc w:val="center"/>
            </w:pPr>
            <w:r w:rsidRPr="008C16A0">
              <w:t>164 (64.3)</w:t>
            </w:r>
          </w:p>
        </w:tc>
      </w:tr>
      <w:tr w:rsidR="00502996" w14:paraId="1D542371" w14:textId="77777777">
        <w:trPr>
          <w:tblHeader/>
        </w:trPr>
        <w:tc>
          <w:tcPr>
            <w:tcW w:w="2396" w:type="pct"/>
            <w:tcBorders>
              <w:top w:val="nil"/>
              <w:bottom w:val="single" w:sz="4" w:space="0" w:color="auto"/>
            </w:tcBorders>
            <w:vAlign w:val="center"/>
          </w:tcPr>
          <w:p w14:paraId="58124E08" w14:textId="77777777" w:rsidR="00502996" w:rsidRPr="00F45427" w:rsidRDefault="00502996">
            <w:pPr>
              <w:pStyle w:val="COMTabletext"/>
              <w:widowControl w:val="0"/>
            </w:pPr>
            <w:r>
              <w:t xml:space="preserve">- </w:t>
            </w:r>
            <w:r w:rsidRPr="009C24AE">
              <w:t>Censored</w:t>
            </w:r>
          </w:p>
        </w:tc>
        <w:tc>
          <w:tcPr>
            <w:tcW w:w="1391" w:type="pct"/>
            <w:tcBorders>
              <w:top w:val="nil"/>
            </w:tcBorders>
          </w:tcPr>
          <w:p w14:paraId="51486DFC" w14:textId="77777777" w:rsidR="00502996" w:rsidRDefault="00502996">
            <w:pPr>
              <w:pStyle w:val="COMTabletext"/>
              <w:widowControl w:val="0"/>
              <w:jc w:val="center"/>
            </w:pPr>
            <w:r w:rsidRPr="008C16A0">
              <w:t>63 (24.8)</w:t>
            </w:r>
          </w:p>
        </w:tc>
        <w:tc>
          <w:tcPr>
            <w:tcW w:w="1213" w:type="pct"/>
            <w:tcBorders>
              <w:top w:val="nil"/>
            </w:tcBorders>
          </w:tcPr>
          <w:p w14:paraId="62B037A8" w14:textId="77777777" w:rsidR="00502996" w:rsidRDefault="00502996">
            <w:pPr>
              <w:pStyle w:val="COMTabletext"/>
              <w:widowControl w:val="0"/>
              <w:jc w:val="center"/>
            </w:pPr>
            <w:r w:rsidRPr="008C16A0">
              <w:t>50 (19.6)</w:t>
            </w:r>
          </w:p>
        </w:tc>
      </w:tr>
      <w:tr w:rsidR="00502996" w:rsidRPr="004B2B1B" w14:paraId="0B837412" w14:textId="77777777">
        <w:trPr>
          <w:tblHeader/>
        </w:trPr>
        <w:tc>
          <w:tcPr>
            <w:tcW w:w="2396" w:type="pct"/>
            <w:tcBorders>
              <w:top w:val="nil"/>
              <w:bottom w:val="single" w:sz="4" w:space="0" w:color="auto"/>
            </w:tcBorders>
            <w:vAlign w:val="center"/>
          </w:tcPr>
          <w:p w14:paraId="3FE05FBF" w14:textId="77777777" w:rsidR="00502996" w:rsidRPr="0048278E" w:rsidRDefault="00502996">
            <w:pPr>
              <w:pStyle w:val="COMTabletext"/>
              <w:widowControl w:val="0"/>
            </w:pPr>
            <w:r>
              <w:t>Median progression-free survival, months (95% CI)</w:t>
            </w:r>
          </w:p>
        </w:tc>
        <w:tc>
          <w:tcPr>
            <w:tcW w:w="1391" w:type="pct"/>
            <w:vAlign w:val="center"/>
          </w:tcPr>
          <w:p w14:paraId="1DC5F6FC" w14:textId="77777777" w:rsidR="00502996" w:rsidRPr="00D87DCC" w:rsidRDefault="00502996">
            <w:pPr>
              <w:pStyle w:val="COMTabletext"/>
              <w:widowControl w:val="0"/>
              <w:jc w:val="center"/>
            </w:pPr>
            <w:r w:rsidRPr="00795884">
              <w:t>4.2 (3.0, 4.4)</w:t>
            </w:r>
          </w:p>
        </w:tc>
        <w:tc>
          <w:tcPr>
            <w:tcW w:w="1213" w:type="pct"/>
            <w:vAlign w:val="center"/>
          </w:tcPr>
          <w:p w14:paraId="4EA0D7CB" w14:textId="77777777" w:rsidR="00502996" w:rsidRPr="004B2B1B" w:rsidRDefault="00502996">
            <w:pPr>
              <w:pStyle w:val="COMTabletext"/>
              <w:widowControl w:val="0"/>
              <w:jc w:val="center"/>
            </w:pPr>
            <w:r w:rsidRPr="00795884">
              <w:t>3.2 (2.9, 4.2)</w:t>
            </w:r>
          </w:p>
        </w:tc>
      </w:tr>
      <w:tr w:rsidR="00502996" w:rsidRPr="008F5D7A" w14:paraId="3056C340" w14:textId="77777777">
        <w:trPr>
          <w:tblHeader/>
        </w:trPr>
        <w:tc>
          <w:tcPr>
            <w:tcW w:w="2396" w:type="pct"/>
            <w:tcBorders>
              <w:top w:val="single" w:sz="4" w:space="0" w:color="auto"/>
              <w:bottom w:val="nil"/>
              <w:right w:val="nil"/>
            </w:tcBorders>
            <w:vAlign w:val="center"/>
          </w:tcPr>
          <w:p w14:paraId="4D088A8A" w14:textId="77777777" w:rsidR="00502996" w:rsidRPr="008E0420" w:rsidRDefault="00502996">
            <w:pPr>
              <w:pStyle w:val="COMTabletext"/>
              <w:widowControl w:val="0"/>
            </w:pPr>
            <w:r w:rsidRPr="008E0420">
              <w:t>Hazard ratio (95% CI)</w:t>
            </w:r>
            <w:r w:rsidRPr="008E0420">
              <w:rPr>
                <w:vertAlign w:val="superscript"/>
              </w:rPr>
              <w:t>a</w:t>
            </w:r>
          </w:p>
        </w:tc>
        <w:tc>
          <w:tcPr>
            <w:tcW w:w="2604" w:type="pct"/>
            <w:gridSpan w:val="2"/>
            <w:tcBorders>
              <w:left w:val="nil"/>
              <w:bottom w:val="nil"/>
            </w:tcBorders>
            <w:vAlign w:val="center"/>
          </w:tcPr>
          <w:p w14:paraId="5BB7AC38" w14:textId="77777777" w:rsidR="00502996" w:rsidRPr="008F5D7A" w:rsidRDefault="00502996">
            <w:pPr>
              <w:pStyle w:val="COMTabletext"/>
              <w:widowControl w:val="0"/>
              <w:jc w:val="center"/>
              <w:rPr>
                <w:b/>
                <w:bCs w:val="0"/>
              </w:rPr>
            </w:pPr>
            <w:r w:rsidRPr="008F5D7A">
              <w:rPr>
                <w:b/>
                <w:bCs w:val="0"/>
              </w:rPr>
              <w:t>0.716 (0.586, 0.875)</w:t>
            </w:r>
          </w:p>
        </w:tc>
      </w:tr>
      <w:tr w:rsidR="00502996" w:rsidRPr="001D5AAC" w14:paraId="44BA7B8C" w14:textId="77777777">
        <w:trPr>
          <w:tblHeader/>
        </w:trPr>
        <w:tc>
          <w:tcPr>
            <w:tcW w:w="5000" w:type="pct"/>
            <w:gridSpan w:val="3"/>
            <w:vAlign w:val="center"/>
          </w:tcPr>
          <w:p w14:paraId="0B8D3F1A" w14:textId="77777777" w:rsidR="00502996" w:rsidRPr="001D5AAC" w:rsidRDefault="00502996">
            <w:pPr>
              <w:pStyle w:val="COMTabletext"/>
              <w:widowControl w:val="0"/>
            </w:pPr>
            <w:r>
              <w:rPr>
                <w:rFonts w:cstheme="minorHAnsi"/>
                <w:b/>
                <w:szCs w:val="20"/>
                <w:lang w:eastAsia="en-IN"/>
              </w:rPr>
              <w:t>Progression-free survival</w:t>
            </w:r>
            <w:r w:rsidRPr="001D5AAC">
              <w:rPr>
                <w:rFonts w:cstheme="minorHAnsi"/>
                <w:b/>
                <w:szCs w:val="20"/>
                <w:lang w:eastAsia="en-IN"/>
              </w:rPr>
              <w:t xml:space="preserve"> (data cut-off 2</w:t>
            </w:r>
            <w:r>
              <w:rPr>
                <w:rFonts w:cstheme="minorHAnsi"/>
                <w:b/>
                <w:szCs w:val="20"/>
                <w:lang w:eastAsia="en-IN"/>
              </w:rPr>
              <w:t>9</w:t>
            </w:r>
            <w:r w:rsidRPr="001D5AAC">
              <w:rPr>
                <w:rFonts w:cstheme="minorHAnsi"/>
                <w:b/>
                <w:szCs w:val="20"/>
                <w:lang w:eastAsia="en-IN"/>
              </w:rPr>
              <w:t xml:space="preserve"> </w:t>
            </w:r>
            <w:r>
              <w:rPr>
                <w:rFonts w:cstheme="minorHAnsi"/>
                <w:b/>
                <w:szCs w:val="20"/>
                <w:lang w:eastAsia="en-IN"/>
              </w:rPr>
              <w:t>April</w:t>
            </w:r>
            <w:r w:rsidRPr="001D5AAC">
              <w:rPr>
                <w:rFonts w:cstheme="minorHAnsi"/>
                <w:b/>
                <w:szCs w:val="20"/>
                <w:lang w:eastAsia="en-IN"/>
              </w:rPr>
              <w:t xml:space="preserve"> 202</w:t>
            </w:r>
            <w:r>
              <w:rPr>
                <w:rFonts w:cstheme="minorHAnsi"/>
                <w:b/>
                <w:szCs w:val="20"/>
                <w:lang w:eastAsia="en-IN"/>
              </w:rPr>
              <w:t>5</w:t>
            </w:r>
            <w:r w:rsidRPr="001D5AAC">
              <w:rPr>
                <w:rFonts w:cstheme="minorHAnsi"/>
                <w:b/>
                <w:szCs w:val="20"/>
              </w:rPr>
              <w:t>)</w:t>
            </w:r>
          </w:p>
        </w:tc>
      </w:tr>
      <w:tr w:rsidR="00502996" w:rsidRPr="000A0CD2" w14:paraId="36CB3987" w14:textId="77777777">
        <w:trPr>
          <w:tblHeader/>
        </w:trPr>
        <w:tc>
          <w:tcPr>
            <w:tcW w:w="2396" w:type="pct"/>
            <w:tcBorders>
              <w:bottom w:val="single" w:sz="4" w:space="0" w:color="auto"/>
            </w:tcBorders>
            <w:vAlign w:val="center"/>
          </w:tcPr>
          <w:p w14:paraId="41227F0E" w14:textId="77777777" w:rsidR="00502996" w:rsidDel="003F6EE3" w:rsidRDefault="00502996">
            <w:pPr>
              <w:pStyle w:val="COMTabletext"/>
              <w:widowControl w:val="0"/>
            </w:pPr>
            <w:r>
              <w:t>Median duration of follow-up, months (95% CI)</w:t>
            </w:r>
          </w:p>
        </w:tc>
        <w:tc>
          <w:tcPr>
            <w:tcW w:w="1391" w:type="pct"/>
            <w:tcBorders>
              <w:bottom w:val="single" w:sz="4" w:space="0" w:color="auto"/>
            </w:tcBorders>
            <w:vAlign w:val="center"/>
          </w:tcPr>
          <w:p w14:paraId="637103B7" w14:textId="77777777" w:rsidR="00502996" w:rsidRPr="000A0CD2" w:rsidRDefault="00502996">
            <w:pPr>
              <w:pStyle w:val="COMTabletext"/>
              <w:jc w:val="center"/>
            </w:pPr>
            <w:r w:rsidRPr="000A0CD2">
              <w:t>13.7 (11.3, 14.1)</w:t>
            </w:r>
          </w:p>
        </w:tc>
        <w:tc>
          <w:tcPr>
            <w:tcW w:w="1213" w:type="pct"/>
            <w:tcBorders>
              <w:bottom w:val="single" w:sz="4" w:space="0" w:color="auto"/>
            </w:tcBorders>
            <w:vAlign w:val="center"/>
          </w:tcPr>
          <w:p w14:paraId="01A87633" w14:textId="77777777" w:rsidR="00502996" w:rsidRPr="000A0CD2" w:rsidRDefault="00502996">
            <w:pPr>
              <w:pStyle w:val="COMTabletext"/>
              <w:jc w:val="center"/>
            </w:pPr>
            <w:r w:rsidRPr="000A0CD2">
              <w:t>13.7 (11.1, 14.0)</w:t>
            </w:r>
          </w:p>
        </w:tc>
      </w:tr>
      <w:tr w:rsidR="00502996" w:rsidRPr="000A0CD2" w14:paraId="1732A022" w14:textId="77777777">
        <w:trPr>
          <w:tblHeader/>
        </w:trPr>
        <w:tc>
          <w:tcPr>
            <w:tcW w:w="2396" w:type="pct"/>
            <w:tcBorders>
              <w:bottom w:val="nil"/>
            </w:tcBorders>
            <w:vAlign w:val="center"/>
          </w:tcPr>
          <w:p w14:paraId="2D6AAFF6" w14:textId="77777777" w:rsidR="00502996" w:rsidDel="003F6EE3" w:rsidRDefault="00502996">
            <w:pPr>
              <w:pStyle w:val="COMTabletext"/>
              <w:widowControl w:val="0"/>
            </w:pPr>
            <w:r>
              <w:t>Participants with e</w:t>
            </w:r>
            <w:r w:rsidRPr="00FB50D5">
              <w:t>vents</w:t>
            </w:r>
            <w:r>
              <w:t>,</w:t>
            </w:r>
            <w:r w:rsidRPr="00FB50D5">
              <w:t xml:space="preserve"> n (%)</w:t>
            </w:r>
          </w:p>
        </w:tc>
        <w:tc>
          <w:tcPr>
            <w:tcW w:w="1391" w:type="pct"/>
            <w:tcBorders>
              <w:bottom w:val="nil"/>
            </w:tcBorders>
            <w:vAlign w:val="center"/>
          </w:tcPr>
          <w:p w14:paraId="70ED2CFB" w14:textId="77777777" w:rsidR="00502996" w:rsidRPr="000A0CD2" w:rsidRDefault="00502996">
            <w:pPr>
              <w:pStyle w:val="COMTabletext"/>
              <w:jc w:val="center"/>
            </w:pPr>
            <w:r w:rsidRPr="000A0CD2">
              <w:t>199 (78.3)</w:t>
            </w:r>
          </w:p>
        </w:tc>
        <w:tc>
          <w:tcPr>
            <w:tcW w:w="1213" w:type="pct"/>
            <w:tcBorders>
              <w:bottom w:val="nil"/>
            </w:tcBorders>
            <w:vAlign w:val="center"/>
          </w:tcPr>
          <w:p w14:paraId="55E3975D" w14:textId="77777777" w:rsidR="00502996" w:rsidRPr="000A0CD2" w:rsidRDefault="00502996">
            <w:pPr>
              <w:pStyle w:val="COMTabletext"/>
              <w:jc w:val="center"/>
            </w:pPr>
            <w:r w:rsidRPr="000A0CD2">
              <w:t>212 (83.1)</w:t>
            </w:r>
          </w:p>
        </w:tc>
      </w:tr>
      <w:tr w:rsidR="00502996" w:rsidRPr="000A0CD2" w14:paraId="47369B2F" w14:textId="77777777">
        <w:trPr>
          <w:tblHeader/>
        </w:trPr>
        <w:tc>
          <w:tcPr>
            <w:tcW w:w="2396" w:type="pct"/>
            <w:tcBorders>
              <w:top w:val="nil"/>
              <w:bottom w:val="nil"/>
            </w:tcBorders>
            <w:vAlign w:val="center"/>
          </w:tcPr>
          <w:p w14:paraId="0C35E78F" w14:textId="77777777" w:rsidR="00502996" w:rsidDel="003F6EE3" w:rsidRDefault="00502996">
            <w:pPr>
              <w:pStyle w:val="COMTabletext"/>
              <w:widowControl w:val="0"/>
            </w:pPr>
            <w:r>
              <w:t xml:space="preserve">- </w:t>
            </w:r>
            <w:r w:rsidRPr="00F45427">
              <w:t>Death</w:t>
            </w:r>
          </w:p>
        </w:tc>
        <w:tc>
          <w:tcPr>
            <w:tcW w:w="1391" w:type="pct"/>
            <w:tcBorders>
              <w:top w:val="nil"/>
              <w:bottom w:val="nil"/>
            </w:tcBorders>
            <w:vAlign w:val="center"/>
          </w:tcPr>
          <w:p w14:paraId="0B011D10" w14:textId="77777777" w:rsidR="00502996" w:rsidRPr="000A0CD2" w:rsidRDefault="00502996">
            <w:pPr>
              <w:pStyle w:val="COMTabletext"/>
              <w:jc w:val="center"/>
            </w:pPr>
            <w:r w:rsidRPr="000A0CD2">
              <w:t>26 (10.2)</w:t>
            </w:r>
          </w:p>
        </w:tc>
        <w:tc>
          <w:tcPr>
            <w:tcW w:w="1213" w:type="pct"/>
            <w:tcBorders>
              <w:top w:val="nil"/>
              <w:bottom w:val="nil"/>
            </w:tcBorders>
            <w:vAlign w:val="center"/>
          </w:tcPr>
          <w:p w14:paraId="44C4A68F" w14:textId="77777777" w:rsidR="00502996" w:rsidRPr="000A0CD2" w:rsidRDefault="00502996">
            <w:pPr>
              <w:pStyle w:val="COMTabletext"/>
              <w:jc w:val="center"/>
            </w:pPr>
            <w:r w:rsidRPr="000A0CD2">
              <w:t>41 (16.1)</w:t>
            </w:r>
          </w:p>
        </w:tc>
      </w:tr>
      <w:tr w:rsidR="00502996" w:rsidRPr="000A0CD2" w14:paraId="25A5712E" w14:textId="77777777">
        <w:trPr>
          <w:tblHeader/>
        </w:trPr>
        <w:tc>
          <w:tcPr>
            <w:tcW w:w="2396" w:type="pct"/>
            <w:tcBorders>
              <w:top w:val="nil"/>
              <w:bottom w:val="nil"/>
            </w:tcBorders>
            <w:vAlign w:val="center"/>
          </w:tcPr>
          <w:p w14:paraId="14EC2EBF" w14:textId="77777777" w:rsidR="00502996" w:rsidDel="003F6EE3" w:rsidRDefault="00502996">
            <w:pPr>
              <w:pStyle w:val="COMTabletext"/>
              <w:widowControl w:val="0"/>
            </w:pPr>
            <w:r>
              <w:t>- Disease progression</w:t>
            </w:r>
          </w:p>
        </w:tc>
        <w:tc>
          <w:tcPr>
            <w:tcW w:w="1391" w:type="pct"/>
            <w:tcBorders>
              <w:top w:val="nil"/>
              <w:bottom w:val="nil"/>
            </w:tcBorders>
            <w:vAlign w:val="center"/>
          </w:tcPr>
          <w:p w14:paraId="43CA129A" w14:textId="77777777" w:rsidR="00502996" w:rsidRPr="000A0CD2" w:rsidRDefault="00502996">
            <w:pPr>
              <w:pStyle w:val="COMTabletext"/>
              <w:jc w:val="center"/>
            </w:pPr>
            <w:r w:rsidRPr="000A0CD2">
              <w:t>173 (68.1)</w:t>
            </w:r>
          </w:p>
        </w:tc>
        <w:tc>
          <w:tcPr>
            <w:tcW w:w="1213" w:type="pct"/>
            <w:tcBorders>
              <w:top w:val="nil"/>
              <w:bottom w:val="nil"/>
            </w:tcBorders>
            <w:vAlign w:val="center"/>
          </w:tcPr>
          <w:p w14:paraId="3A388725" w14:textId="77777777" w:rsidR="00502996" w:rsidRPr="000A0CD2" w:rsidRDefault="00502996">
            <w:pPr>
              <w:pStyle w:val="COMTabletext"/>
              <w:jc w:val="center"/>
            </w:pPr>
            <w:r w:rsidRPr="000A0CD2">
              <w:t>171 (67.1)</w:t>
            </w:r>
          </w:p>
        </w:tc>
      </w:tr>
      <w:tr w:rsidR="00502996" w:rsidRPr="000A0CD2" w14:paraId="291C09E9" w14:textId="77777777">
        <w:trPr>
          <w:tblHeader/>
        </w:trPr>
        <w:tc>
          <w:tcPr>
            <w:tcW w:w="2396" w:type="pct"/>
            <w:tcBorders>
              <w:top w:val="nil"/>
            </w:tcBorders>
            <w:vAlign w:val="center"/>
          </w:tcPr>
          <w:p w14:paraId="56F3CA46" w14:textId="77777777" w:rsidR="00502996" w:rsidDel="003F6EE3" w:rsidRDefault="00502996">
            <w:pPr>
              <w:pStyle w:val="COMTabletext"/>
              <w:widowControl w:val="0"/>
            </w:pPr>
            <w:r>
              <w:t xml:space="preserve">- </w:t>
            </w:r>
            <w:r w:rsidRPr="009C24AE">
              <w:t>Censored</w:t>
            </w:r>
          </w:p>
        </w:tc>
        <w:tc>
          <w:tcPr>
            <w:tcW w:w="1391" w:type="pct"/>
            <w:tcBorders>
              <w:top w:val="nil"/>
            </w:tcBorders>
            <w:vAlign w:val="center"/>
          </w:tcPr>
          <w:p w14:paraId="61A3D417" w14:textId="77777777" w:rsidR="00502996" w:rsidRPr="000A0CD2" w:rsidRDefault="00502996">
            <w:pPr>
              <w:pStyle w:val="COMTabletext"/>
              <w:jc w:val="center"/>
            </w:pPr>
            <w:r w:rsidRPr="000A0CD2">
              <w:t>55 (21.7)</w:t>
            </w:r>
          </w:p>
        </w:tc>
        <w:tc>
          <w:tcPr>
            <w:tcW w:w="1213" w:type="pct"/>
            <w:tcBorders>
              <w:top w:val="nil"/>
            </w:tcBorders>
            <w:vAlign w:val="center"/>
          </w:tcPr>
          <w:p w14:paraId="650C6F70" w14:textId="77777777" w:rsidR="00502996" w:rsidRPr="000A0CD2" w:rsidRDefault="00502996">
            <w:pPr>
              <w:pStyle w:val="COMTabletext"/>
              <w:jc w:val="center"/>
            </w:pPr>
            <w:r w:rsidRPr="000A0CD2">
              <w:t>43 (16.9)</w:t>
            </w:r>
          </w:p>
        </w:tc>
      </w:tr>
      <w:tr w:rsidR="00502996" w:rsidRPr="000A0CD2" w14:paraId="1735E748" w14:textId="77777777">
        <w:trPr>
          <w:tblHeader/>
        </w:trPr>
        <w:tc>
          <w:tcPr>
            <w:tcW w:w="2396" w:type="pct"/>
            <w:vAlign w:val="center"/>
          </w:tcPr>
          <w:p w14:paraId="33B4EA8A" w14:textId="77777777" w:rsidR="00502996" w:rsidDel="003F6EE3" w:rsidRDefault="00502996">
            <w:pPr>
              <w:pStyle w:val="COMTabletext"/>
              <w:widowControl w:val="0"/>
            </w:pPr>
            <w:r>
              <w:t>Median progression-free survival, months (95% CI)</w:t>
            </w:r>
          </w:p>
        </w:tc>
        <w:tc>
          <w:tcPr>
            <w:tcW w:w="1391" w:type="pct"/>
            <w:vAlign w:val="center"/>
          </w:tcPr>
          <w:p w14:paraId="3E968121" w14:textId="77777777" w:rsidR="00502996" w:rsidRPr="000A0CD2" w:rsidRDefault="00502996">
            <w:pPr>
              <w:pStyle w:val="COMTabletext"/>
              <w:jc w:val="center"/>
            </w:pPr>
            <w:r w:rsidRPr="000A0CD2">
              <w:t>4.2 (3.0, 4.4)</w:t>
            </w:r>
          </w:p>
        </w:tc>
        <w:tc>
          <w:tcPr>
            <w:tcW w:w="1213" w:type="pct"/>
            <w:vAlign w:val="center"/>
          </w:tcPr>
          <w:p w14:paraId="2EE4B664" w14:textId="77777777" w:rsidR="00502996" w:rsidRPr="000A0CD2" w:rsidRDefault="00502996">
            <w:pPr>
              <w:pStyle w:val="COMTabletext"/>
              <w:jc w:val="center"/>
            </w:pPr>
            <w:r w:rsidRPr="000A0CD2">
              <w:t>3.2 (2.9, 4.2)</w:t>
            </w:r>
          </w:p>
        </w:tc>
      </w:tr>
      <w:tr w:rsidR="00502996" w:rsidRPr="008D4774" w14:paraId="7D27B590" w14:textId="77777777">
        <w:trPr>
          <w:tblHeader/>
        </w:trPr>
        <w:tc>
          <w:tcPr>
            <w:tcW w:w="2396" w:type="pct"/>
            <w:tcBorders>
              <w:bottom w:val="single" w:sz="4" w:space="0" w:color="auto"/>
            </w:tcBorders>
            <w:vAlign w:val="center"/>
          </w:tcPr>
          <w:p w14:paraId="09F67D8A" w14:textId="77777777" w:rsidR="00502996" w:rsidDel="003F6EE3" w:rsidRDefault="00502996">
            <w:pPr>
              <w:pStyle w:val="COMTabletext"/>
              <w:widowControl w:val="0"/>
            </w:pPr>
            <w:r w:rsidRPr="007E4B24">
              <w:t>Hazard ratio (95% CI)</w:t>
            </w:r>
            <w:r w:rsidRPr="008E0420">
              <w:rPr>
                <w:vertAlign w:val="superscript"/>
              </w:rPr>
              <w:t>a</w:t>
            </w:r>
          </w:p>
        </w:tc>
        <w:tc>
          <w:tcPr>
            <w:tcW w:w="2604" w:type="pct"/>
            <w:gridSpan w:val="2"/>
            <w:tcBorders>
              <w:bottom w:val="single" w:sz="4" w:space="0" w:color="auto"/>
            </w:tcBorders>
            <w:vAlign w:val="center"/>
          </w:tcPr>
          <w:p w14:paraId="503ADC71" w14:textId="77777777" w:rsidR="00502996" w:rsidRPr="008D4774" w:rsidRDefault="00502996">
            <w:pPr>
              <w:pStyle w:val="COMTabletext"/>
              <w:widowControl w:val="0"/>
              <w:jc w:val="center"/>
              <w:rPr>
                <w:b/>
                <w:bCs w:val="0"/>
                <w:sz w:val="18"/>
                <w:szCs w:val="18"/>
              </w:rPr>
            </w:pPr>
            <w:r w:rsidRPr="008D4774">
              <w:rPr>
                <w:b/>
                <w:bCs w:val="0"/>
              </w:rPr>
              <w:t>0.699 (0.574, 0.852)</w:t>
            </w:r>
            <w:r w:rsidRPr="008D4774">
              <w:rPr>
                <w:b/>
                <w:bCs w:val="0"/>
                <w:sz w:val="18"/>
                <w:szCs w:val="18"/>
              </w:rPr>
              <w:t xml:space="preserve"> </w:t>
            </w:r>
          </w:p>
        </w:tc>
      </w:tr>
      <w:tr w:rsidR="00502996" w:rsidRPr="001D5AAC" w14:paraId="5FF794EB" w14:textId="77777777">
        <w:trPr>
          <w:tblHeader/>
        </w:trPr>
        <w:tc>
          <w:tcPr>
            <w:tcW w:w="2396" w:type="pct"/>
            <w:tcBorders>
              <w:bottom w:val="nil"/>
            </w:tcBorders>
          </w:tcPr>
          <w:p w14:paraId="776D3F55" w14:textId="77777777" w:rsidR="00502996" w:rsidRDefault="00502996">
            <w:pPr>
              <w:pStyle w:val="COMTabletext"/>
              <w:widowControl w:val="0"/>
            </w:pPr>
            <w:r w:rsidRPr="007F0DFA">
              <w:t xml:space="preserve">Kaplan-Meier </w:t>
            </w:r>
            <w:r>
              <w:t xml:space="preserve">PFS </w:t>
            </w:r>
            <w:r w:rsidRPr="007F0DFA">
              <w:t>estimate</w:t>
            </w:r>
            <w:r>
              <w:t>,</w:t>
            </w:r>
            <w:r w:rsidRPr="007F0DFA">
              <w:t xml:space="preserve"> % (95% CI)</w:t>
            </w:r>
          </w:p>
        </w:tc>
        <w:tc>
          <w:tcPr>
            <w:tcW w:w="1391" w:type="pct"/>
            <w:tcBorders>
              <w:bottom w:val="nil"/>
            </w:tcBorders>
            <w:vAlign w:val="center"/>
          </w:tcPr>
          <w:p w14:paraId="3523A0FB" w14:textId="77777777" w:rsidR="00502996" w:rsidRPr="001D5AAC" w:rsidRDefault="00502996">
            <w:pPr>
              <w:pStyle w:val="COMTabletext"/>
              <w:widowControl w:val="0"/>
              <w:jc w:val="center"/>
            </w:pPr>
          </w:p>
        </w:tc>
        <w:tc>
          <w:tcPr>
            <w:tcW w:w="1213" w:type="pct"/>
            <w:tcBorders>
              <w:bottom w:val="nil"/>
            </w:tcBorders>
          </w:tcPr>
          <w:p w14:paraId="32E395D3" w14:textId="77777777" w:rsidR="00502996" w:rsidRPr="001D5AAC" w:rsidRDefault="00502996">
            <w:pPr>
              <w:pStyle w:val="COMTabletext"/>
              <w:widowControl w:val="0"/>
              <w:jc w:val="center"/>
            </w:pPr>
          </w:p>
        </w:tc>
      </w:tr>
      <w:tr w:rsidR="00502996" w:rsidRPr="001D5AAC" w14:paraId="42A6FF0E" w14:textId="77777777">
        <w:trPr>
          <w:tblHeader/>
        </w:trPr>
        <w:tc>
          <w:tcPr>
            <w:tcW w:w="2396" w:type="pct"/>
            <w:tcBorders>
              <w:top w:val="nil"/>
              <w:bottom w:val="nil"/>
            </w:tcBorders>
          </w:tcPr>
          <w:p w14:paraId="3818F056" w14:textId="77777777" w:rsidR="00502996" w:rsidRPr="001D5AAC" w:rsidRDefault="00502996">
            <w:pPr>
              <w:pStyle w:val="COMTabletext"/>
              <w:widowControl w:val="0"/>
            </w:pPr>
            <w:r>
              <w:t xml:space="preserve">- </w:t>
            </w:r>
            <w:r w:rsidRPr="007F0DFA">
              <w:t>At 6 months</w:t>
            </w:r>
          </w:p>
        </w:tc>
        <w:tc>
          <w:tcPr>
            <w:tcW w:w="1391" w:type="pct"/>
            <w:tcBorders>
              <w:top w:val="nil"/>
              <w:bottom w:val="nil"/>
            </w:tcBorders>
          </w:tcPr>
          <w:p w14:paraId="2FC8DB79" w14:textId="77777777" w:rsidR="00502996" w:rsidRPr="001D5AAC" w:rsidRDefault="00502996">
            <w:pPr>
              <w:pStyle w:val="COMTabletext"/>
              <w:widowControl w:val="0"/>
              <w:jc w:val="center"/>
            </w:pPr>
            <w:r>
              <w:rPr>
                <w:sz w:val="18"/>
                <w:szCs w:val="18"/>
              </w:rPr>
              <w:t xml:space="preserve">30.4 (24.8, 36.2) </w:t>
            </w:r>
          </w:p>
        </w:tc>
        <w:tc>
          <w:tcPr>
            <w:tcW w:w="1213" w:type="pct"/>
            <w:tcBorders>
              <w:top w:val="nil"/>
              <w:bottom w:val="nil"/>
            </w:tcBorders>
            <w:vAlign w:val="center"/>
          </w:tcPr>
          <w:p w14:paraId="47988EB1" w14:textId="77777777" w:rsidR="00502996" w:rsidRPr="001D5AAC" w:rsidRDefault="00502996">
            <w:pPr>
              <w:pStyle w:val="COMTabletext"/>
              <w:widowControl w:val="0"/>
              <w:jc w:val="center"/>
            </w:pPr>
            <w:r>
              <w:rPr>
                <w:sz w:val="18"/>
                <w:szCs w:val="18"/>
              </w:rPr>
              <w:t>22.8 (17.5, 28.5)</w:t>
            </w:r>
          </w:p>
        </w:tc>
      </w:tr>
      <w:tr w:rsidR="00502996" w:rsidRPr="001D5AAC" w14:paraId="02EFDB01" w14:textId="77777777">
        <w:trPr>
          <w:tblHeader/>
        </w:trPr>
        <w:tc>
          <w:tcPr>
            <w:tcW w:w="2396" w:type="pct"/>
            <w:tcBorders>
              <w:top w:val="nil"/>
              <w:bottom w:val="nil"/>
            </w:tcBorders>
          </w:tcPr>
          <w:p w14:paraId="1B93A55D" w14:textId="77777777" w:rsidR="00502996" w:rsidRPr="001D5AAC" w:rsidRDefault="00502996">
            <w:pPr>
              <w:pStyle w:val="COMTabletext"/>
              <w:widowControl w:val="0"/>
            </w:pPr>
            <w:r>
              <w:t xml:space="preserve">- </w:t>
            </w:r>
            <w:r w:rsidRPr="007F0DFA">
              <w:t>At 12 months</w:t>
            </w:r>
          </w:p>
        </w:tc>
        <w:tc>
          <w:tcPr>
            <w:tcW w:w="1391" w:type="pct"/>
            <w:tcBorders>
              <w:top w:val="nil"/>
              <w:bottom w:val="nil"/>
            </w:tcBorders>
          </w:tcPr>
          <w:p w14:paraId="0A3B9C22" w14:textId="77777777" w:rsidR="00502996" w:rsidRPr="001D5AAC" w:rsidRDefault="00502996">
            <w:pPr>
              <w:pStyle w:val="COMTabletext"/>
              <w:widowControl w:val="0"/>
              <w:jc w:val="center"/>
            </w:pPr>
            <w:r>
              <w:rPr>
                <w:sz w:val="18"/>
                <w:szCs w:val="18"/>
              </w:rPr>
              <w:t xml:space="preserve">24.3 (19.1, 29.8) </w:t>
            </w:r>
          </w:p>
        </w:tc>
        <w:tc>
          <w:tcPr>
            <w:tcW w:w="1213" w:type="pct"/>
            <w:tcBorders>
              <w:top w:val="nil"/>
              <w:bottom w:val="nil"/>
            </w:tcBorders>
          </w:tcPr>
          <w:p w14:paraId="2BE1726F" w14:textId="77777777" w:rsidR="00502996" w:rsidRPr="001D5AAC" w:rsidRDefault="00502996">
            <w:pPr>
              <w:pStyle w:val="COMTabletext"/>
              <w:widowControl w:val="0"/>
              <w:jc w:val="center"/>
            </w:pPr>
            <w:r>
              <w:rPr>
                <w:sz w:val="18"/>
                <w:szCs w:val="18"/>
              </w:rPr>
              <w:t>10.2 (6.6, 14.8)</w:t>
            </w:r>
          </w:p>
        </w:tc>
      </w:tr>
      <w:tr w:rsidR="00502996" w:rsidRPr="001D5AAC" w14:paraId="7DDF3B4D" w14:textId="77777777">
        <w:trPr>
          <w:tblHeader/>
        </w:trPr>
        <w:tc>
          <w:tcPr>
            <w:tcW w:w="2396" w:type="pct"/>
            <w:tcBorders>
              <w:top w:val="nil"/>
            </w:tcBorders>
          </w:tcPr>
          <w:p w14:paraId="46B15E33" w14:textId="77777777" w:rsidR="00502996" w:rsidRPr="001D5AAC" w:rsidRDefault="00502996">
            <w:pPr>
              <w:pStyle w:val="COMTabletext"/>
              <w:widowControl w:val="0"/>
            </w:pPr>
            <w:r>
              <w:t xml:space="preserve">- </w:t>
            </w:r>
            <w:r w:rsidRPr="007F0DFA">
              <w:t>At 18 months</w:t>
            </w:r>
          </w:p>
        </w:tc>
        <w:tc>
          <w:tcPr>
            <w:tcW w:w="1391" w:type="pct"/>
            <w:tcBorders>
              <w:top w:val="nil"/>
            </w:tcBorders>
          </w:tcPr>
          <w:p w14:paraId="1D77A425" w14:textId="77777777" w:rsidR="00502996" w:rsidRPr="001D5AAC" w:rsidRDefault="00502996">
            <w:pPr>
              <w:pStyle w:val="COMTabletext"/>
              <w:widowControl w:val="0"/>
              <w:jc w:val="center"/>
            </w:pPr>
            <w:r>
              <w:rPr>
                <w:sz w:val="18"/>
                <w:szCs w:val="18"/>
              </w:rPr>
              <w:t xml:space="preserve">19.9 (15.0, 25.2) </w:t>
            </w:r>
          </w:p>
        </w:tc>
        <w:tc>
          <w:tcPr>
            <w:tcW w:w="1213" w:type="pct"/>
            <w:tcBorders>
              <w:top w:val="nil"/>
            </w:tcBorders>
          </w:tcPr>
          <w:p w14:paraId="11E0F337" w14:textId="77777777" w:rsidR="00502996" w:rsidRPr="001D5AAC" w:rsidRDefault="00502996">
            <w:pPr>
              <w:pStyle w:val="COMTabletext"/>
              <w:widowControl w:val="0"/>
              <w:jc w:val="center"/>
            </w:pPr>
            <w:r>
              <w:rPr>
                <w:sz w:val="18"/>
                <w:szCs w:val="18"/>
              </w:rPr>
              <w:t xml:space="preserve">4.9 (2.4, 8.8) </w:t>
            </w:r>
          </w:p>
        </w:tc>
      </w:tr>
    </w:tbl>
    <w:p w14:paraId="77F2ED42" w14:textId="77777777" w:rsidR="00502996" w:rsidRPr="00407741" w:rsidRDefault="00502996" w:rsidP="00502996">
      <w:pPr>
        <w:pStyle w:val="COMTablefooter"/>
      </w:pPr>
      <w:r w:rsidRPr="00407741">
        <w:t>Source: Table 2.5.1-2, p50 of the submission; Table 14-4.1.1, p10 of DeLLphi-304 CSR Additional tables (April 2025 data cut).</w:t>
      </w:r>
    </w:p>
    <w:p w14:paraId="3D84F995" w14:textId="69065177" w:rsidR="00502996" w:rsidRPr="00407741" w:rsidRDefault="00502996" w:rsidP="00502996">
      <w:pPr>
        <w:pStyle w:val="COMTablefooter"/>
      </w:pPr>
      <w:r w:rsidRPr="00407741">
        <w:t>Abbreviations: CI, confidence interval; HR, hazard ratio;</w:t>
      </w:r>
      <w:r w:rsidR="002A7359">
        <w:t xml:space="preserve"> ITT</w:t>
      </w:r>
      <w:r w:rsidR="00CA6A2F">
        <w:t>, intention to treat</w:t>
      </w:r>
      <w:r w:rsidR="002A7359">
        <w:t>;</w:t>
      </w:r>
      <w:r w:rsidRPr="00407741">
        <w:t xml:space="preserve"> PFS, progression-free survival; SOC, standard of care.</w:t>
      </w:r>
    </w:p>
    <w:p w14:paraId="3167A5AB" w14:textId="77777777" w:rsidR="00502996" w:rsidRPr="000C7BAA" w:rsidRDefault="00502996" w:rsidP="00502996">
      <w:pPr>
        <w:pStyle w:val="COMTablefooter"/>
      </w:pPr>
      <w:r w:rsidRPr="00D649E1">
        <w:rPr>
          <w:b/>
          <w:bCs/>
        </w:rPr>
        <w:t>Bolded</w:t>
      </w:r>
      <w:r w:rsidRPr="00407741">
        <w:t xml:space="preserve"> results were statistically significant.</w:t>
      </w:r>
    </w:p>
    <w:p w14:paraId="704B511B" w14:textId="7CD86E2E" w:rsidR="00502996" w:rsidRPr="0088772E" w:rsidRDefault="00502996" w:rsidP="00502996">
      <w:pPr>
        <w:pStyle w:val="COMtablefigcaption"/>
      </w:pPr>
      <w:bookmarkStart w:id="34" w:name="_Ref216701340"/>
      <w:r>
        <w:lastRenderedPageBreak/>
        <w:t xml:space="preserve">Figure </w:t>
      </w:r>
      <w:r>
        <w:fldChar w:fldCharType="begin"/>
      </w:r>
      <w:r>
        <w:instrText>SEQ Figure \* ARABIC</w:instrText>
      </w:r>
      <w:r>
        <w:fldChar w:fldCharType="separate"/>
      </w:r>
      <w:r w:rsidR="00E26586">
        <w:rPr>
          <w:noProof/>
        </w:rPr>
        <w:t>2</w:t>
      </w:r>
      <w:r>
        <w:fldChar w:fldCharType="end"/>
      </w:r>
      <w:bookmarkEnd w:id="34"/>
      <w:r>
        <w:t>:</w:t>
      </w:r>
      <w:r w:rsidRPr="00197F1A">
        <w:t xml:space="preserve"> </w:t>
      </w:r>
      <w:r>
        <w:t xml:space="preserve">Investigator assessed progression-free </w:t>
      </w:r>
      <w:r w:rsidRPr="0088772E">
        <w:t xml:space="preserve">survival </w:t>
      </w:r>
      <w:r>
        <w:t xml:space="preserve">in the DeLLphi-304 trial </w:t>
      </w:r>
      <w:r w:rsidRPr="0088772E">
        <w:t>(</w:t>
      </w:r>
      <w:r w:rsidR="002A7359">
        <w:t xml:space="preserve">ITT; </w:t>
      </w:r>
      <w:r w:rsidRPr="0088772E">
        <w:t>29 April 2025 data cut</w:t>
      </w:r>
      <w:r>
        <w:t xml:space="preserve">) </w:t>
      </w:r>
    </w:p>
    <w:p w14:paraId="14737DA9" w14:textId="77777777" w:rsidR="00502996" w:rsidRDefault="00502996" w:rsidP="00502996">
      <w:r w:rsidRPr="00F37F42">
        <w:rPr>
          <w:noProof/>
        </w:rPr>
        <w:drawing>
          <wp:inline distT="0" distB="0" distL="0" distR="0" wp14:anchorId="5ACD288B" wp14:editId="1085FBF3">
            <wp:extent cx="5773931" cy="2771775"/>
            <wp:effectExtent l="0" t="0" r="0" b="0"/>
            <wp:docPr id="84768736" name="Picture 1" descr="Figure 2: Investigator assessed progression-free survival in the DeLLphi-304 trial (ITT; 29 April 2025 data c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8736" name="Picture 1" descr="Figure 2: Investigator assessed progression-free survival in the DeLLphi-304 trial (ITT; 29 April 2025 data cut) "/>
                    <pic:cNvPicPr/>
                  </pic:nvPicPr>
                  <pic:blipFill>
                    <a:blip r:embed="rId12"/>
                    <a:stretch>
                      <a:fillRect/>
                    </a:stretch>
                  </pic:blipFill>
                  <pic:spPr>
                    <a:xfrm>
                      <a:off x="0" y="0"/>
                      <a:ext cx="5782851" cy="2776057"/>
                    </a:xfrm>
                    <a:prstGeom prst="rect">
                      <a:avLst/>
                    </a:prstGeom>
                  </pic:spPr>
                </pic:pic>
              </a:graphicData>
            </a:graphic>
          </wp:inline>
        </w:drawing>
      </w:r>
    </w:p>
    <w:p w14:paraId="2DA871D2" w14:textId="77777777" w:rsidR="00502996" w:rsidRDefault="00502996" w:rsidP="00502996">
      <w:pPr>
        <w:pStyle w:val="COMTablefooter"/>
      </w:pPr>
      <w:r>
        <w:t xml:space="preserve">Source: Figure 2.5.1-6, p51 of the submission. </w:t>
      </w:r>
    </w:p>
    <w:p w14:paraId="32234C52" w14:textId="32F0EFCD" w:rsidR="00502996" w:rsidRPr="004C32A6" w:rsidRDefault="00502996" w:rsidP="00502996">
      <w:pPr>
        <w:pStyle w:val="COMTablefooter"/>
      </w:pPr>
      <w:r>
        <w:t xml:space="preserve">Abbreviations: CI, confidence interval HR, Hazard ratio; </w:t>
      </w:r>
      <w:r w:rsidR="002A7359">
        <w:t>ITT</w:t>
      </w:r>
      <w:r w:rsidR="00CA6A2F">
        <w:t>, intention to treat</w:t>
      </w:r>
      <w:r w:rsidR="002A7359">
        <w:t xml:space="preserve">; </w:t>
      </w:r>
      <w:r>
        <w:t>PFS, progression</w:t>
      </w:r>
      <w:r w:rsidR="00292549">
        <w:t>-</w:t>
      </w:r>
      <w:r>
        <w:t>free survival.</w:t>
      </w:r>
    </w:p>
    <w:p w14:paraId="0F33C720" w14:textId="0CD1E785" w:rsidR="00502996" w:rsidRPr="00726F37" w:rsidRDefault="00502996" w:rsidP="00502996">
      <w:pPr>
        <w:pStyle w:val="COMESnumberedpara"/>
      </w:pPr>
      <w:r w:rsidRPr="00726F37">
        <w:t xml:space="preserve">At the January 2025 data cut, based on a median follow up of 11.0 months in the tarlatamab arm and 9.7 months in the SOC chemotherapy arm, treatment with tarlatamab was associated with a statistically significant improvement in </w:t>
      </w:r>
      <w:r w:rsidR="004A662B">
        <w:t>PFS</w:t>
      </w:r>
      <w:r w:rsidRPr="00726F37">
        <w:t xml:space="preserve"> compared with SOC chemotherapy (HR: 0.72; 95% CI: 0.59, 0.88). Median </w:t>
      </w:r>
      <w:r w:rsidR="004A662B">
        <w:t>PFS</w:t>
      </w:r>
      <w:r w:rsidRPr="00726F37">
        <w:t xml:space="preserve"> was 4.2 months in the tarlatamab arm and 3.2 months in the SOC arm. </w:t>
      </w:r>
    </w:p>
    <w:p w14:paraId="1356D7AE" w14:textId="0D0D4FEF" w:rsidR="009F2272" w:rsidRDefault="009F2272" w:rsidP="009F2272">
      <w:pPr>
        <w:pStyle w:val="COMESnumberedpara"/>
        <w:rPr>
          <w:szCs w:val="24"/>
        </w:rPr>
      </w:pPr>
      <w:r w:rsidRPr="00726F37">
        <w:rPr>
          <w:szCs w:val="24"/>
        </w:rPr>
        <w:t>Results based on the April 2025 data cut (</w:t>
      </w:r>
      <w:r w:rsidRPr="00726F37">
        <w:t>HR: 0.699; 95% CI: 0.574, 0.852</w:t>
      </w:r>
      <w:r w:rsidRPr="00726F37">
        <w:rPr>
          <w:szCs w:val="24"/>
        </w:rPr>
        <w:t xml:space="preserve">) </w:t>
      </w:r>
      <w:r w:rsidR="00354DFA" w:rsidRPr="00726F37">
        <w:rPr>
          <w:szCs w:val="24"/>
        </w:rPr>
        <w:t xml:space="preserve">were slightly more favourable, </w:t>
      </w:r>
      <w:r w:rsidRPr="00726F37">
        <w:rPr>
          <w:szCs w:val="24"/>
        </w:rPr>
        <w:t>and the post hoc comparison of tarlatamab and the topotecan SOC, used in the economic evaluation (</w:t>
      </w:r>
      <w:r w:rsidR="00354DFA" w:rsidRPr="00726F37">
        <w:t>HR: 0.729; 95% CI: 0.588, 0.903</w:t>
      </w:r>
      <w:r w:rsidRPr="00726F37">
        <w:rPr>
          <w:szCs w:val="24"/>
        </w:rPr>
        <w:t xml:space="preserve">; April 2025 data cut), slightly </w:t>
      </w:r>
      <w:r w:rsidR="00354DFA" w:rsidRPr="00726F37">
        <w:rPr>
          <w:szCs w:val="24"/>
        </w:rPr>
        <w:t>less</w:t>
      </w:r>
      <w:r w:rsidRPr="00726F37">
        <w:rPr>
          <w:szCs w:val="24"/>
        </w:rPr>
        <w:t xml:space="preserve"> favourable</w:t>
      </w:r>
      <w:r w:rsidR="00011648" w:rsidRPr="00726F37">
        <w:rPr>
          <w:szCs w:val="24"/>
        </w:rPr>
        <w:t>,</w:t>
      </w:r>
      <w:r w:rsidRPr="00726F37">
        <w:rPr>
          <w:szCs w:val="24"/>
        </w:rPr>
        <w:t xml:space="preserve"> than the earlier data cut. </w:t>
      </w:r>
    </w:p>
    <w:p w14:paraId="3D01C11A" w14:textId="362E4C19" w:rsidR="00971CC5" w:rsidRPr="00141956" w:rsidRDefault="00971CC5" w:rsidP="00971CC5">
      <w:pPr>
        <w:pStyle w:val="COMESnumberedpara"/>
        <w:rPr>
          <w:szCs w:val="24"/>
        </w:rPr>
      </w:pPr>
      <w:bookmarkStart w:id="35" w:name="_Ref226539625"/>
      <w:r w:rsidRPr="00141956">
        <w:rPr>
          <w:szCs w:val="24"/>
        </w:rPr>
        <w:t xml:space="preserve">The ESC noted that median time to objective response was 1.5 months in the tarlatamab arm and 1.4 months in the </w:t>
      </w:r>
      <w:r w:rsidR="00456FCD" w:rsidRPr="00141956">
        <w:rPr>
          <w:szCs w:val="24"/>
        </w:rPr>
        <w:t>SOC</w:t>
      </w:r>
      <w:r w:rsidRPr="00141956">
        <w:rPr>
          <w:szCs w:val="24"/>
        </w:rPr>
        <w:t xml:space="preserve"> arm (the same for both data cut-off dates). The ESC also noted that the median duration of response for the tarlatamab arm was 6.9 months in the tarlatamab arm and 5.5 months in the </w:t>
      </w:r>
      <w:r w:rsidR="00086F83" w:rsidRPr="00141956">
        <w:rPr>
          <w:szCs w:val="24"/>
        </w:rPr>
        <w:t>SOC</w:t>
      </w:r>
      <w:r w:rsidRPr="00141956">
        <w:rPr>
          <w:szCs w:val="24"/>
        </w:rPr>
        <w:t xml:space="preserve"> arm (based on the 29 January 2025 data cut-off; at the 29 April 2025 data cut-off, median duration of response was 7.1 months for tarlatamab and unchanged for </w:t>
      </w:r>
      <w:r w:rsidR="00086F83" w:rsidRPr="00141956">
        <w:rPr>
          <w:szCs w:val="24"/>
        </w:rPr>
        <w:t>SOC</w:t>
      </w:r>
      <w:r w:rsidRPr="00141956">
        <w:rPr>
          <w:szCs w:val="24"/>
        </w:rPr>
        <w:t>).</w:t>
      </w:r>
      <w:bookmarkEnd w:id="35"/>
    </w:p>
    <w:p w14:paraId="57681605" w14:textId="06C6AA17" w:rsidR="00502996" w:rsidRPr="00726F37" w:rsidRDefault="00502996" w:rsidP="00E7123C">
      <w:pPr>
        <w:pStyle w:val="COMESnumberedpara"/>
      </w:pPr>
      <w:r w:rsidRPr="00726F37">
        <w:t>Key patient reported outcomes were assessed using the European Organisation for Research and Treatment of Cancer Quality of Life Core Questionnaire Lung Cancer module (EORTC QLQ-LC13) and Quality of Life Questionnaire Core 30 (EORTC QLQ-C30). The Dyspnoea composite score combines 4 questions from EORTC QLQ-LC13 and EORTC QLQ-C30 regarding shortness of breath</w:t>
      </w:r>
      <w:r w:rsidR="00A4679E" w:rsidRPr="00726F37">
        <w:t>. Scores</w:t>
      </w:r>
      <w:r w:rsidR="00B10098" w:rsidRPr="00726F37">
        <w:t xml:space="preserve"> rang</w:t>
      </w:r>
      <w:r w:rsidR="00A4679E" w:rsidRPr="00726F37">
        <w:t>e</w:t>
      </w:r>
      <w:r w:rsidR="00867EA8" w:rsidRPr="00726F37">
        <w:t xml:space="preserve"> </w:t>
      </w:r>
      <w:r w:rsidR="002A7A87">
        <w:t>between</w:t>
      </w:r>
      <w:r w:rsidR="002A7A87" w:rsidRPr="00726F37">
        <w:t xml:space="preserve"> </w:t>
      </w:r>
      <w:r w:rsidRPr="00726F37">
        <w:t>0</w:t>
      </w:r>
      <w:r w:rsidR="00317E51">
        <w:rPr>
          <w:rFonts w:cstheme="minorHAnsi"/>
        </w:rPr>
        <w:t>–</w:t>
      </w:r>
      <w:r w:rsidRPr="00726F37">
        <w:t xml:space="preserve">100, with a higher score representing a greater symptom burden. After 18 weeks from baseline, treatment with tarlatamab was associated with a small numerical improvement in dyspnoea scores, while the SOC arm demonstrated a worsening in dyspnoea scores </w:t>
      </w:r>
      <w:r w:rsidRPr="00726F37">
        <w:lastRenderedPageBreak/>
        <w:t>over time, with a statistically significant difference between treatment arms (least squares mean change: -9.14; 95% CI -12.64, -5.64).</w:t>
      </w:r>
    </w:p>
    <w:p w14:paraId="595EBBB3" w14:textId="7B7C7A46" w:rsidR="00502996" w:rsidRPr="00726F37" w:rsidRDefault="00B63042" w:rsidP="009A4F5E">
      <w:pPr>
        <w:pStyle w:val="COMESnumberedpara"/>
      </w:pPr>
      <w:r w:rsidRPr="00726F37">
        <w:t xml:space="preserve">For </w:t>
      </w:r>
      <w:r w:rsidR="00502996" w:rsidRPr="00726F37">
        <w:t>EORTC QLQ-LC13 Cough</w:t>
      </w:r>
      <w:r w:rsidRPr="00726F37">
        <w:t>,</w:t>
      </w:r>
      <w:r w:rsidR="00502996" w:rsidRPr="00726F37">
        <w:t xml:space="preserve"> </w:t>
      </w:r>
      <w:r w:rsidR="006871CC">
        <w:t>16.1</w:t>
      </w:r>
      <w:r w:rsidR="00502996" w:rsidRPr="00726F37">
        <w:t>% of patients in the tarlatamab arm had improved responses</w:t>
      </w:r>
      <w:r w:rsidR="00F902D7" w:rsidRPr="00726F37">
        <w:t xml:space="preserve"> after 18 weeks from baseline</w:t>
      </w:r>
      <w:r w:rsidR="00502996" w:rsidRPr="00726F37">
        <w:t>, compared to 9.0% of SOC patients, a statistically significant difference (odds ratio 2.04; 95% CI 1.17, 3.55).</w:t>
      </w:r>
      <w:r w:rsidR="009A4F5E">
        <w:t xml:space="preserve"> </w:t>
      </w:r>
      <w:r w:rsidR="006C68EC" w:rsidRPr="00726F37">
        <w:t>F</w:t>
      </w:r>
      <w:r w:rsidR="00F902D7" w:rsidRPr="00726F37">
        <w:t>o</w:t>
      </w:r>
      <w:r w:rsidR="00886C39" w:rsidRPr="00726F37">
        <w:t>r</w:t>
      </w:r>
      <w:r w:rsidR="006C68EC" w:rsidRPr="00726F37">
        <w:t xml:space="preserve"> </w:t>
      </w:r>
      <w:r w:rsidR="00502996" w:rsidRPr="00726F37">
        <w:t>EORTC QLQ-LC13 Chest pain</w:t>
      </w:r>
      <w:r w:rsidR="00886C39" w:rsidRPr="00726F37">
        <w:t>,</w:t>
      </w:r>
      <w:r w:rsidR="00502996" w:rsidRPr="00726F37">
        <w:t xml:space="preserve"> 8.7% of patients in the tarlatamab arm had improved responses</w:t>
      </w:r>
      <w:r w:rsidR="006C68EC" w:rsidRPr="00726F37">
        <w:t xml:space="preserve"> after 18 weeks from baseline</w:t>
      </w:r>
      <w:r w:rsidR="00502996" w:rsidRPr="00726F37">
        <w:t>, compared to 3.5% of SOC patients, however, the difference did not reach statistical significance (odds ratio 1.84; 95% CI 0.89, 3.81).</w:t>
      </w:r>
    </w:p>
    <w:p w14:paraId="4988E476" w14:textId="7B486536" w:rsidR="00502996" w:rsidRPr="00726F37" w:rsidRDefault="00502996" w:rsidP="009D5548">
      <w:pPr>
        <w:pStyle w:val="COMESnumberedpara"/>
      </w:pPr>
      <w:r w:rsidRPr="00726F37">
        <w:t>Due to the hierarchical testing strategy, subsequent outcomes were not formally tested, and the results were considered descriptive.</w:t>
      </w:r>
      <w:r w:rsidR="009D5548">
        <w:t xml:space="preserve"> </w:t>
      </w:r>
      <w:r w:rsidRPr="00726F37">
        <w:t xml:space="preserve">After 18 weeks </w:t>
      </w:r>
      <w:r w:rsidR="00C86D2B">
        <w:t>from baseline</w:t>
      </w:r>
      <w:r w:rsidR="006630DD">
        <w:t xml:space="preserve"> </w:t>
      </w:r>
      <w:r w:rsidRPr="00726F37">
        <w:t xml:space="preserve">, tarlatamab was associated with numerically smaller deterioration in EORTC QLQ-C30 Physical Functioning and Global Health Status/Quality of Life subscales compared to SOC. EQ-5D VAS scores were comparable at baseline between the tarlatamab and SOC treatment arms. After 18 weeks </w:t>
      </w:r>
      <w:r w:rsidR="006630DD">
        <w:t>from baseline</w:t>
      </w:r>
      <w:r w:rsidRPr="00726F37">
        <w:t xml:space="preserve">, tarlatamab was associated with a numerically smaller deterioration in EQ VAS from baseline compared to SOC. The submission did not provide </w:t>
      </w:r>
      <w:r w:rsidR="00001482" w:rsidRPr="00A27F3F">
        <w:t>EuroQol 5-Dimension 5-Level questionnaire</w:t>
      </w:r>
      <w:r w:rsidR="009201D3">
        <w:t xml:space="preserve"> (</w:t>
      </w:r>
      <w:r w:rsidRPr="00726F37">
        <w:t>EQ-5D-5L</w:t>
      </w:r>
      <w:r w:rsidR="009201D3">
        <w:t>)</w:t>
      </w:r>
      <w:r w:rsidRPr="00726F37">
        <w:t xml:space="preserve"> index scores by treatment arm.</w:t>
      </w:r>
    </w:p>
    <w:p w14:paraId="11029AAC" w14:textId="7B442220" w:rsidR="00C3334A" w:rsidRDefault="00C3334A" w:rsidP="00C3334A">
      <w:pPr>
        <w:pStyle w:val="COMESnumberedpara"/>
      </w:pPr>
      <w:r w:rsidRPr="00141956">
        <w:t xml:space="preserve">The </w:t>
      </w:r>
      <w:r w:rsidR="00F47617" w:rsidRPr="00141956">
        <w:t xml:space="preserve">ESC noted that the </w:t>
      </w:r>
      <w:r w:rsidRPr="00141956">
        <w:t>s</w:t>
      </w:r>
      <w:r w:rsidRPr="00726F37">
        <w:t>ubmission presented the results of the DeLLphi-301 study (</w:t>
      </w:r>
      <w:r w:rsidR="00187810" w:rsidRPr="00726F37">
        <w:t xml:space="preserve">02 </w:t>
      </w:r>
      <w:r w:rsidRPr="00726F37">
        <w:t>Oct</w:t>
      </w:r>
      <w:r w:rsidR="00187810" w:rsidRPr="00726F37">
        <w:t>ober</w:t>
      </w:r>
      <w:r w:rsidRPr="00726F37">
        <w:t xml:space="preserve"> 2023 data cut previous</w:t>
      </w:r>
      <w:r w:rsidR="00187810" w:rsidRPr="00726F37">
        <w:t>ly</w:t>
      </w:r>
      <w:r w:rsidRPr="00726F37">
        <w:t xml:space="preserve"> considered by </w:t>
      </w:r>
      <w:r w:rsidR="00180A30">
        <w:t xml:space="preserve">the </w:t>
      </w:r>
      <w:r w:rsidRPr="00726F37">
        <w:t xml:space="preserve">ESC at the March 2025 meeting), as supportive evidence of the efficacy of tarlatamab in third-line and subsequent therapy. </w:t>
      </w:r>
      <w:r w:rsidR="00180A30">
        <w:t>T</w:t>
      </w:r>
      <w:r w:rsidRPr="00726F37">
        <w:t>he submission referred to an October 2024 data cut for the DeLLphi-301 study, but these data were not provided with the submission.</w:t>
      </w:r>
    </w:p>
    <w:p w14:paraId="74A42A7E" w14:textId="016315FF" w:rsidR="00C85DB4" w:rsidRPr="00141956" w:rsidRDefault="00C85DB4" w:rsidP="00C3334A">
      <w:pPr>
        <w:pStyle w:val="COMESnumberedpara"/>
      </w:pPr>
      <w:bookmarkStart w:id="36" w:name="_Ref226538631"/>
      <w:r w:rsidRPr="00141956">
        <w:t xml:space="preserve">The ESC noted that the objective response rate for tarlatamab </w:t>
      </w:r>
      <w:r w:rsidR="00907CEF" w:rsidRPr="00141956">
        <w:t>(</w:t>
      </w:r>
      <w:r w:rsidRPr="00141956">
        <w:t>10 mg</w:t>
      </w:r>
      <w:r w:rsidR="00907CEF" w:rsidRPr="00141956">
        <w:t>)</w:t>
      </w:r>
      <w:r w:rsidRPr="00141956">
        <w:t xml:space="preserve"> was 40.4% </w:t>
      </w:r>
      <w:r w:rsidR="00907CEF" w:rsidRPr="00141956">
        <w:t>(</w:t>
      </w:r>
      <w:r w:rsidRPr="00141956">
        <w:t>based on the 27 June 2023 data cut-off; 41.4% at the 2 October 2023 data cut-off</w:t>
      </w:r>
      <w:r w:rsidR="00907CEF" w:rsidRPr="00141956">
        <w:t>)</w:t>
      </w:r>
      <w:r w:rsidR="00EC5C78">
        <w:t xml:space="preserve"> and</w:t>
      </w:r>
      <w:r w:rsidR="00705CEB">
        <w:t xml:space="preserve"> the median time to response was 1.4 months </w:t>
      </w:r>
      <w:r w:rsidR="00665B9A">
        <w:t>(2 October 2023 cut-off)</w:t>
      </w:r>
      <w:r w:rsidRPr="00141956">
        <w:t xml:space="preserve">. The ESC </w:t>
      </w:r>
      <w:r w:rsidR="00907CEF" w:rsidRPr="00141956">
        <w:t xml:space="preserve">also </w:t>
      </w:r>
      <w:r w:rsidRPr="00141956">
        <w:t xml:space="preserve">noted the proportions of patients having a duration of response </w:t>
      </w:r>
      <w:r w:rsidR="003B7682" w:rsidRPr="00141956">
        <w:t>was</w:t>
      </w:r>
      <w:r w:rsidRPr="00141956">
        <w:t xml:space="preserve"> at least 6 and 9 months </w:t>
      </w:r>
      <w:r w:rsidR="00907CEF" w:rsidRPr="00141956">
        <w:t>(</w:t>
      </w:r>
      <w:r w:rsidR="00300F66" w:rsidRPr="00141956">
        <w:t xml:space="preserve">based on </w:t>
      </w:r>
      <w:r w:rsidRPr="00141956">
        <w:t>tarlatamab 10 mg and 100 mg arms combined, based on the 27 June 2023 data cut-off</w:t>
      </w:r>
      <w:r w:rsidR="00907CEF" w:rsidRPr="00141956">
        <w:t>)</w:t>
      </w:r>
      <w:r w:rsidRPr="00141956">
        <w:t>.</w:t>
      </w:r>
      <w:bookmarkEnd w:id="36"/>
      <w:r w:rsidRPr="00141956">
        <w:rPr>
          <w:rFonts w:ascii="Calibri" w:hAnsi="Calibri" w:cs="Calibri"/>
        </w:rPr>
        <w:t xml:space="preserve"> </w:t>
      </w:r>
    </w:p>
    <w:p w14:paraId="666C5B5B" w14:textId="291351C2" w:rsidR="00502996" w:rsidRPr="00726F37" w:rsidRDefault="00502996" w:rsidP="00502996">
      <w:pPr>
        <w:pStyle w:val="COMESnumberedpara"/>
      </w:pPr>
      <w:r w:rsidRPr="00726F37">
        <w:t xml:space="preserve">Based on the October 2023 data cut, the median overall survival for tarlatamab </w:t>
      </w:r>
      <w:r w:rsidR="003150C8" w:rsidRPr="00726F37">
        <w:t>(</w:t>
      </w:r>
      <w:r w:rsidRPr="00726F37">
        <w:t xml:space="preserve">10 mg </w:t>
      </w:r>
      <w:r w:rsidR="003150C8" w:rsidRPr="00726F37">
        <w:t xml:space="preserve">cohort) </w:t>
      </w:r>
      <w:r w:rsidRPr="00726F37">
        <w:t xml:space="preserve">was 15.2 months (median follow-up of 13.8 months), and median </w:t>
      </w:r>
      <w:r w:rsidR="004A662B">
        <w:t>PFS</w:t>
      </w:r>
      <w:r w:rsidRPr="00726F37">
        <w:t xml:space="preserve"> was 4.3 months (median follow-up of 13.6 months).</w:t>
      </w:r>
      <w:r w:rsidR="001201AA" w:rsidRPr="00726F37">
        <w:t xml:space="preserve"> </w:t>
      </w:r>
    </w:p>
    <w:p w14:paraId="65F9963C" w14:textId="51C38F6E" w:rsidR="00502996" w:rsidRPr="00726F37" w:rsidRDefault="00502996" w:rsidP="00502996">
      <w:pPr>
        <w:pStyle w:val="COMESnumberedpara"/>
      </w:pPr>
      <w:r w:rsidRPr="00726F37">
        <w:t>The results of an unanchored matching adjusted indirect comparison (MAIC) comparing efficacy outcomes for tarlatamab 10 mg from the DeLLphi-301 study with SOC based on data from the CAS 2023 registry study and a supportive propensity score adjusted indirect comparison comparing efficacy outcomes for tarlatamab 10 mg from the DeLLphi-301 10 mg cohort with SOC based on data from the Flatiron (2024) registry study are presented in</w:t>
      </w:r>
      <w:r w:rsidR="00AE0B16" w:rsidRPr="00726F37">
        <w:t xml:space="preserve"> </w:t>
      </w:r>
      <w:r w:rsidR="00AE0B16" w:rsidRPr="00726F37">
        <w:fldChar w:fldCharType="begin"/>
      </w:r>
      <w:r w:rsidR="00AE0B16" w:rsidRPr="00726F37">
        <w:instrText xml:space="preserve"> REF _Ref219710184 \h </w:instrText>
      </w:r>
      <w:r w:rsidR="00726F37" w:rsidRPr="00726F37">
        <w:instrText xml:space="preserve"> \* MERGEFORMAT </w:instrText>
      </w:r>
      <w:r w:rsidR="00AE0B16" w:rsidRPr="00726F37">
        <w:fldChar w:fldCharType="separate"/>
      </w:r>
      <w:r w:rsidR="00E26586" w:rsidRPr="00602806">
        <w:t xml:space="preserve">Table </w:t>
      </w:r>
      <w:r w:rsidR="00E26586">
        <w:rPr>
          <w:noProof/>
        </w:rPr>
        <w:t>6</w:t>
      </w:r>
      <w:r w:rsidR="00AE0B16" w:rsidRPr="00726F37">
        <w:fldChar w:fldCharType="end"/>
      </w:r>
      <w:r w:rsidRPr="00726F37">
        <w:t>.</w:t>
      </w:r>
    </w:p>
    <w:p w14:paraId="12D35A20" w14:textId="654C9765" w:rsidR="00DE41E8" w:rsidRPr="00DB7FD7" w:rsidRDefault="00DE41E8" w:rsidP="00DE41E8">
      <w:pPr>
        <w:pStyle w:val="COMTableheadingrow"/>
      </w:pPr>
      <w:bookmarkStart w:id="37" w:name="_Ref219710184"/>
      <w:r w:rsidRPr="00602806">
        <w:lastRenderedPageBreak/>
        <w:t xml:space="preserve">Table </w:t>
      </w:r>
      <w:r>
        <w:fldChar w:fldCharType="begin"/>
      </w:r>
      <w:r>
        <w:instrText>SEQ Table \* ARABIC</w:instrText>
      </w:r>
      <w:r>
        <w:fldChar w:fldCharType="separate"/>
      </w:r>
      <w:r w:rsidR="00E26586">
        <w:rPr>
          <w:noProof/>
        </w:rPr>
        <w:t>6</w:t>
      </w:r>
      <w:r>
        <w:fldChar w:fldCharType="end"/>
      </w:r>
      <w:bookmarkEnd w:id="37"/>
      <w:r>
        <w:rPr>
          <w:noProof/>
        </w:rPr>
        <w:t xml:space="preserve">: </w:t>
      </w:r>
      <w:r w:rsidRPr="00DB7FD7">
        <w:t>Key primary and secondary outcomes of the DeLLphi-301 (CAS and Flat</w:t>
      </w:r>
      <w:r w:rsidR="00795972">
        <w:t>i</w:t>
      </w:r>
      <w:r w:rsidRPr="00DB7FD7">
        <w:t>ron cohorts)</w:t>
      </w:r>
    </w:p>
    <w:tbl>
      <w:tblPr>
        <w:tblStyle w:val="TableGrid"/>
        <w:tblW w:w="5000" w:type="pct"/>
        <w:tblLook w:val="04A0" w:firstRow="1" w:lastRow="0" w:firstColumn="1" w:lastColumn="0" w:noHBand="0" w:noVBand="1"/>
        <w:tblCaption w:val="Table 6: Key primary and secondary outcomes of the DeLLphi-301 (CAS and Flatiron cohorts)"/>
      </w:tblPr>
      <w:tblGrid>
        <w:gridCol w:w="2831"/>
        <w:gridCol w:w="3093"/>
        <w:gridCol w:w="3093"/>
      </w:tblGrid>
      <w:tr w:rsidR="00DE41E8" w:rsidRPr="00DB7FD7" w14:paraId="6EBCEF38" w14:textId="77777777">
        <w:tc>
          <w:tcPr>
            <w:tcW w:w="1570" w:type="pct"/>
            <w:vMerge w:val="restart"/>
            <w:tcBorders>
              <w:top w:val="single" w:sz="4" w:space="0" w:color="auto"/>
              <w:left w:val="single" w:sz="4" w:space="0" w:color="auto"/>
              <w:right w:val="single" w:sz="4" w:space="0" w:color="auto"/>
            </w:tcBorders>
            <w:vAlign w:val="center"/>
          </w:tcPr>
          <w:p w14:paraId="5135299B" w14:textId="77777777" w:rsidR="00DE41E8" w:rsidRPr="00E7774B" w:rsidRDefault="00DE41E8">
            <w:pPr>
              <w:pStyle w:val="COMTabletext"/>
              <w:rPr>
                <w:b/>
                <w:bCs w:val="0"/>
              </w:rPr>
            </w:pPr>
            <w:r w:rsidRPr="00E7774B">
              <w:rPr>
                <w:b/>
                <w:bCs w:val="0"/>
              </w:rPr>
              <w:t>Outcomes</w:t>
            </w:r>
          </w:p>
        </w:tc>
        <w:tc>
          <w:tcPr>
            <w:tcW w:w="3430" w:type="pct"/>
            <w:gridSpan w:val="2"/>
            <w:tcBorders>
              <w:top w:val="single" w:sz="4" w:space="0" w:color="auto"/>
              <w:left w:val="single" w:sz="4" w:space="0" w:color="auto"/>
              <w:bottom w:val="single" w:sz="4" w:space="0" w:color="auto"/>
            </w:tcBorders>
            <w:vAlign w:val="center"/>
          </w:tcPr>
          <w:p w14:paraId="7F8A110C" w14:textId="77777777" w:rsidR="00DE41E8" w:rsidRPr="00DB7FD7" w:rsidRDefault="00DE41E8">
            <w:pPr>
              <w:pStyle w:val="In-tableHeading"/>
              <w:jc w:val="center"/>
            </w:pPr>
            <w:r>
              <w:t>Tarlatamab vs SOC</w:t>
            </w:r>
          </w:p>
        </w:tc>
      </w:tr>
      <w:tr w:rsidR="00DE41E8" w:rsidRPr="00DB7FD7" w14:paraId="64B3EC44" w14:textId="77777777">
        <w:tc>
          <w:tcPr>
            <w:tcW w:w="1570" w:type="pct"/>
            <w:vMerge/>
            <w:tcBorders>
              <w:left w:val="single" w:sz="4" w:space="0" w:color="auto"/>
              <w:right w:val="single" w:sz="4" w:space="0" w:color="auto"/>
            </w:tcBorders>
          </w:tcPr>
          <w:p w14:paraId="61322CE8" w14:textId="77777777" w:rsidR="00DE41E8" w:rsidRPr="00DB7FD7" w:rsidRDefault="00DE41E8">
            <w:pPr>
              <w:pStyle w:val="COMTabletext"/>
            </w:pPr>
          </w:p>
        </w:tc>
        <w:tc>
          <w:tcPr>
            <w:tcW w:w="1715" w:type="pct"/>
            <w:tcBorders>
              <w:top w:val="single" w:sz="4" w:space="0" w:color="auto"/>
              <w:left w:val="single" w:sz="4" w:space="0" w:color="auto"/>
              <w:right w:val="single" w:sz="4" w:space="0" w:color="auto"/>
            </w:tcBorders>
            <w:vAlign w:val="center"/>
          </w:tcPr>
          <w:p w14:paraId="5CF199F8" w14:textId="77777777" w:rsidR="00DE41E8" w:rsidRDefault="00DE41E8">
            <w:pPr>
              <w:pStyle w:val="In-tableHeading"/>
              <w:jc w:val="center"/>
            </w:pPr>
            <w:r w:rsidRPr="00DB7FD7">
              <w:t>CAS 3L cohort</w:t>
            </w:r>
            <w:r>
              <w:t xml:space="preserve"> (</w:t>
            </w:r>
            <w:r w:rsidRPr="00DB7FD7">
              <w:t>MAIC</w:t>
            </w:r>
            <w:r>
              <w:t>)</w:t>
            </w:r>
            <w:r>
              <w:rPr>
                <w:vertAlign w:val="superscript"/>
              </w:rPr>
              <w:t xml:space="preserve"> b</w:t>
            </w:r>
          </w:p>
          <w:p w14:paraId="3BACA931" w14:textId="77777777" w:rsidR="00DE41E8" w:rsidRPr="00DB7FD7" w:rsidRDefault="00DE41E8">
            <w:pPr>
              <w:pStyle w:val="In-tableHeading"/>
              <w:jc w:val="center"/>
            </w:pPr>
            <w:r>
              <w:t xml:space="preserve">HR </w:t>
            </w:r>
            <w:r w:rsidRPr="00DB7FD7">
              <w:t>(95% CI)</w:t>
            </w:r>
          </w:p>
        </w:tc>
        <w:tc>
          <w:tcPr>
            <w:tcW w:w="1715" w:type="pct"/>
            <w:tcBorders>
              <w:top w:val="single" w:sz="4" w:space="0" w:color="auto"/>
              <w:left w:val="single" w:sz="4" w:space="0" w:color="auto"/>
              <w:right w:val="single" w:sz="4" w:space="0" w:color="auto"/>
            </w:tcBorders>
            <w:vAlign w:val="center"/>
          </w:tcPr>
          <w:p w14:paraId="69E39E6E" w14:textId="77777777" w:rsidR="00DE41E8" w:rsidRPr="00881A2D" w:rsidRDefault="00DE41E8">
            <w:pPr>
              <w:pStyle w:val="In-tableHeading"/>
              <w:jc w:val="center"/>
              <w:rPr>
                <w:vertAlign w:val="superscript"/>
              </w:rPr>
            </w:pPr>
            <w:r w:rsidRPr="00DB7FD7">
              <w:t>Flatiron cohort</w:t>
            </w:r>
            <w:r>
              <w:t xml:space="preserve"> (w</w:t>
            </w:r>
            <w:r w:rsidRPr="00DB7FD7">
              <w:t>eighted</w:t>
            </w:r>
            <w:proofErr w:type="gramStart"/>
            <w:r>
              <w:t>)</w:t>
            </w:r>
            <w:r>
              <w:rPr>
                <w:vertAlign w:val="superscript"/>
              </w:rPr>
              <w:t>c</w:t>
            </w:r>
            <w:proofErr w:type="gramEnd"/>
          </w:p>
          <w:p w14:paraId="5C41D5CC" w14:textId="77777777" w:rsidR="00DE41E8" w:rsidRPr="00DB7FD7" w:rsidRDefault="00DE41E8">
            <w:pPr>
              <w:pStyle w:val="In-tableHeading"/>
              <w:jc w:val="center"/>
            </w:pPr>
            <w:r>
              <w:t xml:space="preserve">HR </w:t>
            </w:r>
            <w:r w:rsidRPr="00DB7FD7">
              <w:t>(95% CI)</w:t>
            </w:r>
          </w:p>
        </w:tc>
      </w:tr>
      <w:tr w:rsidR="00DE41E8" w:rsidRPr="00DB7FD7" w14:paraId="61140E53" w14:textId="77777777">
        <w:tc>
          <w:tcPr>
            <w:tcW w:w="1570" w:type="pct"/>
            <w:tcBorders>
              <w:top w:val="single" w:sz="4" w:space="0" w:color="auto"/>
            </w:tcBorders>
          </w:tcPr>
          <w:p w14:paraId="657BE1E4" w14:textId="77777777" w:rsidR="00DE41E8" w:rsidRPr="00DB7FD7" w:rsidRDefault="00DE41E8">
            <w:pPr>
              <w:pStyle w:val="COMTabletext"/>
            </w:pPr>
            <w:r w:rsidRPr="00DB7FD7">
              <w:t>Overall survival</w:t>
            </w:r>
          </w:p>
        </w:tc>
        <w:tc>
          <w:tcPr>
            <w:tcW w:w="1715" w:type="pct"/>
            <w:tcBorders>
              <w:top w:val="single" w:sz="4" w:space="0" w:color="auto"/>
            </w:tcBorders>
            <w:vAlign w:val="center"/>
          </w:tcPr>
          <w:p w14:paraId="5C95C4F6" w14:textId="77777777" w:rsidR="00DE41E8" w:rsidRPr="00295AC2" w:rsidRDefault="00DE41E8">
            <w:pPr>
              <w:pStyle w:val="COMTabletext"/>
              <w:jc w:val="center"/>
              <w:rPr>
                <w:vertAlign w:val="superscript"/>
              </w:rPr>
            </w:pPr>
            <w:r w:rsidRPr="00DB7FD7">
              <w:t>0.305 (0.166, 0.561)</w:t>
            </w:r>
          </w:p>
        </w:tc>
        <w:tc>
          <w:tcPr>
            <w:tcW w:w="1715" w:type="pct"/>
            <w:tcBorders>
              <w:top w:val="single" w:sz="4" w:space="0" w:color="auto"/>
            </w:tcBorders>
            <w:vAlign w:val="center"/>
          </w:tcPr>
          <w:p w14:paraId="78B20919" w14:textId="77777777" w:rsidR="00DE41E8" w:rsidRPr="00DB7FD7" w:rsidRDefault="00DE41E8">
            <w:pPr>
              <w:pStyle w:val="COMTabletext"/>
              <w:jc w:val="center"/>
            </w:pPr>
            <w:r w:rsidRPr="00DB7FD7">
              <w:t>0.45 (0.30, 0.68)</w:t>
            </w:r>
          </w:p>
        </w:tc>
      </w:tr>
      <w:tr w:rsidR="00DE41E8" w:rsidRPr="00DB7FD7" w14:paraId="708238F1" w14:textId="77777777">
        <w:tc>
          <w:tcPr>
            <w:tcW w:w="1570" w:type="pct"/>
          </w:tcPr>
          <w:p w14:paraId="597664EF" w14:textId="77777777" w:rsidR="00DE41E8" w:rsidRPr="00DB7FD7" w:rsidRDefault="00DE41E8">
            <w:pPr>
              <w:pStyle w:val="COMTabletext"/>
            </w:pPr>
            <w:r w:rsidRPr="00DB7FD7">
              <w:t>Progression-free survival</w:t>
            </w:r>
            <w:r w:rsidRPr="00DB7FD7">
              <w:rPr>
                <w:vertAlign w:val="superscript"/>
              </w:rPr>
              <w:t>a</w:t>
            </w:r>
          </w:p>
        </w:tc>
        <w:tc>
          <w:tcPr>
            <w:tcW w:w="1715" w:type="pct"/>
            <w:vAlign w:val="center"/>
          </w:tcPr>
          <w:p w14:paraId="2E0B1C69" w14:textId="77777777" w:rsidR="00DE41E8" w:rsidRPr="00721F93" w:rsidRDefault="00DE41E8">
            <w:pPr>
              <w:pStyle w:val="COMTabletext"/>
              <w:jc w:val="center"/>
              <w:rPr>
                <w:vertAlign w:val="superscript"/>
              </w:rPr>
            </w:pPr>
            <w:r w:rsidRPr="00DB7FD7">
              <w:t>0.184 (0.100, 0.338)</w:t>
            </w:r>
          </w:p>
        </w:tc>
        <w:tc>
          <w:tcPr>
            <w:tcW w:w="1715" w:type="pct"/>
            <w:vAlign w:val="center"/>
          </w:tcPr>
          <w:p w14:paraId="7B4DBE16" w14:textId="77777777" w:rsidR="00DE41E8" w:rsidRPr="00DB7FD7" w:rsidRDefault="00DE41E8">
            <w:pPr>
              <w:pStyle w:val="COMTabletext"/>
              <w:jc w:val="center"/>
            </w:pPr>
            <w:r w:rsidRPr="00DB7FD7">
              <w:t>0.61 (0.43, 0.90)</w:t>
            </w:r>
          </w:p>
        </w:tc>
      </w:tr>
    </w:tbl>
    <w:p w14:paraId="4ECF6591" w14:textId="77777777" w:rsidR="00DE41E8" w:rsidRDefault="00DE41E8" w:rsidP="00DE41E8">
      <w:pPr>
        <w:pStyle w:val="COMTablefooter"/>
      </w:pPr>
      <w:r w:rsidRPr="00DB7FD7">
        <w:t xml:space="preserve">Source: </w:t>
      </w:r>
      <w:r>
        <w:t xml:space="preserve">Table 2.7.1-2, p69 of the submission. </w:t>
      </w:r>
    </w:p>
    <w:p w14:paraId="05785ACC" w14:textId="2C8A9DC5" w:rsidR="00DE41E8" w:rsidRPr="00DB7FD7" w:rsidRDefault="00DE41E8" w:rsidP="00DE41E8">
      <w:pPr>
        <w:pStyle w:val="COMTablefooter"/>
      </w:pPr>
      <w:r w:rsidRPr="00DB7FD7">
        <w:t xml:space="preserve">Abbreviations: </w:t>
      </w:r>
      <w:r w:rsidR="00112895">
        <w:t xml:space="preserve">CAS, </w:t>
      </w:r>
      <w:r w:rsidR="00112895" w:rsidRPr="00726F37">
        <w:t>Cancer Analysis System</w:t>
      </w:r>
      <w:r w:rsidR="00112895">
        <w:t xml:space="preserve">; </w:t>
      </w:r>
      <w:r w:rsidRPr="00DB7FD7">
        <w:t>CI, confidence interval; HR, hazard ratio; MAIC, matching-adjusted indirect comparison</w:t>
      </w:r>
      <w:r>
        <w:t>; SOC, standard of care</w:t>
      </w:r>
      <w:r w:rsidRPr="00DB7FD7">
        <w:t>.</w:t>
      </w:r>
    </w:p>
    <w:p w14:paraId="754005E5" w14:textId="77777777" w:rsidR="00DE41E8" w:rsidRDefault="00DE41E8" w:rsidP="00DE41E8">
      <w:pPr>
        <w:pStyle w:val="COMTablefooter"/>
      </w:pPr>
      <w:r w:rsidRPr="00DB7FD7">
        <w:rPr>
          <w:vertAlign w:val="superscript"/>
        </w:rPr>
        <w:t>a</w:t>
      </w:r>
      <w:r w:rsidRPr="00DB7FD7">
        <w:t xml:space="preserve"> Time-to treatment discontinuation or death was used as a proxy for </w:t>
      </w:r>
      <w:r>
        <w:t xml:space="preserve">progression-free survival in the </w:t>
      </w:r>
      <w:r w:rsidRPr="00DB7FD7">
        <w:t>CAS cohort.</w:t>
      </w:r>
    </w:p>
    <w:p w14:paraId="342F0E77" w14:textId="77777777" w:rsidR="00DE41E8" w:rsidRDefault="00DE41E8" w:rsidP="00DE41E8">
      <w:pPr>
        <w:pStyle w:val="COMTablefooter"/>
      </w:pPr>
      <w:r>
        <w:rPr>
          <w:vertAlign w:val="superscript"/>
        </w:rPr>
        <w:t>b</w:t>
      </w:r>
      <w:r>
        <w:t xml:space="preserve"> DeLLphi 301 data cutoff Oct 2023. MAIC analysis adjusted for a</w:t>
      </w:r>
      <w:r w:rsidRPr="0049612A">
        <w:t xml:space="preserve">ge at index, sex, ECOG performance status at index, brain metastases (at index for tarlatamab; at </w:t>
      </w:r>
      <w:r>
        <w:t>1L</w:t>
      </w:r>
      <w:r w:rsidRPr="0049612A">
        <w:t xml:space="preserve"> for CAS cohort SOC), liver metastases (at index for tarlatamab; at </w:t>
      </w:r>
      <w:r>
        <w:t>1L</w:t>
      </w:r>
      <w:r w:rsidRPr="0049612A">
        <w:t xml:space="preserve"> for CAS cohort SOC), disease stage at diagnosis,</w:t>
      </w:r>
      <w:r>
        <w:t xml:space="preserve"> </w:t>
      </w:r>
      <w:r w:rsidRPr="0049612A">
        <w:t>time from diagnosis to index</w:t>
      </w:r>
      <w:r>
        <w:t xml:space="preserve">. </w:t>
      </w:r>
    </w:p>
    <w:p w14:paraId="0C4AB0D8" w14:textId="77777777" w:rsidR="00DE41E8" w:rsidRDefault="00DE41E8" w:rsidP="00DE41E8">
      <w:pPr>
        <w:pStyle w:val="COMTablefooter"/>
      </w:pPr>
      <w:r>
        <w:rPr>
          <w:vertAlign w:val="superscript"/>
        </w:rPr>
        <w:t>c</w:t>
      </w:r>
      <w:r>
        <w:t xml:space="preserve"> DeLLphi 301 data cutoff Oct 2023. </w:t>
      </w:r>
      <w:r w:rsidRPr="00AC20C8">
        <w:t xml:space="preserve">After weighting imbalances between cohorts </w:t>
      </w:r>
      <w:r>
        <w:t xml:space="preserve">for </w:t>
      </w:r>
      <w:r w:rsidRPr="00AC20C8">
        <w:t>potential confounding variables adjusted for age at index, sex, smoking history prior to index, ECOG PS at index, number of previous lines of therapy, CFI after 1L therapy, time from SCLC diagnosis to index, TNM stage at diagnosis, and brain metastasis</w:t>
      </w:r>
      <w:r>
        <w:t>.</w:t>
      </w:r>
    </w:p>
    <w:p w14:paraId="206DA605" w14:textId="1A923703" w:rsidR="00DE41E8" w:rsidRPr="00726F37" w:rsidRDefault="00DE41E8" w:rsidP="00DE41E8">
      <w:pPr>
        <w:pStyle w:val="COMESnumberedpara"/>
      </w:pPr>
      <w:r w:rsidRPr="00726F37">
        <w:t xml:space="preserve">The </w:t>
      </w:r>
      <w:r w:rsidRPr="00141956">
        <w:t xml:space="preserve">ESC </w:t>
      </w:r>
      <w:r w:rsidR="000B5FDD" w:rsidRPr="00141956">
        <w:t>recalled it had</w:t>
      </w:r>
      <w:r w:rsidR="000B5FDD">
        <w:t xml:space="preserve"> </w:t>
      </w:r>
      <w:r w:rsidRPr="00726F37">
        <w:t>previously considered that the results of the unanchored MAICs of tarlatamab versus SOC were supportive of a claim of superior effectiveness, however the magnitude of benefit was unclear due to the substantial uncertainty related to the following:</w:t>
      </w:r>
      <w:r w:rsidR="002B710A">
        <w:t xml:space="preserve"> </w:t>
      </w:r>
      <w:r w:rsidRPr="00726F37">
        <w:t xml:space="preserve">low effective sample size (ESS = 27.05 patients; suggesting a lack of overlap between DeLLphi-301 and the CAS SOC cohort study), the potential for bias due to failure to match all relevant prognostic and treatment-effect modifier variables (such as number of prior lines of therapy, baseline life expectancy of at least 12 weeks, and smoking status), the use of time to treatment discontinuation as a proxy for PFS in the CAS cohort, and the uncertain impact of continued use of tarlatamab post-progression in 50% of progressed patients in DeLLphi-301. The ESC also </w:t>
      </w:r>
      <w:r w:rsidR="000B5FDD" w:rsidRPr="00141956">
        <w:t>recalled</w:t>
      </w:r>
      <w:r w:rsidR="000B5FDD" w:rsidRPr="000B5FDD">
        <w:rPr>
          <w:i/>
          <w:iCs/>
        </w:rPr>
        <w:t xml:space="preserve"> </w:t>
      </w:r>
      <w:r w:rsidR="000B5FDD" w:rsidRPr="00141956">
        <w:t>it previously</w:t>
      </w:r>
      <w:r w:rsidR="000B5FDD">
        <w:t xml:space="preserve"> </w:t>
      </w:r>
      <w:r w:rsidRPr="00726F37">
        <w:t>considered that the applicability of the matched population to the proposed PBS population was similarly uncertain</w:t>
      </w:r>
      <w:r w:rsidR="000D37C9" w:rsidRPr="00726F37">
        <w:t xml:space="preserve"> (</w:t>
      </w:r>
      <w:r w:rsidR="0025616F" w:rsidRPr="00726F37">
        <w:t>M</w:t>
      </w:r>
      <w:r w:rsidR="000D37C9" w:rsidRPr="00726F37">
        <w:t xml:space="preserve">ain </w:t>
      </w:r>
      <w:r w:rsidR="0025616F" w:rsidRPr="00726F37">
        <w:t xml:space="preserve">issues for PBAC consideration, </w:t>
      </w:r>
      <w:r w:rsidR="00447E4A">
        <w:t>t</w:t>
      </w:r>
      <w:r w:rsidR="0025616F" w:rsidRPr="00726F37">
        <w:t>arlatamab ESC Advice, March 2025 PBAC meeting)</w:t>
      </w:r>
      <w:r w:rsidRPr="00726F37">
        <w:t>.</w:t>
      </w:r>
    </w:p>
    <w:p w14:paraId="33057661" w14:textId="77777777" w:rsidR="00502996" w:rsidRPr="00726F37" w:rsidRDefault="00502996" w:rsidP="00502996">
      <w:pPr>
        <w:pStyle w:val="COMESnumberedpara"/>
      </w:pPr>
      <w:r w:rsidRPr="00726F37">
        <w:t xml:space="preserve">The submission claimed that the efficacy of tarlatamab observed in patients treated with third-line tarlatamab in the DeLLphi-301 study was consistent with the results of the DeLLphi-304 trial. However, comparison of the tarlatamab survival curves from the DeLLphi-301 study and DeLLphi-304 trial, conducted in different lines of therapy may not be informative, due to inherent survivorship bias associated with patients who were fit enough to initiate a third-line therapy in the DeLLphi-301 study. </w:t>
      </w:r>
    </w:p>
    <w:p w14:paraId="1452C351" w14:textId="0D19F1B0" w:rsidR="00B60939" w:rsidRPr="0098262F" w:rsidRDefault="00B60939" w:rsidP="00E30122">
      <w:pPr>
        <w:pStyle w:val="COMESSubsectionheading"/>
      </w:pPr>
      <w:bookmarkStart w:id="38" w:name="_Toc22897642"/>
      <w:bookmarkStart w:id="39" w:name="_Toc219878282"/>
      <w:r w:rsidRPr="0098262F">
        <w:t>Comparative harms</w:t>
      </w:r>
      <w:bookmarkEnd w:id="38"/>
      <w:bookmarkEnd w:id="39"/>
    </w:p>
    <w:p w14:paraId="23D8AEC4" w14:textId="6889594B" w:rsidR="007731FB" w:rsidRPr="004A2770" w:rsidRDefault="007731FB" w:rsidP="007731FB">
      <w:pPr>
        <w:pStyle w:val="COMESnumberedpara"/>
        <w:rPr>
          <w:lang w:eastAsia="en-US"/>
        </w:rPr>
      </w:pPr>
      <w:r>
        <w:rPr>
          <w:lang w:eastAsia="en-US"/>
        </w:rPr>
        <w:fldChar w:fldCharType="begin"/>
      </w:r>
      <w:r>
        <w:rPr>
          <w:lang w:eastAsia="en-US"/>
        </w:rPr>
        <w:instrText xml:space="preserve"> REF _Ref216722830 \h </w:instrText>
      </w:r>
      <w:r>
        <w:rPr>
          <w:lang w:eastAsia="en-US"/>
        </w:rPr>
      </w:r>
      <w:r>
        <w:rPr>
          <w:lang w:eastAsia="en-US"/>
        </w:rPr>
        <w:fldChar w:fldCharType="separate"/>
      </w:r>
      <w:r w:rsidR="00E26586" w:rsidRPr="00602806">
        <w:t xml:space="preserve">Table </w:t>
      </w:r>
      <w:r w:rsidR="00E26586">
        <w:rPr>
          <w:noProof/>
        </w:rPr>
        <w:t>7</w:t>
      </w:r>
      <w:r>
        <w:rPr>
          <w:lang w:eastAsia="en-US"/>
        </w:rPr>
        <w:fldChar w:fldCharType="end"/>
      </w:r>
      <w:r>
        <w:rPr>
          <w:lang w:eastAsia="en-US"/>
        </w:rPr>
        <w:t xml:space="preserve"> presents </w:t>
      </w:r>
      <w:r w:rsidRPr="00E348A7">
        <w:rPr>
          <w:lang w:eastAsia="en-US"/>
        </w:rPr>
        <w:t>the</w:t>
      </w:r>
      <w:r>
        <w:rPr>
          <w:lang w:eastAsia="en-US"/>
        </w:rPr>
        <w:t xml:space="preserve"> key adverse events reported in the DeLLphi-304 trial based on </w:t>
      </w:r>
      <w:r w:rsidRPr="00E348A7">
        <w:rPr>
          <w:lang w:eastAsia="en-US"/>
        </w:rPr>
        <w:t>the January 2025 and April 2025 data cuts.</w:t>
      </w:r>
    </w:p>
    <w:p w14:paraId="4AB5490E" w14:textId="72887002" w:rsidR="007731FB" w:rsidRDefault="007731FB" w:rsidP="007731FB">
      <w:pPr>
        <w:pStyle w:val="COMTableheadingrow"/>
      </w:pPr>
      <w:bookmarkStart w:id="40" w:name="_Ref216722830"/>
      <w:r w:rsidRPr="00602806">
        <w:lastRenderedPageBreak/>
        <w:t xml:space="preserve">Table </w:t>
      </w:r>
      <w:r>
        <w:fldChar w:fldCharType="begin"/>
      </w:r>
      <w:r>
        <w:instrText>SEQ Table \* ARABIC</w:instrText>
      </w:r>
      <w:r>
        <w:fldChar w:fldCharType="separate"/>
      </w:r>
      <w:r w:rsidR="00E26586">
        <w:rPr>
          <w:noProof/>
        </w:rPr>
        <w:t>7</w:t>
      </w:r>
      <w:r>
        <w:fldChar w:fldCharType="end"/>
      </w:r>
      <w:bookmarkEnd w:id="40"/>
      <w:r w:rsidRPr="006A3BEC">
        <w:t xml:space="preserve">: Summary of key </w:t>
      </w:r>
      <w:r>
        <w:t>adverse events</w:t>
      </w:r>
      <w:r w:rsidRPr="006A3BEC">
        <w:t xml:space="preserve"> in DeLLphi-30</w:t>
      </w:r>
      <w:r>
        <w:t>4</w:t>
      </w:r>
      <w:r w:rsidRPr="006A3BEC">
        <w:t xml:space="preserve"> (s</w:t>
      </w:r>
      <w:r>
        <w:t xml:space="preserve">afety </w:t>
      </w:r>
      <w:r w:rsidRPr="006A3BEC">
        <w:t>a</w:t>
      </w:r>
      <w:r>
        <w:t xml:space="preserve">nalysis </w:t>
      </w:r>
      <w:r w:rsidRPr="006A3BEC">
        <w:t>s</w:t>
      </w:r>
      <w:r>
        <w:t>et</w:t>
      </w:r>
      <w:r w:rsidR="002A7359">
        <w:t>; 29 January 2025 and 29 April 2025 data cuts</w:t>
      </w:r>
      <w:r w:rsidRPr="006A3BE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Summary of key adverse events in DeLLphi-304 (safety analysis set; 29 January 2025 and 29 April 2025 data cuts)"/>
      </w:tblPr>
      <w:tblGrid>
        <w:gridCol w:w="2689"/>
        <w:gridCol w:w="1582"/>
        <w:gridCol w:w="1582"/>
        <w:gridCol w:w="1582"/>
        <w:gridCol w:w="1582"/>
      </w:tblGrid>
      <w:tr w:rsidR="009A09D3" w:rsidRPr="0098262F" w14:paraId="40EEBB65" w14:textId="77777777" w:rsidTr="009A09D3">
        <w:trPr>
          <w:tblHead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58BE9A64" w14:textId="77777777" w:rsidR="009A09D3" w:rsidRPr="0098262F" w:rsidRDefault="009A09D3">
            <w:pPr>
              <w:pStyle w:val="COMTableheadingrow"/>
            </w:pPr>
            <w:r w:rsidRPr="007150FC">
              <w:t>TEAEs</w:t>
            </w:r>
            <w:r>
              <w:t>, n (%)</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2335DA27" w14:textId="77777777" w:rsidR="009A09D3" w:rsidRPr="0098262F" w:rsidRDefault="009A09D3">
            <w:pPr>
              <w:pStyle w:val="COMTableheadingrow"/>
              <w:jc w:val="center"/>
            </w:pPr>
            <w:r>
              <w:t>January 2025 data cut</w:t>
            </w:r>
          </w:p>
        </w:tc>
        <w:tc>
          <w:tcPr>
            <w:tcW w:w="3164" w:type="dxa"/>
            <w:gridSpan w:val="2"/>
            <w:tcBorders>
              <w:top w:val="single" w:sz="4" w:space="0" w:color="auto"/>
              <w:left w:val="single" w:sz="4" w:space="0" w:color="auto"/>
              <w:bottom w:val="single" w:sz="4" w:space="0" w:color="auto"/>
              <w:right w:val="single" w:sz="4" w:space="0" w:color="auto"/>
            </w:tcBorders>
          </w:tcPr>
          <w:p w14:paraId="63FECC41" w14:textId="77777777" w:rsidR="009A09D3" w:rsidRPr="009F239D" w:rsidRDefault="009A09D3">
            <w:pPr>
              <w:pStyle w:val="COMTableheadingrow"/>
              <w:jc w:val="center"/>
            </w:pPr>
            <w:r>
              <w:t>April 2025 data cut</w:t>
            </w:r>
          </w:p>
        </w:tc>
      </w:tr>
      <w:tr w:rsidR="009A09D3" w:rsidRPr="0098262F" w14:paraId="16CC5EF3" w14:textId="77777777">
        <w:trPr>
          <w:tblHeader/>
        </w:trPr>
        <w:tc>
          <w:tcPr>
            <w:tcW w:w="2689" w:type="dxa"/>
            <w:vMerge/>
            <w:vAlign w:val="center"/>
          </w:tcPr>
          <w:p w14:paraId="2197ED1B" w14:textId="77777777" w:rsidR="009A09D3" w:rsidRPr="007150FC" w:rsidRDefault="009A09D3">
            <w:pPr>
              <w:pStyle w:val="COMTableheadingrow"/>
            </w:pPr>
          </w:p>
        </w:tc>
        <w:tc>
          <w:tcPr>
            <w:tcW w:w="1582" w:type="dxa"/>
            <w:vAlign w:val="center"/>
          </w:tcPr>
          <w:p w14:paraId="5C6FEF5C" w14:textId="77777777" w:rsidR="009A09D3" w:rsidRPr="00CE4044" w:rsidRDefault="009A09D3">
            <w:pPr>
              <w:pStyle w:val="COMTableheadingrow"/>
              <w:jc w:val="center"/>
            </w:pPr>
            <w:r w:rsidRPr="00CE4044">
              <w:t>Tarlatamab</w:t>
            </w:r>
            <w:r>
              <w:t xml:space="preserve"> (N=252)</w:t>
            </w:r>
          </w:p>
        </w:tc>
        <w:tc>
          <w:tcPr>
            <w:tcW w:w="1582" w:type="dxa"/>
            <w:vAlign w:val="center"/>
          </w:tcPr>
          <w:p w14:paraId="4D3E925C" w14:textId="77777777" w:rsidR="009A09D3" w:rsidRPr="009F239D" w:rsidRDefault="009A09D3">
            <w:pPr>
              <w:pStyle w:val="COMTableheadingrow"/>
              <w:jc w:val="center"/>
            </w:pPr>
            <w:r w:rsidRPr="009F239D">
              <w:t>S</w:t>
            </w:r>
            <w:r>
              <w:t>OC (N=244)</w:t>
            </w:r>
          </w:p>
        </w:tc>
        <w:tc>
          <w:tcPr>
            <w:tcW w:w="1582" w:type="dxa"/>
            <w:vAlign w:val="center"/>
          </w:tcPr>
          <w:p w14:paraId="7481A983" w14:textId="77777777" w:rsidR="009A09D3" w:rsidRPr="009F239D" w:rsidRDefault="009A09D3">
            <w:pPr>
              <w:pStyle w:val="COMTableheadingrow"/>
              <w:jc w:val="center"/>
            </w:pPr>
            <w:r w:rsidRPr="00CE4044">
              <w:t>Tarlatamab</w:t>
            </w:r>
            <w:r>
              <w:t xml:space="preserve"> (N=252)</w:t>
            </w:r>
          </w:p>
        </w:tc>
        <w:tc>
          <w:tcPr>
            <w:tcW w:w="1582" w:type="dxa"/>
            <w:vAlign w:val="center"/>
          </w:tcPr>
          <w:p w14:paraId="2D50FB7B" w14:textId="77777777" w:rsidR="009A09D3" w:rsidRPr="009F239D" w:rsidRDefault="009A09D3">
            <w:pPr>
              <w:pStyle w:val="COMTableheadingrow"/>
              <w:jc w:val="center"/>
            </w:pPr>
            <w:r w:rsidRPr="009F239D">
              <w:t>S</w:t>
            </w:r>
            <w:r>
              <w:t>OC (N=244)</w:t>
            </w:r>
          </w:p>
        </w:tc>
      </w:tr>
      <w:tr w:rsidR="009A09D3" w:rsidRPr="0098262F" w14:paraId="34EF61AC" w14:textId="77777777">
        <w:trPr>
          <w:tblHeader/>
        </w:trPr>
        <w:tc>
          <w:tcPr>
            <w:tcW w:w="2689" w:type="dxa"/>
          </w:tcPr>
          <w:p w14:paraId="39634BC5" w14:textId="77777777" w:rsidR="009A09D3" w:rsidRDefault="009A09D3">
            <w:pPr>
              <w:pStyle w:val="COMTabletext"/>
            </w:pPr>
            <w:r w:rsidRPr="00FA0D68">
              <w:t>All TEAEs</w:t>
            </w:r>
          </w:p>
        </w:tc>
        <w:tc>
          <w:tcPr>
            <w:tcW w:w="1582" w:type="dxa"/>
            <w:vAlign w:val="center"/>
          </w:tcPr>
          <w:p w14:paraId="315EA6F3" w14:textId="77777777" w:rsidR="009A09D3" w:rsidRPr="00CE4044" w:rsidRDefault="009A09D3">
            <w:pPr>
              <w:pStyle w:val="COMTabletext"/>
              <w:jc w:val="center"/>
            </w:pPr>
            <w:r w:rsidRPr="002935B0">
              <w:t>249 (98.8)</w:t>
            </w:r>
            <w:r>
              <w:t xml:space="preserve"> </w:t>
            </w:r>
          </w:p>
        </w:tc>
        <w:tc>
          <w:tcPr>
            <w:tcW w:w="1582" w:type="dxa"/>
            <w:vAlign w:val="center"/>
          </w:tcPr>
          <w:p w14:paraId="17377EB6" w14:textId="77777777" w:rsidR="009A09D3" w:rsidRPr="009F239D" w:rsidRDefault="009A09D3">
            <w:pPr>
              <w:pStyle w:val="COMTabletext"/>
              <w:jc w:val="center"/>
            </w:pPr>
            <w:r w:rsidRPr="00517630">
              <w:t>243 (99.6)</w:t>
            </w:r>
          </w:p>
        </w:tc>
        <w:tc>
          <w:tcPr>
            <w:tcW w:w="1582" w:type="dxa"/>
          </w:tcPr>
          <w:p w14:paraId="4704DC11" w14:textId="77777777" w:rsidR="009A09D3" w:rsidRPr="00517630" w:rsidRDefault="009A09D3">
            <w:pPr>
              <w:pStyle w:val="COMTabletext"/>
              <w:jc w:val="center"/>
            </w:pPr>
            <w:r>
              <w:t>249 (98.8)</w:t>
            </w:r>
          </w:p>
        </w:tc>
        <w:tc>
          <w:tcPr>
            <w:tcW w:w="1582" w:type="dxa"/>
          </w:tcPr>
          <w:p w14:paraId="207B4AC0" w14:textId="77777777" w:rsidR="009A09D3" w:rsidRPr="00517630" w:rsidRDefault="009A09D3">
            <w:pPr>
              <w:pStyle w:val="COMTabletext"/>
              <w:jc w:val="center"/>
            </w:pPr>
            <w:r>
              <w:t>243 (99.6)</w:t>
            </w:r>
          </w:p>
        </w:tc>
      </w:tr>
      <w:tr w:rsidR="009A09D3" w:rsidRPr="0098262F" w14:paraId="476C9E31" w14:textId="77777777">
        <w:tc>
          <w:tcPr>
            <w:tcW w:w="2689" w:type="dxa"/>
          </w:tcPr>
          <w:p w14:paraId="5E82C69E" w14:textId="77777777" w:rsidR="009A09D3" w:rsidRPr="0098262F" w:rsidRDefault="009A09D3">
            <w:pPr>
              <w:pStyle w:val="COMTabletext"/>
            </w:pPr>
            <w:r w:rsidRPr="00FA0D68">
              <w:t>Grade ≥3</w:t>
            </w:r>
            <w:r>
              <w:t xml:space="preserve"> adverse events</w:t>
            </w:r>
          </w:p>
        </w:tc>
        <w:tc>
          <w:tcPr>
            <w:tcW w:w="1582" w:type="dxa"/>
            <w:vAlign w:val="center"/>
          </w:tcPr>
          <w:p w14:paraId="5A0A9202" w14:textId="77777777" w:rsidR="009A09D3" w:rsidRPr="0098262F" w:rsidRDefault="009A09D3">
            <w:pPr>
              <w:pStyle w:val="COMTabletext"/>
              <w:jc w:val="center"/>
            </w:pPr>
            <w:r w:rsidRPr="009A6A0E">
              <w:t>136 (54.0)</w:t>
            </w:r>
          </w:p>
        </w:tc>
        <w:tc>
          <w:tcPr>
            <w:tcW w:w="1582" w:type="dxa"/>
            <w:vAlign w:val="center"/>
          </w:tcPr>
          <w:p w14:paraId="6290452B" w14:textId="77777777" w:rsidR="009A09D3" w:rsidRPr="0098262F" w:rsidRDefault="009A09D3">
            <w:pPr>
              <w:pStyle w:val="COMTabletext"/>
              <w:jc w:val="center"/>
            </w:pPr>
            <w:r w:rsidRPr="00517630">
              <w:t>195 (79.9)</w:t>
            </w:r>
          </w:p>
        </w:tc>
        <w:tc>
          <w:tcPr>
            <w:tcW w:w="1582" w:type="dxa"/>
          </w:tcPr>
          <w:p w14:paraId="53BA78C8" w14:textId="77777777" w:rsidR="009A09D3" w:rsidRPr="00517630" w:rsidRDefault="009A09D3">
            <w:pPr>
              <w:pStyle w:val="COMTabletext"/>
              <w:jc w:val="center"/>
            </w:pPr>
            <w:r>
              <w:t>141 (56.0)</w:t>
            </w:r>
          </w:p>
        </w:tc>
        <w:tc>
          <w:tcPr>
            <w:tcW w:w="1582" w:type="dxa"/>
          </w:tcPr>
          <w:p w14:paraId="33B87BA8" w14:textId="77777777" w:rsidR="009A09D3" w:rsidRPr="00517630" w:rsidRDefault="009A09D3">
            <w:pPr>
              <w:pStyle w:val="COMTabletext"/>
              <w:jc w:val="center"/>
            </w:pPr>
            <w:r>
              <w:t>195 (79.9)</w:t>
            </w:r>
          </w:p>
        </w:tc>
      </w:tr>
      <w:tr w:rsidR="009A09D3" w:rsidRPr="0098262F" w14:paraId="3C76AA16" w14:textId="77777777">
        <w:tc>
          <w:tcPr>
            <w:tcW w:w="2689" w:type="dxa"/>
          </w:tcPr>
          <w:p w14:paraId="2CFDA68D" w14:textId="77777777" w:rsidR="009A09D3" w:rsidRPr="00AA586B" w:rsidRDefault="009A09D3">
            <w:pPr>
              <w:pStyle w:val="COMTabletext"/>
            </w:pPr>
            <w:r w:rsidRPr="00FA0D68">
              <w:t>Serious adverse event</w:t>
            </w:r>
            <w:r>
              <w:t>s</w:t>
            </w:r>
          </w:p>
        </w:tc>
        <w:tc>
          <w:tcPr>
            <w:tcW w:w="1582" w:type="dxa"/>
            <w:vAlign w:val="center"/>
          </w:tcPr>
          <w:p w14:paraId="19EB4684" w14:textId="77777777" w:rsidR="009A09D3" w:rsidRPr="0098262F" w:rsidRDefault="009A09D3">
            <w:pPr>
              <w:pStyle w:val="COMTabletext"/>
              <w:jc w:val="center"/>
            </w:pPr>
            <w:r w:rsidRPr="009A6A0E">
              <w:t>129 (51.2)</w:t>
            </w:r>
          </w:p>
        </w:tc>
        <w:tc>
          <w:tcPr>
            <w:tcW w:w="1582" w:type="dxa"/>
            <w:vAlign w:val="center"/>
          </w:tcPr>
          <w:p w14:paraId="71FD00E1" w14:textId="77777777" w:rsidR="009A09D3" w:rsidRPr="0098262F" w:rsidRDefault="009A09D3">
            <w:pPr>
              <w:pStyle w:val="COMTabletext"/>
              <w:jc w:val="center"/>
            </w:pPr>
            <w:r w:rsidRPr="00517630">
              <w:t>125 (51.2)</w:t>
            </w:r>
          </w:p>
        </w:tc>
        <w:tc>
          <w:tcPr>
            <w:tcW w:w="1582" w:type="dxa"/>
          </w:tcPr>
          <w:p w14:paraId="1217AA28" w14:textId="77777777" w:rsidR="009A09D3" w:rsidRPr="00517630" w:rsidRDefault="009A09D3">
            <w:pPr>
              <w:pStyle w:val="COMTabletext"/>
              <w:jc w:val="center"/>
            </w:pPr>
            <w:r>
              <w:t>131 (52.0)</w:t>
            </w:r>
          </w:p>
        </w:tc>
        <w:tc>
          <w:tcPr>
            <w:tcW w:w="1582" w:type="dxa"/>
          </w:tcPr>
          <w:p w14:paraId="30E78218" w14:textId="77777777" w:rsidR="009A09D3" w:rsidRPr="00517630" w:rsidRDefault="009A09D3">
            <w:pPr>
              <w:pStyle w:val="COMTabletext"/>
              <w:jc w:val="center"/>
            </w:pPr>
            <w:r>
              <w:t>126 (51.6)</w:t>
            </w:r>
          </w:p>
        </w:tc>
      </w:tr>
      <w:tr w:rsidR="009A09D3" w:rsidRPr="0098262F" w14:paraId="3C3C4D1D" w14:textId="77777777">
        <w:tc>
          <w:tcPr>
            <w:tcW w:w="2689" w:type="dxa"/>
          </w:tcPr>
          <w:p w14:paraId="2F67DFE4" w14:textId="77777777" w:rsidR="009A09D3" w:rsidRPr="00CE33B9" w:rsidRDefault="009A09D3">
            <w:pPr>
              <w:pStyle w:val="COMTabletext"/>
            </w:pPr>
            <w:r>
              <w:t>TEAEs l</w:t>
            </w:r>
            <w:r w:rsidRPr="00FA0D68">
              <w:t>eading to dose interruption and/or reduction</w:t>
            </w:r>
          </w:p>
        </w:tc>
        <w:tc>
          <w:tcPr>
            <w:tcW w:w="1582" w:type="dxa"/>
            <w:vAlign w:val="center"/>
          </w:tcPr>
          <w:p w14:paraId="3F04F5C2" w14:textId="77777777" w:rsidR="009A09D3" w:rsidRPr="00EE2036" w:rsidRDefault="009A09D3">
            <w:pPr>
              <w:pStyle w:val="COMTabletext"/>
              <w:jc w:val="center"/>
              <w:rPr>
                <w:rFonts w:cstheme="minorHAnsi"/>
                <w:sz w:val="18"/>
                <w:szCs w:val="18"/>
              </w:rPr>
            </w:pPr>
            <w:r w:rsidRPr="00F25849">
              <w:t>94 (37.3)</w:t>
            </w:r>
          </w:p>
        </w:tc>
        <w:tc>
          <w:tcPr>
            <w:tcW w:w="1582" w:type="dxa"/>
            <w:vAlign w:val="center"/>
          </w:tcPr>
          <w:p w14:paraId="3C54FBB4" w14:textId="77777777" w:rsidR="009A09D3" w:rsidRPr="0098262F" w:rsidRDefault="009A09D3">
            <w:pPr>
              <w:pStyle w:val="COMTabletext"/>
              <w:jc w:val="center"/>
            </w:pPr>
            <w:r w:rsidRPr="00C95A68">
              <w:t>159 (65.2)</w:t>
            </w:r>
          </w:p>
        </w:tc>
        <w:tc>
          <w:tcPr>
            <w:tcW w:w="1582" w:type="dxa"/>
            <w:vAlign w:val="center"/>
          </w:tcPr>
          <w:p w14:paraId="2348F545" w14:textId="77777777" w:rsidR="009A09D3" w:rsidRPr="00C95A68" w:rsidRDefault="009A09D3">
            <w:pPr>
              <w:pStyle w:val="COMTabletext"/>
              <w:jc w:val="center"/>
            </w:pPr>
            <w:r>
              <w:t>96 (38.1)</w:t>
            </w:r>
          </w:p>
        </w:tc>
        <w:tc>
          <w:tcPr>
            <w:tcW w:w="1582" w:type="dxa"/>
            <w:vAlign w:val="center"/>
          </w:tcPr>
          <w:p w14:paraId="40F6197B" w14:textId="77777777" w:rsidR="009A09D3" w:rsidRPr="00C95A68" w:rsidRDefault="009A09D3">
            <w:pPr>
              <w:pStyle w:val="COMTabletext"/>
              <w:jc w:val="center"/>
            </w:pPr>
            <w:r w:rsidRPr="00757289">
              <w:t>159 (65.2)</w:t>
            </w:r>
          </w:p>
        </w:tc>
      </w:tr>
      <w:tr w:rsidR="009A09D3" w:rsidRPr="0098262F" w14:paraId="342B48FD" w14:textId="77777777">
        <w:tc>
          <w:tcPr>
            <w:tcW w:w="2689" w:type="dxa"/>
          </w:tcPr>
          <w:p w14:paraId="70672BAC" w14:textId="77777777" w:rsidR="009A09D3" w:rsidRPr="0098262F" w:rsidRDefault="009A09D3">
            <w:pPr>
              <w:pStyle w:val="COMTabletext"/>
            </w:pPr>
            <w:r>
              <w:t>TEAEs l</w:t>
            </w:r>
            <w:r w:rsidRPr="00FA0D68">
              <w:t xml:space="preserve">eading to discontinuation </w:t>
            </w:r>
          </w:p>
        </w:tc>
        <w:tc>
          <w:tcPr>
            <w:tcW w:w="1582" w:type="dxa"/>
            <w:vAlign w:val="center"/>
          </w:tcPr>
          <w:p w14:paraId="41035308" w14:textId="77777777" w:rsidR="009A09D3" w:rsidRPr="0098262F" w:rsidRDefault="009A09D3">
            <w:pPr>
              <w:pStyle w:val="COMTabletext"/>
              <w:jc w:val="center"/>
            </w:pPr>
            <w:r w:rsidRPr="00F25849">
              <w:t>13 (5.2)</w:t>
            </w:r>
          </w:p>
        </w:tc>
        <w:tc>
          <w:tcPr>
            <w:tcW w:w="1582" w:type="dxa"/>
            <w:vAlign w:val="center"/>
          </w:tcPr>
          <w:p w14:paraId="379522F6" w14:textId="77777777" w:rsidR="009A09D3" w:rsidRPr="0098262F" w:rsidRDefault="009A09D3">
            <w:pPr>
              <w:pStyle w:val="COMTabletext"/>
              <w:jc w:val="center"/>
            </w:pPr>
            <w:r w:rsidRPr="00C95A68">
              <w:t>30 (12.3)</w:t>
            </w:r>
          </w:p>
        </w:tc>
        <w:tc>
          <w:tcPr>
            <w:tcW w:w="1582" w:type="dxa"/>
            <w:vAlign w:val="center"/>
          </w:tcPr>
          <w:p w14:paraId="6F6B1506" w14:textId="77777777" w:rsidR="009A09D3" w:rsidRPr="00C95A68" w:rsidRDefault="009A09D3">
            <w:pPr>
              <w:pStyle w:val="COMTabletext"/>
              <w:jc w:val="center"/>
            </w:pPr>
            <w:r>
              <w:t>14 (5.6)</w:t>
            </w:r>
          </w:p>
        </w:tc>
        <w:tc>
          <w:tcPr>
            <w:tcW w:w="1582" w:type="dxa"/>
            <w:vAlign w:val="center"/>
          </w:tcPr>
          <w:p w14:paraId="7A128954" w14:textId="77777777" w:rsidR="009A09D3" w:rsidRPr="00C95A68" w:rsidRDefault="009A09D3">
            <w:pPr>
              <w:pStyle w:val="COMTabletext"/>
              <w:jc w:val="center"/>
            </w:pPr>
            <w:r>
              <w:t>31 (12.7)</w:t>
            </w:r>
          </w:p>
        </w:tc>
      </w:tr>
      <w:tr w:rsidR="009A09D3" w:rsidRPr="0098262F" w14:paraId="5B4F1981" w14:textId="77777777">
        <w:tc>
          <w:tcPr>
            <w:tcW w:w="2689" w:type="dxa"/>
          </w:tcPr>
          <w:p w14:paraId="7B9BD3EB" w14:textId="77777777" w:rsidR="009A09D3" w:rsidRPr="001955DA" w:rsidRDefault="009A09D3">
            <w:pPr>
              <w:pStyle w:val="COMTabletext"/>
            </w:pPr>
            <w:r w:rsidRPr="00FA0D68">
              <w:t>Fatal adverse event</w:t>
            </w:r>
            <w:r>
              <w:t>s</w:t>
            </w:r>
          </w:p>
        </w:tc>
        <w:tc>
          <w:tcPr>
            <w:tcW w:w="1582" w:type="dxa"/>
            <w:vAlign w:val="center"/>
          </w:tcPr>
          <w:p w14:paraId="241DDF8D" w14:textId="77777777" w:rsidR="009A09D3" w:rsidRPr="0098262F" w:rsidRDefault="009A09D3">
            <w:pPr>
              <w:pStyle w:val="COMTabletext"/>
              <w:jc w:val="center"/>
            </w:pPr>
            <w:r w:rsidRPr="00F25849">
              <w:t>20 (7.9)</w:t>
            </w:r>
          </w:p>
        </w:tc>
        <w:tc>
          <w:tcPr>
            <w:tcW w:w="1582" w:type="dxa"/>
            <w:vAlign w:val="center"/>
          </w:tcPr>
          <w:p w14:paraId="2915DD65" w14:textId="77777777" w:rsidR="009A09D3" w:rsidRPr="0098262F" w:rsidRDefault="009A09D3">
            <w:pPr>
              <w:pStyle w:val="COMTabletext"/>
              <w:jc w:val="center"/>
            </w:pPr>
            <w:r w:rsidRPr="00C95A68">
              <w:t>21 (8.6)</w:t>
            </w:r>
          </w:p>
        </w:tc>
        <w:tc>
          <w:tcPr>
            <w:tcW w:w="1582" w:type="dxa"/>
            <w:vAlign w:val="center"/>
          </w:tcPr>
          <w:p w14:paraId="46DB35DF" w14:textId="77777777" w:rsidR="009A09D3" w:rsidRPr="00C95A68" w:rsidRDefault="009A09D3">
            <w:pPr>
              <w:pStyle w:val="COMTabletext"/>
              <w:jc w:val="center"/>
            </w:pPr>
            <w:r>
              <w:t>20 (7.9)</w:t>
            </w:r>
          </w:p>
        </w:tc>
        <w:tc>
          <w:tcPr>
            <w:tcW w:w="1582" w:type="dxa"/>
            <w:vAlign w:val="center"/>
          </w:tcPr>
          <w:p w14:paraId="62AE7F1B" w14:textId="77777777" w:rsidR="009A09D3" w:rsidRPr="00C95A68" w:rsidRDefault="009A09D3">
            <w:pPr>
              <w:pStyle w:val="COMTabletext"/>
              <w:jc w:val="center"/>
            </w:pPr>
            <w:r>
              <w:t>21 (8.6)</w:t>
            </w:r>
          </w:p>
        </w:tc>
      </w:tr>
      <w:tr w:rsidR="009A09D3" w:rsidRPr="0098262F" w14:paraId="2F530D1A" w14:textId="77777777">
        <w:trPr>
          <w:trHeight w:val="30"/>
        </w:trPr>
        <w:tc>
          <w:tcPr>
            <w:tcW w:w="2689" w:type="dxa"/>
          </w:tcPr>
          <w:p w14:paraId="04925CE2" w14:textId="77777777" w:rsidR="009A09D3" w:rsidRPr="001955DA" w:rsidRDefault="009A09D3">
            <w:pPr>
              <w:pStyle w:val="COMTabletext"/>
            </w:pPr>
            <w:r w:rsidRPr="00FA0D68">
              <w:t>Treatment-related TEAEs</w:t>
            </w:r>
          </w:p>
        </w:tc>
        <w:tc>
          <w:tcPr>
            <w:tcW w:w="1582" w:type="dxa"/>
            <w:vAlign w:val="center"/>
          </w:tcPr>
          <w:p w14:paraId="7E01F69B" w14:textId="77777777" w:rsidR="009A09D3" w:rsidRPr="0098262F" w:rsidRDefault="009A09D3">
            <w:pPr>
              <w:pStyle w:val="COMTabletext"/>
              <w:jc w:val="center"/>
            </w:pPr>
            <w:r w:rsidRPr="00F25849">
              <w:t>235 (93.3)</w:t>
            </w:r>
          </w:p>
        </w:tc>
        <w:tc>
          <w:tcPr>
            <w:tcW w:w="1582" w:type="dxa"/>
            <w:vAlign w:val="center"/>
          </w:tcPr>
          <w:p w14:paraId="2C5E9477" w14:textId="77777777" w:rsidR="009A09D3" w:rsidRPr="0098262F" w:rsidRDefault="009A09D3">
            <w:pPr>
              <w:pStyle w:val="COMTabletext"/>
              <w:jc w:val="center"/>
            </w:pPr>
            <w:r w:rsidRPr="00C95A68">
              <w:t>223 (91.4)</w:t>
            </w:r>
          </w:p>
        </w:tc>
        <w:tc>
          <w:tcPr>
            <w:tcW w:w="1582" w:type="dxa"/>
            <w:vAlign w:val="center"/>
          </w:tcPr>
          <w:p w14:paraId="43727252" w14:textId="77777777" w:rsidR="009A09D3" w:rsidRPr="00C95A68" w:rsidRDefault="009A09D3">
            <w:pPr>
              <w:pStyle w:val="COMTabletext"/>
              <w:jc w:val="center"/>
            </w:pPr>
            <w:r w:rsidRPr="00BC2902">
              <w:t>235 (93.3)</w:t>
            </w:r>
          </w:p>
        </w:tc>
        <w:tc>
          <w:tcPr>
            <w:tcW w:w="1582" w:type="dxa"/>
            <w:vAlign w:val="center"/>
          </w:tcPr>
          <w:p w14:paraId="18988C82" w14:textId="77777777" w:rsidR="009A09D3" w:rsidRPr="00C95A68" w:rsidRDefault="009A09D3">
            <w:pPr>
              <w:pStyle w:val="COMTabletext"/>
              <w:jc w:val="center"/>
            </w:pPr>
            <w:r w:rsidRPr="00BC2902">
              <w:t>223 (91.4)</w:t>
            </w:r>
          </w:p>
        </w:tc>
      </w:tr>
      <w:tr w:rsidR="009A09D3" w:rsidRPr="0098262F" w14:paraId="25BD58C5" w14:textId="77777777">
        <w:tc>
          <w:tcPr>
            <w:tcW w:w="2689" w:type="dxa"/>
          </w:tcPr>
          <w:p w14:paraId="202A68ED" w14:textId="77777777" w:rsidR="009A09D3" w:rsidRPr="001A0012" w:rsidRDefault="009A09D3" w:rsidP="00214BEC">
            <w:pPr>
              <w:pStyle w:val="COMTabletext"/>
              <w:numPr>
                <w:ilvl w:val="0"/>
                <w:numId w:val="8"/>
              </w:numPr>
              <w:ind w:left="170" w:hanging="170"/>
            </w:pPr>
            <w:r w:rsidRPr="00FA0D68">
              <w:t>Grade ≥3</w:t>
            </w:r>
            <w:r>
              <w:t xml:space="preserve"> adverse events</w:t>
            </w:r>
          </w:p>
        </w:tc>
        <w:tc>
          <w:tcPr>
            <w:tcW w:w="1582" w:type="dxa"/>
            <w:vAlign w:val="center"/>
          </w:tcPr>
          <w:p w14:paraId="160814B5" w14:textId="77777777" w:rsidR="009A09D3" w:rsidRPr="0098262F" w:rsidRDefault="009A09D3">
            <w:pPr>
              <w:pStyle w:val="COMTabletext"/>
              <w:jc w:val="center"/>
            </w:pPr>
            <w:r w:rsidRPr="00F25849">
              <w:t>67 (26.6)</w:t>
            </w:r>
          </w:p>
        </w:tc>
        <w:tc>
          <w:tcPr>
            <w:tcW w:w="1582" w:type="dxa"/>
            <w:vAlign w:val="center"/>
          </w:tcPr>
          <w:p w14:paraId="4F0F179B" w14:textId="77777777" w:rsidR="009A09D3" w:rsidRPr="0098262F" w:rsidRDefault="009A09D3">
            <w:pPr>
              <w:pStyle w:val="COMTabletext"/>
              <w:jc w:val="center"/>
            </w:pPr>
            <w:r w:rsidRPr="00C95A68">
              <w:t>152 (62.3)</w:t>
            </w:r>
          </w:p>
        </w:tc>
        <w:tc>
          <w:tcPr>
            <w:tcW w:w="1582" w:type="dxa"/>
            <w:vAlign w:val="center"/>
          </w:tcPr>
          <w:p w14:paraId="11096376" w14:textId="77777777" w:rsidR="009A09D3" w:rsidRPr="00C95A68" w:rsidRDefault="009A09D3">
            <w:pPr>
              <w:pStyle w:val="COMTabletext"/>
              <w:jc w:val="center"/>
            </w:pPr>
            <w:r w:rsidRPr="00F25849">
              <w:t>6</w:t>
            </w:r>
            <w:r>
              <w:t>8</w:t>
            </w:r>
            <w:r w:rsidRPr="00F25849">
              <w:t xml:space="preserve"> (2</w:t>
            </w:r>
            <w:r>
              <w:t>7</w:t>
            </w:r>
            <w:r w:rsidRPr="00F25849">
              <w:t>.</w:t>
            </w:r>
            <w:r>
              <w:t>0</w:t>
            </w:r>
            <w:r w:rsidRPr="00F25849">
              <w:t>)</w:t>
            </w:r>
          </w:p>
        </w:tc>
        <w:tc>
          <w:tcPr>
            <w:tcW w:w="1582" w:type="dxa"/>
            <w:vAlign w:val="center"/>
          </w:tcPr>
          <w:p w14:paraId="30396AA7" w14:textId="77777777" w:rsidR="009A09D3" w:rsidRPr="00C95A68" w:rsidRDefault="009A09D3">
            <w:pPr>
              <w:pStyle w:val="COMTabletext"/>
              <w:jc w:val="center"/>
            </w:pPr>
            <w:r w:rsidRPr="00C95A68">
              <w:t>152 (62.3)</w:t>
            </w:r>
          </w:p>
        </w:tc>
      </w:tr>
      <w:tr w:rsidR="009A09D3" w:rsidRPr="0098262F" w14:paraId="03A80311" w14:textId="77777777">
        <w:tc>
          <w:tcPr>
            <w:tcW w:w="2689" w:type="dxa"/>
          </w:tcPr>
          <w:p w14:paraId="6C0337B5" w14:textId="77777777" w:rsidR="009A09D3" w:rsidRPr="001A0012" w:rsidRDefault="009A09D3" w:rsidP="00214BEC">
            <w:pPr>
              <w:pStyle w:val="COMTabletext"/>
              <w:numPr>
                <w:ilvl w:val="0"/>
                <w:numId w:val="8"/>
              </w:numPr>
              <w:ind w:left="170" w:hanging="170"/>
            </w:pPr>
            <w:r w:rsidRPr="00FA0D68">
              <w:t>Serious adverse events</w:t>
            </w:r>
          </w:p>
        </w:tc>
        <w:tc>
          <w:tcPr>
            <w:tcW w:w="1582" w:type="dxa"/>
            <w:vAlign w:val="center"/>
          </w:tcPr>
          <w:p w14:paraId="527D1928" w14:textId="77777777" w:rsidR="009A09D3" w:rsidRPr="00EE2036" w:rsidRDefault="009A09D3">
            <w:pPr>
              <w:pStyle w:val="COMTabletext"/>
              <w:jc w:val="center"/>
              <w:rPr>
                <w:rFonts w:cstheme="minorHAnsi"/>
                <w:sz w:val="18"/>
                <w:szCs w:val="18"/>
              </w:rPr>
            </w:pPr>
            <w:r w:rsidRPr="00F25849">
              <w:t>70 (27.8)</w:t>
            </w:r>
          </w:p>
        </w:tc>
        <w:tc>
          <w:tcPr>
            <w:tcW w:w="1582" w:type="dxa"/>
            <w:vAlign w:val="center"/>
          </w:tcPr>
          <w:p w14:paraId="243AFDDB" w14:textId="77777777" w:rsidR="009A09D3" w:rsidRPr="00EE2036" w:rsidRDefault="009A09D3">
            <w:pPr>
              <w:pStyle w:val="COMTabletext"/>
              <w:jc w:val="center"/>
              <w:rPr>
                <w:rFonts w:cstheme="minorHAnsi"/>
                <w:sz w:val="18"/>
                <w:szCs w:val="18"/>
              </w:rPr>
            </w:pPr>
            <w:r w:rsidRPr="00C95A68">
              <w:t>75 (30.7)</w:t>
            </w:r>
          </w:p>
        </w:tc>
        <w:tc>
          <w:tcPr>
            <w:tcW w:w="1582" w:type="dxa"/>
          </w:tcPr>
          <w:p w14:paraId="06298ABC" w14:textId="77777777" w:rsidR="009A09D3" w:rsidRPr="00C95A68" w:rsidRDefault="009A09D3">
            <w:pPr>
              <w:pStyle w:val="COMTabletext"/>
              <w:jc w:val="center"/>
            </w:pPr>
            <w:r w:rsidRPr="00FC2CAC">
              <w:t>7</w:t>
            </w:r>
            <w:r>
              <w:t>1</w:t>
            </w:r>
            <w:r w:rsidRPr="00FC2CAC">
              <w:t xml:space="preserve"> (28</w:t>
            </w:r>
            <w:r>
              <w:t>.2</w:t>
            </w:r>
            <w:r w:rsidRPr="00FC2CAC">
              <w:t>)</w:t>
            </w:r>
          </w:p>
        </w:tc>
        <w:tc>
          <w:tcPr>
            <w:tcW w:w="1582" w:type="dxa"/>
          </w:tcPr>
          <w:p w14:paraId="02BC0F6A" w14:textId="77777777" w:rsidR="009A09D3" w:rsidRPr="00C95A68" w:rsidRDefault="009A09D3">
            <w:pPr>
              <w:pStyle w:val="COMTabletext"/>
              <w:jc w:val="center"/>
            </w:pPr>
            <w:r w:rsidRPr="00FC2CAC">
              <w:t>7</w:t>
            </w:r>
            <w:r>
              <w:t>6</w:t>
            </w:r>
            <w:r w:rsidRPr="00FC2CAC">
              <w:t xml:space="preserve"> (3</w:t>
            </w:r>
            <w:r>
              <w:t>1</w:t>
            </w:r>
            <w:r w:rsidRPr="00FC2CAC">
              <w:t>.</w:t>
            </w:r>
            <w:r>
              <w:t>1</w:t>
            </w:r>
            <w:r w:rsidRPr="00FC2CAC">
              <w:t>)</w:t>
            </w:r>
          </w:p>
        </w:tc>
      </w:tr>
      <w:tr w:rsidR="009A09D3" w:rsidRPr="0098262F" w14:paraId="2EDEE9F0" w14:textId="77777777">
        <w:tc>
          <w:tcPr>
            <w:tcW w:w="2689" w:type="dxa"/>
            <w:tcBorders>
              <w:bottom w:val="single" w:sz="4" w:space="0" w:color="auto"/>
            </w:tcBorders>
          </w:tcPr>
          <w:p w14:paraId="5F8A6770" w14:textId="77777777" w:rsidR="009A09D3" w:rsidRPr="001A0012" w:rsidRDefault="009A09D3" w:rsidP="00214BEC">
            <w:pPr>
              <w:pStyle w:val="COMTabletext"/>
              <w:numPr>
                <w:ilvl w:val="0"/>
                <w:numId w:val="8"/>
              </w:numPr>
              <w:ind w:left="170" w:hanging="170"/>
            </w:pPr>
            <w:r>
              <w:t>AEs l</w:t>
            </w:r>
            <w:r w:rsidRPr="00FA0D68">
              <w:t>eading to dose interruption and/or reduction</w:t>
            </w:r>
          </w:p>
        </w:tc>
        <w:tc>
          <w:tcPr>
            <w:tcW w:w="1582" w:type="dxa"/>
            <w:tcBorders>
              <w:bottom w:val="single" w:sz="4" w:space="0" w:color="auto"/>
            </w:tcBorders>
            <w:vAlign w:val="center"/>
          </w:tcPr>
          <w:p w14:paraId="5BAF105D" w14:textId="77777777" w:rsidR="009A09D3" w:rsidRPr="00EE2036" w:rsidRDefault="009A09D3">
            <w:pPr>
              <w:pStyle w:val="COMTabletext"/>
              <w:jc w:val="center"/>
              <w:rPr>
                <w:rFonts w:cstheme="minorHAnsi"/>
                <w:sz w:val="18"/>
                <w:szCs w:val="18"/>
              </w:rPr>
            </w:pPr>
            <w:r w:rsidRPr="00F25849">
              <w:t>48 (19.0)</w:t>
            </w:r>
          </w:p>
        </w:tc>
        <w:tc>
          <w:tcPr>
            <w:tcW w:w="1582" w:type="dxa"/>
            <w:tcBorders>
              <w:bottom w:val="single" w:sz="4" w:space="0" w:color="auto"/>
            </w:tcBorders>
            <w:vAlign w:val="center"/>
          </w:tcPr>
          <w:p w14:paraId="6613A4C9" w14:textId="77777777" w:rsidR="009A09D3" w:rsidRPr="00EE2036" w:rsidRDefault="009A09D3">
            <w:pPr>
              <w:pStyle w:val="COMTabletext"/>
              <w:jc w:val="center"/>
              <w:rPr>
                <w:rFonts w:cstheme="minorHAnsi"/>
                <w:sz w:val="18"/>
                <w:szCs w:val="18"/>
              </w:rPr>
            </w:pPr>
            <w:r w:rsidRPr="00C95A68">
              <w:t>134 (54.9)</w:t>
            </w:r>
          </w:p>
        </w:tc>
        <w:tc>
          <w:tcPr>
            <w:tcW w:w="1582" w:type="dxa"/>
            <w:tcBorders>
              <w:bottom w:val="single" w:sz="4" w:space="0" w:color="auto"/>
            </w:tcBorders>
            <w:vAlign w:val="center"/>
          </w:tcPr>
          <w:p w14:paraId="1AA5AD88" w14:textId="77777777" w:rsidR="009A09D3" w:rsidRPr="00C95A68" w:rsidRDefault="009A09D3">
            <w:pPr>
              <w:pStyle w:val="COMTabletext"/>
              <w:jc w:val="center"/>
            </w:pPr>
            <w:r w:rsidRPr="00F25849">
              <w:t>48 (19.0)</w:t>
            </w:r>
          </w:p>
        </w:tc>
        <w:tc>
          <w:tcPr>
            <w:tcW w:w="1582" w:type="dxa"/>
            <w:tcBorders>
              <w:bottom w:val="single" w:sz="4" w:space="0" w:color="auto"/>
            </w:tcBorders>
            <w:vAlign w:val="center"/>
          </w:tcPr>
          <w:p w14:paraId="60FEED35" w14:textId="77777777" w:rsidR="009A09D3" w:rsidRPr="00C95A68" w:rsidRDefault="009A09D3">
            <w:pPr>
              <w:pStyle w:val="COMTabletext"/>
              <w:jc w:val="center"/>
            </w:pPr>
            <w:r w:rsidRPr="00C95A68">
              <w:t>134 (54.9)</w:t>
            </w:r>
          </w:p>
        </w:tc>
      </w:tr>
      <w:tr w:rsidR="009A09D3" w:rsidRPr="0098262F" w14:paraId="56422E6B" w14:textId="77777777">
        <w:tc>
          <w:tcPr>
            <w:tcW w:w="2689" w:type="dxa"/>
            <w:tcBorders>
              <w:top w:val="single" w:sz="4" w:space="0" w:color="auto"/>
              <w:left w:val="single" w:sz="4" w:space="0" w:color="auto"/>
              <w:bottom w:val="single" w:sz="4" w:space="0" w:color="auto"/>
              <w:right w:val="single" w:sz="4" w:space="0" w:color="auto"/>
            </w:tcBorders>
          </w:tcPr>
          <w:p w14:paraId="38C1744E" w14:textId="77777777" w:rsidR="009A09D3" w:rsidRPr="001A0012" w:rsidRDefault="009A09D3" w:rsidP="00214BEC">
            <w:pPr>
              <w:pStyle w:val="COMTabletext"/>
              <w:numPr>
                <w:ilvl w:val="0"/>
                <w:numId w:val="8"/>
              </w:numPr>
              <w:ind w:left="170" w:hanging="170"/>
            </w:pPr>
            <w:r>
              <w:t>AEs l</w:t>
            </w:r>
            <w:r w:rsidRPr="00FA0D68">
              <w:t xml:space="preserve">eading to discontinuation </w:t>
            </w:r>
          </w:p>
        </w:tc>
        <w:tc>
          <w:tcPr>
            <w:tcW w:w="1582" w:type="dxa"/>
            <w:tcBorders>
              <w:top w:val="single" w:sz="4" w:space="0" w:color="auto"/>
              <w:left w:val="single" w:sz="4" w:space="0" w:color="auto"/>
              <w:bottom w:val="single" w:sz="4" w:space="0" w:color="auto"/>
              <w:right w:val="single" w:sz="4" w:space="0" w:color="auto"/>
            </w:tcBorders>
            <w:vAlign w:val="center"/>
          </w:tcPr>
          <w:p w14:paraId="70979F30" w14:textId="77777777" w:rsidR="009A09D3" w:rsidRPr="00EE2036" w:rsidRDefault="009A09D3">
            <w:pPr>
              <w:pStyle w:val="COMTabletext"/>
              <w:jc w:val="center"/>
              <w:rPr>
                <w:rFonts w:cstheme="minorHAnsi"/>
                <w:sz w:val="18"/>
                <w:szCs w:val="18"/>
              </w:rPr>
            </w:pPr>
            <w:r w:rsidRPr="00F25849">
              <w:t>7 (2.8)</w:t>
            </w:r>
          </w:p>
        </w:tc>
        <w:tc>
          <w:tcPr>
            <w:tcW w:w="1582" w:type="dxa"/>
            <w:tcBorders>
              <w:top w:val="single" w:sz="4" w:space="0" w:color="auto"/>
              <w:left w:val="single" w:sz="4" w:space="0" w:color="auto"/>
              <w:bottom w:val="single" w:sz="4" w:space="0" w:color="auto"/>
              <w:right w:val="single" w:sz="4" w:space="0" w:color="auto"/>
            </w:tcBorders>
            <w:vAlign w:val="center"/>
          </w:tcPr>
          <w:p w14:paraId="03C2DFE4" w14:textId="77777777" w:rsidR="009A09D3" w:rsidRPr="00EE2036" w:rsidRDefault="009A09D3">
            <w:pPr>
              <w:pStyle w:val="COMTabletext"/>
              <w:jc w:val="center"/>
              <w:rPr>
                <w:rFonts w:cstheme="minorHAnsi"/>
                <w:sz w:val="18"/>
                <w:szCs w:val="18"/>
              </w:rPr>
            </w:pPr>
            <w:r w:rsidRPr="00C95A68">
              <w:t>15 (6.1)</w:t>
            </w:r>
          </w:p>
        </w:tc>
        <w:tc>
          <w:tcPr>
            <w:tcW w:w="1582" w:type="dxa"/>
            <w:tcBorders>
              <w:top w:val="single" w:sz="4" w:space="0" w:color="auto"/>
              <w:left w:val="single" w:sz="4" w:space="0" w:color="auto"/>
              <w:bottom w:val="single" w:sz="4" w:space="0" w:color="auto"/>
              <w:right w:val="single" w:sz="4" w:space="0" w:color="auto"/>
            </w:tcBorders>
            <w:vAlign w:val="center"/>
          </w:tcPr>
          <w:p w14:paraId="6613CD39" w14:textId="77777777" w:rsidR="009A09D3" w:rsidRPr="00C95A68" w:rsidRDefault="009A09D3">
            <w:pPr>
              <w:pStyle w:val="COMTabletext"/>
              <w:jc w:val="center"/>
            </w:pPr>
            <w:r>
              <w:t>8</w:t>
            </w:r>
            <w:r w:rsidRPr="00F25849">
              <w:t xml:space="preserve"> (</w:t>
            </w:r>
            <w:r>
              <w:t>3</w:t>
            </w:r>
            <w:r w:rsidRPr="00F25849">
              <w:t>.</w:t>
            </w:r>
            <w:r>
              <w:t>2</w:t>
            </w:r>
            <w:r w:rsidRPr="00F25849">
              <w:t>)</w:t>
            </w:r>
          </w:p>
        </w:tc>
        <w:tc>
          <w:tcPr>
            <w:tcW w:w="1582" w:type="dxa"/>
            <w:tcBorders>
              <w:top w:val="single" w:sz="4" w:space="0" w:color="auto"/>
              <w:left w:val="single" w:sz="4" w:space="0" w:color="auto"/>
              <w:bottom w:val="single" w:sz="4" w:space="0" w:color="auto"/>
              <w:right w:val="single" w:sz="4" w:space="0" w:color="auto"/>
            </w:tcBorders>
            <w:vAlign w:val="center"/>
          </w:tcPr>
          <w:p w14:paraId="20B4E1AB" w14:textId="77777777" w:rsidR="009A09D3" w:rsidRPr="00C95A68" w:rsidRDefault="009A09D3">
            <w:pPr>
              <w:pStyle w:val="COMTabletext"/>
              <w:jc w:val="center"/>
            </w:pPr>
            <w:r w:rsidRPr="00C95A68">
              <w:t>1</w:t>
            </w:r>
            <w:r>
              <w:t>6</w:t>
            </w:r>
            <w:r w:rsidRPr="00C95A68">
              <w:t xml:space="preserve"> (6.</w:t>
            </w:r>
            <w:r>
              <w:t>6</w:t>
            </w:r>
            <w:r w:rsidRPr="00C95A68">
              <w:t>)</w:t>
            </w:r>
          </w:p>
        </w:tc>
      </w:tr>
      <w:tr w:rsidR="009A09D3" w:rsidRPr="0098262F" w14:paraId="2B82B4AA" w14:textId="77777777">
        <w:tc>
          <w:tcPr>
            <w:tcW w:w="2689" w:type="dxa"/>
            <w:tcBorders>
              <w:top w:val="single" w:sz="4" w:space="0" w:color="auto"/>
              <w:left w:val="single" w:sz="4" w:space="0" w:color="auto"/>
              <w:bottom w:val="single" w:sz="4" w:space="0" w:color="auto"/>
              <w:right w:val="single" w:sz="4" w:space="0" w:color="auto"/>
            </w:tcBorders>
          </w:tcPr>
          <w:p w14:paraId="43FB9BC8" w14:textId="77777777" w:rsidR="009A09D3" w:rsidRDefault="009A09D3" w:rsidP="00214BEC">
            <w:pPr>
              <w:pStyle w:val="COMTabletext"/>
              <w:numPr>
                <w:ilvl w:val="0"/>
                <w:numId w:val="8"/>
              </w:numPr>
              <w:ind w:left="170" w:hanging="170"/>
            </w:pPr>
            <w:r>
              <w:t>Fatal adverse events</w:t>
            </w:r>
          </w:p>
        </w:tc>
        <w:tc>
          <w:tcPr>
            <w:tcW w:w="1582" w:type="dxa"/>
            <w:tcBorders>
              <w:top w:val="single" w:sz="4" w:space="0" w:color="auto"/>
              <w:left w:val="single" w:sz="4" w:space="0" w:color="auto"/>
              <w:bottom w:val="single" w:sz="4" w:space="0" w:color="auto"/>
              <w:right w:val="single" w:sz="4" w:space="0" w:color="auto"/>
            </w:tcBorders>
            <w:vAlign w:val="center"/>
          </w:tcPr>
          <w:p w14:paraId="26942A7D" w14:textId="77777777" w:rsidR="009A09D3" w:rsidRPr="00F25849" w:rsidRDefault="009A09D3">
            <w:pPr>
              <w:pStyle w:val="COMTabletext"/>
              <w:jc w:val="center"/>
            </w:pPr>
            <w:r>
              <w:t>1 (0.4)</w:t>
            </w:r>
          </w:p>
        </w:tc>
        <w:tc>
          <w:tcPr>
            <w:tcW w:w="1582" w:type="dxa"/>
            <w:tcBorders>
              <w:top w:val="single" w:sz="4" w:space="0" w:color="auto"/>
              <w:left w:val="single" w:sz="4" w:space="0" w:color="auto"/>
              <w:bottom w:val="single" w:sz="4" w:space="0" w:color="auto"/>
              <w:right w:val="single" w:sz="4" w:space="0" w:color="auto"/>
            </w:tcBorders>
            <w:vAlign w:val="center"/>
          </w:tcPr>
          <w:p w14:paraId="1D2EC74B" w14:textId="77777777" w:rsidR="009A09D3" w:rsidRPr="00C95A68" w:rsidRDefault="009A09D3">
            <w:pPr>
              <w:pStyle w:val="COMTabletext"/>
              <w:jc w:val="center"/>
            </w:pPr>
            <w:r>
              <w:t>4 (1.6)</w:t>
            </w:r>
          </w:p>
        </w:tc>
        <w:tc>
          <w:tcPr>
            <w:tcW w:w="1582" w:type="dxa"/>
            <w:tcBorders>
              <w:top w:val="single" w:sz="4" w:space="0" w:color="auto"/>
              <w:left w:val="single" w:sz="4" w:space="0" w:color="auto"/>
              <w:bottom w:val="single" w:sz="4" w:space="0" w:color="auto"/>
              <w:right w:val="single" w:sz="4" w:space="0" w:color="auto"/>
            </w:tcBorders>
            <w:vAlign w:val="center"/>
          </w:tcPr>
          <w:p w14:paraId="26A03F78" w14:textId="77777777" w:rsidR="009A09D3" w:rsidRPr="00F25849" w:rsidRDefault="009A09D3">
            <w:pPr>
              <w:pStyle w:val="COMTabletext"/>
              <w:jc w:val="center"/>
            </w:pPr>
            <w:r>
              <w:t>1 (0.4)</w:t>
            </w:r>
          </w:p>
        </w:tc>
        <w:tc>
          <w:tcPr>
            <w:tcW w:w="1582" w:type="dxa"/>
            <w:tcBorders>
              <w:top w:val="single" w:sz="4" w:space="0" w:color="auto"/>
              <w:left w:val="single" w:sz="4" w:space="0" w:color="auto"/>
              <w:bottom w:val="single" w:sz="4" w:space="0" w:color="auto"/>
              <w:right w:val="single" w:sz="4" w:space="0" w:color="auto"/>
            </w:tcBorders>
            <w:vAlign w:val="center"/>
          </w:tcPr>
          <w:p w14:paraId="6CAFB369" w14:textId="77777777" w:rsidR="009A09D3" w:rsidRPr="00C95A68" w:rsidRDefault="009A09D3">
            <w:pPr>
              <w:pStyle w:val="COMTabletext"/>
              <w:jc w:val="center"/>
            </w:pPr>
            <w:r>
              <w:t>4 (1.6)</w:t>
            </w:r>
          </w:p>
        </w:tc>
      </w:tr>
      <w:tr w:rsidR="009A09D3" w:rsidRPr="0098262F" w14:paraId="1839700E" w14:textId="77777777">
        <w:tc>
          <w:tcPr>
            <w:tcW w:w="9017" w:type="dxa"/>
            <w:gridSpan w:val="5"/>
            <w:tcBorders>
              <w:top w:val="single" w:sz="4" w:space="0" w:color="auto"/>
              <w:left w:val="single" w:sz="4" w:space="0" w:color="auto"/>
              <w:bottom w:val="single" w:sz="4" w:space="0" w:color="auto"/>
              <w:right w:val="single" w:sz="4" w:space="0" w:color="auto"/>
            </w:tcBorders>
          </w:tcPr>
          <w:p w14:paraId="5059986D" w14:textId="77777777" w:rsidR="009A09D3" w:rsidRPr="002244AD" w:rsidRDefault="009A09D3">
            <w:pPr>
              <w:pStyle w:val="COMTabletext"/>
              <w:rPr>
                <w:b/>
                <w:bCs w:val="0"/>
              </w:rPr>
            </w:pPr>
            <w:r>
              <w:rPr>
                <w:b/>
                <w:bCs w:val="0"/>
              </w:rPr>
              <w:t>TEAEs</w:t>
            </w:r>
            <w:r w:rsidRPr="002244AD">
              <w:rPr>
                <w:b/>
                <w:bCs w:val="0"/>
              </w:rPr>
              <w:t xml:space="preserve"> of interest</w:t>
            </w:r>
          </w:p>
        </w:tc>
      </w:tr>
      <w:tr w:rsidR="009A09D3" w:rsidRPr="0098262F" w14:paraId="74FB73F1" w14:textId="77777777">
        <w:tc>
          <w:tcPr>
            <w:tcW w:w="2689" w:type="dxa"/>
            <w:tcBorders>
              <w:top w:val="single" w:sz="4" w:space="0" w:color="auto"/>
              <w:left w:val="single" w:sz="4" w:space="0" w:color="auto"/>
              <w:bottom w:val="single" w:sz="4" w:space="0" w:color="auto"/>
              <w:right w:val="single" w:sz="4" w:space="0" w:color="auto"/>
            </w:tcBorders>
          </w:tcPr>
          <w:p w14:paraId="6E8C967C" w14:textId="022C3480" w:rsidR="009A09D3" w:rsidRPr="00684B91" w:rsidRDefault="009A09D3">
            <w:pPr>
              <w:pStyle w:val="COMTabletext"/>
              <w:rPr>
                <w:vertAlign w:val="superscript"/>
              </w:rPr>
            </w:pPr>
            <w:r w:rsidRPr="00F85E35">
              <w:t>Cytokine release syndrome</w:t>
            </w:r>
            <w:r>
              <w:t xml:space="preserve"> (broad)</w:t>
            </w:r>
            <w:r w:rsidR="00EE5DCA" w:rsidRPr="00EE5DCA">
              <w:rPr>
                <w:vertAlign w:val="superscript"/>
              </w:rPr>
              <w:t>a</w:t>
            </w:r>
          </w:p>
        </w:tc>
        <w:tc>
          <w:tcPr>
            <w:tcW w:w="1582" w:type="dxa"/>
            <w:tcBorders>
              <w:top w:val="single" w:sz="4" w:space="0" w:color="auto"/>
              <w:left w:val="single" w:sz="4" w:space="0" w:color="auto"/>
              <w:bottom w:val="single" w:sz="4" w:space="0" w:color="auto"/>
              <w:right w:val="single" w:sz="4" w:space="0" w:color="auto"/>
            </w:tcBorders>
          </w:tcPr>
          <w:p w14:paraId="2276053D" w14:textId="77777777" w:rsidR="009A09D3" w:rsidRDefault="009A09D3">
            <w:pPr>
              <w:pStyle w:val="COMTabletext"/>
              <w:jc w:val="center"/>
            </w:pPr>
            <w:r>
              <w:t>235 (93.3)</w:t>
            </w:r>
          </w:p>
        </w:tc>
        <w:tc>
          <w:tcPr>
            <w:tcW w:w="1582" w:type="dxa"/>
            <w:tcBorders>
              <w:top w:val="single" w:sz="4" w:space="0" w:color="auto"/>
              <w:left w:val="single" w:sz="4" w:space="0" w:color="auto"/>
              <w:bottom w:val="single" w:sz="4" w:space="0" w:color="auto"/>
              <w:right w:val="single" w:sz="4" w:space="0" w:color="auto"/>
            </w:tcBorders>
          </w:tcPr>
          <w:p w14:paraId="24B3C81C" w14:textId="77777777" w:rsidR="009A09D3" w:rsidRDefault="009A09D3">
            <w:pPr>
              <w:pStyle w:val="COMTabletext"/>
              <w:jc w:val="center"/>
            </w:pPr>
            <w:r>
              <w:t>208 (85.2)</w:t>
            </w:r>
          </w:p>
        </w:tc>
        <w:tc>
          <w:tcPr>
            <w:tcW w:w="1582" w:type="dxa"/>
            <w:tcBorders>
              <w:top w:val="single" w:sz="4" w:space="0" w:color="auto"/>
              <w:left w:val="single" w:sz="4" w:space="0" w:color="auto"/>
              <w:bottom w:val="single" w:sz="4" w:space="0" w:color="auto"/>
              <w:right w:val="single" w:sz="4" w:space="0" w:color="auto"/>
            </w:tcBorders>
          </w:tcPr>
          <w:p w14:paraId="20109092" w14:textId="77777777" w:rsidR="009A09D3" w:rsidRDefault="009A09D3">
            <w:pPr>
              <w:pStyle w:val="COMTabletext"/>
              <w:jc w:val="center"/>
            </w:pPr>
            <w:r>
              <w:t>235 (93.3)</w:t>
            </w:r>
          </w:p>
        </w:tc>
        <w:tc>
          <w:tcPr>
            <w:tcW w:w="1582" w:type="dxa"/>
            <w:tcBorders>
              <w:top w:val="single" w:sz="4" w:space="0" w:color="auto"/>
              <w:left w:val="single" w:sz="4" w:space="0" w:color="auto"/>
              <w:bottom w:val="single" w:sz="4" w:space="0" w:color="auto"/>
              <w:right w:val="single" w:sz="4" w:space="0" w:color="auto"/>
            </w:tcBorders>
          </w:tcPr>
          <w:p w14:paraId="368705EF" w14:textId="77777777" w:rsidR="009A09D3" w:rsidRDefault="009A09D3">
            <w:pPr>
              <w:pStyle w:val="COMTabletext"/>
              <w:jc w:val="center"/>
            </w:pPr>
            <w:r>
              <w:t>208 (85.2)</w:t>
            </w:r>
          </w:p>
        </w:tc>
      </w:tr>
      <w:tr w:rsidR="009A09D3" w:rsidRPr="0098262F" w14:paraId="28C21383" w14:textId="77777777">
        <w:tc>
          <w:tcPr>
            <w:tcW w:w="2689" w:type="dxa"/>
            <w:tcBorders>
              <w:top w:val="single" w:sz="4" w:space="0" w:color="auto"/>
              <w:left w:val="single" w:sz="4" w:space="0" w:color="auto"/>
              <w:bottom w:val="single" w:sz="4" w:space="0" w:color="auto"/>
              <w:right w:val="single" w:sz="4" w:space="0" w:color="auto"/>
            </w:tcBorders>
          </w:tcPr>
          <w:p w14:paraId="6D9BE7BF" w14:textId="5874CC86" w:rsidR="009A09D3" w:rsidRPr="00622736" w:rsidRDefault="009A09D3">
            <w:pPr>
              <w:pStyle w:val="COMTabletext"/>
              <w:rPr>
                <w:vertAlign w:val="superscript"/>
              </w:rPr>
            </w:pPr>
            <w:r w:rsidRPr="009A09D3">
              <w:t>Cytokine release syndrome (narrow)</w:t>
            </w:r>
            <w:r w:rsidR="00EE5DCA" w:rsidRPr="00EE5DCA">
              <w:rPr>
                <w:vertAlign w:val="superscript"/>
              </w:rPr>
              <w:t>b</w:t>
            </w:r>
          </w:p>
        </w:tc>
        <w:tc>
          <w:tcPr>
            <w:tcW w:w="1582" w:type="dxa"/>
            <w:tcBorders>
              <w:top w:val="single" w:sz="4" w:space="0" w:color="auto"/>
              <w:left w:val="single" w:sz="4" w:space="0" w:color="auto"/>
              <w:bottom w:val="single" w:sz="4" w:space="0" w:color="auto"/>
              <w:right w:val="single" w:sz="4" w:space="0" w:color="auto"/>
            </w:tcBorders>
          </w:tcPr>
          <w:p w14:paraId="11168CB1" w14:textId="77777777" w:rsidR="009A09D3" w:rsidRPr="004E0973" w:rsidRDefault="009A09D3">
            <w:pPr>
              <w:pStyle w:val="COMTabletext"/>
              <w:jc w:val="center"/>
            </w:pPr>
            <w:r w:rsidRPr="004E0973">
              <w:t>142 (56.3)</w:t>
            </w:r>
          </w:p>
        </w:tc>
        <w:tc>
          <w:tcPr>
            <w:tcW w:w="1582" w:type="dxa"/>
            <w:tcBorders>
              <w:top w:val="single" w:sz="4" w:space="0" w:color="auto"/>
              <w:left w:val="single" w:sz="4" w:space="0" w:color="auto"/>
              <w:bottom w:val="single" w:sz="4" w:space="0" w:color="auto"/>
              <w:right w:val="single" w:sz="4" w:space="0" w:color="auto"/>
            </w:tcBorders>
          </w:tcPr>
          <w:p w14:paraId="292010FC" w14:textId="77777777" w:rsidR="009A09D3" w:rsidRPr="003175AE" w:rsidRDefault="009A09D3">
            <w:pPr>
              <w:pStyle w:val="COMTabletext"/>
              <w:jc w:val="center"/>
            </w:pPr>
            <w:r w:rsidRPr="003175AE">
              <w:t>3 (1.2)</w:t>
            </w:r>
          </w:p>
        </w:tc>
        <w:tc>
          <w:tcPr>
            <w:tcW w:w="1582" w:type="dxa"/>
            <w:tcBorders>
              <w:top w:val="single" w:sz="4" w:space="0" w:color="auto"/>
              <w:left w:val="single" w:sz="4" w:space="0" w:color="auto"/>
              <w:bottom w:val="single" w:sz="4" w:space="0" w:color="auto"/>
              <w:right w:val="single" w:sz="4" w:space="0" w:color="auto"/>
            </w:tcBorders>
          </w:tcPr>
          <w:p w14:paraId="4E384D3E" w14:textId="77777777" w:rsidR="009A09D3" w:rsidRPr="004E0973" w:rsidRDefault="009A09D3">
            <w:pPr>
              <w:pStyle w:val="COMTabletext"/>
              <w:jc w:val="center"/>
            </w:pPr>
            <w:r w:rsidRPr="004E0973">
              <w:t>142 (56.3)</w:t>
            </w:r>
          </w:p>
        </w:tc>
        <w:tc>
          <w:tcPr>
            <w:tcW w:w="1582" w:type="dxa"/>
            <w:tcBorders>
              <w:top w:val="single" w:sz="4" w:space="0" w:color="auto"/>
              <w:left w:val="single" w:sz="4" w:space="0" w:color="auto"/>
              <w:bottom w:val="single" w:sz="4" w:space="0" w:color="auto"/>
              <w:right w:val="single" w:sz="4" w:space="0" w:color="auto"/>
            </w:tcBorders>
          </w:tcPr>
          <w:p w14:paraId="60F8181E" w14:textId="77777777" w:rsidR="009A09D3" w:rsidRPr="003175AE" w:rsidRDefault="009A09D3">
            <w:pPr>
              <w:pStyle w:val="COMTabletext"/>
              <w:jc w:val="center"/>
            </w:pPr>
            <w:r w:rsidRPr="003175AE">
              <w:t>3 (1.2)</w:t>
            </w:r>
          </w:p>
        </w:tc>
      </w:tr>
      <w:tr w:rsidR="009A09D3" w:rsidRPr="0098262F" w14:paraId="6C91006A" w14:textId="77777777">
        <w:tc>
          <w:tcPr>
            <w:tcW w:w="2689" w:type="dxa"/>
            <w:tcBorders>
              <w:top w:val="single" w:sz="4" w:space="0" w:color="auto"/>
              <w:left w:val="single" w:sz="4" w:space="0" w:color="auto"/>
              <w:bottom w:val="single" w:sz="4" w:space="0" w:color="auto"/>
              <w:right w:val="single" w:sz="4" w:space="0" w:color="auto"/>
            </w:tcBorders>
          </w:tcPr>
          <w:p w14:paraId="38734F8C" w14:textId="77777777" w:rsidR="009A09D3" w:rsidRPr="00F85E35" w:rsidRDefault="009A09D3">
            <w:pPr>
              <w:pStyle w:val="COMTabletext"/>
            </w:pPr>
            <w:r>
              <w:t xml:space="preserve">    </w:t>
            </w:r>
            <w:r w:rsidRPr="00F00025">
              <w:t>Grade ≥4</w:t>
            </w:r>
          </w:p>
        </w:tc>
        <w:tc>
          <w:tcPr>
            <w:tcW w:w="1582" w:type="dxa"/>
            <w:tcBorders>
              <w:top w:val="single" w:sz="4" w:space="0" w:color="auto"/>
              <w:left w:val="single" w:sz="4" w:space="0" w:color="auto"/>
              <w:bottom w:val="single" w:sz="4" w:space="0" w:color="auto"/>
              <w:right w:val="single" w:sz="4" w:space="0" w:color="auto"/>
            </w:tcBorders>
          </w:tcPr>
          <w:p w14:paraId="3ABF8839" w14:textId="77777777" w:rsidR="009A09D3" w:rsidRPr="004E0973" w:rsidRDefault="009A09D3">
            <w:pPr>
              <w:pStyle w:val="COMTabletext"/>
              <w:jc w:val="center"/>
            </w:pPr>
            <w:r>
              <w:t>0</w:t>
            </w:r>
          </w:p>
        </w:tc>
        <w:tc>
          <w:tcPr>
            <w:tcW w:w="1582" w:type="dxa"/>
            <w:tcBorders>
              <w:top w:val="single" w:sz="4" w:space="0" w:color="auto"/>
              <w:left w:val="single" w:sz="4" w:space="0" w:color="auto"/>
              <w:bottom w:val="single" w:sz="4" w:space="0" w:color="auto"/>
              <w:right w:val="single" w:sz="4" w:space="0" w:color="auto"/>
            </w:tcBorders>
          </w:tcPr>
          <w:p w14:paraId="60D9CECB" w14:textId="77777777" w:rsidR="009A09D3" w:rsidRPr="003175AE" w:rsidRDefault="009A09D3">
            <w:pPr>
              <w:pStyle w:val="COMTabletext"/>
              <w:jc w:val="center"/>
            </w:pPr>
            <w:r>
              <w:t>0</w:t>
            </w:r>
          </w:p>
        </w:tc>
        <w:tc>
          <w:tcPr>
            <w:tcW w:w="1582" w:type="dxa"/>
            <w:tcBorders>
              <w:top w:val="single" w:sz="4" w:space="0" w:color="auto"/>
              <w:left w:val="single" w:sz="4" w:space="0" w:color="auto"/>
              <w:bottom w:val="single" w:sz="4" w:space="0" w:color="auto"/>
              <w:right w:val="single" w:sz="4" w:space="0" w:color="auto"/>
            </w:tcBorders>
          </w:tcPr>
          <w:p w14:paraId="1EDF24A7" w14:textId="77777777" w:rsidR="009A09D3" w:rsidRPr="004E0973" w:rsidRDefault="009A09D3">
            <w:pPr>
              <w:pStyle w:val="COMTabletext"/>
              <w:jc w:val="center"/>
            </w:pPr>
            <w:r>
              <w:t>0</w:t>
            </w:r>
          </w:p>
        </w:tc>
        <w:tc>
          <w:tcPr>
            <w:tcW w:w="1582" w:type="dxa"/>
            <w:tcBorders>
              <w:top w:val="single" w:sz="4" w:space="0" w:color="auto"/>
              <w:left w:val="single" w:sz="4" w:space="0" w:color="auto"/>
              <w:bottom w:val="single" w:sz="4" w:space="0" w:color="auto"/>
              <w:right w:val="single" w:sz="4" w:space="0" w:color="auto"/>
            </w:tcBorders>
          </w:tcPr>
          <w:p w14:paraId="718DEB83" w14:textId="77777777" w:rsidR="009A09D3" w:rsidRPr="003175AE" w:rsidRDefault="009A09D3">
            <w:pPr>
              <w:pStyle w:val="COMTabletext"/>
              <w:jc w:val="center"/>
            </w:pPr>
            <w:r>
              <w:t>0</w:t>
            </w:r>
          </w:p>
        </w:tc>
      </w:tr>
      <w:tr w:rsidR="009A09D3" w:rsidRPr="0098262F" w14:paraId="741DA87A" w14:textId="77777777">
        <w:tc>
          <w:tcPr>
            <w:tcW w:w="2689" w:type="dxa"/>
            <w:tcBorders>
              <w:top w:val="single" w:sz="4" w:space="0" w:color="auto"/>
              <w:left w:val="single" w:sz="4" w:space="0" w:color="auto"/>
              <w:bottom w:val="single" w:sz="4" w:space="0" w:color="auto"/>
              <w:right w:val="single" w:sz="4" w:space="0" w:color="auto"/>
            </w:tcBorders>
          </w:tcPr>
          <w:p w14:paraId="11C9DE38" w14:textId="77777777" w:rsidR="009A09D3" w:rsidRPr="00F85E35" w:rsidRDefault="009A09D3">
            <w:pPr>
              <w:pStyle w:val="COMTabletext"/>
            </w:pPr>
            <w:r w:rsidRPr="00C27B92">
              <w:t xml:space="preserve">    Grade ≥3</w:t>
            </w:r>
          </w:p>
        </w:tc>
        <w:tc>
          <w:tcPr>
            <w:tcW w:w="1582" w:type="dxa"/>
            <w:tcBorders>
              <w:top w:val="single" w:sz="4" w:space="0" w:color="auto"/>
              <w:left w:val="single" w:sz="4" w:space="0" w:color="auto"/>
              <w:bottom w:val="single" w:sz="4" w:space="0" w:color="auto"/>
              <w:right w:val="single" w:sz="4" w:space="0" w:color="auto"/>
            </w:tcBorders>
          </w:tcPr>
          <w:p w14:paraId="085EB9A1" w14:textId="77777777" w:rsidR="009A09D3" w:rsidRPr="004E0973" w:rsidRDefault="009A09D3">
            <w:pPr>
              <w:pStyle w:val="COMTabletext"/>
              <w:jc w:val="center"/>
            </w:pPr>
            <w:r w:rsidRPr="00CB4FF5">
              <w:t>3 (1.2)</w:t>
            </w:r>
          </w:p>
        </w:tc>
        <w:tc>
          <w:tcPr>
            <w:tcW w:w="1582" w:type="dxa"/>
            <w:tcBorders>
              <w:top w:val="single" w:sz="4" w:space="0" w:color="auto"/>
              <w:left w:val="single" w:sz="4" w:space="0" w:color="auto"/>
              <w:bottom w:val="single" w:sz="4" w:space="0" w:color="auto"/>
              <w:right w:val="single" w:sz="4" w:space="0" w:color="auto"/>
            </w:tcBorders>
          </w:tcPr>
          <w:p w14:paraId="3503FA34" w14:textId="77777777" w:rsidR="009A09D3" w:rsidRPr="003175AE" w:rsidRDefault="009A09D3">
            <w:pPr>
              <w:pStyle w:val="COMTabletext"/>
              <w:jc w:val="center"/>
            </w:pPr>
            <w:r>
              <w:t>0</w:t>
            </w:r>
          </w:p>
        </w:tc>
        <w:tc>
          <w:tcPr>
            <w:tcW w:w="1582" w:type="dxa"/>
            <w:tcBorders>
              <w:top w:val="single" w:sz="4" w:space="0" w:color="auto"/>
              <w:left w:val="single" w:sz="4" w:space="0" w:color="auto"/>
              <w:bottom w:val="single" w:sz="4" w:space="0" w:color="auto"/>
              <w:right w:val="single" w:sz="4" w:space="0" w:color="auto"/>
            </w:tcBorders>
          </w:tcPr>
          <w:p w14:paraId="74A276E0" w14:textId="77777777" w:rsidR="009A09D3" w:rsidRPr="004E0973" w:rsidRDefault="009A09D3">
            <w:pPr>
              <w:pStyle w:val="COMTabletext"/>
              <w:jc w:val="center"/>
            </w:pPr>
            <w:r w:rsidRPr="00002A53">
              <w:t>3 (1.2)</w:t>
            </w:r>
          </w:p>
        </w:tc>
        <w:tc>
          <w:tcPr>
            <w:tcW w:w="1582" w:type="dxa"/>
            <w:tcBorders>
              <w:top w:val="single" w:sz="4" w:space="0" w:color="auto"/>
              <w:left w:val="single" w:sz="4" w:space="0" w:color="auto"/>
              <w:bottom w:val="single" w:sz="4" w:space="0" w:color="auto"/>
              <w:right w:val="single" w:sz="4" w:space="0" w:color="auto"/>
            </w:tcBorders>
          </w:tcPr>
          <w:p w14:paraId="17B77559" w14:textId="77777777" w:rsidR="009A09D3" w:rsidRPr="003175AE" w:rsidRDefault="009A09D3">
            <w:pPr>
              <w:pStyle w:val="COMTabletext"/>
              <w:jc w:val="center"/>
            </w:pPr>
            <w:r>
              <w:t>0</w:t>
            </w:r>
          </w:p>
        </w:tc>
      </w:tr>
      <w:tr w:rsidR="009A09D3" w:rsidRPr="0098262F" w14:paraId="081B7E95" w14:textId="77777777">
        <w:tc>
          <w:tcPr>
            <w:tcW w:w="2689" w:type="dxa"/>
            <w:tcBorders>
              <w:top w:val="single" w:sz="4" w:space="0" w:color="auto"/>
              <w:left w:val="single" w:sz="4" w:space="0" w:color="auto"/>
              <w:bottom w:val="single" w:sz="4" w:space="0" w:color="auto"/>
              <w:right w:val="single" w:sz="4" w:space="0" w:color="auto"/>
            </w:tcBorders>
          </w:tcPr>
          <w:p w14:paraId="30D545A9" w14:textId="77777777" w:rsidR="009A09D3" w:rsidRPr="00C27B92" w:rsidRDefault="009A09D3">
            <w:pPr>
              <w:pStyle w:val="COMTabletext"/>
            </w:pPr>
            <w:r w:rsidRPr="006426AA">
              <w:t xml:space="preserve">    Grade ≥2</w:t>
            </w:r>
          </w:p>
        </w:tc>
        <w:tc>
          <w:tcPr>
            <w:tcW w:w="1582" w:type="dxa"/>
            <w:tcBorders>
              <w:top w:val="single" w:sz="4" w:space="0" w:color="auto"/>
              <w:left w:val="single" w:sz="4" w:space="0" w:color="auto"/>
              <w:bottom w:val="single" w:sz="4" w:space="0" w:color="auto"/>
              <w:right w:val="single" w:sz="4" w:space="0" w:color="auto"/>
            </w:tcBorders>
          </w:tcPr>
          <w:p w14:paraId="00DE2942" w14:textId="77777777" w:rsidR="009A09D3" w:rsidRPr="004E0973" w:rsidRDefault="009A09D3">
            <w:pPr>
              <w:pStyle w:val="COMTabletext"/>
              <w:jc w:val="center"/>
            </w:pPr>
            <w:r w:rsidRPr="00CB4FF5">
              <w:t>35 (13.9)</w:t>
            </w:r>
          </w:p>
        </w:tc>
        <w:tc>
          <w:tcPr>
            <w:tcW w:w="1582" w:type="dxa"/>
            <w:tcBorders>
              <w:top w:val="single" w:sz="4" w:space="0" w:color="auto"/>
              <w:left w:val="single" w:sz="4" w:space="0" w:color="auto"/>
              <w:bottom w:val="single" w:sz="4" w:space="0" w:color="auto"/>
              <w:right w:val="single" w:sz="4" w:space="0" w:color="auto"/>
            </w:tcBorders>
          </w:tcPr>
          <w:p w14:paraId="65E179AE" w14:textId="77777777" w:rsidR="009A09D3" w:rsidRPr="003175AE" w:rsidRDefault="009A09D3">
            <w:pPr>
              <w:pStyle w:val="COMTabletext"/>
              <w:jc w:val="center"/>
            </w:pPr>
            <w:r w:rsidRPr="00CB4FF5">
              <w:t>1 (0.4)</w:t>
            </w:r>
          </w:p>
        </w:tc>
        <w:tc>
          <w:tcPr>
            <w:tcW w:w="1582" w:type="dxa"/>
            <w:tcBorders>
              <w:top w:val="single" w:sz="4" w:space="0" w:color="auto"/>
              <w:left w:val="single" w:sz="4" w:space="0" w:color="auto"/>
              <w:bottom w:val="single" w:sz="4" w:space="0" w:color="auto"/>
              <w:right w:val="single" w:sz="4" w:space="0" w:color="auto"/>
            </w:tcBorders>
          </w:tcPr>
          <w:p w14:paraId="1605E49A" w14:textId="77777777" w:rsidR="009A09D3" w:rsidRPr="00F84146" w:rsidRDefault="009A09D3">
            <w:pPr>
              <w:pStyle w:val="COMTabletext"/>
              <w:jc w:val="center"/>
            </w:pPr>
            <w:r w:rsidRPr="00807F46">
              <w:t>35 (13.9)</w:t>
            </w:r>
          </w:p>
        </w:tc>
        <w:tc>
          <w:tcPr>
            <w:tcW w:w="1582" w:type="dxa"/>
            <w:tcBorders>
              <w:top w:val="single" w:sz="4" w:space="0" w:color="auto"/>
              <w:left w:val="single" w:sz="4" w:space="0" w:color="auto"/>
              <w:bottom w:val="single" w:sz="4" w:space="0" w:color="auto"/>
              <w:right w:val="single" w:sz="4" w:space="0" w:color="auto"/>
            </w:tcBorders>
          </w:tcPr>
          <w:p w14:paraId="7B1FA575" w14:textId="77777777" w:rsidR="009A09D3" w:rsidRPr="003835D4" w:rsidRDefault="009A09D3">
            <w:pPr>
              <w:pStyle w:val="COMTabletext"/>
              <w:jc w:val="center"/>
            </w:pPr>
            <w:r w:rsidRPr="00807F46">
              <w:t>1 (0.4)</w:t>
            </w:r>
          </w:p>
        </w:tc>
      </w:tr>
      <w:tr w:rsidR="009A09D3" w:rsidRPr="0098262F" w14:paraId="00B2C4F7" w14:textId="77777777">
        <w:tc>
          <w:tcPr>
            <w:tcW w:w="2689" w:type="dxa"/>
            <w:tcBorders>
              <w:top w:val="single" w:sz="4" w:space="0" w:color="auto"/>
              <w:left w:val="single" w:sz="4" w:space="0" w:color="auto"/>
              <w:bottom w:val="single" w:sz="4" w:space="0" w:color="auto"/>
              <w:right w:val="single" w:sz="4" w:space="0" w:color="auto"/>
            </w:tcBorders>
          </w:tcPr>
          <w:p w14:paraId="21D3BE06" w14:textId="77777777" w:rsidR="009A09D3" w:rsidRPr="006426AA" w:rsidRDefault="009A09D3">
            <w:pPr>
              <w:pStyle w:val="COMTabletext"/>
            </w:pPr>
            <w:r w:rsidRPr="006951BC">
              <w:t xml:space="preserve">    Serious adverse events</w:t>
            </w:r>
          </w:p>
        </w:tc>
        <w:tc>
          <w:tcPr>
            <w:tcW w:w="1582" w:type="dxa"/>
            <w:tcBorders>
              <w:top w:val="single" w:sz="4" w:space="0" w:color="auto"/>
              <w:left w:val="single" w:sz="4" w:space="0" w:color="auto"/>
              <w:bottom w:val="single" w:sz="4" w:space="0" w:color="auto"/>
              <w:right w:val="single" w:sz="4" w:space="0" w:color="auto"/>
            </w:tcBorders>
          </w:tcPr>
          <w:p w14:paraId="532D9FE1" w14:textId="77777777" w:rsidR="009A09D3" w:rsidRPr="004E0973" w:rsidRDefault="009A09D3">
            <w:pPr>
              <w:pStyle w:val="COMTabletext"/>
              <w:jc w:val="center"/>
            </w:pPr>
            <w:r w:rsidRPr="00CB4FF5">
              <w:t>42 (16.7)</w:t>
            </w:r>
          </w:p>
        </w:tc>
        <w:tc>
          <w:tcPr>
            <w:tcW w:w="1582" w:type="dxa"/>
            <w:tcBorders>
              <w:top w:val="single" w:sz="4" w:space="0" w:color="auto"/>
              <w:left w:val="single" w:sz="4" w:space="0" w:color="auto"/>
              <w:bottom w:val="single" w:sz="4" w:space="0" w:color="auto"/>
              <w:right w:val="single" w:sz="4" w:space="0" w:color="auto"/>
            </w:tcBorders>
          </w:tcPr>
          <w:p w14:paraId="185B6151" w14:textId="77777777" w:rsidR="009A09D3" w:rsidRPr="003175AE" w:rsidRDefault="009A09D3">
            <w:pPr>
              <w:pStyle w:val="COMTabletext"/>
              <w:jc w:val="center"/>
            </w:pPr>
            <w:r w:rsidRPr="00CB4FF5">
              <w:t>1 (0.4)</w:t>
            </w:r>
          </w:p>
        </w:tc>
        <w:tc>
          <w:tcPr>
            <w:tcW w:w="1582" w:type="dxa"/>
            <w:tcBorders>
              <w:top w:val="single" w:sz="4" w:space="0" w:color="auto"/>
              <w:left w:val="single" w:sz="4" w:space="0" w:color="auto"/>
              <w:bottom w:val="single" w:sz="4" w:space="0" w:color="auto"/>
              <w:right w:val="single" w:sz="4" w:space="0" w:color="auto"/>
            </w:tcBorders>
          </w:tcPr>
          <w:p w14:paraId="04B12D75" w14:textId="77777777" w:rsidR="009A09D3" w:rsidRPr="00CC4AFF" w:rsidRDefault="009A09D3">
            <w:pPr>
              <w:pStyle w:val="COMTabletext"/>
              <w:jc w:val="center"/>
            </w:pPr>
            <w:r w:rsidRPr="00532CD7">
              <w:t>43 (17.1)</w:t>
            </w:r>
          </w:p>
        </w:tc>
        <w:tc>
          <w:tcPr>
            <w:tcW w:w="1582" w:type="dxa"/>
            <w:tcBorders>
              <w:top w:val="single" w:sz="4" w:space="0" w:color="auto"/>
              <w:left w:val="single" w:sz="4" w:space="0" w:color="auto"/>
              <w:bottom w:val="single" w:sz="4" w:space="0" w:color="auto"/>
              <w:right w:val="single" w:sz="4" w:space="0" w:color="auto"/>
            </w:tcBorders>
          </w:tcPr>
          <w:p w14:paraId="1C298A7E" w14:textId="77777777" w:rsidR="009A09D3" w:rsidRPr="003835D4" w:rsidRDefault="009A09D3">
            <w:pPr>
              <w:pStyle w:val="COMTabletext"/>
              <w:jc w:val="center"/>
            </w:pPr>
            <w:r>
              <w:t>0</w:t>
            </w:r>
          </w:p>
        </w:tc>
      </w:tr>
      <w:tr w:rsidR="009A09D3" w:rsidRPr="0098262F" w14:paraId="1ADC38C9" w14:textId="77777777">
        <w:tc>
          <w:tcPr>
            <w:tcW w:w="2689" w:type="dxa"/>
            <w:tcBorders>
              <w:top w:val="single" w:sz="4" w:space="0" w:color="auto"/>
              <w:left w:val="single" w:sz="4" w:space="0" w:color="auto"/>
              <w:bottom w:val="single" w:sz="4" w:space="0" w:color="auto"/>
              <w:right w:val="single" w:sz="4" w:space="0" w:color="auto"/>
            </w:tcBorders>
          </w:tcPr>
          <w:p w14:paraId="653AEC41" w14:textId="77777777" w:rsidR="009A09D3" w:rsidRPr="006426AA" w:rsidRDefault="009A09D3">
            <w:pPr>
              <w:pStyle w:val="COMTabletext"/>
            </w:pPr>
            <w:r w:rsidRPr="006951BC">
              <w:t xml:space="preserve">    Leading to dose interruption </w:t>
            </w:r>
          </w:p>
        </w:tc>
        <w:tc>
          <w:tcPr>
            <w:tcW w:w="1582" w:type="dxa"/>
            <w:tcBorders>
              <w:top w:val="single" w:sz="4" w:space="0" w:color="auto"/>
              <w:left w:val="single" w:sz="4" w:space="0" w:color="auto"/>
              <w:bottom w:val="single" w:sz="4" w:space="0" w:color="auto"/>
              <w:right w:val="single" w:sz="4" w:space="0" w:color="auto"/>
            </w:tcBorders>
          </w:tcPr>
          <w:p w14:paraId="2086601E" w14:textId="77777777" w:rsidR="009A09D3" w:rsidRPr="004E0973" w:rsidRDefault="009A09D3">
            <w:pPr>
              <w:pStyle w:val="COMTabletext"/>
              <w:jc w:val="center"/>
            </w:pPr>
            <w:r w:rsidRPr="00CB4FF5">
              <w:t>4 (1.6)</w:t>
            </w:r>
          </w:p>
        </w:tc>
        <w:tc>
          <w:tcPr>
            <w:tcW w:w="1582" w:type="dxa"/>
            <w:tcBorders>
              <w:top w:val="single" w:sz="4" w:space="0" w:color="auto"/>
              <w:left w:val="single" w:sz="4" w:space="0" w:color="auto"/>
              <w:bottom w:val="single" w:sz="4" w:space="0" w:color="auto"/>
              <w:right w:val="single" w:sz="4" w:space="0" w:color="auto"/>
            </w:tcBorders>
          </w:tcPr>
          <w:p w14:paraId="5E22306B" w14:textId="77777777" w:rsidR="009A09D3" w:rsidRPr="003175AE" w:rsidRDefault="009A09D3">
            <w:pPr>
              <w:pStyle w:val="COMTabletext"/>
              <w:jc w:val="center"/>
            </w:pPr>
            <w:r w:rsidRPr="00CB4FF5">
              <w:t>1 (0.4)</w:t>
            </w:r>
          </w:p>
        </w:tc>
        <w:tc>
          <w:tcPr>
            <w:tcW w:w="1582" w:type="dxa"/>
            <w:tcBorders>
              <w:top w:val="single" w:sz="4" w:space="0" w:color="auto"/>
              <w:left w:val="single" w:sz="4" w:space="0" w:color="auto"/>
              <w:bottom w:val="single" w:sz="4" w:space="0" w:color="auto"/>
              <w:right w:val="single" w:sz="4" w:space="0" w:color="auto"/>
            </w:tcBorders>
          </w:tcPr>
          <w:p w14:paraId="60A86AAF" w14:textId="77777777" w:rsidR="009A09D3" w:rsidRPr="00CC4AFF" w:rsidRDefault="009A09D3">
            <w:pPr>
              <w:pStyle w:val="COMTabletext"/>
              <w:jc w:val="center"/>
            </w:pPr>
            <w:r w:rsidRPr="00532CD7">
              <w:t>4 (1.6)</w:t>
            </w:r>
          </w:p>
        </w:tc>
        <w:tc>
          <w:tcPr>
            <w:tcW w:w="1582" w:type="dxa"/>
            <w:tcBorders>
              <w:top w:val="single" w:sz="4" w:space="0" w:color="auto"/>
              <w:left w:val="single" w:sz="4" w:space="0" w:color="auto"/>
              <w:bottom w:val="single" w:sz="4" w:space="0" w:color="auto"/>
              <w:right w:val="single" w:sz="4" w:space="0" w:color="auto"/>
            </w:tcBorders>
          </w:tcPr>
          <w:p w14:paraId="3811B868" w14:textId="77777777" w:rsidR="009A09D3" w:rsidRPr="003835D4" w:rsidRDefault="009A09D3">
            <w:pPr>
              <w:pStyle w:val="COMTabletext"/>
              <w:jc w:val="center"/>
            </w:pPr>
            <w:r>
              <w:t>0</w:t>
            </w:r>
          </w:p>
        </w:tc>
      </w:tr>
      <w:tr w:rsidR="009A09D3" w:rsidRPr="0098262F" w14:paraId="7D159830" w14:textId="77777777">
        <w:tc>
          <w:tcPr>
            <w:tcW w:w="2689" w:type="dxa"/>
            <w:tcBorders>
              <w:top w:val="single" w:sz="4" w:space="0" w:color="auto"/>
              <w:left w:val="single" w:sz="4" w:space="0" w:color="auto"/>
              <w:bottom w:val="single" w:sz="4" w:space="0" w:color="auto"/>
              <w:right w:val="single" w:sz="4" w:space="0" w:color="auto"/>
            </w:tcBorders>
          </w:tcPr>
          <w:p w14:paraId="0D7B4A0B" w14:textId="77777777" w:rsidR="009A09D3" w:rsidRPr="006426AA" w:rsidRDefault="009A09D3">
            <w:pPr>
              <w:pStyle w:val="COMTabletext"/>
            </w:pPr>
            <w:r w:rsidRPr="006951BC">
              <w:t xml:space="preserve">    Leading to discontinuation </w:t>
            </w:r>
          </w:p>
        </w:tc>
        <w:tc>
          <w:tcPr>
            <w:tcW w:w="1582" w:type="dxa"/>
            <w:tcBorders>
              <w:top w:val="single" w:sz="4" w:space="0" w:color="auto"/>
              <w:left w:val="single" w:sz="4" w:space="0" w:color="auto"/>
              <w:bottom w:val="single" w:sz="4" w:space="0" w:color="auto"/>
              <w:right w:val="single" w:sz="4" w:space="0" w:color="auto"/>
            </w:tcBorders>
          </w:tcPr>
          <w:p w14:paraId="4DD4455D" w14:textId="77777777" w:rsidR="009A09D3" w:rsidRPr="004E0973" w:rsidRDefault="009A09D3">
            <w:pPr>
              <w:pStyle w:val="COMTabletext"/>
              <w:jc w:val="center"/>
            </w:pPr>
            <w:r w:rsidRPr="00CB4FF5">
              <w:t>1 (0.4)</w:t>
            </w:r>
          </w:p>
        </w:tc>
        <w:tc>
          <w:tcPr>
            <w:tcW w:w="1582" w:type="dxa"/>
            <w:tcBorders>
              <w:top w:val="single" w:sz="4" w:space="0" w:color="auto"/>
              <w:left w:val="single" w:sz="4" w:space="0" w:color="auto"/>
              <w:bottom w:val="single" w:sz="4" w:space="0" w:color="auto"/>
              <w:right w:val="single" w:sz="4" w:space="0" w:color="auto"/>
            </w:tcBorders>
          </w:tcPr>
          <w:p w14:paraId="6375D18E" w14:textId="77777777" w:rsidR="009A09D3" w:rsidRPr="003175AE" w:rsidRDefault="009A09D3">
            <w:pPr>
              <w:pStyle w:val="COMTabletext"/>
              <w:jc w:val="center"/>
            </w:pPr>
            <w:r>
              <w:t>0</w:t>
            </w:r>
          </w:p>
        </w:tc>
        <w:tc>
          <w:tcPr>
            <w:tcW w:w="1582" w:type="dxa"/>
            <w:tcBorders>
              <w:top w:val="single" w:sz="4" w:space="0" w:color="auto"/>
              <w:left w:val="single" w:sz="4" w:space="0" w:color="auto"/>
              <w:bottom w:val="single" w:sz="4" w:space="0" w:color="auto"/>
              <w:right w:val="single" w:sz="4" w:space="0" w:color="auto"/>
            </w:tcBorders>
          </w:tcPr>
          <w:p w14:paraId="39F52D72" w14:textId="77777777" w:rsidR="009A09D3" w:rsidRPr="00CC4AFF" w:rsidRDefault="009A09D3">
            <w:pPr>
              <w:pStyle w:val="COMTabletext"/>
              <w:jc w:val="center"/>
            </w:pPr>
            <w:r w:rsidRPr="00532CD7">
              <w:t>1 (0.4)</w:t>
            </w:r>
          </w:p>
        </w:tc>
        <w:tc>
          <w:tcPr>
            <w:tcW w:w="1582" w:type="dxa"/>
            <w:tcBorders>
              <w:top w:val="single" w:sz="4" w:space="0" w:color="auto"/>
              <w:left w:val="single" w:sz="4" w:space="0" w:color="auto"/>
              <w:bottom w:val="single" w:sz="4" w:space="0" w:color="auto"/>
              <w:right w:val="single" w:sz="4" w:space="0" w:color="auto"/>
            </w:tcBorders>
          </w:tcPr>
          <w:p w14:paraId="0DDD47BB" w14:textId="77777777" w:rsidR="009A09D3" w:rsidRPr="003835D4" w:rsidRDefault="009A09D3">
            <w:pPr>
              <w:pStyle w:val="COMTabletext"/>
              <w:jc w:val="center"/>
            </w:pPr>
            <w:r>
              <w:t>0</w:t>
            </w:r>
          </w:p>
        </w:tc>
      </w:tr>
      <w:tr w:rsidR="009A09D3" w:rsidRPr="0098262F" w14:paraId="2C43F1CC" w14:textId="77777777">
        <w:tc>
          <w:tcPr>
            <w:tcW w:w="2689" w:type="dxa"/>
            <w:tcBorders>
              <w:top w:val="single" w:sz="4" w:space="0" w:color="auto"/>
              <w:left w:val="single" w:sz="4" w:space="0" w:color="auto"/>
              <w:bottom w:val="single" w:sz="4" w:space="0" w:color="auto"/>
              <w:right w:val="single" w:sz="4" w:space="0" w:color="auto"/>
            </w:tcBorders>
          </w:tcPr>
          <w:p w14:paraId="407C5FAD" w14:textId="77777777" w:rsidR="009A09D3" w:rsidRPr="006426AA" w:rsidRDefault="009A09D3">
            <w:pPr>
              <w:pStyle w:val="COMTabletext"/>
            </w:pPr>
            <w:r>
              <w:t xml:space="preserve">    </w:t>
            </w:r>
            <w:r w:rsidRPr="006951BC">
              <w:t>Serious</w:t>
            </w:r>
          </w:p>
        </w:tc>
        <w:tc>
          <w:tcPr>
            <w:tcW w:w="1582" w:type="dxa"/>
            <w:tcBorders>
              <w:top w:val="single" w:sz="4" w:space="0" w:color="auto"/>
              <w:left w:val="single" w:sz="4" w:space="0" w:color="auto"/>
              <w:bottom w:val="single" w:sz="4" w:space="0" w:color="auto"/>
              <w:right w:val="single" w:sz="4" w:space="0" w:color="auto"/>
            </w:tcBorders>
          </w:tcPr>
          <w:p w14:paraId="7E6F3B99" w14:textId="77777777" w:rsidR="009A09D3" w:rsidRPr="004E0973" w:rsidRDefault="009A09D3">
            <w:pPr>
              <w:pStyle w:val="COMTabletext"/>
              <w:jc w:val="center"/>
            </w:pPr>
            <w:r w:rsidRPr="00CB4FF5">
              <w:t>1 (0.4)</w:t>
            </w:r>
          </w:p>
        </w:tc>
        <w:tc>
          <w:tcPr>
            <w:tcW w:w="1582" w:type="dxa"/>
            <w:tcBorders>
              <w:top w:val="single" w:sz="4" w:space="0" w:color="auto"/>
              <w:left w:val="single" w:sz="4" w:space="0" w:color="auto"/>
              <w:bottom w:val="single" w:sz="4" w:space="0" w:color="auto"/>
              <w:right w:val="single" w:sz="4" w:space="0" w:color="auto"/>
            </w:tcBorders>
          </w:tcPr>
          <w:p w14:paraId="0C4E4EED" w14:textId="77777777" w:rsidR="009A09D3" w:rsidRPr="003175AE" w:rsidRDefault="009A09D3">
            <w:pPr>
              <w:pStyle w:val="COMTabletext"/>
              <w:jc w:val="center"/>
            </w:pPr>
            <w:r>
              <w:t>0</w:t>
            </w:r>
          </w:p>
        </w:tc>
        <w:tc>
          <w:tcPr>
            <w:tcW w:w="1582" w:type="dxa"/>
            <w:tcBorders>
              <w:top w:val="single" w:sz="4" w:space="0" w:color="auto"/>
              <w:left w:val="single" w:sz="4" w:space="0" w:color="auto"/>
              <w:bottom w:val="single" w:sz="4" w:space="0" w:color="auto"/>
              <w:right w:val="single" w:sz="4" w:space="0" w:color="auto"/>
            </w:tcBorders>
          </w:tcPr>
          <w:p w14:paraId="333694C5" w14:textId="77777777" w:rsidR="009A09D3" w:rsidRPr="00CC4AFF" w:rsidRDefault="009A09D3">
            <w:pPr>
              <w:pStyle w:val="COMTabletext"/>
              <w:jc w:val="center"/>
            </w:pPr>
            <w:r w:rsidRPr="00534142">
              <w:t>1 (0.4)</w:t>
            </w:r>
          </w:p>
        </w:tc>
        <w:tc>
          <w:tcPr>
            <w:tcW w:w="1582" w:type="dxa"/>
            <w:tcBorders>
              <w:top w:val="single" w:sz="4" w:space="0" w:color="auto"/>
              <w:left w:val="single" w:sz="4" w:space="0" w:color="auto"/>
              <w:bottom w:val="single" w:sz="4" w:space="0" w:color="auto"/>
              <w:right w:val="single" w:sz="4" w:space="0" w:color="auto"/>
            </w:tcBorders>
          </w:tcPr>
          <w:p w14:paraId="4FF605A9" w14:textId="77777777" w:rsidR="009A09D3" w:rsidRPr="003835D4" w:rsidRDefault="009A09D3">
            <w:pPr>
              <w:pStyle w:val="COMTabletext"/>
              <w:jc w:val="center"/>
            </w:pPr>
            <w:r>
              <w:t>0</w:t>
            </w:r>
          </w:p>
        </w:tc>
      </w:tr>
      <w:tr w:rsidR="009A09D3" w:rsidRPr="0098262F" w14:paraId="52BF0277" w14:textId="77777777">
        <w:tc>
          <w:tcPr>
            <w:tcW w:w="2689" w:type="dxa"/>
            <w:tcBorders>
              <w:top w:val="single" w:sz="4" w:space="0" w:color="auto"/>
              <w:left w:val="single" w:sz="4" w:space="0" w:color="auto"/>
              <w:bottom w:val="single" w:sz="4" w:space="0" w:color="auto"/>
              <w:right w:val="single" w:sz="4" w:space="0" w:color="auto"/>
            </w:tcBorders>
          </w:tcPr>
          <w:p w14:paraId="459FEAF0" w14:textId="77777777" w:rsidR="009A09D3" w:rsidRPr="00C3274F" w:rsidRDefault="009A09D3">
            <w:pPr>
              <w:pStyle w:val="COMTabletext"/>
              <w:rPr>
                <w:vertAlign w:val="superscript"/>
              </w:rPr>
            </w:pPr>
            <w:r>
              <w:t>Hypersensitivity</w:t>
            </w:r>
            <w:r>
              <w:rPr>
                <w:vertAlign w:val="superscript"/>
              </w:rPr>
              <w:t>b</w:t>
            </w:r>
          </w:p>
        </w:tc>
        <w:tc>
          <w:tcPr>
            <w:tcW w:w="1582" w:type="dxa"/>
            <w:tcBorders>
              <w:top w:val="single" w:sz="4" w:space="0" w:color="auto"/>
              <w:left w:val="single" w:sz="4" w:space="0" w:color="auto"/>
              <w:bottom w:val="single" w:sz="4" w:space="0" w:color="auto"/>
              <w:right w:val="single" w:sz="4" w:space="0" w:color="auto"/>
            </w:tcBorders>
            <w:vAlign w:val="center"/>
          </w:tcPr>
          <w:p w14:paraId="2304CC23" w14:textId="77777777" w:rsidR="009A09D3" w:rsidRDefault="009A09D3">
            <w:pPr>
              <w:pStyle w:val="COMTabletext"/>
              <w:jc w:val="center"/>
            </w:pPr>
            <w:r>
              <w:t>36 (14.3)</w:t>
            </w:r>
          </w:p>
        </w:tc>
        <w:tc>
          <w:tcPr>
            <w:tcW w:w="1582" w:type="dxa"/>
            <w:tcBorders>
              <w:top w:val="single" w:sz="4" w:space="0" w:color="auto"/>
              <w:left w:val="single" w:sz="4" w:space="0" w:color="auto"/>
              <w:bottom w:val="single" w:sz="4" w:space="0" w:color="auto"/>
              <w:right w:val="single" w:sz="4" w:space="0" w:color="auto"/>
            </w:tcBorders>
            <w:vAlign w:val="center"/>
          </w:tcPr>
          <w:p w14:paraId="0A18111E" w14:textId="77777777" w:rsidR="009A09D3" w:rsidRDefault="009A09D3">
            <w:pPr>
              <w:pStyle w:val="COMTabletext"/>
              <w:jc w:val="center"/>
            </w:pPr>
            <w:r>
              <w:t>28 (11.5)</w:t>
            </w:r>
          </w:p>
        </w:tc>
        <w:tc>
          <w:tcPr>
            <w:tcW w:w="1582" w:type="dxa"/>
            <w:tcBorders>
              <w:top w:val="single" w:sz="4" w:space="0" w:color="auto"/>
              <w:left w:val="single" w:sz="4" w:space="0" w:color="auto"/>
              <w:bottom w:val="single" w:sz="4" w:space="0" w:color="auto"/>
              <w:right w:val="single" w:sz="4" w:space="0" w:color="auto"/>
            </w:tcBorders>
            <w:vAlign w:val="center"/>
          </w:tcPr>
          <w:p w14:paraId="58555A6E" w14:textId="77777777" w:rsidR="009A09D3" w:rsidRDefault="009A09D3">
            <w:pPr>
              <w:pStyle w:val="COMTabletext"/>
              <w:jc w:val="center"/>
            </w:pPr>
            <w:r>
              <w:t>36 (14.3)</w:t>
            </w:r>
          </w:p>
        </w:tc>
        <w:tc>
          <w:tcPr>
            <w:tcW w:w="1582" w:type="dxa"/>
            <w:tcBorders>
              <w:top w:val="single" w:sz="4" w:space="0" w:color="auto"/>
              <w:left w:val="single" w:sz="4" w:space="0" w:color="auto"/>
              <w:bottom w:val="single" w:sz="4" w:space="0" w:color="auto"/>
              <w:right w:val="single" w:sz="4" w:space="0" w:color="auto"/>
            </w:tcBorders>
            <w:vAlign w:val="center"/>
          </w:tcPr>
          <w:p w14:paraId="5D7B0015" w14:textId="77777777" w:rsidR="009A09D3" w:rsidRDefault="009A09D3">
            <w:pPr>
              <w:pStyle w:val="COMTabletext"/>
              <w:jc w:val="center"/>
            </w:pPr>
            <w:r>
              <w:t>29 (11.9)</w:t>
            </w:r>
          </w:p>
        </w:tc>
      </w:tr>
      <w:tr w:rsidR="009A09D3" w:rsidRPr="0098262F" w14:paraId="04A1814C" w14:textId="77777777">
        <w:tc>
          <w:tcPr>
            <w:tcW w:w="2689" w:type="dxa"/>
            <w:tcBorders>
              <w:top w:val="single" w:sz="4" w:space="0" w:color="auto"/>
              <w:left w:val="single" w:sz="4" w:space="0" w:color="auto"/>
              <w:bottom w:val="single" w:sz="4" w:space="0" w:color="auto"/>
              <w:right w:val="single" w:sz="4" w:space="0" w:color="auto"/>
            </w:tcBorders>
          </w:tcPr>
          <w:p w14:paraId="04CE6B19" w14:textId="77777777" w:rsidR="009A09D3" w:rsidRPr="00C3274F" w:rsidRDefault="009A09D3">
            <w:pPr>
              <w:pStyle w:val="COMTabletext"/>
              <w:rPr>
                <w:vertAlign w:val="superscript"/>
              </w:rPr>
            </w:pPr>
            <w:r>
              <w:t>ICANS</w:t>
            </w:r>
            <w:r>
              <w:rPr>
                <w:vertAlign w:val="superscript"/>
              </w:rPr>
              <w:t>b</w:t>
            </w:r>
          </w:p>
        </w:tc>
        <w:tc>
          <w:tcPr>
            <w:tcW w:w="1582" w:type="dxa"/>
            <w:tcBorders>
              <w:top w:val="single" w:sz="4" w:space="0" w:color="auto"/>
              <w:left w:val="single" w:sz="4" w:space="0" w:color="auto"/>
              <w:bottom w:val="single" w:sz="4" w:space="0" w:color="auto"/>
              <w:right w:val="single" w:sz="4" w:space="0" w:color="auto"/>
            </w:tcBorders>
            <w:vAlign w:val="center"/>
          </w:tcPr>
          <w:p w14:paraId="7DEF45B7" w14:textId="77777777" w:rsidR="009A09D3" w:rsidRDefault="009A09D3">
            <w:pPr>
              <w:pStyle w:val="COMTabletext"/>
              <w:jc w:val="center"/>
            </w:pPr>
            <w:r w:rsidRPr="00C42770">
              <w:t>15 (6.0)</w:t>
            </w:r>
          </w:p>
        </w:tc>
        <w:tc>
          <w:tcPr>
            <w:tcW w:w="1582" w:type="dxa"/>
            <w:tcBorders>
              <w:top w:val="single" w:sz="4" w:space="0" w:color="auto"/>
              <w:left w:val="single" w:sz="4" w:space="0" w:color="auto"/>
              <w:bottom w:val="single" w:sz="4" w:space="0" w:color="auto"/>
              <w:right w:val="single" w:sz="4" w:space="0" w:color="auto"/>
            </w:tcBorders>
            <w:vAlign w:val="center"/>
          </w:tcPr>
          <w:p w14:paraId="5F52810E" w14:textId="77777777" w:rsidR="009A09D3" w:rsidRDefault="009A09D3">
            <w:pPr>
              <w:pStyle w:val="COMTabletext"/>
              <w:jc w:val="center"/>
            </w:pPr>
            <w:r w:rsidRPr="00F705DC">
              <w:t>2 (0.8)</w:t>
            </w:r>
          </w:p>
        </w:tc>
        <w:tc>
          <w:tcPr>
            <w:tcW w:w="1582" w:type="dxa"/>
            <w:tcBorders>
              <w:top w:val="single" w:sz="4" w:space="0" w:color="auto"/>
              <w:left w:val="single" w:sz="4" w:space="0" w:color="auto"/>
              <w:bottom w:val="single" w:sz="4" w:space="0" w:color="auto"/>
              <w:right w:val="single" w:sz="4" w:space="0" w:color="auto"/>
            </w:tcBorders>
            <w:vAlign w:val="center"/>
          </w:tcPr>
          <w:p w14:paraId="7B2DCE6C" w14:textId="77777777" w:rsidR="009A09D3" w:rsidRDefault="009A09D3">
            <w:pPr>
              <w:pStyle w:val="COMTabletext"/>
              <w:jc w:val="center"/>
            </w:pPr>
            <w:r w:rsidRPr="00C42770">
              <w:t>15 (6.0)</w:t>
            </w:r>
          </w:p>
        </w:tc>
        <w:tc>
          <w:tcPr>
            <w:tcW w:w="1582" w:type="dxa"/>
            <w:tcBorders>
              <w:top w:val="single" w:sz="4" w:space="0" w:color="auto"/>
              <w:left w:val="single" w:sz="4" w:space="0" w:color="auto"/>
              <w:bottom w:val="single" w:sz="4" w:space="0" w:color="auto"/>
              <w:right w:val="single" w:sz="4" w:space="0" w:color="auto"/>
            </w:tcBorders>
            <w:vAlign w:val="center"/>
          </w:tcPr>
          <w:p w14:paraId="27550B5C" w14:textId="77777777" w:rsidR="009A09D3" w:rsidRDefault="009A09D3">
            <w:pPr>
              <w:pStyle w:val="COMTabletext"/>
              <w:jc w:val="center"/>
            </w:pPr>
            <w:r w:rsidRPr="00F705DC">
              <w:t>2 (0.8)</w:t>
            </w:r>
          </w:p>
        </w:tc>
      </w:tr>
      <w:tr w:rsidR="009A09D3" w:rsidRPr="0098262F" w14:paraId="18970CD5" w14:textId="77777777">
        <w:tc>
          <w:tcPr>
            <w:tcW w:w="2689" w:type="dxa"/>
            <w:tcBorders>
              <w:top w:val="single" w:sz="4" w:space="0" w:color="auto"/>
              <w:left w:val="single" w:sz="4" w:space="0" w:color="auto"/>
              <w:bottom w:val="single" w:sz="4" w:space="0" w:color="auto"/>
              <w:right w:val="single" w:sz="4" w:space="0" w:color="auto"/>
            </w:tcBorders>
          </w:tcPr>
          <w:p w14:paraId="42E9EEEA" w14:textId="77777777" w:rsidR="009A09D3" w:rsidRPr="00C3274F" w:rsidRDefault="009A09D3">
            <w:pPr>
              <w:pStyle w:val="COMTabletext"/>
              <w:rPr>
                <w:vertAlign w:val="superscript"/>
              </w:rPr>
            </w:pPr>
            <w:r>
              <w:t>Neurological events</w:t>
            </w:r>
            <w:r>
              <w:rPr>
                <w:vertAlign w:val="superscript"/>
              </w:rPr>
              <w:t>b</w:t>
            </w:r>
          </w:p>
        </w:tc>
        <w:tc>
          <w:tcPr>
            <w:tcW w:w="1582" w:type="dxa"/>
            <w:tcBorders>
              <w:top w:val="single" w:sz="4" w:space="0" w:color="auto"/>
              <w:left w:val="single" w:sz="4" w:space="0" w:color="auto"/>
              <w:bottom w:val="single" w:sz="4" w:space="0" w:color="auto"/>
              <w:right w:val="single" w:sz="4" w:space="0" w:color="auto"/>
            </w:tcBorders>
            <w:vAlign w:val="center"/>
          </w:tcPr>
          <w:p w14:paraId="237F6A97" w14:textId="77777777" w:rsidR="009A09D3" w:rsidRPr="00C42770" w:rsidRDefault="009A09D3">
            <w:pPr>
              <w:pStyle w:val="COMTabletext"/>
              <w:jc w:val="center"/>
            </w:pPr>
            <w:r>
              <w:t>140 (55.6)</w:t>
            </w:r>
          </w:p>
        </w:tc>
        <w:tc>
          <w:tcPr>
            <w:tcW w:w="1582" w:type="dxa"/>
            <w:tcBorders>
              <w:top w:val="single" w:sz="4" w:space="0" w:color="auto"/>
              <w:left w:val="single" w:sz="4" w:space="0" w:color="auto"/>
              <w:bottom w:val="single" w:sz="4" w:space="0" w:color="auto"/>
              <w:right w:val="single" w:sz="4" w:space="0" w:color="auto"/>
            </w:tcBorders>
            <w:vAlign w:val="center"/>
          </w:tcPr>
          <w:p w14:paraId="6A28E5B0" w14:textId="77777777" w:rsidR="009A09D3" w:rsidRPr="00F705DC" w:rsidRDefault="009A09D3">
            <w:pPr>
              <w:pStyle w:val="COMTabletext"/>
              <w:jc w:val="center"/>
            </w:pPr>
            <w:r>
              <w:t>86 (35.2)</w:t>
            </w:r>
          </w:p>
        </w:tc>
        <w:tc>
          <w:tcPr>
            <w:tcW w:w="1582" w:type="dxa"/>
            <w:tcBorders>
              <w:top w:val="single" w:sz="4" w:space="0" w:color="auto"/>
              <w:left w:val="single" w:sz="4" w:space="0" w:color="auto"/>
              <w:bottom w:val="single" w:sz="4" w:space="0" w:color="auto"/>
              <w:right w:val="single" w:sz="4" w:space="0" w:color="auto"/>
            </w:tcBorders>
            <w:vAlign w:val="center"/>
          </w:tcPr>
          <w:p w14:paraId="3E00920A" w14:textId="77777777" w:rsidR="009A09D3" w:rsidRPr="00C42770" w:rsidRDefault="009A09D3">
            <w:pPr>
              <w:pStyle w:val="COMTabletext"/>
              <w:jc w:val="center"/>
            </w:pPr>
            <w:r>
              <w:t>142 (56.3)</w:t>
            </w:r>
          </w:p>
        </w:tc>
        <w:tc>
          <w:tcPr>
            <w:tcW w:w="1582" w:type="dxa"/>
            <w:tcBorders>
              <w:top w:val="single" w:sz="4" w:space="0" w:color="auto"/>
              <w:left w:val="single" w:sz="4" w:space="0" w:color="auto"/>
              <w:bottom w:val="single" w:sz="4" w:space="0" w:color="auto"/>
              <w:right w:val="single" w:sz="4" w:space="0" w:color="auto"/>
            </w:tcBorders>
            <w:vAlign w:val="center"/>
          </w:tcPr>
          <w:p w14:paraId="36EF6233" w14:textId="77777777" w:rsidR="009A09D3" w:rsidRPr="00F705DC" w:rsidRDefault="009A09D3">
            <w:pPr>
              <w:pStyle w:val="COMTabletext"/>
              <w:jc w:val="center"/>
            </w:pPr>
            <w:r>
              <w:t>86 (35.2)</w:t>
            </w:r>
          </w:p>
        </w:tc>
      </w:tr>
      <w:tr w:rsidR="009A09D3" w:rsidRPr="0098262F" w14:paraId="600781D7" w14:textId="77777777">
        <w:tc>
          <w:tcPr>
            <w:tcW w:w="2689" w:type="dxa"/>
            <w:tcBorders>
              <w:top w:val="single" w:sz="4" w:space="0" w:color="auto"/>
              <w:left w:val="single" w:sz="4" w:space="0" w:color="auto"/>
              <w:bottom w:val="single" w:sz="4" w:space="0" w:color="auto"/>
              <w:right w:val="single" w:sz="4" w:space="0" w:color="auto"/>
            </w:tcBorders>
          </w:tcPr>
          <w:p w14:paraId="75D3F3BC" w14:textId="77777777" w:rsidR="009A09D3" w:rsidRPr="00C3274F" w:rsidRDefault="009A09D3">
            <w:pPr>
              <w:pStyle w:val="COMTabletext"/>
              <w:rPr>
                <w:vertAlign w:val="superscript"/>
              </w:rPr>
            </w:pPr>
            <w:r>
              <w:t>Neutropenia</w:t>
            </w:r>
            <w:r>
              <w:rPr>
                <w:vertAlign w:val="superscript"/>
              </w:rPr>
              <w:t>b</w:t>
            </w:r>
          </w:p>
        </w:tc>
        <w:tc>
          <w:tcPr>
            <w:tcW w:w="1582" w:type="dxa"/>
            <w:tcBorders>
              <w:top w:val="single" w:sz="4" w:space="0" w:color="auto"/>
              <w:left w:val="single" w:sz="4" w:space="0" w:color="auto"/>
              <w:bottom w:val="single" w:sz="4" w:space="0" w:color="auto"/>
              <w:right w:val="single" w:sz="4" w:space="0" w:color="auto"/>
            </w:tcBorders>
            <w:vAlign w:val="center"/>
          </w:tcPr>
          <w:p w14:paraId="5F3A6184" w14:textId="77777777" w:rsidR="009A09D3" w:rsidRDefault="009A09D3">
            <w:pPr>
              <w:pStyle w:val="COMTabletext"/>
              <w:jc w:val="center"/>
            </w:pPr>
            <w:r>
              <w:t>52 (20.6)</w:t>
            </w:r>
          </w:p>
        </w:tc>
        <w:tc>
          <w:tcPr>
            <w:tcW w:w="1582" w:type="dxa"/>
            <w:tcBorders>
              <w:top w:val="single" w:sz="4" w:space="0" w:color="auto"/>
              <w:left w:val="single" w:sz="4" w:space="0" w:color="auto"/>
              <w:bottom w:val="single" w:sz="4" w:space="0" w:color="auto"/>
              <w:right w:val="single" w:sz="4" w:space="0" w:color="auto"/>
            </w:tcBorders>
            <w:vAlign w:val="center"/>
          </w:tcPr>
          <w:p w14:paraId="5DBBE649" w14:textId="77777777" w:rsidR="009A09D3" w:rsidRDefault="009A09D3">
            <w:pPr>
              <w:pStyle w:val="COMTabletext"/>
              <w:jc w:val="center"/>
            </w:pPr>
            <w:r>
              <w:t>124 (50.8)</w:t>
            </w:r>
          </w:p>
        </w:tc>
        <w:tc>
          <w:tcPr>
            <w:tcW w:w="1582" w:type="dxa"/>
            <w:tcBorders>
              <w:top w:val="single" w:sz="4" w:space="0" w:color="auto"/>
              <w:left w:val="single" w:sz="4" w:space="0" w:color="auto"/>
              <w:bottom w:val="single" w:sz="4" w:space="0" w:color="auto"/>
              <w:right w:val="single" w:sz="4" w:space="0" w:color="auto"/>
            </w:tcBorders>
            <w:vAlign w:val="center"/>
          </w:tcPr>
          <w:p w14:paraId="0C7E567D" w14:textId="77777777" w:rsidR="009A09D3" w:rsidRDefault="009A09D3">
            <w:pPr>
              <w:pStyle w:val="COMTabletext"/>
              <w:jc w:val="center"/>
            </w:pPr>
            <w:r>
              <w:t>52 (20.6)</w:t>
            </w:r>
          </w:p>
        </w:tc>
        <w:tc>
          <w:tcPr>
            <w:tcW w:w="1582" w:type="dxa"/>
            <w:tcBorders>
              <w:top w:val="single" w:sz="4" w:space="0" w:color="auto"/>
              <w:left w:val="single" w:sz="4" w:space="0" w:color="auto"/>
              <w:bottom w:val="single" w:sz="4" w:space="0" w:color="auto"/>
              <w:right w:val="single" w:sz="4" w:space="0" w:color="auto"/>
            </w:tcBorders>
            <w:vAlign w:val="center"/>
          </w:tcPr>
          <w:p w14:paraId="65C8B653" w14:textId="77777777" w:rsidR="009A09D3" w:rsidRDefault="009A09D3">
            <w:pPr>
              <w:pStyle w:val="COMTabletext"/>
              <w:jc w:val="center"/>
            </w:pPr>
            <w:r>
              <w:t>124 (50.8)</w:t>
            </w:r>
          </w:p>
        </w:tc>
      </w:tr>
    </w:tbl>
    <w:p w14:paraId="51C23725" w14:textId="77777777" w:rsidR="007731FB" w:rsidRDefault="007731FB" w:rsidP="007731FB">
      <w:pPr>
        <w:pStyle w:val="COMTablefooter"/>
      </w:pPr>
      <w:r w:rsidRPr="0098262F">
        <w:t xml:space="preserve">Source: </w:t>
      </w:r>
      <w:r>
        <w:t>Table 2.5.2.2, pp58-59</w:t>
      </w:r>
      <w:r w:rsidRPr="0098262F">
        <w:t xml:space="preserve"> of the submission</w:t>
      </w:r>
      <w:r>
        <w:t>; Table 12-6, pp132-137 of DeLLphi-304 CSR (January 2025 data cut); Table 14-6.1.1, p17 and Table 14-6.6.2, pp134-150 of DeLLphi-304 CSR Additional tables (April 2025 data cut)</w:t>
      </w:r>
      <w:r w:rsidRPr="0098262F">
        <w:t>.</w:t>
      </w:r>
    </w:p>
    <w:p w14:paraId="22CA6155" w14:textId="3FCFC2A7" w:rsidR="007731FB" w:rsidRDefault="007731FB" w:rsidP="007731FB">
      <w:pPr>
        <w:pStyle w:val="COMTablefooter"/>
      </w:pPr>
      <w:r>
        <w:t>Abbreviations: AE, adverse event; ICANS, i</w:t>
      </w:r>
      <w:r w:rsidRPr="002C7F4F">
        <w:t>mmune effector cell associated-neurotoxicity syndrome</w:t>
      </w:r>
      <w:r>
        <w:t>;</w:t>
      </w:r>
      <w:r w:rsidRPr="002C7F4F">
        <w:t xml:space="preserve"> </w:t>
      </w:r>
      <w:r w:rsidR="004901D8">
        <w:t xml:space="preserve">MedDRA, Medical Dictionary for Regulatory Activities; </w:t>
      </w:r>
      <w:r>
        <w:t>SOC, standard of care; TEAE, treatment emergent adverse event.</w:t>
      </w:r>
    </w:p>
    <w:p w14:paraId="7A959376" w14:textId="77777777" w:rsidR="004901D8" w:rsidRPr="006A3BEC" w:rsidRDefault="004901D8" w:rsidP="004901D8">
      <w:pPr>
        <w:pStyle w:val="COMTablefooter"/>
        <w:rPr>
          <w:szCs w:val="18"/>
        </w:rPr>
      </w:pPr>
      <w:r w:rsidRPr="006A3BEC">
        <w:rPr>
          <w:szCs w:val="18"/>
          <w:vertAlign w:val="superscript"/>
        </w:rPr>
        <w:t>a</w:t>
      </w:r>
      <w:r w:rsidRPr="006A3BEC">
        <w:rPr>
          <w:szCs w:val="18"/>
        </w:rPr>
        <w:t xml:space="preserve"> Events identified by broad search for preferred terms in the MedDRA.</w:t>
      </w:r>
    </w:p>
    <w:p w14:paraId="2705A62F" w14:textId="2EBA6B99" w:rsidR="004901D8" w:rsidRDefault="004901D8" w:rsidP="007731FB">
      <w:pPr>
        <w:pStyle w:val="COMTablefooter"/>
      </w:pPr>
      <w:r w:rsidRPr="006A3BEC">
        <w:rPr>
          <w:szCs w:val="18"/>
          <w:vertAlign w:val="superscript"/>
        </w:rPr>
        <w:t>b</w:t>
      </w:r>
      <w:r w:rsidRPr="006A3BEC">
        <w:rPr>
          <w:szCs w:val="18"/>
        </w:rPr>
        <w:t xml:space="preserve"> Events identified by narrow search for preferred terms in the MedDRA.</w:t>
      </w:r>
    </w:p>
    <w:p w14:paraId="4904BA04" w14:textId="77777777" w:rsidR="007731FB" w:rsidRPr="00637259" w:rsidRDefault="007731FB" w:rsidP="007731FB">
      <w:pPr>
        <w:pStyle w:val="COMESnumberedpara"/>
      </w:pPr>
      <w:r w:rsidRPr="00637259">
        <w:t>In the DeLLphi-304 trial (January 2025 data cut), almost all patients experienced an adverse event (98.8% in the tarlatamab arm; 99.6% in the SOC arm). Treatment-emergent adverse events reported in at least 10% more patients in the tarlatamab arm compared to the SOC arm were cytokine release syndrome, decreased appetite, pyrexia and dysgeusia (distortion in taste). Anaemia, neutropenia and leukopenia were adverse events reported in at least 10% more patients in the SOC arm compared to the tarlatamab arm.</w:t>
      </w:r>
    </w:p>
    <w:p w14:paraId="556117E0" w14:textId="0D1065AC" w:rsidR="007731FB" w:rsidRDefault="007731FB" w:rsidP="007731FB">
      <w:pPr>
        <w:pStyle w:val="COMESnumberedpara"/>
      </w:pPr>
      <w:proofErr w:type="gramStart"/>
      <w:r>
        <w:t>The majority of</w:t>
      </w:r>
      <w:proofErr w:type="gramEnd"/>
      <w:r>
        <w:t xml:space="preserve"> patients in the DeLLphi-304 trial experienced serious adverse events (51.2% in each arm). Serious </w:t>
      </w:r>
      <w:r w:rsidRPr="00F02EF7">
        <w:t>adverse events reported in</w:t>
      </w:r>
      <w:r>
        <w:t xml:space="preserve"> at least 5</w:t>
      </w:r>
      <w:r w:rsidRPr="00F02EF7">
        <w:t xml:space="preserve">% </w:t>
      </w:r>
      <w:r>
        <w:t xml:space="preserve">of patients in either arm were febrile neutropenia (tarlatamab 2.0%; SOC 9.8%), pyrexia (tarlatamab </w:t>
      </w:r>
      <w:r>
        <w:lastRenderedPageBreak/>
        <w:t xml:space="preserve">5.6%; SOC 0%), </w:t>
      </w:r>
      <w:r w:rsidR="00071577">
        <w:t>CRS</w:t>
      </w:r>
      <w:r>
        <w:t xml:space="preserve"> (tarlatamab 17.1%; SOC 0.4%), and pneumonia (tarlatamab 4.0%; SOC 8.6%).</w:t>
      </w:r>
    </w:p>
    <w:p w14:paraId="08DDBFD9" w14:textId="77777777" w:rsidR="007731FB" w:rsidRDefault="007731FB" w:rsidP="007731FB">
      <w:pPr>
        <w:pStyle w:val="COMESnumberedpara"/>
      </w:pPr>
      <w:r w:rsidRPr="004301A1">
        <w:t>Fatal adverse events were reported in 20 (7.9%) patients in the tarlatamab arm and 21 (8.6%) patients in the SOC arm. Treatment-related fatal adverse events were reported in 1 patient in the tarlatamab arm (0.4%; ICANS) and 4 patients in the SOC arm (1.6%; general physical health deterioration, pneumonia, respiratory tract infection, and tumour lysis syndrome).</w:t>
      </w:r>
    </w:p>
    <w:p w14:paraId="3E15A8A5" w14:textId="52400B1F" w:rsidR="007731FB" w:rsidRDefault="007731FB" w:rsidP="007731FB">
      <w:pPr>
        <w:pStyle w:val="COMESnumberedpara"/>
      </w:pPr>
      <w:r w:rsidRPr="007D50D9">
        <w:t xml:space="preserve">For adverse events of interest, higher proportions of patients in the tarlatamab arm compared to the SOC arm of the DeLLphi-304 trial experienced </w:t>
      </w:r>
      <w:r w:rsidR="00CD47FB">
        <w:t>CRS</w:t>
      </w:r>
      <w:r w:rsidRPr="007D50D9">
        <w:t xml:space="preserve"> </w:t>
      </w:r>
      <w:r>
        <w:t>(</w:t>
      </w:r>
      <w:r w:rsidR="004B131B">
        <w:t xml:space="preserve">narrow: </w:t>
      </w:r>
      <w:r>
        <w:t>56.3% versus 1.2%</w:t>
      </w:r>
      <w:r w:rsidR="004B131B">
        <w:t xml:space="preserve">; </w:t>
      </w:r>
      <w:r w:rsidR="00614EAC">
        <w:t>broad: 93.3% versus 85.2%</w:t>
      </w:r>
      <w:r>
        <w:t xml:space="preserve">) </w:t>
      </w:r>
      <w:r w:rsidRPr="007D50D9">
        <w:t>and neurological events</w:t>
      </w:r>
      <w:r>
        <w:t xml:space="preserve"> (55.6% versus 35.2%)</w:t>
      </w:r>
      <w:r w:rsidRPr="007D50D9">
        <w:t>, including ICANS</w:t>
      </w:r>
      <w:r>
        <w:t xml:space="preserve"> (</w:t>
      </w:r>
      <w:r w:rsidR="00D66AC1">
        <w:t>6</w:t>
      </w:r>
      <w:r w:rsidR="005015BE">
        <w:t>.0</w:t>
      </w:r>
      <w:r>
        <w:t xml:space="preserve">% versus </w:t>
      </w:r>
      <w:r w:rsidR="00D66AC1">
        <w:t>0.8</w:t>
      </w:r>
      <w:r>
        <w:t>%).</w:t>
      </w:r>
      <w:r w:rsidRPr="00EB4A08">
        <w:t xml:space="preserve"> </w:t>
      </w:r>
      <w:r>
        <w:t>The incidence of neutropenia was lower in the tarlatamab arm compared to the SOC arm (20.6% versus 50.8%).</w:t>
      </w:r>
    </w:p>
    <w:p w14:paraId="5FF3A059" w14:textId="66D9753B" w:rsidR="007731FB" w:rsidRDefault="007731FB" w:rsidP="007731FB">
      <w:pPr>
        <w:pStyle w:val="COMESnumberedpara"/>
      </w:pPr>
      <w:r>
        <w:t>The incidence of adverse events at the April 2025 data cut was consistent with the earlier data cut.</w:t>
      </w:r>
    </w:p>
    <w:p w14:paraId="205B7171" w14:textId="7DF77482" w:rsidR="007731FB" w:rsidRPr="00141956" w:rsidRDefault="007731FB" w:rsidP="007731FB">
      <w:pPr>
        <w:pStyle w:val="COMESnumberedpara"/>
      </w:pPr>
      <w:r w:rsidRPr="00141956">
        <w:t>The submission noted that during the DeLLphi-304 trial, a protocol amendment allowed the reduction of inpatient monitoring from 48 hours to 6</w:t>
      </w:r>
      <w:r w:rsidR="00D9436B" w:rsidRPr="00141956">
        <w:rPr>
          <w:rFonts w:cstheme="minorHAnsi"/>
        </w:rPr>
        <w:t>–</w:t>
      </w:r>
      <w:r w:rsidRPr="00141956">
        <w:t xml:space="preserve">8 hours </w:t>
      </w:r>
      <w:r w:rsidR="0066231F">
        <w:t>for</w:t>
      </w:r>
      <w:r w:rsidR="0066231F" w:rsidRPr="00141956">
        <w:t xml:space="preserve"> </w:t>
      </w:r>
      <w:r w:rsidRPr="00141956">
        <w:t>the first 2 administrations of tarlatamab (Day 1 and Day 8). Overall, 43 (16.9%) tarlatamab patients were enrolled under the 6</w:t>
      </w:r>
      <w:r w:rsidR="00BF581D" w:rsidRPr="00141956">
        <w:rPr>
          <w:rFonts w:cstheme="minorHAnsi"/>
        </w:rPr>
        <w:t>–</w:t>
      </w:r>
      <w:r w:rsidRPr="00141956">
        <w:t xml:space="preserve">8 hour monitoring criteria. The </w:t>
      </w:r>
      <w:r w:rsidR="00AC3A8C" w:rsidRPr="00141956">
        <w:t xml:space="preserve">evaluation noted that the </w:t>
      </w:r>
      <w:r w:rsidRPr="00141956">
        <w:t xml:space="preserve">reduction in the duration of inpatient monitoring during cycle 1 did not appear to worsen the </w:t>
      </w:r>
      <w:r w:rsidR="00071577" w:rsidRPr="00141956">
        <w:t>CRS</w:t>
      </w:r>
      <w:r w:rsidRPr="00141956">
        <w:t xml:space="preserve"> safety profile of tarlatamab. The submission noted that further reductions in inpatient monitoring will be proposed as information becomes available throughout the tarlatamab clinical trial program, including the proposed 1</w:t>
      </w:r>
      <w:r w:rsidR="00BF581D" w:rsidRPr="00141956">
        <w:rPr>
          <w:rFonts w:cstheme="minorHAnsi"/>
        </w:rPr>
        <w:t>–</w:t>
      </w:r>
      <w:r w:rsidRPr="00141956">
        <w:t>2 hour monitoring period in the most recent TGA application.</w:t>
      </w:r>
    </w:p>
    <w:p w14:paraId="748A8DC2" w14:textId="30748BF5" w:rsidR="00DB6595" w:rsidRPr="00B73BC3" w:rsidRDefault="00A92C77" w:rsidP="00B83ACC">
      <w:pPr>
        <w:pStyle w:val="COMESnumberedpara"/>
      </w:pPr>
      <w:r w:rsidRPr="00B73BC3">
        <w:t>The ESC recalled that in</w:t>
      </w:r>
      <w:r w:rsidR="00BC04AB" w:rsidRPr="00B73BC3">
        <w:t xml:space="preserve"> </w:t>
      </w:r>
      <w:r w:rsidR="007731FB" w:rsidRPr="00B73BC3">
        <w:t xml:space="preserve">the DeLLphi-301 </w:t>
      </w:r>
      <w:r w:rsidR="00D212B1" w:rsidRPr="00B73BC3">
        <w:t xml:space="preserve">trial </w:t>
      </w:r>
      <w:r w:rsidR="00BC04AB" w:rsidRPr="00B73BC3">
        <w:t xml:space="preserve">10 mg cohort </w:t>
      </w:r>
      <w:r w:rsidR="00740B7A" w:rsidRPr="00B73BC3">
        <w:t xml:space="preserve">at the </w:t>
      </w:r>
      <w:r w:rsidR="00740B7A" w:rsidRPr="00B73BC3">
        <w:rPr>
          <w:rFonts w:ascii="Calibri" w:hAnsi="Calibri" w:cs="Calibri"/>
        </w:rPr>
        <w:t>June 2023 data cut-off</w:t>
      </w:r>
      <w:r w:rsidR="007731FB" w:rsidRPr="00B73BC3">
        <w:t xml:space="preserve">, adverse events were reported in 97.0% of patients, </w:t>
      </w:r>
      <w:r w:rsidR="00FD688F" w:rsidRPr="00B73BC3">
        <w:t>29</w:t>
      </w:r>
      <w:r w:rsidR="000B35DD" w:rsidRPr="00B73BC3">
        <w:t>.3</w:t>
      </w:r>
      <w:r w:rsidR="00FD688F" w:rsidRPr="00B73BC3">
        <w:t xml:space="preserve">% had a treatment-related grade </w:t>
      </w:r>
      <w:r w:rsidR="00FD688F" w:rsidRPr="00B73BC3">
        <w:rPr>
          <w:rFonts w:cstheme="minorHAnsi"/>
        </w:rPr>
        <w:t>≥</w:t>
      </w:r>
      <w:r w:rsidR="00CB6C31" w:rsidRPr="00B73BC3">
        <w:t xml:space="preserve">3 adverse event, </w:t>
      </w:r>
      <w:r w:rsidR="007731FB" w:rsidRPr="00B73BC3">
        <w:t xml:space="preserve">58.6% of patients had serious adverse events, and the most commonly reported adverse events were </w:t>
      </w:r>
      <w:r w:rsidR="00CB2D73" w:rsidRPr="00B73BC3">
        <w:t>CRS</w:t>
      </w:r>
      <w:r w:rsidR="007731FB" w:rsidRPr="00B73BC3">
        <w:t xml:space="preserve"> (49.5</w:t>
      </w:r>
      <w:r w:rsidR="00C71A25" w:rsidRPr="00B73BC3">
        <w:rPr>
          <w:rFonts w:cstheme="minorHAnsi"/>
        </w:rPr>
        <w:t>–</w:t>
      </w:r>
      <w:r w:rsidR="00C71A25" w:rsidRPr="00B73BC3">
        <w:t>90.9</w:t>
      </w:r>
      <w:r w:rsidR="007731FB" w:rsidRPr="00B73BC3">
        <w:t>%</w:t>
      </w:r>
      <w:r w:rsidR="00C71A25" w:rsidRPr="00B73BC3">
        <w:t xml:space="preserve">; </w:t>
      </w:r>
      <w:r w:rsidR="00BD4FFB" w:rsidRPr="00B73BC3">
        <w:t>narrow</w:t>
      </w:r>
      <w:r w:rsidR="00C71A25" w:rsidRPr="00B73BC3">
        <w:rPr>
          <w:rFonts w:cstheme="minorHAnsi"/>
        </w:rPr>
        <w:t>–broad</w:t>
      </w:r>
      <w:r w:rsidR="00BD4FFB" w:rsidRPr="00B73BC3">
        <w:t xml:space="preserve"> term</w:t>
      </w:r>
      <w:r w:rsidR="007731FB" w:rsidRPr="00B73BC3">
        <w:t xml:space="preserve">), pyrexia (38.4%), constipation (28.3%), anaemia (26.3%), decreased appetite (25.3%), dysgeusia (24.2%), fatigue (21.2%), and asthenia (20.2%). </w:t>
      </w:r>
    </w:p>
    <w:p w14:paraId="603854F2" w14:textId="74EA4057" w:rsidR="00F55693" w:rsidRPr="00B73BC3" w:rsidRDefault="00F55693" w:rsidP="00214BEC">
      <w:pPr>
        <w:pStyle w:val="COMexecsummnumbered"/>
        <w:numPr>
          <w:ilvl w:val="1"/>
          <w:numId w:val="5"/>
        </w:numPr>
      </w:pPr>
      <w:r w:rsidRPr="00B73BC3">
        <w:t>All CRS events were Grade 1 or Grade 2 in severity (fever with or without hypoxia or hypotension), most frequently after the first or second dose of tarlatamab</w:t>
      </w:r>
      <w:r w:rsidR="00F570AA" w:rsidRPr="00B73BC3">
        <w:t>, with median time to onset of 13.1 hours and median duration of 4 days</w:t>
      </w:r>
      <w:r w:rsidRPr="00B73BC3">
        <w:t xml:space="preserve">. Larger proportions of patients (51.5%) reported CRS events in the DeLLphi-301 10 mg cohort, at the 2 October 2023 data cutoff. </w:t>
      </w:r>
    </w:p>
    <w:p w14:paraId="0938C70F" w14:textId="7571DD30" w:rsidR="00F55693" w:rsidRPr="00B73BC3" w:rsidRDefault="00F55693" w:rsidP="00214BEC">
      <w:pPr>
        <w:pStyle w:val="COMexecsummnumbered"/>
        <w:numPr>
          <w:ilvl w:val="1"/>
          <w:numId w:val="5"/>
        </w:numPr>
      </w:pPr>
      <w:r w:rsidRPr="00B73BC3">
        <w:t xml:space="preserve">ICANs and associated neurologic events were reported in 7 (7.1%) patients in the DeLLphi-301 10 mg cohort, most frequently after administration of tarlatamab in Cycle 1, with a median time to onset of 5 days. </w:t>
      </w:r>
    </w:p>
    <w:p w14:paraId="04908C7F" w14:textId="415B9B7D" w:rsidR="007F1017" w:rsidRPr="0098262F" w:rsidRDefault="007F1017" w:rsidP="00E30122">
      <w:pPr>
        <w:pStyle w:val="COMESSubsectionheading"/>
      </w:pPr>
      <w:bookmarkStart w:id="41" w:name="_Toc22897643"/>
      <w:bookmarkStart w:id="42" w:name="_Toc219878283"/>
      <w:r w:rsidRPr="0098262F">
        <w:lastRenderedPageBreak/>
        <w:t>Benefits/harms</w:t>
      </w:r>
      <w:bookmarkEnd w:id="41"/>
      <w:bookmarkEnd w:id="42"/>
    </w:p>
    <w:p w14:paraId="085D2097" w14:textId="5B74872B" w:rsidR="00C241F8" w:rsidRPr="0098262F" w:rsidRDefault="00C756CA" w:rsidP="00C756CA">
      <w:pPr>
        <w:pStyle w:val="COMESnumberedpara"/>
      </w:pPr>
      <w:proofErr w:type="gramStart"/>
      <w:r w:rsidRPr="0098262F">
        <w:t xml:space="preserve">On </w:t>
      </w:r>
      <w:r w:rsidRPr="00FF3E65">
        <w:t>the basis of</w:t>
      </w:r>
      <w:proofErr w:type="gramEnd"/>
      <w:r w:rsidRPr="00FF3E65">
        <w:t xml:space="preserve"> direct evidence presented in the submission, after a median duration of follow-up of </w:t>
      </w:r>
      <w:r>
        <w:t>14</w:t>
      </w:r>
      <w:r w:rsidRPr="00FF3E65">
        <w:t xml:space="preserve"> months (</w:t>
      </w:r>
      <w:r>
        <w:t>April</w:t>
      </w:r>
      <w:r w:rsidRPr="00FF3E65">
        <w:t xml:space="preserve"> 202</w:t>
      </w:r>
      <w:r>
        <w:t>5</w:t>
      </w:r>
      <w:r w:rsidRPr="00FF3E65">
        <w:t xml:space="preserve"> data cut), for every 100 patients treated with </w:t>
      </w:r>
      <w:r>
        <w:t>tarlatamab</w:t>
      </w:r>
      <w:r w:rsidRPr="00FF3E65">
        <w:t xml:space="preserve"> compared to </w:t>
      </w:r>
      <w:r>
        <w:t>SOC</w:t>
      </w:r>
      <w:r w:rsidRPr="00FF3E65">
        <w:t xml:space="preserve">: </w:t>
      </w:r>
    </w:p>
    <w:p w14:paraId="77B8014A" w14:textId="140AF906" w:rsidR="00C241F8" w:rsidRDefault="00C241F8" w:rsidP="00C12064">
      <w:pPr>
        <w:pStyle w:val="COMESbulletlist"/>
      </w:pPr>
      <w:r w:rsidRPr="0098262F">
        <w:t xml:space="preserve">Approximately </w:t>
      </w:r>
      <w:r w:rsidR="00F92150">
        <w:t>17</w:t>
      </w:r>
      <w:r w:rsidR="00F92150" w:rsidRPr="0098262F">
        <w:t xml:space="preserve"> </w:t>
      </w:r>
      <w:r w:rsidRPr="0098262F">
        <w:t xml:space="preserve">additional patients </w:t>
      </w:r>
      <w:r w:rsidRPr="003024C0">
        <w:t>would remain alive after</w:t>
      </w:r>
      <w:r w:rsidRPr="0098262F">
        <w:t xml:space="preserve"> </w:t>
      </w:r>
      <w:r w:rsidR="00F92150">
        <w:t xml:space="preserve">12 </w:t>
      </w:r>
      <w:r>
        <w:t>months</w:t>
      </w:r>
      <w:r w:rsidR="0064241C">
        <w:t xml:space="preserve"> (see </w:t>
      </w:r>
      <w:r w:rsidR="0064241C">
        <w:fldChar w:fldCharType="begin"/>
      </w:r>
      <w:r w:rsidR="0064241C">
        <w:instrText xml:space="preserve"> REF _Ref216699113 \h </w:instrText>
      </w:r>
      <w:r w:rsidR="0064241C">
        <w:fldChar w:fldCharType="separate"/>
      </w:r>
      <w:r w:rsidR="00E26586" w:rsidRPr="00602806">
        <w:t xml:space="preserve">Table </w:t>
      </w:r>
      <w:r w:rsidR="00E26586">
        <w:rPr>
          <w:noProof/>
        </w:rPr>
        <w:t>4</w:t>
      </w:r>
      <w:r w:rsidR="0064241C">
        <w:fldChar w:fldCharType="end"/>
      </w:r>
      <w:r w:rsidR="0064241C">
        <w:t>)</w:t>
      </w:r>
      <w:r>
        <w:t>.</w:t>
      </w:r>
    </w:p>
    <w:p w14:paraId="69167C2D" w14:textId="6596F6A9" w:rsidR="00C241F8" w:rsidRPr="00594910" w:rsidRDefault="00C241F8" w:rsidP="00C12064">
      <w:pPr>
        <w:pStyle w:val="COMESbulletlist"/>
      </w:pPr>
      <w:r w:rsidRPr="00594910">
        <w:t>Approximately</w:t>
      </w:r>
      <w:r>
        <w:t xml:space="preserve"> </w:t>
      </w:r>
      <w:r w:rsidR="00D67E1C">
        <w:t>14</w:t>
      </w:r>
      <w:r w:rsidR="00D67E1C" w:rsidRPr="00594910">
        <w:t xml:space="preserve"> </w:t>
      </w:r>
      <w:r w:rsidRPr="00594910">
        <w:t xml:space="preserve">additional patients would remain progression-free after </w:t>
      </w:r>
      <w:r w:rsidR="00F92150">
        <w:t>12</w:t>
      </w:r>
      <w:r w:rsidR="00F92150" w:rsidRPr="00594910">
        <w:t xml:space="preserve"> </w:t>
      </w:r>
      <w:r w:rsidRPr="00594910">
        <w:t>months</w:t>
      </w:r>
      <w:r w:rsidR="0064241C">
        <w:t xml:space="preserve"> (see </w:t>
      </w:r>
      <w:r w:rsidR="0064241C">
        <w:fldChar w:fldCharType="begin"/>
      </w:r>
      <w:r w:rsidR="0064241C">
        <w:instrText xml:space="preserve"> REF _Ref216701305 \h </w:instrText>
      </w:r>
      <w:r w:rsidR="0064241C">
        <w:fldChar w:fldCharType="separate"/>
      </w:r>
      <w:r w:rsidR="00E26586" w:rsidRPr="00602806">
        <w:t xml:space="preserve">Table </w:t>
      </w:r>
      <w:r w:rsidR="00E26586">
        <w:rPr>
          <w:noProof/>
        </w:rPr>
        <w:t>5</w:t>
      </w:r>
      <w:r w:rsidR="0064241C">
        <w:fldChar w:fldCharType="end"/>
      </w:r>
      <w:r w:rsidR="0064241C">
        <w:t>)</w:t>
      </w:r>
      <w:r w:rsidRPr="00594910">
        <w:t xml:space="preserve">. </w:t>
      </w:r>
    </w:p>
    <w:p w14:paraId="1EA6B3C6" w14:textId="2525302E" w:rsidR="00C241F8" w:rsidRPr="008D1DAF" w:rsidRDefault="00C241F8" w:rsidP="00C12064">
      <w:pPr>
        <w:pStyle w:val="COMESbulletlist"/>
      </w:pPr>
      <w:r w:rsidRPr="008D1DAF">
        <w:t>Approximately 55 more patients would experience cytokine release syndrome adverse events</w:t>
      </w:r>
      <w:r w:rsidR="0064241C">
        <w:t xml:space="preserve"> (see </w:t>
      </w:r>
      <w:r w:rsidR="0064241C">
        <w:fldChar w:fldCharType="begin"/>
      </w:r>
      <w:r w:rsidR="0064241C">
        <w:instrText xml:space="preserve"> REF _Ref216722830 \h </w:instrText>
      </w:r>
      <w:r w:rsidR="0064241C">
        <w:fldChar w:fldCharType="separate"/>
      </w:r>
      <w:r w:rsidR="00E26586" w:rsidRPr="00602806">
        <w:t xml:space="preserve">Table </w:t>
      </w:r>
      <w:r w:rsidR="00E26586">
        <w:rPr>
          <w:noProof/>
        </w:rPr>
        <w:t>7</w:t>
      </w:r>
      <w:r w:rsidR="0064241C">
        <w:fldChar w:fldCharType="end"/>
      </w:r>
      <w:r w:rsidR="0064241C">
        <w:t>)</w:t>
      </w:r>
      <w:r w:rsidRPr="008D1DAF">
        <w:t>.</w:t>
      </w:r>
    </w:p>
    <w:p w14:paraId="7C4B7C35" w14:textId="00D2C8FB" w:rsidR="00C241F8" w:rsidRDefault="00C241F8" w:rsidP="00C12064">
      <w:pPr>
        <w:pStyle w:val="COMESbulletlist"/>
      </w:pPr>
      <w:r>
        <w:t>Approximately 5 more patients would experience ICANS</w:t>
      </w:r>
      <w:r w:rsidR="0064241C">
        <w:t xml:space="preserve"> (see </w:t>
      </w:r>
      <w:r w:rsidR="0064241C">
        <w:fldChar w:fldCharType="begin"/>
      </w:r>
      <w:r w:rsidR="0064241C">
        <w:instrText xml:space="preserve"> REF _Ref216722830 \h </w:instrText>
      </w:r>
      <w:r w:rsidR="0064241C">
        <w:fldChar w:fldCharType="separate"/>
      </w:r>
      <w:r w:rsidR="00E26586" w:rsidRPr="00602806">
        <w:t xml:space="preserve">Table </w:t>
      </w:r>
      <w:r w:rsidR="00E26586">
        <w:rPr>
          <w:noProof/>
        </w:rPr>
        <w:t>7</w:t>
      </w:r>
      <w:r w:rsidR="0064241C">
        <w:fldChar w:fldCharType="end"/>
      </w:r>
      <w:r w:rsidR="0064241C">
        <w:t>)</w:t>
      </w:r>
      <w:r>
        <w:t>.</w:t>
      </w:r>
    </w:p>
    <w:p w14:paraId="76E8EFD1" w14:textId="1B423017" w:rsidR="00C241F8" w:rsidRPr="0098262F" w:rsidRDefault="00C241F8" w:rsidP="00C12064">
      <w:pPr>
        <w:pStyle w:val="COMESbulletlist"/>
      </w:pPr>
      <w:r>
        <w:t>Approximately 30 fewer patients would experience neutropenia</w:t>
      </w:r>
      <w:r w:rsidR="0064241C">
        <w:t xml:space="preserve"> (see </w:t>
      </w:r>
      <w:r w:rsidR="0064241C">
        <w:fldChar w:fldCharType="begin"/>
      </w:r>
      <w:r w:rsidR="0064241C">
        <w:instrText xml:space="preserve"> REF _Ref216722830 \h </w:instrText>
      </w:r>
      <w:r w:rsidR="0064241C">
        <w:fldChar w:fldCharType="separate"/>
      </w:r>
      <w:r w:rsidR="00E26586" w:rsidRPr="00602806">
        <w:t xml:space="preserve">Table </w:t>
      </w:r>
      <w:r w:rsidR="00E26586">
        <w:rPr>
          <w:noProof/>
        </w:rPr>
        <w:t>7</w:t>
      </w:r>
      <w:r w:rsidR="0064241C">
        <w:fldChar w:fldCharType="end"/>
      </w:r>
      <w:r w:rsidR="0064241C">
        <w:t>)</w:t>
      </w:r>
      <w:r>
        <w:t>.</w:t>
      </w:r>
    </w:p>
    <w:p w14:paraId="7A1772B6" w14:textId="23BB3145" w:rsidR="00B60939" w:rsidRPr="0098262F" w:rsidRDefault="00B60939" w:rsidP="00E30122">
      <w:pPr>
        <w:pStyle w:val="COMESSubsectionheading"/>
      </w:pPr>
      <w:bookmarkStart w:id="43" w:name="_Toc22897644"/>
      <w:bookmarkStart w:id="44" w:name="_Toc219878284"/>
      <w:r w:rsidRPr="0098262F">
        <w:t>Clinical claim</w:t>
      </w:r>
      <w:bookmarkEnd w:id="43"/>
      <w:bookmarkEnd w:id="44"/>
    </w:p>
    <w:p w14:paraId="06C3F37F" w14:textId="767223AE" w:rsidR="009337CA" w:rsidRPr="00B73BC3" w:rsidRDefault="009337CA" w:rsidP="009337CA">
      <w:pPr>
        <w:pStyle w:val="COMESnumberedpara"/>
        <w:rPr>
          <w:rFonts w:eastAsia="Calibri"/>
        </w:rPr>
      </w:pPr>
      <w:r w:rsidRPr="00726F37">
        <w:t>The submission described tarlatamab as superior in terms of effectiveness and safety compared to SOC for the treatment of second-line and subsequent treatment of ES-SCLC in patients who had progressed on or after platinum-based chemotherapy.</w:t>
      </w:r>
      <w:r w:rsidRPr="00726F37">
        <w:rPr>
          <w:rFonts w:eastAsia="Calibri"/>
        </w:rPr>
        <w:t xml:space="preserve"> </w:t>
      </w:r>
      <w:r w:rsidR="0056577C" w:rsidRPr="00B73BC3">
        <w:rPr>
          <w:rFonts w:eastAsia="Calibri"/>
        </w:rPr>
        <w:t xml:space="preserve">The ESC agreed with the evaluation that this </w:t>
      </w:r>
      <w:r w:rsidRPr="00B73BC3">
        <w:rPr>
          <w:rFonts w:eastAsia="Calibri"/>
        </w:rPr>
        <w:t>claim may be reasonable in terms of efficacy, but not safety.</w:t>
      </w:r>
    </w:p>
    <w:p w14:paraId="2660FB32" w14:textId="77777777" w:rsidR="009337CA" w:rsidRPr="00726F37" w:rsidRDefault="009337CA" w:rsidP="009337CA">
      <w:pPr>
        <w:pStyle w:val="COMESnumberedpara"/>
        <w:rPr>
          <w:rFonts w:eastAsia="Calibri"/>
        </w:rPr>
      </w:pPr>
      <w:bookmarkStart w:id="45" w:name="_Ref222583133"/>
      <w:r w:rsidRPr="00726F37">
        <w:t>The following issues should be considered:</w:t>
      </w:r>
      <w:bookmarkEnd w:id="45"/>
    </w:p>
    <w:p w14:paraId="00E57D7E" w14:textId="3B07A79D" w:rsidR="006D3351" w:rsidRPr="00B73BC3" w:rsidRDefault="00A23754" w:rsidP="00191E71">
      <w:pPr>
        <w:pStyle w:val="COMESbulletlist"/>
        <w:ind w:left="720"/>
        <w:rPr>
          <w:rFonts w:eastAsia="Calibri"/>
        </w:rPr>
      </w:pPr>
      <w:r w:rsidRPr="00726F37">
        <w:rPr>
          <w:rFonts w:eastAsia="Calibri"/>
        </w:rPr>
        <w:t xml:space="preserve">The generalisability of the DeLLphi-304 trial results to the proposed PBS population is unclear, given patients in the trial were required to have an ECOG performance status of 0 or 1 and a minimum life expectancy of 12 weeks, the trial included patients with limited stage disease, and 40% of patients received tarlatamab beyond disease progression (which is inconsistent with the proposed restriction). </w:t>
      </w:r>
      <w:r w:rsidR="00C7081F" w:rsidRPr="00B73BC3">
        <w:t>These differences</w:t>
      </w:r>
      <w:r w:rsidR="00690E70" w:rsidRPr="00B73BC3">
        <w:t xml:space="preserve"> </w:t>
      </w:r>
      <w:r w:rsidR="00C7081F" w:rsidRPr="00B73BC3">
        <w:t>may result in patients with a poorer prognosis being treated with tarlatamab on the PBS compared to patients in the DeLLphi-304 trial</w:t>
      </w:r>
      <w:r w:rsidR="00690E70" w:rsidRPr="00B73BC3">
        <w:t xml:space="preserve"> and </w:t>
      </w:r>
      <w:r w:rsidR="00D278EF" w:rsidRPr="00B73BC3">
        <w:t xml:space="preserve">it is possible that </w:t>
      </w:r>
      <w:r w:rsidR="007D6D2E" w:rsidRPr="00B73BC3">
        <w:rPr>
          <w:rFonts w:eastAsia="Calibri"/>
        </w:rPr>
        <w:t>the</w:t>
      </w:r>
      <w:r w:rsidRPr="00B73BC3">
        <w:rPr>
          <w:rFonts w:eastAsia="Calibri"/>
        </w:rPr>
        <w:t xml:space="preserve"> results of the trial may not be realised in the proposed PBS population.</w:t>
      </w:r>
      <w:r w:rsidR="001A5D75" w:rsidRPr="00B73BC3">
        <w:rPr>
          <w:rFonts w:eastAsia="Calibri"/>
        </w:rPr>
        <w:t xml:space="preserve"> </w:t>
      </w:r>
    </w:p>
    <w:p w14:paraId="7B52BEAC" w14:textId="59ED4F32" w:rsidR="00BF657E" w:rsidRPr="00B73BC3" w:rsidRDefault="001A5D75" w:rsidP="005D766A">
      <w:pPr>
        <w:pStyle w:val="COMESbulletlist"/>
        <w:numPr>
          <w:ilvl w:val="0"/>
          <w:numId w:val="36"/>
        </w:numPr>
        <w:rPr>
          <w:rFonts w:eastAsia="Calibri"/>
        </w:rPr>
      </w:pPr>
      <w:r w:rsidRPr="00B73BC3">
        <w:rPr>
          <w:rFonts w:eastAsia="Calibri"/>
        </w:rPr>
        <w:t xml:space="preserve">The </w:t>
      </w:r>
      <w:r w:rsidR="005F1875" w:rsidRPr="00B73BC3">
        <w:rPr>
          <w:rFonts w:eastAsia="Calibri"/>
        </w:rPr>
        <w:t xml:space="preserve">ESC noted that the </w:t>
      </w:r>
      <w:r w:rsidRPr="00B73BC3">
        <w:rPr>
          <w:rFonts w:eastAsia="Calibri"/>
        </w:rPr>
        <w:t xml:space="preserve">PSCR </w:t>
      </w:r>
      <w:r w:rsidR="00F83A13" w:rsidRPr="00B73BC3">
        <w:rPr>
          <w:rFonts w:eastAsia="Calibri"/>
        </w:rPr>
        <w:t>referred</w:t>
      </w:r>
      <w:r w:rsidR="005F1875" w:rsidRPr="00B73BC3">
        <w:rPr>
          <w:rFonts w:eastAsia="Calibri"/>
        </w:rPr>
        <w:t xml:space="preserve"> t</w:t>
      </w:r>
      <w:r w:rsidR="001E275F" w:rsidRPr="00B73BC3">
        <w:rPr>
          <w:rFonts w:eastAsia="Calibri"/>
        </w:rPr>
        <w:t>o</w:t>
      </w:r>
      <w:r w:rsidR="002E7D57" w:rsidRPr="00B73BC3">
        <w:rPr>
          <w:rFonts w:eastAsia="Calibri"/>
        </w:rPr>
        <w:t xml:space="preserve"> </w:t>
      </w:r>
      <w:r w:rsidR="002D014D" w:rsidRPr="00B73BC3">
        <w:rPr>
          <w:rFonts w:eastAsia="Calibri"/>
        </w:rPr>
        <w:t>an</w:t>
      </w:r>
      <w:r w:rsidR="00522CDA" w:rsidRPr="00B73BC3">
        <w:rPr>
          <w:rFonts w:eastAsia="Calibri"/>
        </w:rPr>
        <w:t xml:space="preserve"> </w:t>
      </w:r>
      <w:r w:rsidR="00BF657E" w:rsidRPr="00B73BC3">
        <w:rPr>
          <w:rFonts w:eastAsia="Calibri"/>
        </w:rPr>
        <w:t>advisory board</w:t>
      </w:r>
      <w:r w:rsidR="006E5E62" w:rsidRPr="00B73BC3">
        <w:rPr>
          <w:rFonts w:eastAsia="Calibri"/>
        </w:rPr>
        <w:t xml:space="preserve"> which</w:t>
      </w:r>
      <w:r w:rsidR="00F023CC" w:rsidRPr="00B73BC3">
        <w:rPr>
          <w:rFonts w:eastAsia="Calibri"/>
        </w:rPr>
        <w:t xml:space="preserve"> </w:t>
      </w:r>
      <w:r w:rsidR="0097138A" w:rsidRPr="00B73BC3">
        <w:rPr>
          <w:rFonts w:eastAsia="Calibri"/>
        </w:rPr>
        <w:t>considered</w:t>
      </w:r>
      <w:r w:rsidR="00AD690B" w:rsidRPr="00B73BC3">
        <w:rPr>
          <w:rFonts w:eastAsia="Calibri"/>
        </w:rPr>
        <w:t xml:space="preserve"> that the DeLLphi-304 was applicable to</w:t>
      </w:r>
      <w:r w:rsidR="001B2EB8" w:rsidRPr="00B73BC3">
        <w:rPr>
          <w:rFonts w:eastAsia="Calibri"/>
        </w:rPr>
        <w:t xml:space="preserve"> the</w:t>
      </w:r>
      <w:r w:rsidR="00AD690B" w:rsidRPr="00B73BC3">
        <w:rPr>
          <w:rFonts w:eastAsia="Calibri"/>
        </w:rPr>
        <w:t xml:space="preserve"> proposed PBS population</w:t>
      </w:r>
      <w:r w:rsidR="009A648C" w:rsidRPr="00B73BC3">
        <w:rPr>
          <w:rFonts w:eastAsia="Calibri"/>
        </w:rPr>
        <w:t xml:space="preserve"> </w:t>
      </w:r>
      <w:r w:rsidR="00666C0A" w:rsidRPr="00B73BC3">
        <w:rPr>
          <w:rFonts w:eastAsia="Calibri"/>
        </w:rPr>
        <w:t>and</w:t>
      </w:r>
      <w:r w:rsidR="00AD690B" w:rsidRPr="00B73BC3">
        <w:rPr>
          <w:rFonts w:eastAsia="Calibri"/>
        </w:rPr>
        <w:t xml:space="preserve"> patients in the clinic continuing to second line treatment were relatively fit, much as in the trial, with patients of poor performance status or short life expectancy unlikely to receive further treatmen</w:t>
      </w:r>
      <w:r w:rsidR="00B07E98" w:rsidRPr="00B73BC3">
        <w:rPr>
          <w:rFonts w:eastAsia="Calibri"/>
        </w:rPr>
        <w:t>t</w:t>
      </w:r>
      <w:r w:rsidR="00BF657E" w:rsidRPr="00B73BC3">
        <w:rPr>
          <w:rFonts w:eastAsia="Calibri"/>
        </w:rPr>
        <w:t xml:space="preserve">. </w:t>
      </w:r>
      <w:r w:rsidR="00A35497" w:rsidRPr="00B73BC3">
        <w:rPr>
          <w:rFonts w:eastAsia="Calibri"/>
        </w:rPr>
        <w:t xml:space="preserve">The ESC agreed </w:t>
      </w:r>
      <w:r w:rsidR="00896190" w:rsidRPr="00B73BC3">
        <w:rPr>
          <w:rFonts w:eastAsia="Calibri"/>
        </w:rPr>
        <w:t>with the advisory board advice</w:t>
      </w:r>
      <w:r w:rsidR="00A35497" w:rsidRPr="00B73BC3">
        <w:rPr>
          <w:rFonts w:eastAsia="Calibri"/>
        </w:rPr>
        <w:t xml:space="preserve"> that only fit patients would be considered for second-line therapy and considered that the generalisability of the trial was likely reasonable. </w:t>
      </w:r>
      <w:r w:rsidR="00004865" w:rsidRPr="00B73BC3">
        <w:rPr>
          <w:rFonts w:eastAsia="Calibri"/>
        </w:rPr>
        <w:t xml:space="preserve">However, the ESC noted that the inclusion of a criterion requiring patients to have a performance status of 0 or 1 in the proposed restriction may be appropriate. </w:t>
      </w:r>
      <w:r w:rsidR="00D7302E" w:rsidRPr="00B73BC3">
        <w:rPr>
          <w:rFonts w:eastAsia="Calibri"/>
        </w:rPr>
        <w:t xml:space="preserve">The PSCR stated that </w:t>
      </w:r>
      <w:r w:rsidR="00EC2B00" w:rsidRPr="00B73BC3">
        <w:rPr>
          <w:rFonts w:eastAsia="Calibri"/>
        </w:rPr>
        <w:t>the</w:t>
      </w:r>
      <w:r w:rsidR="00B07E98" w:rsidRPr="00B73BC3">
        <w:rPr>
          <w:rFonts w:eastAsia="Calibri"/>
        </w:rPr>
        <w:t xml:space="preserve"> advisory board </w:t>
      </w:r>
      <w:r w:rsidR="00D7302E" w:rsidRPr="00B73BC3">
        <w:rPr>
          <w:rFonts w:eastAsia="Calibri"/>
        </w:rPr>
        <w:t>also noted that the</w:t>
      </w:r>
      <w:r w:rsidR="00BF657E" w:rsidRPr="00BF657E">
        <w:rPr>
          <w:rFonts w:eastAsia="Calibri"/>
          <w:i/>
          <w:iCs/>
        </w:rPr>
        <w:t xml:space="preserve"> </w:t>
      </w:r>
      <w:r w:rsidR="00BF657E" w:rsidRPr="00B73BC3">
        <w:rPr>
          <w:rFonts w:eastAsia="Calibri"/>
        </w:rPr>
        <w:lastRenderedPageBreak/>
        <w:t>treatment effect across different baseline characteristics</w:t>
      </w:r>
      <w:r w:rsidR="00D7302E" w:rsidRPr="00B73BC3">
        <w:rPr>
          <w:rFonts w:eastAsia="Calibri"/>
        </w:rPr>
        <w:t xml:space="preserve"> remained consistent</w:t>
      </w:r>
      <w:r w:rsidR="002B6847" w:rsidRPr="00B73BC3">
        <w:rPr>
          <w:rFonts w:eastAsia="Calibri"/>
        </w:rPr>
        <w:t>, providing</w:t>
      </w:r>
      <w:r w:rsidR="003A54B0" w:rsidRPr="00B73BC3">
        <w:rPr>
          <w:rFonts w:eastAsia="Calibri"/>
        </w:rPr>
        <w:t xml:space="preserve"> evidence</w:t>
      </w:r>
      <w:r w:rsidR="002B6847" w:rsidRPr="00B73BC3">
        <w:rPr>
          <w:rFonts w:eastAsia="Calibri"/>
        </w:rPr>
        <w:t xml:space="preserve"> f</w:t>
      </w:r>
      <w:r w:rsidR="003A54B0" w:rsidRPr="00B73BC3">
        <w:rPr>
          <w:rFonts w:eastAsia="Calibri"/>
        </w:rPr>
        <w:t>or</w:t>
      </w:r>
      <w:r w:rsidR="002B6847" w:rsidRPr="00B73BC3">
        <w:rPr>
          <w:rFonts w:eastAsia="Calibri"/>
        </w:rPr>
        <w:t xml:space="preserve"> </w:t>
      </w:r>
      <w:r w:rsidR="003A54B0" w:rsidRPr="00B73BC3">
        <w:rPr>
          <w:rFonts w:eastAsia="Calibri"/>
        </w:rPr>
        <w:t xml:space="preserve">a consistent </w:t>
      </w:r>
      <w:r w:rsidR="002B6847" w:rsidRPr="00B73BC3">
        <w:rPr>
          <w:rFonts w:eastAsia="Calibri"/>
        </w:rPr>
        <w:t xml:space="preserve">effect </w:t>
      </w:r>
      <w:r w:rsidR="003A54B0" w:rsidRPr="00B73BC3">
        <w:rPr>
          <w:rFonts w:eastAsia="Calibri"/>
        </w:rPr>
        <w:t>across differences in populations</w:t>
      </w:r>
      <w:r w:rsidR="00BF657E" w:rsidRPr="00B73BC3">
        <w:rPr>
          <w:rFonts w:eastAsia="Calibri"/>
        </w:rPr>
        <w:t xml:space="preserve">. </w:t>
      </w:r>
    </w:p>
    <w:p w14:paraId="1C0E9BEF" w14:textId="642D4AC7" w:rsidR="007C4385" w:rsidRPr="00B73BC3" w:rsidRDefault="007C4385" w:rsidP="005D766A">
      <w:pPr>
        <w:pStyle w:val="COMESbulletlist"/>
        <w:numPr>
          <w:ilvl w:val="0"/>
          <w:numId w:val="37"/>
        </w:numPr>
        <w:rPr>
          <w:rFonts w:eastAsia="Calibri"/>
        </w:rPr>
      </w:pPr>
      <w:r w:rsidRPr="00B73BC3">
        <w:rPr>
          <w:rFonts w:eastAsia="Calibri"/>
        </w:rPr>
        <w:t>The PSCR noted that while reported baseline characteristics indicate some DeLLphi-304 patients at the time of screening had limited stage disease, these patients as required by the protocol, had progressed to extensive stage disease by the time of treatment with investigational product.</w:t>
      </w:r>
    </w:p>
    <w:p w14:paraId="75D58FF7" w14:textId="76437094" w:rsidR="009337CA" w:rsidRDefault="009337CA" w:rsidP="00191E71">
      <w:pPr>
        <w:pStyle w:val="COMESbulletlist"/>
        <w:ind w:left="720" w:hanging="425"/>
        <w:rPr>
          <w:rFonts w:eastAsia="Calibri"/>
        </w:rPr>
      </w:pPr>
      <w:r w:rsidRPr="00726F37">
        <w:rPr>
          <w:rFonts w:eastAsia="Calibri"/>
        </w:rPr>
        <w:t>Tarlatamab has a different safety profile to SOC chemotherapies. Despite intensive monitoring and dose protocols mandating treatment interruption/discontinuation in the DeLLphi-304 trial, large proportions of patients treated with tarlatamab experienced cytokine release syndrome (</w:t>
      </w:r>
      <w:r w:rsidR="00A77028">
        <w:rPr>
          <w:rFonts w:eastAsia="Calibri"/>
        </w:rPr>
        <w:t xml:space="preserve">narrow: </w:t>
      </w:r>
      <w:r w:rsidRPr="00726F37">
        <w:rPr>
          <w:rFonts w:eastAsia="Calibri"/>
        </w:rPr>
        <w:t>56.3%</w:t>
      </w:r>
      <w:r w:rsidR="0082476A">
        <w:rPr>
          <w:rFonts w:eastAsia="Calibri"/>
        </w:rPr>
        <w:t>; broad: 93.3%</w:t>
      </w:r>
      <w:r w:rsidRPr="00726F37">
        <w:rPr>
          <w:rFonts w:eastAsia="Calibri"/>
        </w:rPr>
        <w:t>) and ICANS (6.0%).</w:t>
      </w:r>
    </w:p>
    <w:p w14:paraId="4501942F" w14:textId="2C7FC614" w:rsidR="00797F17" w:rsidRPr="00B73BC3" w:rsidRDefault="007D1AD6" w:rsidP="0080250E">
      <w:pPr>
        <w:pStyle w:val="COMESbulletlist"/>
        <w:numPr>
          <w:ilvl w:val="0"/>
          <w:numId w:val="38"/>
        </w:numPr>
        <w:rPr>
          <w:rFonts w:eastAsia="Calibri"/>
        </w:rPr>
      </w:pPr>
      <w:r w:rsidRPr="00B73BC3">
        <w:rPr>
          <w:rFonts w:eastAsia="Calibri"/>
        </w:rPr>
        <w:t xml:space="preserve">The PSCR maintained that the safety profile of </w:t>
      </w:r>
      <w:r w:rsidR="009B0C98" w:rsidRPr="00B73BC3">
        <w:rPr>
          <w:rFonts w:eastAsia="Calibri"/>
        </w:rPr>
        <w:t xml:space="preserve">tarlatamab </w:t>
      </w:r>
      <w:r w:rsidR="00C55B74" w:rsidRPr="00B73BC3">
        <w:rPr>
          <w:rFonts w:eastAsia="Calibri"/>
        </w:rPr>
        <w:t>wa</w:t>
      </w:r>
      <w:r w:rsidR="009B0C98" w:rsidRPr="00B73BC3">
        <w:rPr>
          <w:rFonts w:eastAsia="Calibri"/>
        </w:rPr>
        <w:t>s superior compared w</w:t>
      </w:r>
      <w:r w:rsidR="00672D52" w:rsidRPr="00B73BC3">
        <w:rPr>
          <w:rFonts w:eastAsia="Calibri"/>
        </w:rPr>
        <w:t>i</w:t>
      </w:r>
      <w:r w:rsidR="009B0C98" w:rsidRPr="00B73BC3">
        <w:rPr>
          <w:rFonts w:eastAsia="Calibri"/>
        </w:rPr>
        <w:t>th SOC chemotherapy.</w:t>
      </w:r>
      <w:r w:rsidR="006F4821" w:rsidRPr="00B73BC3">
        <w:rPr>
          <w:rFonts w:eastAsia="Calibri"/>
        </w:rPr>
        <w:t xml:space="preserve"> </w:t>
      </w:r>
      <w:r w:rsidR="00D77D37" w:rsidRPr="00B73BC3">
        <w:rPr>
          <w:rFonts w:eastAsia="Calibri"/>
        </w:rPr>
        <w:t>The PSCR stated</w:t>
      </w:r>
      <w:r w:rsidR="00960539" w:rsidRPr="00B73BC3">
        <w:rPr>
          <w:rFonts w:eastAsia="Calibri"/>
        </w:rPr>
        <w:t xml:space="preserve"> that</w:t>
      </w:r>
      <w:r w:rsidR="00D77D37" w:rsidRPr="00B73BC3">
        <w:rPr>
          <w:rFonts w:eastAsia="Calibri"/>
        </w:rPr>
        <w:t xml:space="preserve"> an advisory board </w:t>
      </w:r>
      <w:r w:rsidR="00732C2C" w:rsidRPr="00B73BC3">
        <w:rPr>
          <w:rFonts w:eastAsia="Calibri"/>
        </w:rPr>
        <w:t xml:space="preserve">considered that </w:t>
      </w:r>
      <w:r w:rsidR="00797F17" w:rsidRPr="00B73BC3">
        <w:rPr>
          <w:rFonts w:eastAsia="Calibri"/>
        </w:rPr>
        <w:t xml:space="preserve">the safety profile of tarlatamab was predictable and the main side effects </w:t>
      </w:r>
      <w:r w:rsidR="00671095" w:rsidRPr="00B73BC3">
        <w:rPr>
          <w:rFonts w:eastAsia="Calibri"/>
        </w:rPr>
        <w:t>were</w:t>
      </w:r>
      <w:r w:rsidR="00797F17" w:rsidRPr="00B73BC3">
        <w:rPr>
          <w:rFonts w:eastAsia="Calibri"/>
        </w:rPr>
        <w:t xml:space="preserve"> transient</w:t>
      </w:r>
      <w:r w:rsidR="001E328D" w:rsidRPr="00B73BC3">
        <w:rPr>
          <w:rFonts w:eastAsia="Calibri"/>
        </w:rPr>
        <w:t xml:space="preserve"> given th</w:t>
      </w:r>
      <w:r w:rsidR="00885269" w:rsidRPr="00B73BC3">
        <w:rPr>
          <w:rFonts w:eastAsia="Calibri"/>
        </w:rPr>
        <w:t>a</w:t>
      </w:r>
      <w:r w:rsidR="001E328D" w:rsidRPr="00B73BC3">
        <w:rPr>
          <w:rFonts w:eastAsia="Calibri"/>
        </w:rPr>
        <w:t>t</w:t>
      </w:r>
      <w:r w:rsidR="00797F17" w:rsidRPr="00B73BC3">
        <w:rPr>
          <w:rFonts w:eastAsia="Calibri"/>
        </w:rPr>
        <w:t xml:space="preserve"> CRS and ICANs mainly occur during the first 1</w:t>
      </w:r>
      <w:r w:rsidR="004879C8" w:rsidRPr="00B73BC3">
        <w:rPr>
          <w:rFonts w:eastAsia="Calibri" w:cstheme="minorHAnsi"/>
        </w:rPr>
        <w:t>–</w:t>
      </w:r>
      <w:r w:rsidR="00797F17" w:rsidRPr="00B73BC3">
        <w:rPr>
          <w:rFonts w:eastAsia="Calibri"/>
        </w:rPr>
        <w:t xml:space="preserve">2 doses </w:t>
      </w:r>
      <w:r w:rsidR="00B81D8E" w:rsidRPr="00B73BC3">
        <w:rPr>
          <w:rFonts w:eastAsia="Calibri"/>
        </w:rPr>
        <w:t>and</w:t>
      </w:r>
      <w:r w:rsidR="00797F17" w:rsidRPr="00B73BC3">
        <w:rPr>
          <w:rFonts w:eastAsia="Calibri"/>
        </w:rPr>
        <w:t xml:space="preserve"> can be monitored and well-managed. </w:t>
      </w:r>
      <w:proofErr w:type="gramStart"/>
      <w:r w:rsidR="00797F17" w:rsidRPr="00B73BC3">
        <w:rPr>
          <w:rFonts w:eastAsia="Calibri"/>
        </w:rPr>
        <w:t>Whereas,</w:t>
      </w:r>
      <w:proofErr w:type="gramEnd"/>
      <w:r w:rsidR="00797F17" w:rsidRPr="00B73BC3">
        <w:rPr>
          <w:rFonts w:eastAsia="Calibri"/>
        </w:rPr>
        <w:t xml:space="preserve"> chemotherapy-associated toxicities are cumulative, unpredictable, recurrent and persist across cycles. They frequently result in hospitalisation and can be fatal.</w:t>
      </w:r>
      <w:r w:rsidR="00671095" w:rsidRPr="00B73BC3">
        <w:t xml:space="preserve"> </w:t>
      </w:r>
      <w:r w:rsidR="00671095" w:rsidRPr="00B73BC3">
        <w:rPr>
          <w:rFonts w:eastAsia="Calibri"/>
        </w:rPr>
        <w:t xml:space="preserve">The PSCR argued that the DeLLphi-304 trial also supports a conclusion of superior safety, given that CRS and ICANs events were mainly mild to moderate in severity. There were less adverse events of grade ≥3 and less treatment modification/interruptions and withdrawals due to adverse event with tarlatamab compared to chemotherapy. The </w:t>
      </w:r>
      <w:r w:rsidR="00007033" w:rsidRPr="00B73BC3">
        <w:rPr>
          <w:rFonts w:eastAsia="Calibri"/>
        </w:rPr>
        <w:t xml:space="preserve">PSCR also argued that the </w:t>
      </w:r>
      <w:r w:rsidR="00671095" w:rsidRPr="00B73BC3">
        <w:rPr>
          <w:rFonts w:eastAsia="Calibri"/>
        </w:rPr>
        <w:t xml:space="preserve">improved tolerability profile </w:t>
      </w:r>
      <w:r w:rsidR="00007033" w:rsidRPr="00B73BC3">
        <w:rPr>
          <w:rFonts w:eastAsia="Calibri"/>
        </w:rPr>
        <w:t>was</w:t>
      </w:r>
      <w:r w:rsidR="00671095" w:rsidRPr="00B73BC3">
        <w:rPr>
          <w:rFonts w:eastAsia="Calibri"/>
        </w:rPr>
        <w:t xml:space="preserve"> reflected in </w:t>
      </w:r>
      <w:r w:rsidR="00007033" w:rsidRPr="00B73BC3">
        <w:rPr>
          <w:rFonts w:eastAsia="Calibri"/>
        </w:rPr>
        <w:t xml:space="preserve">improved </w:t>
      </w:r>
      <w:r w:rsidR="00671095" w:rsidRPr="00B73BC3">
        <w:rPr>
          <w:rFonts w:eastAsia="Calibri"/>
        </w:rPr>
        <w:t>patient reported outcomes from</w:t>
      </w:r>
      <w:r w:rsidR="00527BE8" w:rsidRPr="00B73BC3">
        <w:rPr>
          <w:rFonts w:eastAsia="Calibri"/>
        </w:rPr>
        <w:t xml:space="preserve"> the</w:t>
      </w:r>
      <w:r w:rsidR="00671095" w:rsidRPr="00B73BC3">
        <w:rPr>
          <w:rFonts w:eastAsia="Calibri"/>
        </w:rPr>
        <w:t xml:space="preserve"> DeLLphi-304</w:t>
      </w:r>
      <w:r w:rsidR="00527BE8" w:rsidRPr="00B73BC3">
        <w:rPr>
          <w:rFonts w:eastAsia="Calibri"/>
        </w:rPr>
        <w:t xml:space="preserve"> trial</w:t>
      </w:r>
      <w:r w:rsidR="00671095" w:rsidRPr="00B73BC3">
        <w:rPr>
          <w:rFonts w:eastAsia="Calibri"/>
        </w:rPr>
        <w:t>.</w:t>
      </w:r>
    </w:p>
    <w:p w14:paraId="063007D5" w14:textId="46990604" w:rsidR="003317E6" w:rsidRDefault="003317E6" w:rsidP="0080250E">
      <w:pPr>
        <w:pStyle w:val="COMESbulletlist"/>
        <w:numPr>
          <w:ilvl w:val="0"/>
          <w:numId w:val="38"/>
        </w:numPr>
      </w:pPr>
      <w:r w:rsidRPr="00B73BC3">
        <w:t xml:space="preserve">The ESC </w:t>
      </w:r>
      <w:r w:rsidR="00073022" w:rsidRPr="00B73BC3">
        <w:t>considered</w:t>
      </w:r>
      <w:r w:rsidRPr="00B73BC3">
        <w:t xml:space="preserve"> that due to the high risk of CRS and ICANS, a superior safety claim v</w:t>
      </w:r>
      <w:r w:rsidR="00B21975" w:rsidRPr="00B73BC3">
        <w:t>ersu</w:t>
      </w:r>
      <w:r w:rsidRPr="00B73BC3">
        <w:t>s SOC chemotherapy was not well supported. Based on the data available, the ESC considered that the safety profile of tarlatamab was inferior compared to SOC.</w:t>
      </w:r>
    </w:p>
    <w:p w14:paraId="1E3CEBA4" w14:textId="18DC1C4B" w:rsidR="00652804" w:rsidRPr="00F07DEB" w:rsidRDefault="00652804" w:rsidP="00F07DEB">
      <w:pPr>
        <w:pStyle w:val="COMESbulletlist"/>
        <w:numPr>
          <w:ilvl w:val="1"/>
          <w:numId w:val="1"/>
        </w:numPr>
        <w:rPr>
          <w:iCs/>
        </w:rPr>
      </w:pPr>
      <w:r>
        <w:rPr>
          <w:iCs/>
        </w:rPr>
        <w:t>The Pre-PBAC response</w:t>
      </w:r>
      <w:r w:rsidR="00473D02">
        <w:rPr>
          <w:iCs/>
        </w:rPr>
        <w:t xml:space="preserve"> </w:t>
      </w:r>
      <w:r w:rsidR="0096041B">
        <w:rPr>
          <w:iCs/>
        </w:rPr>
        <w:t>maintained</w:t>
      </w:r>
      <w:r w:rsidR="00F86369">
        <w:rPr>
          <w:iCs/>
        </w:rPr>
        <w:t xml:space="preserve"> t</w:t>
      </w:r>
      <w:r w:rsidR="00DC10D3">
        <w:rPr>
          <w:iCs/>
        </w:rPr>
        <w:t xml:space="preserve">hat the totality of the evidence supported a claim of superior safety and tolerability of tarlatamab compared to SOC chemotherapy. The Pre-PBAC response </w:t>
      </w:r>
      <w:r w:rsidR="008F0DF9">
        <w:rPr>
          <w:iCs/>
        </w:rPr>
        <w:t>highlighted that</w:t>
      </w:r>
      <w:r w:rsidR="00C16411">
        <w:rPr>
          <w:iCs/>
        </w:rPr>
        <w:t xml:space="preserve"> the clinical trial evidence</w:t>
      </w:r>
      <w:r w:rsidR="0002249B">
        <w:rPr>
          <w:iCs/>
        </w:rPr>
        <w:t xml:space="preserve"> demonstrated that</w:t>
      </w:r>
      <w:r w:rsidR="008F0DF9">
        <w:rPr>
          <w:iCs/>
        </w:rPr>
        <w:t xml:space="preserve"> tarlatamab is well tolerated after the initial risk of CRS and ICANS </w:t>
      </w:r>
      <w:r w:rsidR="007E7C9A">
        <w:rPr>
          <w:iCs/>
        </w:rPr>
        <w:t>in contrast</w:t>
      </w:r>
      <w:r w:rsidR="008F0DF9">
        <w:rPr>
          <w:iCs/>
        </w:rPr>
        <w:t xml:space="preserve"> to chemotherapy which </w:t>
      </w:r>
      <w:r w:rsidR="00DC45C9">
        <w:rPr>
          <w:iCs/>
        </w:rPr>
        <w:t xml:space="preserve">has sustained toxicity. </w:t>
      </w:r>
      <w:r w:rsidR="00022735">
        <w:rPr>
          <w:iCs/>
        </w:rPr>
        <w:t>The Pre-PBAC response noted that real-world experience with tarlatamab, as outlined</w:t>
      </w:r>
      <w:r w:rsidR="00355F1C">
        <w:rPr>
          <w:iCs/>
        </w:rPr>
        <w:t xml:space="preserve"> during the hearing and in consumer comments,</w:t>
      </w:r>
      <w:r w:rsidR="00075B19">
        <w:rPr>
          <w:iCs/>
        </w:rPr>
        <w:t xml:space="preserve"> </w:t>
      </w:r>
      <w:r w:rsidR="007F3540">
        <w:rPr>
          <w:iCs/>
        </w:rPr>
        <w:t xml:space="preserve">was </w:t>
      </w:r>
      <w:r w:rsidR="00F07DEB">
        <w:rPr>
          <w:iCs/>
        </w:rPr>
        <w:t xml:space="preserve">also </w:t>
      </w:r>
      <w:r w:rsidR="007F3540">
        <w:rPr>
          <w:iCs/>
        </w:rPr>
        <w:t xml:space="preserve">consistent with </w:t>
      </w:r>
      <w:r w:rsidR="000812C5">
        <w:rPr>
          <w:iCs/>
        </w:rPr>
        <w:t>tarlatamab being better tolerated</w:t>
      </w:r>
      <w:r w:rsidR="00F07DEB">
        <w:rPr>
          <w:iCs/>
        </w:rPr>
        <w:t xml:space="preserve"> and demonstrating a superior safety profile compared with SOC chemotherapy. </w:t>
      </w:r>
      <w:r w:rsidR="00336F42" w:rsidRPr="00F07DEB">
        <w:rPr>
          <w:iCs/>
        </w:rPr>
        <w:t xml:space="preserve">The Pre-PBAC response noted that while tarlatamab represents a new class of therapy in the SCLC setting, </w:t>
      </w:r>
      <w:r w:rsidR="00336F42" w:rsidRPr="00F07DEB">
        <w:rPr>
          <w:rFonts w:ascii="Calibri" w:hAnsi="Calibri" w:cs="Calibri"/>
        </w:rPr>
        <w:t xml:space="preserve">bispecific T-cell engagers (BiTEs) are a well-established therapeutic class that have been successfully used in multiple malignancies. The Response stated that </w:t>
      </w:r>
      <w:r w:rsidR="00336F42" w:rsidRPr="00F07DEB">
        <w:rPr>
          <w:rFonts w:ascii="Calibri" w:hAnsi="Calibri" w:cs="Calibri"/>
        </w:rPr>
        <w:lastRenderedPageBreak/>
        <w:t xml:space="preserve">appropriate workplace education will be important to ensure optimal identification and management of its safety profile. With adequate training and established management protocols, CRS and ICANS remain low grade and manageable in clinical practice. </w:t>
      </w:r>
    </w:p>
    <w:p w14:paraId="4C35DBE6" w14:textId="2C44735D" w:rsidR="001F4487" w:rsidRPr="005A0C65" w:rsidRDefault="001F4487" w:rsidP="003B4CB2">
      <w:pPr>
        <w:pStyle w:val="COMESbulletlist"/>
        <w:numPr>
          <w:ilvl w:val="1"/>
          <w:numId w:val="1"/>
        </w:numPr>
        <w:rPr>
          <w:iCs/>
        </w:rPr>
      </w:pPr>
      <w:r w:rsidRPr="00141956">
        <w:t xml:space="preserve">The </w:t>
      </w:r>
      <w:r>
        <w:t>PBAC</w:t>
      </w:r>
      <w:r w:rsidRPr="00141956">
        <w:t xml:space="preserve"> noted that the s</w:t>
      </w:r>
      <w:r w:rsidRPr="00726F37">
        <w:t xml:space="preserve">ubmission presented the results of the DeLLphi-301 study (02 October 2023 data cut previously considered by </w:t>
      </w:r>
      <w:r>
        <w:t xml:space="preserve">the </w:t>
      </w:r>
      <w:r w:rsidRPr="00726F37">
        <w:t>ESC at the March 2025 meeting), as supportive evidence of the efficacy of tarlatamab in third-line and subsequent therapy.</w:t>
      </w:r>
      <w:r w:rsidRPr="001F4487">
        <w:t xml:space="preserve"> </w:t>
      </w:r>
      <w:r w:rsidRPr="00726F37">
        <w:t xml:space="preserve">The </w:t>
      </w:r>
      <w:r>
        <w:t>PBAC considered</w:t>
      </w:r>
      <w:r w:rsidRPr="00726F37">
        <w:t xml:space="preserve"> that the efficacy of tarlatamab observed in patients treated with third-line tarlatamab in the DeLLphi-301 study was consistent with the results of the DeLLphi-304 trial</w:t>
      </w:r>
      <w:r w:rsidR="00841EDE">
        <w:t>, albeit with differing primary endpoints</w:t>
      </w:r>
      <w:r>
        <w:t>.</w:t>
      </w:r>
    </w:p>
    <w:p w14:paraId="603399FD" w14:textId="1878AB2C" w:rsidR="005A0C65" w:rsidRPr="005A0C65" w:rsidRDefault="005A0C65" w:rsidP="005A0C65">
      <w:pPr>
        <w:pStyle w:val="COMESbulletlist"/>
        <w:numPr>
          <w:ilvl w:val="1"/>
          <w:numId w:val="1"/>
        </w:numPr>
        <w:rPr>
          <w:iCs/>
        </w:rPr>
      </w:pPr>
      <w:r w:rsidRPr="003B4CB2">
        <w:rPr>
          <w:iCs/>
        </w:rPr>
        <w:t>The</w:t>
      </w:r>
      <w:r w:rsidRPr="003B4CB2">
        <w:t xml:space="preserve"> PBAC considered that the claim of superior comparative effectiveness was reasonable.</w:t>
      </w:r>
    </w:p>
    <w:p w14:paraId="11FFC992" w14:textId="20A3EFA2" w:rsidR="003B4CB2" w:rsidRPr="00B375C7" w:rsidRDefault="003B4CB2" w:rsidP="00A66E66">
      <w:pPr>
        <w:pStyle w:val="COMESbulletlist"/>
        <w:numPr>
          <w:ilvl w:val="1"/>
          <w:numId w:val="1"/>
        </w:numPr>
        <w:rPr>
          <w:iCs/>
        </w:rPr>
      </w:pPr>
      <w:r w:rsidRPr="00B375C7">
        <w:t>The PBAC considered that the claim of superior comparative safety was not adequately supported by the data.</w:t>
      </w:r>
      <w:r w:rsidR="00C60DC1" w:rsidRPr="00B375C7">
        <w:rPr>
          <w:iCs/>
        </w:rPr>
        <w:t xml:space="preserve"> The PBAC acknowledged </w:t>
      </w:r>
      <w:r w:rsidR="00136819" w:rsidRPr="00B375C7">
        <w:rPr>
          <w:iCs/>
        </w:rPr>
        <w:t xml:space="preserve">that </w:t>
      </w:r>
      <w:r w:rsidR="00C3724F">
        <w:rPr>
          <w:iCs/>
        </w:rPr>
        <w:t xml:space="preserve">tolerability appeared to </w:t>
      </w:r>
      <w:r w:rsidR="007F3759">
        <w:rPr>
          <w:iCs/>
        </w:rPr>
        <w:t xml:space="preserve">improve for tarlatamab patients </w:t>
      </w:r>
      <w:r w:rsidR="00136819" w:rsidRPr="00B375C7">
        <w:rPr>
          <w:iCs/>
        </w:rPr>
        <w:t>after the initial risk of CRS and ICANS</w:t>
      </w:r>
      <w:r w:rsidR="00C60DC1" w:rsidRPr="00B375C7">
        <w:rPr>
          <w:iCs/>
        </w:rPr>
        <w:t xml:space="preserve">, however </w:t>
      </w:r>
      <w:r w:rsidR="00324148" w:rsidRPr="00B375C7">
        <w:rPr>
          <w:iCs/>
        </w:rPr>
        <w:t>considered</w:t>
      </w:r>
      <w:r w:rsidR="00C60DC1" w:rsidRPr="00B375C7">
        <w:rPr>
          <w:iCs/>
        </w:rPr>
        <w:t xml:space="preserve"> that the risk of CRS and ICAN</w:t>
      </w:r>
      <w:r w:rsidR="00324148" w:rsidRPr="00B375C7">
        <w:rPr>
          <w:iCs/>
        </w:rPr>
        <w:t>S</w:t>
      </w:r>
      <w:r w:rsidR="00EB3873" w:rsidRPr="00B375C7">
        <w:rPr>
          <w:iCs/>
        </w:rPr>
        <w:t xml:space="preserve"> was a </w:t>
      </w:r>
      <w:r w:rsidR="00981036" w:rsidRPr="00B375C7">
        <w:rPr>
          <w:iCs/>
        </w:rPr>
        <w:t xml:space="preserve">substantial safety concern </w:t>
      </w:r>
      <w:r w:rsidR="00A66E66" w:rsidRPr="00B375C7">
        <w:rPr>
          <w:iCs/>
        </w:rPr>
        <w:t xml:space="preserve">which </w:t>
      </w:r>
      <w:r w:rsidR="00A1007E" w:rsidRPr="00B375C7">
        <w:rPr>
          <w:iCs/>
        </w:rPr>
        <w:t xml:space="preserve">was likely to </w:t>
      </w:r>
      <w:r w:rsidR="00B375C7">
        <w:rPr>
          <w:iCs/>
        </w:rPr>
        <w:t>have</w:t>
      </w:r>
      <w:r w:rsidR="00A1007E" w:rsidRPr="00B375C7">
        <w:rPr>
          <w:iCs/>
        </w:rPr>
        <w:t xml:space="preserve"> to a large </w:t>
      </w:r>
      <w:r w:rsidR="00A66E66" w:rsidRPr="00B375C7">
        <w:rPr>
          <w:iCs/>
        </w:rPr>
        <w:t>impact</w:t>
      </w:r>
      <w:r w:rsidR="0046014E">
        <w:rPr>
          <w:iCs/>
        </w:rPr>
        <w:t xml:space="preserve"> in clinical practice</w:t>
      </w:r>
      <w:r w:rsidR="00A66E66" w:rsidRPr="00B375C7">
        <w:rPr>
          <w:iCs/>
        </w:rPr>
        <w:t xml:space="preserve">, </w:t>
      </w:r>
      <w:r w:rsidR="0046014E">
        <w:rPr>
          <w:iCs/>
        </w:rPr>
        <w:t>requiring</w:t>
      </w:r>
      <w:r w:rsidR="00A66E66" w:rsidRPr="00B375C7">
        <w:rPr>
          <w:iCs/>
        </w:rPr>
        <w:t xml:space="preserve"> targeted education and considerable healthcare resources to manage appropriately.</w:t>
      </w:r>
    </w:p>
    <w:p w14:paraId="74A1172E" w14:textId="128C170E" w:rsidR="00B60939" w:rsidRPr="0098262F" w:rsidRDefault="00B60939" w:rsidP="00E30122">
      <w:pPr>
        <w:pStyle w:val="COMESSubsectionheading"/>
      </w:pPr>
      <w:bookmarkStart w:id="46" w:name="_Toc22897645"/>
      <w:bookmarkStart w:id="47" w:name="_Toc219878285"/>
      <w:r w:rsidRPr="0098262F">
        <w:t>Economic analysis</w:t>
      </w:r>
      <w:bookmarkEnd w:id="46"/>
      <w:bookmarkEnd w:id="47"/>
      <w:r w:rsidR="00491B3A" w:rsidRPr="0098262F">
        <w:t xml:space="preserve"> </w:t>
      </w:r>
    </w:p>
    <w:p w14:paraId="14C1E8F9" w14:textId="4E72A685" w:rsidR="00275C5A" w:rsidRPr="00726F37" w:rsidRDefault="003230F3" w:rsidP="00641FB3">
      <w:pPr>
        <w:pStyle w:val="COMESnumberedpara"/>
        <w:rPr>
          <w:b/>
          <w:bCs/>
        </w:rPr>
      </w:pPr>
      <w:r w:rsidRPr="00726F37">
        <w:t>The submission presented a modelled economic evaluation comparing tarlatamab with topotecan (as a proxy for SOC) for the</w:t>
      </w:r>
      <w:r w:rsidR="00A80F84" w:rsidRPr="00726F37">
        <w:t xml:space="preserve"> second-line</w:t>
      </w:r>
      <w:r w:rsidRPr="00726F37">
        <w:t xml:space="preserve"> treatment of ES-SCLC in patients with disease progression on or after platinum-based chemotherapy. </w:t>
      </w:r>
      <w:r w:rsidR="003A3E4B" w:rsidRPr="00726F37">
        <w:t xml:space="preserve">Third-line tarlatamab treatment was not modelled in the economic evaluation. </w:t>
      </w:r>
      <w:r w:rsidRPr="00726F37">
        <w:t xml:space="preserve">The economic evaluation was based on the results of the DeLLphi-304 trial, with additional modelled data. The economic evaluation was presented as a stepped cost-effectiveness/cost-utility analysis. </w:t>
      </w:r>
    </w:p>
    <w:p w14:paraId="034125A2" w14:textId="2690E180" w:rsidR="00D64831" w:rsidRPr="00104901" w:rsidRDefault="00104901" w:rsidP="00641FB3">
      <w:pPr>
        <w:pStyle w:val="COMESnumberedpara"/>
      </w:pPr>
      <w:r w:rsidRPr="00104901">
        <w:fldChar w:fldCharType="begin"/>
      </w:r>
      <w:r w:rsidRPr="00104901">
        <w:instrText xml:space="preserve"> REF _Ref216626341 \h  \* MERGEFORMAT </w:instrText>
      </w:r>
      <w:r w:rsidRPr="00104901">
        <w:fldChar w:fldCharType="separate"/>
      </w:r>
      <w:r w:rsidR="00E26586">
        <w:t xml:space="preserve">Table </w:t>
      </w:r>
      <w:r w:rsidR="00E26586">
        <w:rPr>
          <w:noProof/>
        </w:rPr>
        <w:t>8</w:t>
      </w:r>
      <w:r w:rsidRPr="00104901">
        <w:fldChar w:fldCharType="end"/>
      </w:r>
      <w:r w:rsidRPr="00104901">
        <w:t xml:space="preserve"> summarises the key components of the economic evaluation.</w:t>
      </w:r>
    </w:p>
    <w:p w14:paraId="643F6416" w14:textId="1CD3A935" w:rsidR="003163DC" w:rsidRPr="003547DE" w:rsidRDefault="003163DC" w:rsidP="00855BC3">
      <w:pPr>
        <w:pStyle w:val="Caption"/>
        <w:keepLines/>
      </w:pPr>
      <w:bookmarkStart w:id="48" w:name="_Ref216626341"/>
      <w:r>
        <w:lastRenderedPageBreak/>
        <w:t xml:space="preserve">Table </w:t>
      </w:r>
      <w:r>
        <w:fldChar w:fldCharType="begin"/>
      </w:r>
      <w:r>
        <w:instrText>SEQ Table \* ARABIC</w:instrText>
      </w:r>
      <w:r>
        <w:fldChar w:fldCharType="separate"/>
      </w:r>
      <w:r w:rsidR="00E26586">
        <w:rPr>
          <w:noProof/>
        </w:rPr>
        <w:t>8</w:t>
      </w:r>
      <w:r>
        <w:fldChar w:fldCharType="end"/>
      </w:r>
      <w:bookmarkEnd w:id="48"/>
      <w:r>
        <w:t xml:space="preserve">: </w:t>
      </w:r>
      <w:r w:rsidR="00104901">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8: Key components of the economic evaluation"/>
      </w:tblPr>
      <w:tblGrid>
        <w:gridCol w:w="1555"/>
        <w:gridCol w:w="7462"/>
      </w:tblGrid>
      <w:tr w:rsidR="003547DE" w:rsidRPr="00382BCC" w14:paraId="285E2EB1" w14:textId="77777777">
        <w:trPr>
          <w:tblHeader/>
        </w:trPr>
        <w:tc>
          <w:tcPr>
            <w:tcW w:w="862" w:type="pct"/>
            <w:vAlign w:val="center"/>
          </w:tcPr>
          <w:p w14:paraId="009F149B" w14:textId="77777777" w:rsidR="003547DE" w:rsidRPr="00382BCC" w:rsidRDefault="003547DE" w:rsidP="00A55D74">
            <w:pPr>
              <w:pStyle w:val="COMTableheadingrow"/>
              <w:ind w:left="57" w:right="57"/>
            </w:pPr>
            <w:r w:rsidRPr="00382BCC">
              <w:t>Component</w:t>
            </w:r>
          </w:p>
        </w:tc>
        <w:tc>
          <w:tcPr>
            <w:tcW w:w="4138" w:type="pct"/>
          </w:tcPr>
          <w:p w14:paraId="71E63A79" w14:textId="77777777" w:rsidR="003547DE" w:rsidRPr="00382BCC" w:rsidRDefault="003547DE" w:rsidP="00A55D74">
            <w:pPr>
              <w:pStyle w:val="COMTableheadingrow"/>
              <w:ind w:left="57" w:right="57"/>
            </w:pPr>
            <w:r w:rsidRPr="00382BCC">
              <w:t>Description</w:t>
            </w:r>
          </w:p>
        </w:tc>
      </w:tr>
      <w:tr w:rsidR="003547DE" w:rsidRPr="00382BCC" w14:paraId="08281CC4" w14:textId="77777777">
        <w:tc>
          <w:tcPr>
            <w:tcW w:w="862" w:type="pct"/>
            <w:vAlign w:val="center"/>
          </w:tcPr>
          <w:p w14:paraId="40320F8C" w14:textId="77777777" w:rsidR="003547DE" w:rsidRPr="00382BCC" w:rsidRDefault="003547DE" w:rsidP="00A55D74">
            <w:pPr>
              <w:pStyle w:val="COMTabletext"/>
              <w:ind w:left="57" w:right="57"/>
            </w:pPr>
            <w:r w:rsidRPr="00382BCC">
              <w:t>Type of analysis</w:t>
            </w:r>
          </w:p>
        </w:tc>
        <w:tc>
          <w:tcPr>
            <w:tcW w:w="4138" w:type="pct"/>
          </w:tcPr>
          <w:p w14:paraId="5B8B4021" w14:textId="77777777" w:rsidR="003547DE" w:rsidRPr="00382BCC" w:rsidRDefault="003547DE" w:rsidP="00A55D74">
            <w:pPr>
              <w:pStyle w:val="COMTabletext"/>
              <w:ind w:left="57" w:right="57"/>
            </w:pPr>
            <w:r w:rsidRPr="00382BCC">
              <w:t>Cost-effectiveness analysis and cost-utility analysis</w:t>
            </w:r>
          </w:p>
        </w:tc>
      </w:tr>
      <w:tr w:rsidR="003547DE" w:rsidRPr="00382BCC" w14:paraId="614DE490" w14:textId="77777777">
        <w:tc>
          <w:tcPr>
            <w:tcW w:w="862" w:type="pct"/>
            <w:vAlign w:val="center"/>
          </w:tcPr>
          <w:p w14:paraId="05E43877" w14:textId="77777777" w:rsidR="003547DE" w:rsidRPr="00382BCC" w:rsidRDefault="003547DE" w:rsidP="00A55D74">
            <w:pPr>
              <w:pStyle w:val="COMTabletext"/>
              <w:ind w:left="57" w:right="57"/>
            </w:pPr>
            <w:r w:rsidRPr="00382BCC">
              <w:t>Treatments</w:t>
            </w:r>
          </w:p>
        </w:tc>
        <w:tc>
          <w:tcPr>
            <w:tcW w:w="4138" w:type="pct"/>
          </w:tcPr>
          <w:p w14:paraId="1F56D59F" w14:textId="053CB41F" w:rsidR="003547DE" w:rsidRPr="00382BCC" w:rsidRDefault="00391FDF" w:rsidP="00A55D74">
            <w:pPr>
              <w:pStyle w:val="COMTabletext"/>
              <w:ind w:left="57" w:right="57"/>
            </w:pPr>
            <w:r>
              <w:t>Tarlatamab versus topotecan as a proxy for SOC</w:t>
            </w:r>
          </w:p>
        </w:tc>
      </w:tr>
      <w:tr w:rsidR="003D30F7" w:rsidRPr="00382BCC" w14:paraId="1B1EAB06" w14:textId="77777777">
        <w:tc>
          <w:tcPr>
            <w:tcW w:w="862" w:type="pct"/>
            <w:vAlign w:val="center"/>
          </w:tcPr>
          <w:p w14:paraId="12223F38" w14:textId="71282792" w:rsidR="003D30F7" w:rsidRPr="00382BCC" w:rsidRDefault="003D30F7" w:rsidP="00A55D74">
            <w:pPr>
              <w:pStyle w:val="COMTabletext"/>
              <w:ind w:left="57" w:right="57"/>
            </w:pPr>
            <w:r>
              <w:t>Circumstances of use</w:t>
            </w:r>
          </w:p>
        </w:tc>
        <w:tc>
          <w:tcPr>
            <w:tcW w:w="4138" w:type="pct"/>
          </w:tcPr>
          <w:p w14:paraId="367B7D10" w14:textId="77777777" w:rsidR="003D30F7" w:rsidRDefault="003D30F7" w:rsidP="00A55D74">
            <w:pPr>
              <w:pStyle w:val="COMTabletext"/>
              <w:spacing w:after="60"/>
              <w:ind w:left="57" w:right="57"/>
            </w:pPr>
            <w:r w:rsidRPr="00537A03">
              <w:t>T</w:t>
            </w:r>
            <w:r>
              <w:t>arlatamab and topotecan t</w:t>
            </w:r>
            <w:r w:rsidRPr="00537A03">
              <w:t>reatment regimens were based on the DeLLphi-304 study protocol, Australian product information documents and eviQ treatment protocols.</w:t>
            </w:r>
          </w:p>
          <w:p w14:paraId="3A79A20F" w14:textId="6EF5F3DD" w:rsidR="003D30F7" w:rsidRDefault="003D30F7" w:rsidP="00A55D74">
            <w:pPr>
              <w:pStyle w:val="COMTabletext"/>
              <w:spacing w:after="60"/>
              <w:ind w:left="57" w:right="57"/>
            </w:pPr>
            <w:r w:rsidRPr="00537A03">
              <w:t>For tarlatamab patients, premedication with dexamethasone and 1-2 hour outpatient monitoring post-infusion were included</w:t>
            </w:r>
            <w:r w:rsidR="00FC0EA6">
              <w:t xml:space="preserve"> for the first infusion</w:t>
            </w:r>
            <w:r w:rsidR="00EC4272">
              <w:t xml:space="preserve">. This </w:t>
            </w:r>
            <w:r w:rsidR="002F25F3">
              <w:t>was consistent</w:t>
            </w:r>
            <w:r w:rsidR="00EC4272">
              <w:t xml:space="preserve"> with the</w:t>
            </w:r>
            <w:r w:rsidR="00B462AC">
              <w:t xml:space="preserve"> reduced monitoring</w:t>
            </w:r>
            <w:r w:rsidRPr="00537A03">
              <w:t xml:space="preserve"> </w:t>
            </w:r>
            <w:r w:rsidR="00EC4272">
              <w:t xml:space="preserve">proposed in the </w:t>
            </w:r>
            <w:r w:rsidRPr="00537A03">
              <w:t xml:space="preserve">draft </w:t>
            </w:r>
            <w:r w:rsidR="00943B2F">
              <w:t>PI</w:t>
            </w:r>
            <w:r w:rsidRPr="00537A03">
              <w:t>.</w:t>
            </w:r>
            <w:r w:rsidR="00EC4272">
              <w:t xml:space="preserve"> </w:t>
            </w:r>
          </w:p>
          <w:p w14:paraId="674AEBB8" w14:textId="77777777" w:rsidR="003D30F7" w:rsidRDefault="003D30F7" w:rsidP="00A55D74">
            <w:pPr>
              <w:pStyle w:val="COMTabletext"/>
              <w:spacing w:after="60"/>
              <w:ind w:left="57" w:right="57"/>
            </w:pPr>
            <w:r w:rsidRPr="00537A03">
              <w:t>Treatment adherence was based on the DeLLphi-304 trial.</w:t>
            </w:r>
          </w:p>
          <w:p w14:paraId="4041DC9E" w14:textId="0E86CF47" w:rsidR="003D30F7" w:rsidRDefault="003D30F7" w:rsidP="00A55D74">
            <w:pPr>
              <w:pStyle w:val="COMTabletext"/>
              <w:spacing w:after="60"/>
              <w:ind w:left="57" w:right="57"/>
            </w:pPr>
            <w:r w:rsidRPr="00537A03">
              <w:t xml:space="preserve">Duration of therapy was based on </w:t>
            </w:r>
            <w:r>
              <w:t>time to treatment discontinuation (TTD)</w:t>
            </w:r>
            <w:r w:rsidRPr="00537A03">
              <w:t xml:space="preserve"> curves from the DeLLphi-304 trial extrapolated using standard parametric functions.</w:t>
            </w:r>
            <w:r>
              <w:t xml:space="preserve"> In the base case, the tarlatamab TTD curve was not adjusted </w:t>
            </w:r>
            <w:r w:rsidR="00E95D26">
              <w:t xml:space="preserve">to remove </w:t>
            </w:r>
            <w:r>
              <w:t>post-progression treatment.</w:t>
            </w:r>
          </w:p>
          <w:p w14:paraId="46E004A3" w14:textId="4E649247" w:rsidR="003D30F7" w:rsidRDefault="003D30F7" w:rsidP="00A55D74">
            <w:pPr>
              <w:pStyle w:val="COMTabletext"/>
              <w:ind w:left="57" w:right="57"/>
            </w:pPr>
            <w:r w:rsidRPr="00537A03">
              <w:t xml:space="preserve">A </w:t>
            </w:r>
            <w:r w:rsidR="00111EBE">
              <w:t>percentage</w:t>
            </w:r>
            <w:r w:rsidR="00111EBE" w:rsidRPr="00537A03">
              <w:t xml:space="preserve"> </w:t>
            </w:r>
            <w:r w:rsidRPr="00537A03">
              <w:t xml:space="preserve">of progressed patients </w:t>
            </w:r>
            <w:r w:rsidR="00111EBE">
              <w:t>(</w:t>
            </w:r>
            <w:r w:rsidR="001E4108">
              <w:t>tarlatamab arm: 67</w:t>
            </w:r>
            <w:r w:rsidR="001956BE">
              <w:t>.5</w:t>
            </w:r>
            <w:r w:rsidR="001E4108">
              <w:t xml:space="preserve">%; </w:t>
            </w:r>
            <w:r w:rsidR="00A97C9E">
              <w:t>topotecan: 76</w:t>
            </w:r>
            <w:r w:rsidR="00AA0770">
              <w:t>.2</w:t>
            </w:r>
            <w:r w:rsidR="00A97C9E">
              <w:t>%)</w:t>
            </w:r>
            <w:r w:rsidR="00D4562B">
              <w:t xml:space="preserve"> </w:t>
            </w:r>
            <w:r w:rsidRPr="00537A03">
              <w:t>receive</w:t>
            </w:r>
            <w:r w:rsidR="00D4562B">
              <w:t>d</w:t>
            </w:r>
            <w:r w:rsidRPr="00537A03">
              <w:t xml:space="preserve"> subsequent treatment</w:t>
            </w:r>
            <w:r>
              <w:t xml:space="preserve"> (based on the </w:t>
            </w:r>
            <w:r w:rsidR="00273CD9">
              <w:t>number</w:t>
            </w:r>
            <w:r>
              <w:t xml:space="preserve"> </w:t>
            </w:r>
            <w:r w:rsidR="005705E8">
              <w:t xml:space="preserve">of </w:t>
            </w:r>
            <w:r>
              <w:t>patients who received subsequent anticancer therapy in the DeLLphi-304 trial</w:t>
            </w:r>
            <w:r w:rsidR="00273CD9">
              <w:t xml:space="preserve"> as a proportion of patients with a non-fatal progression event</w:t>
            </w:r>
            <w:r>
              <w:t>)</w:t>
            </w:r>
            <w:r w:rsidRPr="00537A03">
              <w:t>, modelled as a basket of treatments</w:t>
            </w:r>
            <w:r w:rsidR="00487986">
              <w:t xml:space="preserve"> expected to be received in Australian clinical practice</w:t>
            </w:r>
            <w:r w:rsidRPr="00537A03">
              <w:t xml:space="preserve"> (topotecan, carboplatin plus etoposide, CAV).</w:t>
            </w:r>
          </w:p>
        </w:tc>
      </w:tr>
      <w:tr w:rsidR="00052084" w:rsidRPr="00382BCC" w14:paraId="3ECE12DB" w14:textId="77777777">
        <w:tc>
          <w:tcPr>
            <w:tcW w:w="862" w:type="pct"/>
            <w:vAlign w:val="center"/>
          </w:tcPr>
          <w:p w14:paraId="0446642C" w14:textId="77777777" w:rsidR="00052084" w:rsidRPr="00382BCC" w:rsidRDefault="00052084" w:rsidP="00A55D74">
            <w:pPr>
              <w:pStyle w:val="COMTabletext"/>
              <w:keepNext w:val="0"/>
              <w:ind w:left="57" w:right="57"/>
            </w:pPr>
            <w:r w:rsidRPr="00382BCC">
              <w:t>Outcomes</w:t>
            </w:r>
          </w:p>
        </w:tc>
        <w:tc>
          <w:tcPr>
            <w:tcW w:w="4138" w:type="pct"/>
          </w:tcPr>
          <w:p w14:paraId="1B7DA921" w14:textId="7343524E" w:rsidR="00052084" w:rsidRPr="00382BCC" w:rsidRDefault="00052084" w:rsidP="00A55D74">
            <w:pPr>
              <w:pStyle w:val="COMTabletext"/>
              <w:keepNext w:val="0"/>
              <w:ind w:left="57" w:right="57"/>
            </w:pPr>
            <w:r w:rsidRPr="006A3BEC">
              <w:t>Quality-adjusted life years; life years</w:t>
            </w:r>
          </w:p>
        </w:tc>
      </w:tr>
      <w:tr w:rsidR="00052084" w:rsidRPr="00382BCC" w14:paraId="2DD87EA3" w14:textId="77777777">
        <w:tc>
          <w:tcPr>
            <w:tcW w:w="862" w:type="pct"/>
            <w:vAlign w:val="center"/>
          </w:tcPr>
          <w:p w14:paraId="02B63A6C" w14:textId="77777777" w:rsidR="00052084" w:rsidRPr="00382BCC" w:rsidRDefault="00052084" w:rsidP="00A55D74">
            <w:pPr>
              <w:pStyle w:val="COMTabletext"/>
              <w:keepNext w:val="0"/>
              <w:ind w:left="57" w:right="57"/>
            </w:pPr>
            <w:r w:rsidRPr="00382BCC">
              <w:t>Time horizon</w:t>
            </w:r>
          </w:p>
        </w:tc>
        <w:tc>
          <w:tcPr>
            <w:tcW w:w="4138" w:type="pct"/>
          </w:tcPr>
          <w:p w14:paraId="23EBF310" w14:textId="3B5DCDEC" w:rsidR="00052084" w:rsidRPr="00382BCC" w:rsidRDefault="00052084" w:rsidP="00A55D74">
            <w:pPr>
              <w:pStyle w:val="COMTabletext"/>
              <w:keepNext w:val="0"/>
              <w:ind w:left="57" w:right="57"/>
            </w:pPr>
            <w:r>
              <w:t>10 years in the base case versus a median follow-up of 14 months for overall survival (29 April 2025 data cut) in the DeLLphi-304 trial.</w:t>
            </w:r>
          </w:p>
        </w:tc>
      </w:tr>
      <w:tr w:rsidR="00052084" w:rsidRPr="00382BCC" w14:paraId="11CACB9A" w14:textId="77777777">
        <w:tc>
          <w:tcPr>
            <w:tcW w:w="862" w:type="pct"/>
            <w:vAlign w:val="center"/>
          </w:tcPr>
          <w:p w14:paraId="657F0B2E" w14:textId="77777777" w:rsidR="00052084" w:rsidRPr="00382BCC" w:rsidRDefault="00052084" w:rsidP="00A55D74">
            <w:pPr>
              <w:pStyle w:val="COMTabletext"/>
              <w:keepNext w:val="0"/>
              <w:ind w:left="57" w:right="57"/>
            </w:pPr>
            <w:r w:rsidRPr="00382BCC">
              <w:t>Cycle length</w:t>
            </w:r>
          </w:p>
        </w:tc>
        <w:tc>
          <w:tcPr>
            <w:tcW w:w="4138" w:type="pct"/>
          </w:tcPr>
          <w:p w14:paraId="55DCC6FD" w14:textId="6A9A3D6C" w:rsidR="00052084" w:rsidRPr="00382BCC" w:rsidRDefault="00052084" w:rsidP="00A55D74">
            <w:pPr>
              <w:pStyle w:val="COMTabletext"/>
              <w:keepNext w:val="0"/>
              <w:ind w:left="57" w:right="57"/>
            </w:pPr>
            <w:r>
              <w:t>1 week</w:t>
            </w:r>
          </w:p>
        </w:tc>
      </w:tr>
      <w:tr w:rsidR="00052084" w:rsidRPr="00382BCC" w14:paraId="7D18CA4D" w14:textId="77777777">
        <w:tc>
          <w:tcPr>
            <w:tcW w:w="862" w:type="pct"/>
            <w:vAlign w:val="center"/>
          </w:tcPr>
          <w:p w14:paraId="2BF197CE" w14:textId="77777777" w:rsidR="00052084" w:rsidRPr="00382BCC" w:rsidRDefault="00052084" w:rsidP="00A55D74">
            <w:pPr>
              <w:pStyle w:val="COMTabletext"/>
              <w:keepNext w:val="0"/>
              <w:ind w:left="57" w:right="57"/>
            </w:pPr>
            <w:r w:rsidRPr="00382BCC">
              <w:t>Methods used to generate results</w:t>
            </w:r>
          </w:p>
        </w:tc>
        <w:tc>
          <w:tcPr>
            <w:tcW w:w="4138" w:type="pct"/>
          </w:tcPr>
          <w:p w14:paraId="6E5990E6" w14:textId="33CE449C" w:rsidR="00052084" w:rsidRPr="00382BCC" w:rsidRDefault="00052084" w:rsidP="00A55D74">
            <w:pPr>
              <w:pStyle w:val="COMTabletext"/>
              <w:keepNext w:val="0"/>
              <w:ind w:left="57" w:right="57"/>
            </w:pPr>
            <w:r w:rsidRPr="006A3BEC">
              <w:t>Partitioned survival analysis</w:t>
            </w:r>
          </w:p>
        </w:tc>
      </w:tr>
      <w:tr w:rsidR="00052084" w:rsidRPr="00382BCC" w14:paraId="3F0AA30C" w14:textId="77777777">
        <w:tc>
          <w:tcPr>
            <w:tcW w:w="862" w:type="pct"/>
            <w:vAlign w:val="center"/>
          </w:tcPr>
          <w:p w14:paraId="3B15EAD4" w14:textId="77777777" w:rsidR="00052084" w:rsidRPr="00382BCC" w:rsidRDefault="00052084" w:rsidP="00A55D74">
            <w:pPr>
              <w:pStyle w:val="COMTabletext"/>
              <w:keepNext w:val="0"/>
              <w:ind w:left="57" w:right="57"/>
            </w:pPr>
            <w:r w:rsidRPr="00382BCC">
              <w:t>Health states</w:t>
            </w:r>
          </w:p>
        </w:tc>
        <w:tc>
          <w:tcPr>
            <w:tcW w:w="4138" w:type="pct"/>
          </w:tcPr>
          <w:p w14:paraId="52DE8E6C" w14:textId="68F1DCCC" w:rsidR="00052084" w:rsidRPr="00382BCC" w:rsidRDefault="00052084" w:rsidP="00A55D74">
            <w:pPr>
              <w:pStyle w:val="COMTabletext"/>
              <w:keepNext w:val="0"/>
              <w:ind w:left="57" w:right="57"/>
            </w:pPr>
            <w:r w:rsidRPr="006A3BEC">
              <w:t>Progression-free; progressed disease; dead</w:t>
            </w:r>
          </w:p>
        </w:tc>
      </w:tr>
      <w:tr w:rsidR="00052084" w:rsidRPr="00382BCC" w14:paraId="712D68C3" w14:textId="77777777">
        <w:tc>
          <w:tcPr>
            <w:tcW w:w="862" w:type="pct"/>
            <w:vAlign w:val="center"/>
          </w:tcPr>
          <w:p w14:paraId="161DC6B9" w14:textId="77777777" w:rsidR="00052084" w:rsidRPr="00382BCC" w:rsidRDefault="00052084" w:rsidP="00A55D74">
            <w:pPr>
              <w:pStyle w:val="COMTabletext"/>
              <w:keepNext w:val="0"/>
              <w:ind w:left="57" w:right="57"/>
            </w:pPr>
            <w:r w:rsidRPr="00382BCC">
              <w:t>Allocation to health states</w:t>
            </w:r>
          </w:p>
        </w:tc>
        <w:tc>
          <w:tcPr>
            <w:tcW w:w="4138" w:type="pct"/>
          </w:tcPr>
          <w:p w14:paraId="4092F6A6" w14:textId="60939BA4" w:rsidR="003A1E1E" w:rsidRPr="006A3BEC" w:rsidRDefault="003A1E1E" w:rsidP="00A55D74">
            <w:pPr>
              <w:pStyle w:val="COMTabletext"/>
              <w:keepNext w:val="0"/>
              <w:spacing w:after="60"/>
              <w:ind w:left="57" w:right="57"/>
            </w:pPr>
            <w:r w:rsidRPr="006A3BEC">
              <w:t xml:space="preserve">The allocation of patients to health states was informed by </w:t>
            </w:r>
            <w:r>
              <w:t>overall survival (</w:t>
            </w:r>
            <w:r w:rsidRPr="006A3BEC">
              <w:t>OS</w:t>
            </w:r>
            <w:r>
              <w:t>)</w:t>
            </w:r>
            <w:r w:rsidRPr="006A3BEC">
              <w:t xml:space="preserve"> and </w:t>
            </w:r>
            <w:r>
              <w:t>progression-free survival (</w:t>
            </w:r>
            <w:r w:rsidRPr="006A3BEC">
              <w:t>PFS</w:t>
            </w:r>
            <w:r>
              <w:t>)</w:t>
            </w:r>
            <w:r w:rsidRPr="006A3BEC">
              <w:t xml:space="preserve"> curves, with PFS further partitioned into on-treatment and off-treatment using TTD.</w:t>
            </w:r>
          </w:p>
          <w:p w14:paraId="610D2242" w14:textId="77777777" w:rsidR="003A1E1E" w:rsidRDefault="003A1E1E" w:rsidP="00A55D74">
            <w:pPr>
              <w:pStyle w:val="COMTabletext"/>
              <w:spacing w:after="120"/>
              <w:ind w:left="57" w:right="57"/>
            </w:pPr>
            <w:r>
              <w:t xml:space="preserve">In the base case, Kaplan-Meier curves for OS, PFS, and TTD were derived from the DeLLphi-304 trial for all patients treated with tarlatamab </w:t>
            </w:r>
            <w:r w:rsidRPr="00B65F18">
              <w:t>compared to a subgroup of patients who received topotecan in the comparator arm used as a proxy for standard</w:t>
            </w:r>
            <w:r>
              <w:t xml:space="preserve"> of care. Kaplan-Meier estimates were used directly in the model until approximately 10% of patients remained at risk in each arm, then extrapolated independently for each treatment arm to 10 years using standard parametric functions (OS using the loglogistic function for tarlatamab and exponential function for topotecan; PFS using the loglogistic function for both treatment arms; TTD using the lognormal function for tarlatamab and exponential function for topotecan).</w:t>
            </w:r>
          </w:p>
          <w:p w14:paraId="0D1EC9B9" w14:textId="4FE823A7" w:rsidR="00052084" w:rsidRPr="00382BCC" w:rsidRDefault="003A1E1E" w:rsidP="00A55D74">
            <w:pPr>
              <w:pStyle w:val="COMTabletext"/>
              <w:keepNext w:val="0"/>
              <w:ind w:left="57" w:right="57"/>
            </w:pPr>
            <w:r w:rsidRPr="006A3BEC">
              <w:t xml:space="preserve">The incidence of Grade 3 or higher adverse events (occurring in </w:t>
            </w:r>
            <w:r>
              <w:t>at least</w:t>
            </w:r>
            <w:r w:rsidRPr="006A3BEC">
              <w:t xml:space="preserve"> </w:t>
            </w:r>
            <w:r>
              <w:t>5</w:t>
            </w:r>
            <w:r w:rsidRPr="006A3BEC">
              <w:t>% of patients) and adverse events of special interest for tarlatamab (CRS, ICANS) were included, based on the DeLLphi-30</w:t>
            </w:r>
            <w:r>
              <w:t>4</w:t>
            </w:r>
            <w:r w:rsidRPr="006A3BEC">
              <w:t xml:space="preserve"> </w:t>
            </w:r>
            <w:r>
              <w:t>trial</w:t>
            </w:r>
            <w:r w:rsidRPr="006A3BEC">
              <w:t>.</w:t>
            </w:r>
          </w:p>
        </w:tc>
      </w:tr>
      <w:tr w:rsidR="00052084" w:rsidRPr="00382BCC" w14:paraId="01E65866" w14:textId="77777777">
        <w:tc>
          <w:tcPr>
            <w:tcW w:w="862" w:type="pct"/>
            <w:vAlign w:val="center"/>
          </w:tcPr>
          <w:p w14:paraId="761907A2" w14:textId="77777777" w:rsidR="00052084" w:rsidRPr="00382BCC" w:rsidRDefault="00052084" w:rsidP="00A55D74">
            <w:pPr>
              <w:pStyle w:val="COMTabletext"/>
              <w:keepNext w:val="0"/>
              <w:ind w:left="57" w:right="57"/>
            </w:pPr>
            <w:r w:rsidRPr="00382BCC">
              <w:t>Utility values</w:t>
            </w:r>
          </w:p>
        </w:tc>
        <w:tc>
          <w:tcPr>
            <w:tcW w:w="4138" w:type="pct"/>
            <w:vAlign w:val="center"/>
          </w:tcPr>
          <w:p w14:paraId="3D90D2FD" w14:textId="77777777" w:rsidR="007E7874" w:rsidRPr="00E46B50" w:rsidRDefault="007E7874" w:rsidP="00A55D74">
            <w:pPr>
              <w:pStyle w:val="COMTabletext"/>
              <w:keepNext w:val="0"/>
              <w:spacing w:after="60"/>
              <w:ind w:left="57" w:right="57"/>
            </w:pPr>
            <w:r w:rsidRPr="00E46B50">
              <w:t>Health state utilities were estimated based on patient-level EQ-5D-5L data collected in the DeLLphi-304 study (progression-free (tarlatamab): 0.910; progression-free (topotecan): 0.885; progressed-disease: 0.863; based on the Australian value set).</w:t>
            </w:r>
          </w:p>
          <w:p w14:paraId="77FB1AEF" w14:textId="78781AB5" w:rsidR="007E7874" w:rsidRPr="00E46B50" w:rsidRDefault="007E7874" w:rsidP="00A55D74">
            <w:pPr>
              <w:pStyle w:val="COMTabletext"/>
              <w:keepNext w:val="0"/>
              <w:spacing w:after="60"/>
              <w:ind w:left="57" w:right="57"/>
            </w:pPr>
            <w:r w:rsidRPr="00E46B50">
              <w:t xml:space="preserve">Utilities were adjusted for age-related changes and to ensure that utilities did not exceed general population norms based on </w:t>
            </w:r>
            <w:r w:rsidR="0074115B">
              <w:t xml:space="preserve">a </w:t>
            </w:r>
            <w:r w:rsidRPr="00E46B50">
              <w:t>survey of a representative sample of Australia’s general adult population using the EQ-5D-5L instrument, with estimates reported by age and gender (Redwood 2023).</w:t>
            </w:r>
          </w:p>
          <w:p w14:paraId="1E10B46C" w14:textId="774539A8" w:rsidR="00052084" w:rsidRPr="00382BCC" w:rsidRDefault="007E7874" w:rsidP="00A55D74">
            <w:pPr>
              <w:pStyle w:val="COMTabletext"/>
              <w:keepNext w:val="0"/>
              <w:ind w:left="57" w:right="57"/>
            </w:pPr>
            <w:r w:rsidRPr="00E46B50">
              <w:t>Disutilities associated with Grade 3 or higher adverse events occurring in more than 5% of patients in any treatment arm were included; as well as disutilities for CRS and ICANS events for tarlatamab; based on the published literature and assumption (Nafees 2008; Sullivan 2011).</w:t>
            </w:r>
          </w:p>
        </w:tc>
      </w:tr>
      <w:tr w:rsidR="00052084" w:rsidRPr="00382BCC" w14:paraId="165FDB29" w14:textId="77777777">
        <w:tc>
          <w:tcPr>
            <w:tcW w:w="862" w:type="pct"/>
            <w:vAlign w:val="center"/>
          </w:tcPr>
          <w:p w14:paraId="7CD9E744" w14:textId="77777777" w:rsidR="00052084" w:rsidRPr="00382BCC" w:rsidRDefault="00052084" w:rsidP="00A55D74">
            <w:pPr>
              <w:pStyle w:val="COMTabletext"/>
              <w:keepNext w:val="0"/>
              <w:ind w:left="57" w:right="57"/>
            </w:pPr>
            <w:r w:rsidRPr="00382BCC">
              <w:t>Costs</w:t>
            </w:r>
          </w:p>
        </w:tc>
        <w:tc>
          <w:tcPr>
            <w:tcW w:w="4138" w:type="pct"/>
            <w:vAlign w:val="center"/>
          </w:tcPr>
          <w:p w14:paraId="0ABD264A" w14:textId="77777777" w:rsidR="00F711E1" w:rsidRPr="00FC2E45" w:rsidRDefault="00F711E1" w:rsidP="00A55D74">
            <w:pPr>
              <w:pStyle w:val="COMTabletext"/>
              <w:keepNext w:val="0"/>
              <w:spacing w:after="60"/>
              <w:ind w:left="57" w:right="57"/>
            </w:pPr>
            <w:r w:rsidRPr="00FC2E45">
              <w:t>Primary and subsequent treatment costs were based on circumstances of use as above, and the proposed DPMA for tarlatamab and published DPMAs/DPMQs for other therapies.</w:t>
            </w:r>
          </w:p>
          <w:p w14:paraId="1572AD1E" w14:textId="77777777" w:rsidR="00F711E1" w:rsidRPr="00FC2E45" w:rsidRDefault="00F711E1" w:rsidP="00A55D74">
            <w:pPr>
              <w:pStyle w:val="COMTabletext"/>
              <w:keepNext w:val="0"/>
              <w:spacing w:after="60"/>
              <w:ind w:left="57" w:right="57"/>
            </w:pPr>
            <w:r w:rsidRPr="00FC2E45">
              <w:lastRenderedPageBreak/>
              <w:t>Drug administration costs were estimated based on the MBS fee for parenteral administration of one or more antineoplastic agents (#13950).</w:t>
            </w:r>
          </w:p>
          <w:p w14:paraId="6B680F45" w14:textId="34AE4648" w:rsidR="00F711E1" w:rsidRPr="00FC2E45" w:rsidRDefault="00F711E1" w:rsidP="00A55D74">
            <w:pPr>
              <w:pStyle w:val="COMTabletext"/>
              <w:keepNext w:val="0"/>
              <w:spacing w:after="60"/>
              <w:ind w:left="57" w:right="57"/>
            </w:pPr>
            <w:r w:rsidRPr="00FC2E45">
              <w:t xml:space="preserve">The cost of </w:t>
            </w:r>
            <w:r w:rsidR="00756DF2">
              <w:t>tarlatamab</w:t>
            </w:r>
            <w:r w:rsidRPr="00FC2E45">
              <w:t xml:space="preserve"> monitoring on day 1 of cycle 1 was based on </w:t>
            </w:r>
            <w:r w:rsidR="00756DF2">
              <w:t xml:space="preserve">reduced monitoring requirements in the draft </w:t>
            </w:r>
            <w:r w:rsidR="00455B93">
              <w:t>Product Information</w:t>
            </w:r>
            <w:r w:rsidR="00756DF2">
              <w:t xml:space="preserve"> (1</w:t>
            </w:r>
            <w:r w:rsidR="00AE14EA">
              <w:t>–</w:t>
            </w:r>
            <w:r w:rsidR="00756DF2">
              <w:t>2 hours in the outpatient setting</w:t>
            </w:r>
            <w:r w:rsidR="005D5029">
              <w:t xml:space="preserve">) and </w:t>
            </w:r>
            <w:r w:rsidRPr="00FC2E45">
              <w:t>the cost of chemotherapy treatment (code 10.11, NHCDC 2022-23 Non-admitted Tier 2 v7.0) adjusted to remove pharmacy costs.</w:t>
            </w:r>
          </w:p>
          <w:p w14:paraId="121EACD3" w14:textId="77777777" w:rsidR="00F711E1" w:rsidRPr="00FC2E45" w:rsidRDefault="00F711E1" w:rsidP="00A55D74">
            <w:pPr>
              <w:pStyle w:val="COMTabletext"/>
              <w:keepNext w:val="0"/>
              <w:spacing w:after="60"/>
              <w:ind w:left="57" w:right="57"/>
            </w:pPr>
            <w:r w:rsidRPr="00FC2E45">
              <w:t>Disease management costs</w:t>
            </w:r>
            <w:r>
              <w:t xml:space="preserve"> for patients in the progression-free health states were </w:t>
            </w:r>
            <w:r w:rsidRPr="00FC2E45">
              <w:t xml:space="preserve">based on resource use from the NICE atezolizumab submission (TA638) for patients receiving atezolizumab monotherapy after the first 4 chemotherapy cycles, and MBS unit costs. </w:t>
            </w:r>
            <w:r>
              <w:t>The source of resource use estimates for patients in the progressed disease health state was unclear</w:t>
            </w:r>
            <w:r w:rsidRPr="00FC2E45">
              <w:t>.</w:t>
            </w:r>
          </w:p>
          <w:p w14:paraId="3DD8DDB7" w14:textId="67632A32" w:rsidR="00F711E1" w:rsidRPr="004A47A4" w:rsidRDefault="00F711E1" w:rsidP="00A55D74">
            <w:pPr>
              <w:pStyle w:val="COMTabletext"/>
              <w:keepNext w:val="0"/>
              <w:spacing w:after="60"/>
              <w:ind w:left="57" w:right="57"/>
            </w:pPr>
            <w:r w:rsidRPr="004A47A4">
              <w:t>Costs associated with Grade 3 or higher adverse events occurring in more than 5% of patients in any treatment arm; as well CRS</w:t>
            </w:r>
            <w:r w:rsidR="005D21F2">
              <w:t xml:space="preserve"> ($</w:t>
            </w:r>
            <w:r w:rsidR="00831E00">
              <w:t xml:space="preserve">963 </w:t>
            </w:r>
            <w:r w:rsidR="00F1402C">
              <w:t xml:space="preserve">per </w:t>
            </w:r>
            <w:r w:rsidR="004A36A6">
              <w:t>event</w:t>
            </w:r>
            <w:r w:rsidR="00F1402C">
              <w:t xml:space="preserve">; assumes </w:t>
            </w:r>
            <w:r w:rsidR="00ED4028">
              <w:t>13</w:t>
            </w:r>
            <w:r w:rsidR="00F8553A">
              <w:t>.4</w:t>
            </w:r>
            <w:r w:rsidR="00ED4028">
              <w:t xml:space="preserve">% </w:t>
            </w:r>
            <w:r w:rsidR="00C948C2">
              <w:t xml:space="preserve">of </w:t>
            </w:r>
            <w:r w:rsidR="004A36A6">
              <w:t>event</w:t>
            </w:r>
            <w:r w:rsidR="00C948C2">
              <w:t xml:space="preserve">s </w:t>
            </w:r>
            <w:r w:rsidR="00ED4028">
              <w:t>are hospitalised</w:t>
            </w:r>
            <w:r w:rsidR="00626F2D">
              <w:t>)</w:t>
            </w:r>
            <w:r w:rsidRPr="004A47A4">
              <w:t xml:space="preserve"> and ICANS </w:t>
            </w:r>
            <w:r w:rsidR="00626F2D">
              <w:t>($177</w:t>
            </w:r>
            <w:r w:rsidR="00F1402C">
              <w:t xml:space="preserve"> per </w:t>
            </w:r>
            <w:r w:rsidR="004A36A6">
              <w:t>event</w:t>
            </w:r>
            <w:r w:rsidR="00ED4028">
              <w:t xml:space="preserve">; assumes </w:t>
            </w:r>
            <w:r w:rsidR="00C948C2">
              <w:t xml:space="preserve">no </w:t>
            </w:r>
            <w:r w:rsidR="004A36A6">
              <w:t>event</w:t>
            </w:r>
            <w:r w:rsidR="00C948C2">
              <w:t>s</w:t>
            </w:r>
            <w:r w:rsidR="00ED4028">
              <w:t xml:space="preserve"> require hospitalisation</w:t>
            </w:r>
            <w:r w:rsidR="00626F2D">
              <w:t>)</w:t>
            </w:r>
            <w:r w:rsidR="00131542">
              <w:t xml:space="preserve"> all grade</w:t>
            </w:r>
            <w:r w:rsidR="00626F2D">
              <w:t xml:space="preserve"> </w:t>
            </w:r>
            <w:r w:rsidRPr="004A47A4">
              <w:t>events for tarlatamab were included, based on NHCDC Cost weights for AR-DRG v11.0, 2022-23; Public Sector, PBS costs and ICU costs (IHACPA 202</w:t>
            </w:r>
            <w:r>
              <w:t>5)</w:t>
            </w:r>
            <w:r w:rsidRPr="004A47A4">
              <w:t>.</w:t>
            </w:r>
          </w:p>
          <w:p w14:paraId="33AFF246" w14:textId="77777777" w:rsidR="00052084" w:rsidRDefault="00F711E1" w:rsidP="00A55D74">
            <w:pPr>
              <w:pStyle w:val="COMTabletext"/>
              <w:keepNext w:val="0"/>
              <w:ind w:left="57" w:right="57"/>
            </w:pPr>
            <w:r>
              <w:t xml:space="preserve">Terminal care costs </w:t>
            </w:r>
            <w:r w:rsidR="00A16F05">
              <w:t>($21,</w:t>
            </w:r>
            <w:r w:rsidR="00C963B3">
              <w:t>347</w:t>
            </w:r>
            <w:r w:rsidR="00A16F05">
              <w:t>)</w:t>
            </w:r>
            <w:r w:rsidR="00F512E7">
              <w:t xml:space="preserve"> </w:t>
            </w:r>
            <w:r>
              <w:t xml:space="preserve">were based on </w:t>
            </w:r>
            <w:r w:rsidRPr="00054D79">
              <w:t xml:space="preserve">health services use in the last month of life </w:t>
            </w:r>
            <w:r>
              <w:t>in NSW cancer patients</w:t>
            </w:r>
            <w:r w:rsidRPr="00054D79">
              <w:t xml:space="preserve"> (Langton 2016).</w:t>
            </w:r>
          </w:p>
          <w:p w14:paraId="5312E173" w14:textId="3B4EE0FA" w:rsidR="00315EBC" w:rsidRPr="00F00190" w:rsidRDefault="00315EBC" w:rsidP="00A55D74">
            <w:pPr>
              <w:pStyle w:val="COMTabletext"/>
              <w:keepNext w:val="0"/>
              <w:spacing w:after="60"/>
              <w:ind w:left="57" w:right="57"/>
              <w:rPr>
                <w:rFonts w:cs="Calibri"/>
              </w:rPr>
            </w:pPr>
            <w:r w:rsidRPr="00F00190">
              <w:t xml:space="preserve">The ESC noted that there were </w:t>
            </w:r>
            <w:proofErr w:type="gramStart"/>
            <w:r w:rsidRPr="00F00190">
              <w:t>a number of</w:t>
            </w:r>
            <w:proofErr w:type="gramEnd"/>
            <w:r w:rsidRPr="00F00190">
              <w:t xml:space="preserve"> errors and inconsistencies in the costs applied </w:t>
            </w:r>
            <w:r w:rsidR="00402780" w:rsidRPr="00F00190">
              <w:t>to</w:t>
            </w:r>
            <w:r w:rsidRPr="00F00190">
              <w:t xml:space="preserve"> the economic model, as documented in the evaluation. </w:t>
            </w:r>
            <w:r w:rsidR="0008688D" w:rsidRPr="00F00190">
              <w:t>However, the ESC noted that d</w:t>
            </w:r>
            <w:r w:rsidRPr="00F00190">
              <w:t>rug costs were the key driver of differences in costs between arms.</w:t>
            </w:r>
          </w:p>
        </w:tc>
      </w:tr>
      <w:tr w:rsidR="00052084" w:rsidRPr="00382BCC" w14:paraId="1ACD7FE1" w14:textId="77777777">
        <w:tc>
          <w:tcPr>
            <w:tcW w:w="862" w:type="pct"/>
            <w:vAlign w:val="center"/>
          </w:tcPr>
          <w:p w14:paraId="76677A53" w14:textId="77777777" w:rsidR="00052084" w:rsidRPr="00382BCC" w:rsidRDefault="00052084" w:rsidP="00A55D74">
            <w:pPr>
              <w:pStyle w:val="COMTabletext"/>
              <w:keepNext w:val="0"/>
              <w:ind w:left="57" w:right="57"/>
            </w:pPr>
            <w:r w:rsidRPr="00382BCC">
              <w:lastRenderedPageBreak/>
              <w:t>Discounting</w:t>
            </w:r>
          </w:p>
        </w:tc>
        <w:tc>
          <w:tcPr>
            <w:tcW w:w="4138" w:type="pct"/>
          </w:tcPr>
          <w:p w14:paraId="7ACCB876" w14:textId="77777777" w:rsidR="00052084" w:rsidRPr="00382BCC" w:rsidRDefault="00052084" w:rsidP="00A55D74">
            <w:pPr>
              <w:pStyle w:val="COMTabletext"/>
              <w:keepNext w:val="0"/>
              <w:ind w:left="57" w:right="57"/>
            </w:pPr>
            <w:r w:rsidRPr="00382BCC">
              <w:t>5% per year applied to costs and outcomes</w:t>
            </w:r>
          </w:p>
        </w:tc>
      </w:tr>
      <w:tr w:rsidR="000F3533" w:rsidRPr="00382BCC" w14:paraId="4B354560" w14:textId="77777777">
        <w:tc>
          <w:tcPr>
            <w:tcW w:w="862" w:type="pct"/>
            <w:vAlign w:val="center"/>
          </w:tcPr>
          <w:p w14:paraId="58AF9BB3" w14:textId="77777777" w:rsidR="000F3533" w:rsidRPr="00382BCC" w:rsidRDefault="000F3533" w:rsidP="00A55D74">
            <w:pPr>
              <w:pStyle w:val="COMTabletext"/>
              <w:keepNext w:val="0"/>
              <w:ind w:left="57" w:right="57"/>
            </w:pPr>
            <w:r w:rsidRPr="00382BCC">
              <w:t>Software package</w:t>
            </w:r>
          </w:p>
        </w:tc>
        <w:tc>
          <w:tcPr>
            <w:tcW w:w="4138" w:type="pct"/>
          </w:tcPr>
          <w:p w14:paraId="63F50E5F" w14:textId="3364910E" w:rsidR="000F3533" w:rsidRPr="00382BCC" w:rsidRDefault="000F3533" w:rsidP="00A55D74">
            <w:pPr>
              <w:pStyle w:val="COMTabletext"/>
              <w:keepNext w:val="0"/>
              <w:ind w:left="57" w:right="57"/>
            </w:pPr>
            <w:r w:rsidRPr="006A3BEC">
              <w:t>Microsoft Excel</w:t>
            </w:r>
          </w:p>
        </w:tc>
      </w:tr>
    </w:tbl>
    <w:p w14:paraId="6254D6C1" w14:textId="64958CAD" w:rsidR="007E7874" w:rsidRDefault="007E7874" w:rsidP="007E7874">
      <w:pPr>
        <w:pStyle w:val="COMTablefooter"/>
      </w:pPr>
      <w:r w:rsidRPr="00EC0F42">
        <w:t>Source: Table</w:t>
      </w:r>
      <w:r>
        <w:t xml:space="preserve"> 3.1.1-1, p76; and Sections 3.3 to 3.6, pp85-121</w:t>
      </w:r>
      <w:r w:rsidRPr="00EC0F42">
        <w:t xml:space="preserve"> of the submission</w:t>
      </w:r>
      <w:r>
        <w:t>.</w:t>
      </w:r>
    </w:p>
    <w:p w14:paraId="37EC55A9" w14:textId="62D840C1" w:rsidR="003547DE" w:rsidRPr="007E7874" w:rsidRDefault="007E7874" w:rsidP="007E7874">
      <w:pPr>
        <w:pStyle w:val="COMTablefooter"/>
      </w:pPr>
      <w:r w:rsidRPr="006A3BEC">
        <w:t xml:space="preserve">Abbreviations: AR-DRG, Australian Refined Diagnosis Related Group; CAV, cyclophosphamide, doxorubicin and vincristine; CRS, cytokine-release syndrome; </w:t>
      </w:r>
      <w:r>
        <w:t xml:space="preserve">DPMA, dispensed price for maximum amount; DPMQ, dispensed price for maximum quantity; </w:t>
      </w:r>
      <w:r w:rsidR="004F3D17" w:rsidRPr="00E46B50">
        <w:t>EQ-5D-5L</w:t>
      </w:r>
      <w:r w:rsidR="00001482">
        <w:t>,</w:t>
      </w:r>
      <w:r w:rsidR="004F3D17" w:rsidRPr="00E46B50">
        <w:t xml:space="preserve"> </w:t>
      </w:r>
      <w:r w:rsidR="00A27F3F" w:rsidRPr="00A27F3F">
        <w:t>EuroQol 5-Dimension 5-Level questionnaire</w:t>
      </w:r>
      <w:r w:rsidR="004F3D17">
        <w:t>;</w:t>
      </w:r>
      <w:r w:rsidR="00001482">
        <w:t xml:space="preserve"> </w:t>
      </w:r>
      <w:r w:rsidRPr="006A3BEC">
        <w:t>ICANS, immune effector cell-associated neurotoxicity syndrome; IHACPA, Independent Health and Aged Care Pricing Authority;</w:t>
      </w:r>
      <w:r>
        <w:t xml:space="preserve"> ICU, intensive care unit;</w:t>
      </w:r>
      <w:r w:rsidRPr="006A3BEC">
        <w:t xml:space="preserve"> </w:t>
      </w:r>
      <w:r>
        <w:t xml:space="preserve">MBS, Medicare Benefits Schedule; </w:t>
      </w:r>
      <w:r w:rsidRPr="006A3BEC">
        <w:t>NHCDC, National Hospital Cost Data Collection; OS, overall survival</w:t>
      </w:r>
      <w:r>
        <w:t xml:space="preserve">; PBS, Pharmaceutical Benefits Scheme; </w:t>
      </w:r>
      <w:r w:rsidRPr="006A3BEC">
        <w:t xml:space="preserve">PFS, progression-free survival; </w:t>
      </w:r>
      <w:r w:rsidR="00F80665">
        <w:t xml:space="preserve">PI, product information; </w:t>
      </w:r>
      <w:r w:rsidR="00FB752F">
        <w:t xml:space="preserve">SOC, standard of care; </w:t>
      </w:r>
      <w:r w:rsidRPr="006A3BEC">
        <w:t>TTD, time to treatment discontinuation</w:t>
      </w:r>
      <w:r>
        <w:t>.</w:t>
      </w:r>
    </w:p>
    <w:p w14:paraId="569994EE" w14:textId="254290FB" w:rsidR="003A0B8B" w:rsidRPr="00726F37" w:rsidRDefault="003A0B8B" w:rsidP="008C5739">
      <w:pPr>
        <w:pStyle w:val="COMESnumberedpara"/>
      </w:pPr>
      <w:r w:rsidRPr="00726F37">
        <w:t xml:space="preserve">A partitioned survival approach was used to distribute patients between model health states, with the area below the PFS curve corresponding to patients in the progression-free state, the area between the progression-free and overall survival curves corresponding to patients in the progressive disease health state, and the area above the overall survival curve corresponding to patients in the dead state. The progression-free health state was further partitioned into on- and off-treatment, based on time to </w:t>
      </w:r>
      <w:r w:rsidR="001972CB" w:rsidRPr="00726F37">
        <w:t>TTD</w:t>
      </w:r>
      <w:r w:rsidRPr="00726F37">
        <w:t xml:space="preserve"> curves.</w:t>
      </w:r>
    </w:p>
    <w:p w14:paraId="13C37163" w14:textId="7ADB4F15" w:rsidR="003D661D" w:rsidRPr="00726F37" w:rsidRDefault="003D661D" w:rsidP="00845C09">
      <w:pPr>
        <w:pStyle w:val="COMESnumberedpara"/>
      </w:pPr>
      <w:bookmarkStart w:id="49" w:name="_Ref222721896"/>
      <w:bookmarkStart w:id="50" w:name="_Ref226895596"/>
      <w:r w:rsidRPr="00726F37">
        <w:t xml:space="preserve">The base case analysis assumed a 10 year time horizon, on the basis that this corresponds to a lifetime time horizon for the modelled population with a baseline age of 63.9 years. It is unclear whether a 10 year time horizon is appropriate given the uncertainty in the extrapolation of overall survival to 10 years, based on a median follow-up of 14 months from DeLLphi-304. </w:t>
      </w:r>
      <w:r w:rsidR="00845C09" w:rsidRPr="00744F75">
        <w:t xml:space="preserve">The ESC considered that the time horizon selected for the base case (10 years) was not justified based on the evidence. The ESC noted that the PBAC previously accepted a time horizon in a similar model for atezolizumab </w:t>
      </w:r>
      <w:r w:rsidR="00BE341E" w:rsidRPr="00744F75">
        <w:t xml:space="preserve">in the </w:t>
      </w:r>
      <w:r w:rsidR="00845C09" w:rsidRPr="00744F75">
        <w:t>July 2019</w:t>
      </w:r>
      <w:r w:rsidR="00BE1E61" w:rsidRPr="00744F75">
        <w:t xml:space="preserve"> (para 7.12, atezolizumab </w:t>
      </w:r>
      <w:r w:rsidR="00E7647C">
        <w:t>Public Summary Document [</w:t>
      </w:r>
      <w:r w:rsidR="00BE1E61" w:rsidRPr="00744F75">
        <w:t>PSD</w:t>
      </w:r>
      <w:r w:rsidR="00E7647C">
        <w:t>]</w:t>
      </w:r>
      <w:r w:rsidR="00BE1E61" w:rsidRPr="00744F75">
        <w:t>, July 2019 PBAC meeting)</w:t>
      </w:r>
      <w:r w:rsidR="00845C09" w:rsidRPr="00744F75">
        <w:t>,</w:t>
      </w:r>
      <w:r w:rsidR="00845C09" w:rsidRPr="00845C09">
        <w:rPr>
          <w:i/>
          <w:iCs/>
        </w:rPr>
        <w:t xml:space="preserve"> </w:t>
      </w:r>
      <w:r w:rsidR="00845C09" w:rsidRPr="00744F75">
        <w:t xml:space="preserve">but as first-line treatment, of 5 years. The base case for tarlatamab as a second-line treatment should therefore not exceed </w:t>
      </w:r>
      <w:r w:rsidR="00BE341E" w:rsidRPr="00744F75">
        <w:t>5</w:t>
      </w:r>
      <w:r w:rsidR="00845C09" w:rsidRPr="00744F75">
        <w:t xml:space="preserve"> years.</w:t>
      </w:r>
      <w:bookmarkEnd w:id="49"/>
      <w:r w:rsidR="00845C09" w:rsidRPr="00845C09">
        <w:t xml:space="preserve"> </w:t>
      </w:r>
      <w:r w:rsidR="00335CA5">
        <w:t xml:space="preserve">The </w:t>
      </w:r>
      <w:r w:rsidR="00335CA5">
        <w:lastRenderedPageBreak/>
        <w:t xml:space="preserve">Pre-PBAC Response </w:t>
      </w:r>
      <w:r w:rsidR="00080199">
        <w:t xml:space="preserve">maintained </w:t>
      </w:r>
      <w:r w:rsidR="00133937" w:rsidRPr="006D6EB3">
        <w:t xml:space="preserve">that a 10-year time horizon was </w:t>
      </w:r>
      <w:r w:rsidR="009330F0">
        <w:t>required</w:t>
      </w:r>
      <w:r w:rsidR="00133937" w:rsidRPr="006D6EB3">
        <w:t xml:space="preserve"> to capture </w:t>
      </w:r>
      <w:r w:rsidR="0037580E" w:rsidRPr="006D6EB3">
        <w:t xml:space="preserve">the </w:t>
      </w:r>
      <w:r w:rsidR="00133937" w:rsidRPr="006D6EB3">
        <w:t xml:space="preserve">long-term survival benefits of tarlatamab and avoid underestimation of </w:t>
      </w:r>
      <w:r w:rsidR="009330F0">
        <w:t xml:space="preserve">the tarlatamab </w:t>
      </w:r>
      <w:r w:rsidR="00133937" w:rsidRPr="006D6EB3">
        <w:t xml:space="preserve">treatment effect. The </w:t>
      </w:r>
      <w:r w:rsidR="0053175E">
        <w:t xml:space="preserve">Response </w:t>
      </w:r>
      <w:r w:rsidR="00591B13">
        <w:t xml:space="preserve">argued </w:t>
      </w:r>
      <w:r w:rsidR="009330F0">
        <w:t>t</w:t>
      </w:r>
      <w:r w:rsidR="0053175E">
        <w:t xml:space="preserve">hat </w:t>
      </w:r>
      <w:r w:rsidR="00013EB0">
        <w:t xml:space="preserve">survival </w:t>
      </w:r>
      <w:r w:rsidR="00BB336F">
        <w:t xml:space="preserve">for tarlatamab patients </w:t>
      </w:r>
      <w:r w:rsidR="00013EB0">
        <w:t>was longer</w:t>
      </w:r>
      <w:r w:rsidR="00013EB0" w:rsidRPr="006D6EB3">
        <w:t xml:space="preserve"> </w:t>
      </w:r>
      <w:r w:rsidR="00013EB0">
        <w:t xml:space="preserve">compared to </w:t>
      </w:r>
      <w:r w:rsidR="00133937" w:rsidRPr="006D6EB3">
        <w:t xml:space="preserve">atezolizumab IMpower133 </w:t>
      </w:r>
      <w:r w:rsidR="00013EB0">
        <w:t>patients</w:t>
      </w:r>
      <w:r w:rsidR="000F790E">
        <w:t>, noting</w:t>
      </w:r>
      <w:r w:rsidR="00425591">
        <w:t xml:space="preserve"> that based on the Impower133 trial, a</w:t>
      </w:r>
      <w:r w:rsidR="00715314">
        <w:t>t</w:t>
      </w:r>
      <w:r w:rsidR="00133937" w:rsidRPr="006D6EB3">
        <w:t xml:space="preserve"> 12 and 18 months approximately 52% and 34% of</w:t>
      </w:r>
      <w:r w:rsidR="005F5BB0">
        <w:t xml:space="preserve"> atezolizumab</w:t>
      </w:r>
      <w:r w:rsidR="00133937" w:rsidRPr="006D6EB3">
        <w:t xml:space="preserve"> patients remained alive,</w:t>
      </w:r>
      <w:r w:rsidR="00425591">
        <w:t xml:space="preserve"> respectively,</w:t>
      </w:r>
      <w:r w:rsidR="00133937" w:rsidRPr="006D6EB3">
        <w:t xml:space="preserve"> </w:t>
      </w:r>
      <w:r w:rsidR="005F5BB0">
        <w:t>whereas</w:t>
      </w:r>
      <w:r w:rsidR="00133937" w:rsidRPr="006D6EB3">
        <w:t xml:space="preserve"> approximately 56.3% and 43.3% of </w:t>
      </w:r>
      <w:r w:rsidR="005F5BB0">
        <w:t xml:space="preserve">tarlatamab </w:t>
      </w:r>
      <w:r w:rsidR="00133937" w:rsidRPr="006D6EB3">
        <w:t xml:space="preserve">patients remained alive, respectively (data cut-off: 29 April 2025). At 5 years, 16% of DeLLphi-304 patients are still alive. </w:t>
      </w:r>
      <w:r w:rsidR="000F790E">
        <w:t xml:space="preserve">Based on these data, the Response considered </w:t>
      </w:r>
      <w:r w:rsidR="00284D74">
        <w:t>tarlatamab had demonstrated improved survival outcomes relative to historical benchmarks, justifying a longer time horizon.</w:t>
      </w:r>
      <w:r w:rsidR="00257F0B">
        <w:t xml:space="preserve"> </w:t>
      </w:r>
      <w:r w:rsidR="00A72D58">
        <w:t>However, the</w:t>
      </w:r>
      <w:r w:rsidR="00257F0B">
        <w:t xml:space="preserve"> PBAC noted that the Response did not provide </w:t>
      </w:r>
      <w:r w:rsidR="00365907">
        <w:t xml:space="preserve">5-year OS data for </w:t>
      </w:r>
      <w:r w:rsidR="00365907" w:rsidRPr="006D6EB3">
        <w:t>DeLLphi-304</w:t>
      </w:r>
      <w:r w:rsidR="003D4518">
        <w:t xml:space="preserve"> (</w:t>
      </w:r>
      <w:r w:rsidR="003D4518" w:rsidRPr="003D4518">
        <w:t xml:space="preserve">31 May 2023 </w:t>
      </w:r>
      <w:r w:rsidR="003D4518">
        <w:t>[</w:t>
      </w:r>
      <w:r w:rsidR="003D4518" w:rsidRPr="003D4518">
        <w:t>first subject enrolled</w:t>
      </w:r>
      <w:r w:rsidR="003D4518">
        <w:t>] to d</w:t>
      </w:r>
      <w:r w:rsidR="003D4518" w:rsidRPr="003D4518">
        <w:t xml:space="preserve">ata cut </w:t>
      </w:r>
      <w:proofErr w:type="gramStart"/>
      <w:r w:rsidR="003D4518" w:rsidRPr="003D4518">
        <w:t xml:space="preserve">off </w:t>
      </w:r>
      <w:r w:rsidR="00A72D58">
        <w:t>of</w:t>
      </w:r>
      <w:proofErr w:type="gramEnd"/>
      <w:r w:rsidR="00A72D58">
        <w:t xml:space="preserve"> </w:t>
      </w:r>
      <w:r w:rsidR="003D4518" w:rsidRPr="003D4518">
        <w:t>29 April 2025</w:t>
      </w:r>
      <w:r w:rsidR="003D4518">
        <w:t xml:space="preserve"> &lt; 2 years)</w:t>
      </w:r>
      <w:r w:rsidR="00365907">
        <w:t>.</w:t>
      </w:r>
      <w:bookmarkEnd w:id="50"/>
      <w:r w:rsidR="00365907">
        <w:t xml:space="preserve"> </w:t>
      </w:r>
    </w:p>
    <w:p w14:paraId="5C1BBCA7" w14:textId="46EBC60A" w:rsidR="007E62F3" w:rsidRPr="008C7B8B" w:rsidRDefault="007E62F3" w:rsidP="007E62F3">
      <w:pPr>
        <w:pStyle w:val="COMESnumberedpara"/>
      </w:pPr>
      <w:r w:rsidRPr="008C7B8B">
        <w:t xml:space="preserve">The submission claimed that the modelled population, based on the DeLLphi-304 trial, </w:t>
      </w:r>
      <w:r w:rsidR="00DD7EF6">
        <w:t>wa</w:t>
      </w:r>
      <w:r w:rsidRPr="008C7B8B">
        <w:t xml:space="preserve">s consistent with the patient population expected to receive tarlatamab in Australia. </w:t>
      </w:r>
      <w:r w:rsidR="00305A07" w:rsidRPr="00744F75">
        <w:t>However, t</w:t>
      </w:r>
      <w:r w:rsidR="00DD7EF6" w:rsidRPr="00744F75">
        <w:t>he evaluation considered that</w:t>
      </w:r>
      <w:r w:rsidRPr="00744F75">
        <w:t xml:space="preserve"> there </w:t>
      </w:r>
      <w:r w:rsidR="00DD7EF6" w:rsidRPr="00744F75">
        <w:t>were</w:t>
      </w:r>
      <w:r w:rsidR="00DD7EF6" w:rsidRPr="008C7B8B">
        <w:t xml:space="preserve"> </w:t>
      </w:r>
      <w:r w:rsidRPr="008C7B8B">
        <w:t>differences between populations which may affect the applicability of the results of the DeLLphi-304 trial, including the performance status of patients, differences in expected life expectancy, and the inclusion of patients with limited-stage disease in the DeLLphi-304 trial</w:t>
      </w:r>
      <w:r w:rsidR="001D0080" w:rsidRPr="008C7B8B">
        <w:t xml:space="preserve">. The </w:t>
      </w:r>
      <w:r w:rsidR="009C16EA" w:rsidRPr="00744F75">
        <w:t>evaluation considered that the</w:t>
      </w:r>
      <w:r w:rsidR="009C16EA">
        <w:t xml:space="preserve"> </w:t>
      </w:r>
      <w:r w:rsidR="001D0080" w:rsidRPr="008C7B8B">
        <w:t xml:space="preserve">proposed PBS population is likely </w:t>
      </w:r>
      <w:r w:rsidR="00541D93">
        <w:t xml:space="preserve">to </w:t>
      </w:r>
      <w:r w:rsidR="008F54BD" w:rsidRPr="008C7B8B">
        <w:t>have</w:t>
      </w:r>
      <w:r w:rsidR="001D0080" w:rsidRPr="008C7B8B">
        <w:t xml:space="preserve"> more advanced disease</w:t>
      </w:r>
      <w:r w:rsidR="00C9479F" w:rsidRPr="008C7B8B">
        <w:t xml:space="preserve"> </w:t>
      </w:r>
      <w:r w:rsidR="00AA7858" w:rsidRPr="008C7B8B">
        <w:t xml:space="preserve">compared to </w:t>
      </w:r>
      <w:r w:rsidR="00FB5D9A" w:rsidRPr="008C7B8B">
        <w:t xml:space="preserve">the </w:t>
      </w:r>
      <w:r w:rsidR="00AA7858" w:rsidRPr="008C7B8B">
        <w:t xml:space="preserve">DeLLphi-304 </w:t>
      </w:r>
      <w:r w:rsidR="00FB5D9A" w:rsidRPr="008C7B8B">
        <w:t xml:space="preserve">trial </w:t>
      </w:r>
      <w:r w:rsidR="00C9479F" w:rsidRPr="008C7B8B">
        <w:t>an</w:t>
      </w:r>
      <w:r w:rsidR="00194E6F" w:rsidRPr="008C7B8B">
        <w:t>d the</w:t>
      </w:r>
      <w:r w:rsidR="00F66FB2" w:rsidRPr="008C7B8B">
        <w:t>refore the</w:t>
      </w:r>
      <w:r w:rsidR="00194E6F" w:rsidRPr="008C7B8B">
        <w:t xml:space="preserve"> clinical benefits seen in the clinical </w:t>
      </w:r>
      <w:r w:rsidR="00194E6F" w:rsidRPr="00B53AB5">
        <w:t>trial</w:t>
      </w:r>
      <w:r w:rsidR="00F66FB2" w:rsidRPr="00B53AB5">
        <w:t xml:space="preserve"> (and the economic model) may not be observed in clinical practice</w:t>
      </w:r>
      <w:r w:rsidR="009C16EA" w:rsidRPr="00B53AB5">
        <w:rPr>
          <w:i/>
          <w:iCs/>
        </w:rPr>
        <w:t xml:space="preserve"> </w:t>
      </w:r>
      <w:r w:rsidR="009C16EA" w:rsidRPr="00B53AB5">
        <w:t xml:space="preserve">(further detailed in paragraph </w:t>
      </w:r>
      <w:r w:rsidR="00FC3FFB" w:rsidRPr="00B53AB5">
        <w:fldChar w:fldCharType="begin"/>
      </w:r>
      <w:r w:rsidR="00FC3FFB" w:rsidRPr="00B53AB5">
        <w:instrText xml:space="preserve"> REF _Ref222583133 \r \h  \* MERGEFORMAT </w:instrText>
      </w:r>
      <w:r w:rsidR="00FC3FFB" w:rsidRPr="00B53AB5">
        <w:fldChar w:fldCharType="separate"/>
      </w:r>
      <w:r w:rsidR="00D23029">
        <w:t>6.46</w:t>
      </w:r>
      <w:r w:rsidR="00FC3FFB" w:rsidRPr="00B53AB5">
        <w:fldChar w:fldCharType="end"/>
      </w:r>
      <w:r w:rsidR="00FC3FFB" w:rsidRPr="00B53AB5">
        <w:t>)</w:t>
      </w:r>
      <w:r w:rsidR="00F66FB2" w:rsidRPr="00B53AB5">
        <w:t>.</w:t>
      </w:r>
      <w:r w:rsidR="00096725" w:rsidRPr="00B53AB5">
        <w:t xml:space="preserve"> </w:t>
      </w:r>
      <w:r w:rsidR="00B673C4" w:rsidRPr="00B53AB5">
        <w:t>The ESC noted that this</w:t>
      </w:r>
      <w:r w:rsidR="006D42C4" w:rsidRPr="00B53AB5">
        <w:t xml:space="preserve"> was a potential applicability issue, however considered that</w:t>
      </w:r>
      <w:r w:rsidR="00CD6DDB" w:rsidRPr="00744F75">
        <w:t xml:space="preserve"> it was likely that</w:t>
      </w:r>
      <w:r w:rsidR="006D42C4" w:rsidRPr="00744F75">
        <w:t xml:space="preserve"> </w:t>
      </w:r>
      <w:r w:rsidR="00CD6DDB" w:rsidRPr="00744F75">
        <w:t>only fit patients would be considered for second-line therapy in clinical practice, and the generalisability of the trial was likely reasonable.</w:t>
      </w:r>
      <w:r w:rsidR="00B673C4">
        <w:rPr>
          <w:i/>
          <w:iCs/>
        </w:rPr>
        <w:t xml:space="preserve"> </w:t>
      </w:r>
    </w:p>
    <w:p w14:paraId="6271831D" w14:textId="7B1987CD" w:rsidR="009E080B" w:rsidRPr="00744F75" w:rsidRDefault="00044293" w:rsidP="00924E6B">
      <w:pPr>
        <w:pStyle w:val="COMESnumberedpara"/>
      </w:pPr>
      <w:bookmarkStart w:id="51" w:name="_Ref222654875"/>
      <w:r w:rsidRPr="008C7B8B">
        <w:t>The DeLLphi-304 trial permitted use of tarlatamab following disease progression if the investigator considered it would be of benefit to the patient, which occurred in 40% of tarlatamab patients</w:t>
      </w:r>
      <w:r w:rsidR="00C055D2" w:rsidRPr="008C7B8B">
        <w:t xml:space="preserve"> with confirmed progression</w:t>
      </w:r>
      <w:r w:rsidRPr="008C7B8B">
        <w:t xml:space="preserve">. This </w:t>
      </w:r>
      <w:r w:rsidR="006510D7">
        <w:t>wa</w:t>
      </w:r>
      <w:r w:rsidRPr="008C7B8B">
        <w:t xml:space="preserve">s inconsistent with the tarlatamab </w:t>
      </w:r>
      <w:r w:rsidR="00455B93" w:rsidRPr="008C7B8B">
        <w:t>Product Information</w:t>
      </w:r>
      <w:r w:rsidRPr="008C7B8B">
        <w:t xml:space="preserve"> which specifies treatment until disease progression or unacceptable toxicity. </w:t>
      </w:r>
      <w:r w:rsidR="001D650C" w:rsidRPr="008C7B8B">
        <w:t>I</w:t>
      </w:r>
      <w:r w:rsidRPr="008C7B8B">
        <w:t>n the</w:t>
      </w:r>
      <w:r w:rsidR="00F66AD5" w:rsidRPr="008C7B8B">
        <w:t xml:space="preserve"> base case of the</w:t>
      </w:r>
      <w:r w:rsidRPr="008C7B8B">
        <w:t xml:space="preserve"> economic model, </w:t>
      </w:r>
      <w:r w:rsidR="003A0D01">
        <w:t>OS</w:t>
      </w:r>
      <w:r w:rsidR="003A1B7F" w:rsidRPr="008C7B8B">
        <w:t xml:space="preserve"> and </w:t>
      </w:r>
      <w:r w:rsidR="00002780" w:rsidRPr="008C7B8B">
        <w:t xml:space="preserve">TTD </w:t>
      </w:r>
      <w:r w:rsidRPr="008C7B8B">
        <w:t>for tarlatamab w</w:t>
      </w:r>
      <w:r w:rsidR="003A1B7F" w:rsidRPr="008C7B8B">
        <w:t>ere</w:t>
      </w:r>
      <w:r w:rsidRPr="008C7B8B">
        <w:t xml:space="preserve"> estimated based on the extrapolated Kaplan-Meier </w:t>
      </w:r>
      <w:r w:rsidR="003A1B7F" w:rsidRPr="008C7B8B">
        <w:t xml:space="preserve">curves </w:t>
      </w:r>
      <w:r w:rsidRPr="008C7B8B">
        <w:t xml:space="preserve">without adjustment </w:t>
      </w:r>
      <w:r w:rsidR="00F218FB" w:rsidRPr="008C7B8B">
        <w:t xml:space="preserve">to remove </w:t>
      </w:r>
      <w:r w:rsidRPr="008C7B8B">
        <w:t>post-progression use</w:t>
      </w:r>
      <w:r w:rsidRPr="00744F75">
        <w:t>.</w:t>
      </w:r>
      <w:r w:rsidR="00E518A3" w:rsidRPr="00744F75">
        <w:rPr>
          <w:rFonts w:ascii="Calibri" w:hAnsi="Calibri" w:cs="Calibri"/>
        </w:rPr>
        <w:t xml:space="preserve"> The submission argued that adjustment was not necessary, as an analysis of overall survival, censored for post-progression treatment, indicated that ongoing use had a limited impact on </w:t>
      </w:r>
      <w:r w:rsidR="00927C4D" w:rsidRPr="00744F75">
        <w:rPr>
          <w:rFonts w:ascii="Calibri" w:hAnsi="Calibri" w:cs="Calibri"/>
        </w:rPr>
        <w:t>OS.</w:t>
      </w:r>
      <w:r w:rsidR="00E518A3" w:rsidRPr="00744F75">
        <w:t xml:space="preserve"> </w:t>
      </w:r>
      <w:r w:rsidR="006B1C39" w:rsidRPr="008C7B8B">
        <w:t>However, no further documentation was provided</w:t>
      </w:r>
      <w:r w:rsidR="00FA447E">
        <w:t xml:space="preserve"> in the submission</w:t>
      </w:r>
      <w:r w:rsidR="006B1C39" w:rsidRPr="008C7B8B">
        <w:t xml:space="preserve"> for the adjusted</w:t>
      </w:r>
      <w:r w:rsidR="006C360D">
        <w:t>/censored</w:t>
      </w:r>
      <w:r w:rsidR="006B1C39" w:rsidRPr="008C7B8B">
        <w:t xml:space="preserve"> overall survival analysis. The economic model included an option to use the adjusted</w:t>
      </w:r>
      <w:r w:rsidR="006C360D">
        <w:t>/</w:t>
      </w:r>
      <w:r w:rsidR="0028175C">
        <w:t>censored</w:t>
      </w:r>
      <w:r w:rsidR="0028175C" w:rsidRPr="008C7B8B">
        <w:t xml:space="preserve"> </w:t>
      </w:r>
      <w:r w:rsidR="006B1C39" w:rsidRPr="008C7B8B">
        <w:t>overall survival data, based on use of parametric functions over the entire time horizon (the Kaplan</w:t>
      </w:r>
      <w:r w:rsidR="00292549" w:rsidRPr="008C7B8B">
        <w:t>-</w:t>
      </w:r>
      <w:r w:rsidR="006B1C39" w:rsidRPr="008C7B8B">
        <w:t>Meier data were not included in the model spreadsheet</w:t>
      </w:r>
      <w:r w:rsidR="006B1C39" w:rsidRPr="00744F75">
        <w:t>).</w:t>
      </w:r>
      <w:r w:rsidR="002B710A">
        <w:t xml:space="preserve"> </w:t>
      </w:r>
      <w:r w:rsidR="00E42DB2" w:rsidRPr="00744F75">
        <w:t>Overall, the</w:t>
      </w:r>
      <w:r w:rsidR="00F41795" w:rsidRPr="00744F75">
        <w:t xml:space="preserve"> evaluation considered </w:t>
      </w:r>
      <w:r w:rsidR="00E42DB2" w:rsidRPr="00744F75">
        <w:t xml:space="preserve">that </w:t>
      </w:r>
      <w:r w:rsidR="00F41795" w:rsidRPr="00744F75">
        <w:t>there was a lack of data to validate the censored/adjusted OS data</w:t>
      </w:r>
      <w:r w:rsidR="00CC3F81" w:rsidRPr="00744F75">
        <w:t xml:space="preserve"> provided in the model</w:t>
      </w:r>
      <w:r w:rsidR="00F41795" w:rsidRPr="00744F75">
        <w:t xml:space="preserve">. </w:t>
      </w:r>
      <w:r w:rsidR="000F5437" w:rsidRPr="00744F75">
        <w:t xml:space="preserve">As </w:t>
      </w:r>
      <w:r w:rsidR="009E080B" w:rsidRPr="00744F75">
        <w:t xml:space="preserve">detailed in </w:t>
      </w:r>
      <w:r w:rsidR="009E080B" w:rsidRPr="00B53AB5">
        <w:t xml:space="preserve">paragraphs </w:t>
      </w:r>
      <w:r w:rsidR="009E080B" w:rsidRPr="00B53AB5">
        <w:fldChar w:fldCharType="begin"/>
      </w:r>
      <w:r w:rsidR="009E080B" w:rsidRPr="00B53AB5">
        <w:instrText xml:space="preserve"> REF _Ref222652941 \r \h </w:instrText>
      </w:r>
      <w:r w:rsidR="00744F75" w:rsidRPr="00B53AB5">
        <w:instrText xml:space="preserve"> \* MERGEFORMAT </w:instrText>
      </w:r>
      <w:r w:rsidR="009E080B" w:rsidRPr="00B53AB5">
        <w:fldChar w:fldCharType="separate"/>
      </w:r>
      <w:r w:rsidR="00D23029">
        <w:t>6.15</w:t>
      </w:r>
      <w:r w:rsidR="009E080B" w:rsidRPr="00B53AB5">
        <w:fldChar w:fldCharType="end"/>
      </w:r>
      <w:r w:rsidR="009E080B" w:rsidRPr="00B53AB5">
        <w:t xml:space="preserve"> and </w:t>
      </w:r>
      <w:r w:rsidR="009E080B" w:rsidRPr="00B53AB5">
        <w:fldChar w:fldCharType="begin"/>
      </w:r>
      <w:r w:rsidR="009E080B" w:rsidRPr="00B53AB5">
        <w:instrText xml:space="preserve"> REF _Ref222652949 \r \h </w:instrText>
      </w:r>
      <w:r w:rsidR="00744F75" w:rsidRPr="00B53AB5">
        <w:instrText xml:space="preserve"> \* MERGEFORMAT </w:instrText>
      </w:r>
      <w:r w:rsidR="009E080B" w:rsidRPr="00B53AB5">
        <w:fldChar w:fldCharType="separate"/>
      </w:r>
      <w:r w:rsidR="00D23029">
        <w:t>6.16</w:t>
      </w:r>
      <w:r w:rsidR="009E080B" w:rsidRPr="00B53AB5">
        <w:fldChar w:fldCharType="end"/>
      </w:r>
      <w:r w:rsidR="000F5437" w:rsidRPr="00B53AB5">
        <w:t>, the PSCR</w:t>
      </w:r>
      <w:r w:rsidR="000F5437" w:rsidRPr="00744F75">
        <w:t xml:space="preserve"> provided additional </w:t>
      </w:r>
      <w:r w:rsidR="003E0E8D" w:rsidRPr="00744F75">
        <w:t>data</w:t>
      </w:r>
      <w:r w:rsidR="000F5437" w:rsidRPr="00744F75">
        <w:t xml:space="preserve"> related</w:t>
      </w:r>
      <w:r w:rsidR="003E0E8D" w:rsidRPr="00744F75">
        <w:t xml:space="preserve"> to post-progression use in the DeLLphi-304 trial</w:t>
      </w:r>
      <w:bookmarkEnd w:id="51"/>
      <w:r w:rsidR="00386465" w:rsidRPr="00744F75">
        <w:t xml:space="preserve"> </w:t>
      </w:r>
      <w:proofErr w:type="gramStart"/>
      <w:r w:rsidR="00386465" w:rsidRPr="00744F75">
        <w:t xml:space="preserve">and </w:t>
      </w:r>
      <w:r w:rsidR="008E6711" w:rsidRPr="00744F75">
        <w:t>also</w:t>
      </w:r>
      <w:proofErr w:type="gramEnd"/>
      <w:r w:rsidR="008E6711" w:rsidRPr="00744F75">
        <w:t xml:space="preserve"> </w:t>
      </w:r>
      <w:r w:rsidR="00FE3256" w:rsidRPr="00744F75">
        <w:t xml:space="preserve">provided the specific rules of the </w:t>
      </w:r>
      <w:r w:rsidR="00FE3256" w:rsidRPr="00744F75">
        <w:lastRenderedPageBreak/>
        <w:t>counterfactual adjustment</w:t>
      </w:r>
      <w:r w:rsidR="007B73A5" w:rsidRPr="00744F75">
        <w:t xml:space="preserve"> provided in the model</w:t>
      </w:r>
      <w:r w:rsidR="00B36A8E" w:rsidRPr="00744F75">
        <w:t>.</w:t>
      </w:r>
      <w:r w:rsidR="0045016C" w:rsidRPr="00744F75">
        <w:t xml:space="preserve"> Based on these data, the ESC considered that </w:t>
      </w:r>
      <w:r w:rsidR="0045175D" w:rsidRPr="00744F75">
        <w:t>t</w:t>
      </w:r>
      <w:r w:rsidR="0045016C" w:rsidRPr="00744F75">
        <w:t xml:space="preserve">here </w:t>
      </w:r>
      <w:r w:rsidR="0045175D" w:rsidRPr="00744F75">
        <w:t>was</w:t>
      </w:r>
      <w:r w:rsidR="0045016C" w:rsidRPr="00744F75">
        <w:t xml:space="preserve"> very limited visual evidence of a difference between the </w:t>
      </w:r>
      <w:r w:rsidR="003054CB" w:rsidRPr="00744F75">
        <w:t>OS</w:t>
      </w:r>
      <w:r w:rsidR="0045016C" w:rsidRPr="00744F75">
        <w:t xml:space="preserve"> analyses censored and uncensored for post-progression tarlatamab treatment.</w:t>
      </w:r>
      <w:r w:rsidR="00DB085C" w:rsidRPr="00744F75">
        <w:t xml:space="preserve"> The ESC considered that </w:t>
      </w:r>
      <w:r w:rsidR="00B55908" w:rsidRPr="00744F75">
        <w:rPr>
          <w:rFonts w:ascii="Calibri" w:hAnsi="Calibri" w:cs="Calibri"/>
        </w:rPr>
        <w:t>the</w:t>
      </w:r>
      <w:r w:rsidR="00DB085C" w:rsidRPr="00744F75">
        <w:rPr>
          <w:rFonts w:ascii="Calibri" w:hAnsi="Calibri" w:cs="Calibri"/>
        </w:rPr>
        <w:t xml:space="preserve"> broader statistical principle</w:t>
      </w:r>
      <w:r w:rsidR="00EF6B9A" w:rsidRPr="00744F75">
        <w:rPr>
          <w:rFonts w:ascii="Calibri" w:hAnsi="Calibri" w:cs="Calibri"/>
        </w:rPr>
        <w:t xml:space="preserve"> of </w:t>
      </w:r>
      <w:r w:rsidR="00DB085C" w:rsidRPr="00744F75">
        <w:rPr>
          <w:rFonts w:ascii="Calibri" w:hAnsi="Calibri" w:cs="Calibri"/>
        </w:rPr>
        <w:t xml:space="preserve">allowing each patient to maximally contribute to the </w:t>
      </w:r>
      <w:r w:rsidR="00EF6B9A" w:rsidRPr="00744F75">
        <w:rPr>
          <w:rFonts w:ascii="Calibri" w:hAnsi="Calibri" w:cs="Calibri"/>
        </w:rPr>
        <w:t xml:space="preserve">analysis would suggest that the base case should include the </w:t>
      </w:r>
      <w:r w:rsidR="00DB085C" w:rsidRPr="00744F75">
        <w:rPr>
          <w:rFonts w:ascii="Calibri" w:hAnsi="Calibri" w:cs="Calibri"/>
        </w:rPr>
        <w:t>adjustment</w:t>
      </w:r>
      <w:r w:rsidR="008F1339" w:rsidRPr="00744F75">
        <w:rPr>
          <w:rFonts w:ascii="Calibri" w:hAnsi="Calibri" w:cs="Calibri"/>
        </w:rPr>
        <w:t>, and that the adjustment appeared reasonable</w:t>
      </w:r>
      <w:r w:rsidR="00DB085C" w:rsidRPr="00744F75">
        <w:rPr>
          <w:rFonts w:ascii="Calibri" w:hAnsi="Calibri" w:cs="Calibri"/>
        </w:rPr>
        <w:t>.</w:t>
      </w:r>
    </w:p>
    <w:p w14:paraId="5D6EE263" w14:textId="0FD3F060" w:rsidR="00ED701F" w:rsidRPr="008C7B8B" w:rsidRDefault="00291887" w:rsidP="00E87BFA">
      <w:pPr>
        <w:pStyle w:val="COMESnumberedpara"/>
      </w:pPr>
      <w:r w:rsidRPr="008C7B8B">
        <w:t xml:space="preserve">In the base case, </w:t>
      </w:r>
      <w:r w:rsidR="004160AE" w:rsidRPr="008C7B8B">
        <w:t xml:space="preserve">TTD </w:t>
      </w:r>
      <w:r w:rsidR="00AE27E7" w:rsidRPr="008C7B8B">
        <w:t xml:space="preserve">in the </w:t>
      </w:r>
      <w:r w:rsidR="006473D1" w:rsidRPr="008C7B8B">
        <w:t>tarlatamab arm</w:t>
      </w:r>
      <w:r w:rsidRPr="008C7B8B">
        <w:t xml:space="preserve"> </w:t>
      </w:r>
      <w:r w:rsidR="00AE27E7" w:rsidRPr="008C7B8B">
        <w:t>was based on the</w:t>
      </w:r>
      <w:r w:rsidR="00693BFC" w:rsidRPr="008C7B8B">
        <w:t xml:space="preserve"> full trial data (including post-progression</w:t>
      </w:r>
      <w:r w:rsidR="00DA3A76" w:rsidRPr="008C7B8B">
        <w:t xml:space="preserve"> tarlatamab</w:t>
      </w:r>
      <w:r w:rsidR="00693BFC" w:rsidRPr="008C7B8B">
        <w:t xml:space="preserve"> treatment)</w:t>
      </w:r>
      <w:r w:rsidR="004160AE" w:rsidRPr="008C7B8B">
        <w:t xml:space="preserve">, </w:t>
      </w:r>
      <w:r w:rsidR="00351778" w:rsidRPr="008C7B8B">
        <w:t xml:space="preserve">capped </w:t>
      </w:r>
      <w:r w:rsidR="00795DBE" w:rsidRPr="008C7B8B">
        <w:t>at</w:t>
      </w:r>
      <w:r w:rsidR="00351778" w:rsidRPr="008C7B8B">
        <w:t xml:space="preserve"> PFS</w:t>
      </w:r>
      <w:r w:rsidR="00AE27E7" w:rsidRPr="008C7B8B">
        <w:t>. The submission stated that</w:t>
      </w:r>
      <w:r w:rsidR="00351778" w:rsidRPr="008C7B8B">
        <w:t xml:space="preserve"> the cap was applied </w:t>
      </w:r>
      <w:r w:rsidR="00AE27E7" w:rsidRPr="008C7B8B">
        <w:t xml:space="preserve">to align with the tarlatamab Product Information. </w:t>
      </w:r>
      <w:r w:rsidR="0076291D" w:rsidRPr="008C7B8B">
        <w:t xml:space="preserve">The economic model </w:t>
      </w:r>
      <w:r w:rsidR="00351778" w:rsidRPr="008C7B8B">
        <w:t xml:space="preserve">also </w:t>
      </w:r>
      <w:r w:rsidR="0076291D" w:rsidRPr="008C7B8B">
        <w:t>included</w:t>
      </w:r>
      <w:r w:rsidR="00351778" w:rsidRPr="008C7B8B">
        <w:t xml:space="preserve"> the option for </w:t>
      </w:r>
      <w:r w:rsidR="0076291D" w:rsidRPr="008C7B8B">
        <w:t xml:space="preserve">an ‘eventing adjustment’ to account for post-progression tarlatamab treatment, however, no details were provided on this adjustment. </w:t>
      </w:r>
      <w:r w:rsidR="00E87BFA" w:rsidRPr="00744F75">
        <w:t xml:space="preserve">The ESC </w:t>
      </w:r>
      <w:r w:rsidR="005D67E6" w:rsidRPr="00744F75">
        <w:t>noted</w:t>
      </w:r>
      <w:r w:rsidR="00E87BFA" w:rsidRPr="00744F75">
        <w:t xml:space="preserve"> that the approach to capping the tarlatamab </w:t>
      </w:r>
      <w:r w:rsidR="0084168A" w:rsidRPr="00744F75">
        <w:t>TTD</w:t>
      </w:r>
      <w:r w:rsidR="00E87BFA" w:rsidRPr="00744F75">
        <w:t xml:space="preserve"> curve to ensure </w:t>
      </w:r>
      <w:r w:rsidR="0084168A" w:rsidRPr="00744F75">
        <w:t xml:space="preserve">TTD </w:t>
      </w:r>
      <w:r w:rsidR="00E87BFA" w:rsidRPr="00744F75">
        <w:t xml:space="preserve">did not exceed </w:t>
      </w:r>
      <w:r w:rsidR="0084168A" w:rsidRPr="00744F75">
        <w:t>PFS</w:t>
      </w:r>
      <w:r w:rsidR="00E87BFA" w:rsidRPr="00744F75">
        <w:t>, based on a Markov-like approach rather than the standard approach used in partitioned survival analyses</w:t>
      </w:r>
      <w:r w:rsidR="001F74A5" w:rsidRPr="00744F75">
        <w:t xml:space="preserve"> likely</w:t>
      </w:r>
      <w:r w:rsidR="00E87BFA" w:rsidRPr="00744F75">
        <w:t xml:space="preserve"> resulted in a greater reduction in the </w:t>
      </w:r>
      <w:r w:rsidR="0084168A" w:rsidRPr="00744F75">
        <w:t>TTD</w:t>
      </w:r>
      <w:r w:rsidR="00E87BFA" w:rsidRPr="00744F75">
        <w:t xml:space="preserve"> curve.</w:t>
      </w:r>
    </w:p>
    <w:p w14:paraId="6F9C29E4" w14:textId="77777777" w:rsidR="009C2CB0" w:rsidRDefault="00082EC1" w:rsidP="009C2CB0">
      <w:pPr>
        <w:pStyle w:val="COMESnumberedpara"/>
      </w:pPr>
      <w:r w:rsidRPr="008C7B8B">
        <w:t>In the model base case, topotecan was used as a proxy for SOC chemotherapies, as the predominant therapy used in the SOC arm of the DeLLphi-304 trial, and a chemotherapy used for second-line and subsequent treatment of ES-SCLC in Australian clinical practice</w:t>
      </w:r>
      <w:r w:rsidR="00DA7B81" w:rsidRPr="008C7B8B">
        <w:t xml:space="preserve">. </w:t>
      </w:r>
      <w:r w:rsidR="005276F5" w:rsidRPr="008C7B8B">
        <w:t xml:space="preserve">Overall survival, progression-free survival, time to treatment discontinuation and the incidence of adverse events in the comparator arm of the model were </w:t>
      </w:r>
      <w:r w:rsidR="00DD5D58" w:rsidRPr="008C7B8B">
        <w:t xml:space="preserve">based on the post hoc subgroup of patients in the SOC arm who received topotecan. </w:t>
      </w:r>
      <w:r w:rsidR="009160EB" w:rsidRPr="008C7B8B">
        <w:t>The submission presented a scenario analysis</w:t>
      </w:r>
      <w:r w:rsidR="00FB6A2B" w:rsidRPr="008C7B8B">
        <w:t xml:space="preserve"> based on the intention to treat SOC arm of the DeLLphi-304 trial as the comparator </w:t>
      </w:r>
      <w:proofErr w:type="gramStart"/>
      <w:r w:rsidR="00FB6A2B" w:rsidRPr="008C7B8B">
        <w:t>arm</w:t>
      </w:r>
      <w:r w:rsidR="006051E2" w:rsidRPr="008C7B8B">
        <w:t>,</w:t>
      </w:r>
      <w:proofErr w:type="gramEnd"/>
      <w:r w:rsidR="006051E2" w:rsidRPr="008C7B8B">
        <w:t xml:space="preserve"> however the analysis used the time to treatment discontinuation curve for the topotecan subgroup</w:t>
      </w:r>
      <w:r w:rsidR="0032620C" w:rsidRPr="008C7B8B">
        <w:t>, which was not justified in the submission.</w:t>
      </w:r>
    </w:p>
    <w:p w14:paraId="436FA4A7" w14:textId="70A87614" w:rsidR="009C777E" w:rsidRPr="00744F75" w:rsidRDefault="009C777E" w:rsidP="009C777E">
      <w:pPr>
        <w:pStyle w:val="COMESnumberedpara"/>
      </w:pPr>
      <w:r w:rsidRPr="00744F75">
        <w:fldChar w:fldCharType="begin"/>
      </w:r>
      <w:r w:rsidRPr="00744F75">
        <w:instrText xml:space="preserve"> REF _Ref222748701 \h </w:instrText>
      </w:r>
      <w:r w:rsidR="00411D00" w:rsidRPr="00744F75">
        <w:instrText xml:space="preserve"> \* MERGEFORMAT </w:instrText>
      </w:r>
      <w:r w:rsidRPr="00744F75">
        <w:fldChar w:fldCharType="separate"/>
      </w:r>
      <w:r w:rsidR="00E26586" w:rsidRPr="00AE2135">
        <w:t xml:space="preserve">Figure </w:t>
      </w:r>
      <w:r w:rsidR="00E26586">
        <w:rPr>
          <w:noProof/>
        </w:rPr>
        <w:t>3</w:t>
      </w:r>
      <w:r w:rsidRPr="00744F75">
        <w:fldChar w:fldCharType="end"/>
      </w:r>
      <w:r w:rsidRPr="00744F75">
        <w:t xml:space="preserve"> illustrates the Kaplan-Meier curve and extrapolated parametric functions for overall survival based on the tarlatamab arm of the DeLLphi-304 trial.</w:t>
      </w:r>
      <w:r w:rsidR="00881647" w:rsidRPr="00744F75">
        <w:t xml:space="preserve"> </w:t>
      </w:r>
      <w:r w:rsidR="00E81C19" w:rsidRPr="00744F75">
        <w:fldChar w:fldCharType="begin"/>
      </w:r>
      <w:r w:rsidR="00E81C19" w:rsidRPr="00744F75">
        <w:instrText xml:space="preserve"> REF _Ref222750504 \h </w:instrText>
      </w:r>
      <w:r w:rsidR="00744F75">
        <w:instrText xml:space="preserve"> \* MERGEFORMAT </w:instrText>
      </w:r>
      <w:r w:rsidR="00E81C19" w:rsidRPr="00744F75">
        <w:fldChar w:fldCharType="separate"/>
      </w:r>
      <w:r w:rsidR="00E26586" w:rsidRPr="00AE2135">
        <w:t xml:space="preserve">Figure </w:t>
      </w:r>
      <w:r w:rsidR="00E26586">
        <w:rPr>
          <w:noProof/>
        </w:rPr>
        <w:t>4</w:t>
      </w:r>
      <w:r w:rsidR="00E81C19" w:rsidRPr="00744F75">
        <w:fldChar w:fldCharType="end"/>
      </w:r>
      <w:r w:rsidR="00E81C19" w:rsidRPr="00744F75">
        <w:t xml:space="preserve"> </w:t>
      </w:r>
      <w:r w:rsidR="00881647" w:rsidRPr="00744F75">
        <w:t>shows the selected base case</w:t>
      </w:r>
      <w:r w:rsidR="00082175" w:rsidRPr="00744F75">
        <w:t xml:space="preserve"> projections</w:t>
      </w:r>
      <w:r w:rsidR="00D22D85" w:rsidRPr="00744F75">
        <w:t xml:space="preserve"> </w:t>
      </w:r>
      <w:r w:rsidR="00E81C19" w:rsidRPr="00744F75">
        <w:t xml:space="preserve">for OS </w:t>
      </w:r>
      <w:r w:rsidR="00D22D85" w:rsidRPr="00744F75">
        <w:t>over the model time horizon</w:t>
      </w:r>
      <w:r w:rsidR="00082175" w:rsidRPr="00744F75">
        <w:t>.</w:t>
      </w:r>
    </w:p>
    <w:p w14:paraId="2D0C709D" w14:textId="26EDDE2B" w:rsidR="009C777E" w:rsidRPr="00AE2135" w:rsidRDefault="009C777E" w:rsidP="002B7F75">
      <w:pPr>
        <w:pStyle w:val="COMTableheadingrow"/>
        <w:spacing w:before="120"/>
      </w:pPr>
      <w:bookmarkStart w:id="52" w:name="_Ref222748701"/>
      <w:r w:rsidRPr="00AE2135">
        <w:lastRenderedPageBreak/>
        <w:t xml:space="preserve">Figure </w:t>
      </w:r>
      <w:r>
        <w:fldChar w:fldCharType="begin"/>
      </w:r>
      <w:r>
        <w:instrText>SEQ Figure \* ARABIC</w:instrText>
      </w:r>
      <w:r>
        <w:fldChar w:fldCharType="separate"/>
      </w:r>
      <w:r w:rsidR="00E26586">
        <w:rPr>
          <w:noProof/>
        </w:rPr>
        <w:t>3</w:t>
      </w:r>
      <w:r>
        <w:fldChar w:fldCharType="end"/>
      </w:r>
      <w:bookmarkEnd w:id="52"/>
      <w:r w:rsidRPr="00AE2135">
        <w:t>: Parametric extrapolations of overall survival for the tarlatamab arm of the DeLLphi-304 trial</w:t>
      </w:r>
    </w:p>
    <w:p w14:paraId="5148F79F" w14:textId="77777777" w:rsidR="009C777E" w:rsidRPr="00AE2135" w:rsidRDefault="009C777E" w:rsidP="009C777E">
      <w:pPr>
        <w:rPr>
          <w:color w:val="3366FF"/>
        </w:rPr>
      </w:pPr>
      <w:r w:rsidRPr="00AE2135">
        <w:rPr>
          <w:noProof/>
          <w:color w:val="3366FF"/>
        </w:rPr>
        <w:drawing>
          <wp:inline distT="0" distB="0" distL="0" distR="0" wp14:anchorId="12F3FBA5" wp14:editId="0C7B9516">
            <wp:extent cx="5100895" cy="3234519"/>
            <wp:effectExtent l="0" t="0" r="5080" b="4445"/>
            <wp:docPr id="213830627" name="Picture 1" descr="Figure 3: Parametric extrapolations of overall survival for the tarlatamab arm of the DeLLphi-304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627" name="Picture 1" descr="Figure 3: Parametric extrapolations of overall survival for the tarlatamab arm of the DeLLphi-304 tri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1025" cy="3247284"/>
                    </a:xfrm>
                    <a:prstGeom prst="rect">
                      <a:avLst/>
                    </a:prstGeom>
                    <a:noFill/>
                  </pic:spPr>
                </pic:pic>
              </a:graphicData>
            </a:graphic>
          </wp:inline>
        </w:drawing>
      </w:r>
    </w:p>
    <w:p w14:paraId="77507EA0" w14:textId="77777777" w:rsidR="009C777E" w:rsidRPr="00AE2135" w:rsidRDefault="009C777E" w:rsidP="009C777E">
      <w:pPr>
        <w:pStyle w:val="COMTablefooter"/>
      </w:pPr>
      <w:r w:rsidRPr="00AE2135">
        <w:t>Source: Figure 3.4.2-2, p89 of the submission; ‘Tarlatamab 2L CE Model v0.1’ model spreadsheet provided with the submission.</w:t>
      </w:r>
    </w:p>
    <w:p w14:paraId="21D5C30D" w14:textId="7388E9A3" w:rsidR="0035584F" w:rsidRPr="00AE2135" w:rsidRDefault="0035584F" w:rsidP="009C777E">
      <w:pPr>
        <w:pStyle w:val="COMTablefooter"/>
      </w:pPr>
      <w:r w:rsidRPr="00AE2135">
        <w:rPr>
          <w:szCs w:val="18"/>
        </w:rPr>
        <w:t xml:space="preserve">Note: </w:t>
      </w:r>
      <w:r w:rsidRPr="00AE2135">
        <w:rPr>
          <w:rStyle w:val="CommentReference"/>
          <w:sz w:val="18"/>
          <w:szCs w:val="18"/>
        </w:rPr>
        <w:t>The</w:t>
      </w:r>
      <w:r w:rsidRPr="00AE2135">
        <w:rPr>
          <w:szCs w:val="18"/>
        </w:rPr>
        <w:t xml:space="preserve"> </w:t>
      </w:r>
      <w:r w:rsidRPr="00AE2135">
        <w:rPr>
          <w:b/>
          <w:bCs/>
          <w:szCs w:val="18"/>
        </w:rPr>
        <w:t>exponential</w:t>
      </w:r>
      <w:r w:rsidRPr="00AE2135">
        <w:rPr>
          <w:szCs w:val="18"/>
        </w:rPr>
        <w:t xml:space="preserve"> and </w:t>
      </w:r>
      <w:r w:rsidRPr="00AE2135">
        <w:rPr>
          <w:b/>
          <w:bCs/>
          <w:szCs w:val="18"/>
        </w:rPr>
        <w:t>gamma</w:t>
      </w:r>
      <w:r w:rsidRPr="00AE2135">
        <w:t xml:space="preserve"> curves overlap with the </w:t>
      </w:r>
      <w:r w:rsidRPr="00AE2135">
        <w:rPr>
          <w:b/>
          <w:bCs/>
        </w:rPr>
        <w:t>Weibull</w:t>
      </w:r>
      <w:r w:rsidRPr="00AE2135">
        <w:t xml:space="preserve"> curve and are not visible in the above graph.</w:t>
      </w:r>
    </w:p>
    <w:p w14:paraId="0BC6FEA2" w14:textId="50676EAB" w:rsidR="00983CDF" w:rsidRPr="00AE2135" w:rsidRDefault="00983CDF" w:rsidP="00983CDF">
      <w:pPr>
        <w:pStyle w:val="COMTableheadingrow"/>
      </w:pPr>
      <w:bookmarkStart w:id="53" w:name="_Ref222750504"/>
      <w:bookmarkStart w:id="54" w:name="_Ref222721944"/>
      <w:r w:rsidRPr="00AE2135">
        <w:t xml:space="preserve">Figure </w:t>
      </w:r>
      <w:r>
        <w:fldChar w:fldCharType="begin"/>
      </w:r>
      <w:r>
        <w:instrText>SEQ Figure \* ARABIC</w:instrText>
      </w:r>
      <w:r>
        <w:fldChar w:fldCharType="separate"/>
      </w:r>
      <w:r w:rsidR="00E26586">
        <w:rPr>
          <w:noProof/>
        </w:rPr>
        <w:t>4</w:t>
      </w:r>
      <w:r>
        <w:fldChar w:fldCharType="end"/>
      </w:r>
      <w:bookmarkEnd w:id="53"/>
      <w:r w:rsidRPr="00AE2135">
        <w:t>: Overall survival projections in the</w:t>
      </w:r>
      <w:r w:rsidR="00D239D0" w:rsidRPr="00AE2135">
        <w:t xml:space="preserve"> base case of the</w:t>
      </w:r>
      <w:r w:rsidRPr="00AE2135">
        <w:t xml:space="preserve"> economic model</w:t>
      </w:r>
    </w:p>
    <w:p w14:paraId="1FB5B1A9" w14:textId="2C884D56" w:rsidR="00BB44D4" w:rsidRPr="00AE2135" w:rsidRDefault="00881647" w:rsidP="00BB44D4">
      <w:pPr>
        <w:pStyle w:val="COMTabletext"/>
      </w:pPr>
      <w:r w:rsidRPr="00AE2135">
        <w:rPr>
          <w:noProof/>
        </w:rPr>
        <w:drawing>
          <wp:inline distT="0" distB="0" distL="0" distR="0" wp14:anchorId="53E832E8" wp14:editId="5CFDD443">
            <wp:extent cx="4937527" cy="3038864"/>
            <wp:effectExtent l="0" t="0" r="0" b="9525"/>
            <wp:docPr id="1901369468" name="Picture 3" descr="Figure 4: Overall survival projections in the base case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69468" name="Picture 3" descr="Figure 4: Overall survival projections in the base case of the economic mod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1923" cy="3041569"/>
                    </a:xfrm>
                    <a:prstGeom prst="rect">
                      <a:avLst/>
                    </a:prstGeom>
                    <a:noFill/>
                  </pic:spPr>
                </pic:pic>
              </a:graphicData>
            </a:graphic>
          </wp:inline>
        </w:drawing>
      </w:r>
    </w:p>
    <w:p w14:paraId="4B27D7D0" w14:textId="5924D35E" w:rsidR="00983CDF" w:rsidRPr="00AE2135" w:rsidRDefault="00BB44D4" w:rsidP="00BB44D4">
      <w:pPr>
        <w:pStyle w:val="COMTablefooter"/>
      </w:pPr>
      <w:r w:rsidRPr="00AE2135">
        <w:t>Source: ‘Tarlatamab 2L CE Model v0.1’ model spreadsheet provided with the submission</w:t>
      </w:r>
    </w:p>
    <w:p w14:paraId="5BD0E83D" w14:textId="35FE05B9" w:rsidR="00044563" w:rsidRPr="00744F75" w:rsidRDefault="00276B3B" w:rsidP="009F20EA">
      <w:pPr>
        <w:pStyle w:val="COMESnumberedpara"/>
      </w:pPr>
      <w:bookmarkStart w:id="55" w:name="_Ref222757087"/>
      <w:r w:rsidRPr="00744F75">
        <w:t>T</w:t>
      </w:r>
      <w:r w:rsidR="00D44DD7" w:rsidRPr="00744F75">
        <w:t>he best fitting function for the</w:t>
      </w:r>
      <w:r w:rsidRPr="00744F75">
        <w:t xml:space="preserve"> extrapolation of </w:t>
      </w:r>
      <w:r w:rsidR="00EE687B" w:rsidRPr="00744F75">
        <w:t>OS</w:t>
      </w:r>
      <w:r w:rsidRPr="00744F75">
        <w:t xml:space="preserve"> in</w:t>
      </w:r>
      <w:r w:rsidR="00D44DD7" w:rsidRPr="00744F75">
        <w:t xml:space="preserve"> </w:t>
      </w:r>
      <w:r w:rsidR="00C37774" w:rsidRPr="00744F75">
        <w:t xml:space="preserve">the </w:t>
      </w:r>
      <w:r w:rsidR="00D44DD7" w:rsidRPr="00744F75">
        <w:t xml:space="preserve">tarlatamab arm was the exponential function. However, the submission stated that the loglogistic function was selected </w:t>
      </w:r>
      <w:r w:rsidR="0051443B" w:rsidRPr="00744F75">
        <w:t>for the</w:t>
      </w:r>
      <w:r w:rsidR="00D44DD7" w:rsidRPr="00744F75">
        <w:t xml:space="preserve"> base case based on visual inspection versus the Kaplan-Meier </w:t>
      </w:r>
      <w:r w:rsidR="00492B8C" w:rsidRPr="00744F75">
        <w:t>OS</w:t>
      </w:r>
      <w:r w:rsidR="00D44DD7" w:rsidRPr="00744F75">
        <w:t xml:space="preserve"> curve from the DeLLphi-301 study in third-line therapy (October 2024 data cut). The </w:t>
      </w:r>
      <w:r w:rsidR="00D44DD7" w:rsidRPr="00744F75">
        <w:lastRenderedPageBreak/>
        <w:t>submission stated that the Kaplan-Meier curve from the DeLLphi-301 study was used as a benchmark of long-term survival, based on the assumption that second-line outcomes would be no worse than those in third-line therapy.</w:t>
      </w:r>
      <w:r w:rsidR="00C37774" w:rsidRPr="00744F75">
        <w:t xml:space="preserve"> </w:t>
      </w:r>
      <w:r w:rsidR="00D44DD7" w:rsidRPr="00744F75">
        <w:t xml:space="preserve">Results from the October 2024 data cut of the DeLLphi-301 study were not provided with the submission. </w:t>
      </w:r>
      <w:r w:rsidR="00A51662" w:rsidRPr="00744F75">
        <w:t>The evaluation considered that c</w:t>
      </w:r>
      <w:r w:rsidR="00D44DD7" w:rsidRPr="00744F75">
        <w:t>omparison of the tarlatamab survival curves from the DeLLphi-301 study and DeLLphi-304 trial, conducted in different lines of therapy may not be informative, due to inherent survivorship bias associated with patients who were fit enough to initiate a third-line therapy in the DeLLphi-301 study.</w:t>
      </w:r>
      <w:r w:rsidR="00980B4A" w:rsidRPr="00744F75">
        <w:t xml:space="preserve"> </w:t>
      </w:r>
      <w:r w:rsidR="0028599A" w:rsidRPr="00744F75">
        <w:t xml:space="preserve">The PSCR </w:t>
      </w:r>
      <w:r w:rsidR="006D0E94" w:rsidRPr="00744F75">
        <w:t xml:space="preserve">maintained that the most appropriate extrapolation for tarlatamab OS was </w:t>
      </w:r>
      <w:r w:rsidR="00B45D82" w:rsidRPr="00744F75">
        <w:t>the loglogistic function.</w:t>
      </w:r>
      <w:r w:rsidR="00235375" w:rsidRPr="00744F75">
        <w:t xml:space="preserve"> The PSCR noted that a review of baseline characteristics suggest</w:t>
      </w:r>
      <w:r w:rsidR="002C467B" w:rsidRPr="00744F75">
        <w:t>ed</w:t>
      </w:r>
      <w:r w:rsidR="00235375" w:rsidRPr="00744F75">
        <w:t xml:space="preserve"> that the 3L+ population in DeLLphi-301 is not demonstrably fitter or with better survival risk than the 2L+ population in DeLLphi-304 and therefore is useful to inform extrapolation.</w:t>
      </w:r>
      <w:r w:rsidR="009F20EA" w:rsidRPr="00744F75">
        <w:t xml:space="preserve"> The PSCR also noted that the</w:t>
      </w:r>
      <w:r w:rsidR="00235375" w:rsidRPr="00744F75">
        <w:t xml:space="preserve"> latest survival data for tarlatamab</w:t>
      </w:r>
      <w:r w:rsidR="00D9226E" w:rsidRPr="00744F75">
        <w:t xml:space="preserve">, </w:t>
      </w:r>
      <w:r w:rsidR="00235375" w:rsidRPr="00744F75">
        <w:t>Data snapshot date: 04JUN2025; Data cutoff date: 29APR2025 (DeLLphi-304 median [95% CI] follow up; 13.8 [13.2, 14.7] months) shows hazards of death begin to decrease and flatten slightly which supports a log-based model</w:t>
      </w:r>
      <w:r w:rsidR="009F20EA" w:rsidRPr="00744F75">
        <w:t>.</w:t>
      </w:r>
      <w:r w:rsidR="00960AAF" w:rsidRPr="00744F75">
        <w:t xml:space="preserve"> The PSCR stated that </w:t>
      </w:r>
      <w:r w:rsidR="00960AAF" w:rsidRPr="00744F75">
        <w:rPr>
          <w:lang w:eastAsia="zh-CN"/>
        </w:rPr>
        <w:t>the use of log-based models is also supported by clinical evidence in immunotherapies, such as checkpoint inhibitors</w:t>
      </w:r>
      <w:r w:rsidR="00960AAF" w:rsidRPr="00744F75">
        <w:rPr>
          <w:rStyle w:val="FootnoteReference"/>
          <w:rFonts w:cstheme="minorHAnsi"/>
          <w:lang w:eastAsia="zh-CN"/>
        </w:rPr>
        <w:footnoteReference w:id="2"/>
      </w:r>
      <w:r w:rsidR="00960AAF" w:rsidRPr="00744F75">
        <w:rPr>
          <w:lang w:eastAsia="zh-CN"/>
        </w:rPr>
        <w:t>, which suggests there may be a subset of patients with long-term response, therefore outcomes may be best reflected by models with decreasing long-term hazar</w:t>
      </w:r>
      <w:r w:rsidR="000F7CDB" w:rsidRPr="00744F75">
        <w:rPr>
          <w:lang w:eastAsia="zh-CN"/>
        </w:rPr>
        <w:t>ds</w:t>
      </w:r>
      <w:r w:rsidR="00960AAF" w:rsidRPr="00744F75">
        <w:rPr>
          <w:bCs/>
          <w:lang w:val="en-US"/>
        </w:rPr>
        <w:t>.</w:t>
      </w:r>
      <w:bookmarkEnd w:id="54"/>
      <w:bookmarkEnd w:id="55"/>
    </w:p>
    <w:p w14:paraId="1A8B2F59" w14:textId="57BEE2E6" w:rsidR="000B0B4A" w:rsidRPr="00744F75" w:rsidRDefault="000B0B4A" w:rsidP="000B0B4A">
      <w:pPr>
        <w:pStyle w:val="COMESnumberedpara"/>
      </w:pPr>
      <w:bookmarkStart w:id="56" w:name="_Ref222721946"/>
      <w:r w:rsidRPr="00744F75">
        <w:t>This ESC noted the goodness-of-fit statistics (Akaike information criterion [AIC], Bayesian information criterion [BIC]) for the parametric functions and the percentages of patients alive at 2.5, 5, 7.5 and 10 years</w:t>
      </w:r>
      <w:r w:rsidR="00C4199C" w:rsidRPr="00744F75">
        <w:t xml:space="preserve"> in the economic model</w:t>
      </w:r>
      <w:r w:rsidR="00A01C5B" w:rsidRPr="00744F75">
        <w:t xml:space="preserve"> based on each </w:t>
      </w:r>
      <w:r w:rsidR="00C03286" w:rsidRPr="00744F75">
        <w:t xml:space="preserve">parametric </w:t>
      </w:r>
      <w:r w:rsidR="00A01C5B" w:rsidRPr="00744F75">
        <w:t>function</w:t>
      </w:r>
      <w:r w:rsidR="00AB5FC5" w:rsidRPr="00744F75">
        <w:t xml:space="preserve"> (</w:t>
      </w:r>
      <w:r w:rsidR="00AB5FC5" w:rsidRPr="00744F75">
        <w:fldChar w:fldCharType="begin"/>
      </w:r>
      <w:r w:rsidR="00AB5FC5" w:rsidRPr="00744F75">
        <w:instrText xml:space="preserve"> REF _Ref222666821 \h </w:instrText>
      </w:r>
      <w:r w:rsidR="00744F75">
        <w:instrText xml:space="preserve"> \* MERGEFORMAT </w:instrText>
      </w:r>
      <w:r w:rsidR="00AB5FC5" w:rsidRPr="00744F75">
        <w:fldChar w:fldCharType="separate"/>
      </w:r>
      <w:r w:rsidR="00E26586" w:rsidRPr="00AE2135">
        <w:t xml:space="preserve">Table </w:t>
      </w:r>
      <w:r w:rsidR="00E26586">
        <w:rPr>
          <w:noProof/>
        </w:rPr>
        <w:t>9</w:t>
      </w:r>
      <w:r w:rsidR="00AB5FC5" w:rsidRPr="00744F75">
        <w:fldChar w:fldCharType="end"/>
      </w:r>
      <w:r w:rsidR="00B622B5" w:rsidRPr="00744F75">
        <w:t xml:space="preserve"> </w:t>
      </w:r>
      <w:proofErr w:type="gramStart"/>
      <w:r w:rsidR="00B622B5" w:rsidRPr="00744F75">
        <w:t>and also</w:t>
      </w:r>
      <w:proofErr w:type="gramEnd"/>
      <w:r w:rsidR="00B622B5" w:rsidRPr="00744F75">
        <w:t xml:space="preserve"> shown in</w:t>
      </w:r>
      <w:r w:rsidR="008F24E2" w:rsidRPr="00744F75">
        <w:t xml:space="preserve"> </w:t>
      </w:r>
      <w:r w:rsidR="00B622B5" w:rsidRPr="00744F75">
        <w:fldChar w:fldCharType="begin"/>
      </w:r>
      <w:r w:rsidR="00B622B5" w:rsidRPr="00744F75">
        <w:instrText xml:space="preserve"> REF _Ref222748701 \h  \* MERGEFORMAT </w:instrText>
      </w:r>
      <w:r w:rsidR="00B622B5" w:rsidRPr="00744F75">
        <w:fldChar w:fldCharType="separate"/>
      </w:r>
      <w:r w:rsidR="00E26586" w:rsidRPr="00AE2135">
        <w:t xml:space="preserve">Figure </w:t>
      </w:r>
      <w:r w:rsidR="00E26586">
        <w:rPr>
          <w:noProof/>
        </w:rPr>
        <w:t>3</w:t>
      </w:r>
      <w:r w:rsidR="00B622B5" w:rsidRPr="00744F75">
        <w:fldChar w:fldCharType="end"/>
      </w:r>
      <w:r w:rsidR="00F702F6" w:rsidRPr="00744F75">
        <w:t xml:space="preserve"> and</w:t>
      </w:r>
      <w:r w:rsidR="00E36493" w:rsidRPr="00744F75">
        <w:t xml:space="preserve"> </w:t>
      </w:r>
      <w:r w:rsidR="00E36493" w:rsidRPr="00744F75">
        <w:fldChar w:fldCharType="begin"/>
      </w:r>
      <w:r w:rsidR="00E36493" w:rsidRPr="00744F75">
        <w:instrText xml:space="preserve"> REF _Ref222750504 \h </w:instrText>
      </w:r>
      <w:r w:rsidR="00744F75">
        <w:instrText xml:space="preserve"> \* MERGEFORMAT </w:instrText>
      </w:r>
      <w:r w:rsidR="00E36493" w:rsidRPr="00744F75">
        <w:fldChar w:fldCharType="separate"/>
      </w:r>
      <w:r w:rsidR="00E26586" w:rsidRPr="00AE2135">
        <w:t xml:space="preserve">Figure </w:t>
      </w:r>
      <w:r w:rsidR="00E26586">
        <w:rPr>
          <w:noProof/>
        </w:rPr>
        <w:t>4</w:t>
      </w:r>
      <w:r w:rsidR="00E36493" w:rsidRPr="00744F75">
        <w:fldChar w:fldCharType="end"/>
      </w:r>
      <w:r w:rsidR="00AB5FC5" w:rsidRPr="00744F75">
        <w:t>)</w:t>
      </w:r>
      <w:r w:rsidR="00873DAB" w:rsidRPr="00744F75">
        <w:t xml:space="preserve">. The ESC </w:t>
      </w:r>
      <w:r w:rsidR="001B4CA9" w:rsidRPr="00744F75">
        <w:t>considered that</w:t>
      </w:r>
      <w:r w:rsidR="00C37F66" w:rsidRPr="00744F75">
        <w:t xml:space="preserve"> the loglogistic projections were overly optimisti</w:t>
      </w:r>
      <w:r w:rsidR="003732CD" w:rsidRPr="00744F75">
        <w:t>c</w:t>
      </w:r>
      <w:r w:rsidR="00873DAB" w:rsidRPr="00744F75">
        <w:t xml:space="preserve">, </w:t>
      </w:r>
      <w:r w:rsidR="00E81C19" w:rsidRPr="00744F75">
        <w:t xml:space="preserve">particularly </w:t>
      </w:r>
      <w:r w:rsidR="00DD47C3" w:rsidRPr="00744F75">
        <w:t>given</w:t>
      </w:r>
      <w:r w:rsidR="00873DAB" w:rsidRPr="00744F75">
        <w:t xml:space="preserve"> that the OS curves </w:t>
      </w:r>
      <w:r w:rsidR="00472F28" w:rsidRPr="00744F75">
        <w:t xml:space="preserve">of the two arms </w:t>
      </w:r>
      <w:r w:rsidR="00DD47C3" w:rsidRPr="00744F75">
        <w:t>did</w:t>
      </w:r>
      <w:r w:rsidR="00873DAB" w:rsidRPr="00744F75">
        <w:t xml:space="preserve"> not converge</w:t>
      </w:r>
      <w:r w:rsidR="0007794B" w:rsidRPr="00744F75">
        <w:t xml:space="preserve"> over the 10 year time horizon</w:t>
      </w:r>
      <w:r w:rsidR="00E81C19" w:rsidRPr="00744F75">
        <w:t xml:space="preserve"> (</w:t>
      </w:r>
      <w:r w:rsidR="00E36493" w:rsidRPr="00744F75">
        <w:fldChar w:fldCharType="begin"/>
      </w:r>
      <w:r w:rsidR="00E36493" w:rsidRPr="00744F75">
        <w:instrText xml:space="preserve"> REF _Ref222750504 \h </w:instrText>
      </w:r>
      <w:r w:rsidR="00744F75">
        <w:instrText xml:space="preserve"> \* MERGEFORMAT </w:instrText>
      </w:r>
      <w:r w:rsidR="00E36493" w:rsidRPr="00744F75">
        <w:fldChar w:fldCharType="separate"/>
      </w:r>
      <w:r w:rsidR="00E26586" w:rsidRPr="00AE2135">
        <w:t xml:space="preserve">Figure </w:t>
      </w:r>
      <w:r w:rsidR="00E26586">
        <w:rPr>
          <w:noProof/>
        </w:rPr>
        <w:t>4</w:t>
      </w:r>
      <w:r w:rsidR="00E36493" w:rsidRPr="00744F75">
        <w:fldChar w:fldCharType="end"/>
      </w:r>
      <w:r w:rsidR="00E81C19" w:rsidRPr="00744F75">
        <w:t>)</w:t>
      </w:r>
      <w:r w:rsidR="00B266B2" w:rsidRPr="00744F75">
        <w:t xml:space="preserve">. The ESC considered </w:t>
      </w:r>
      <w:r w:rsidR="00C37F66" w:rsidRPr="00744F75">
        <w:t>that</w:t>
      </w:r>
      <w:r w:rsidR="001B4CA9" w:rsidRPr="00744F75">
        <w:t xml:space="preserve"> it was more appropriate for the</w:t>
      </w:r>
      <w:r w:rsidR="00110776" w:rsidRPr="00744F75">
        <w:t xml:space="preserve"> </w:t>
      </w:r>
      <w:r w:rsidR="00305BB1" w:rsidRPr="00744F75">
        <w:t>best fitting curve for tarlatamab OS (</w:t>
      </w:r>
      <w:r w:rsidR="0068592C" w:rsidRPr="00744F75">
        <w:t>exponential)</w:t>
      </w:r>
      <w:r w:rsidR="00305BB1" w:rsidRPr="00744F75">
        <w:t xml:space="preserve"> to be applied to the base case analysi</w:t>
      </w:r>
      <w:r w:rsidR="00BD16D5">
        <w:t>s and noted that this</w:t>
      </w:r>
      <w:bookmarkEnd w:id="56"/>
      <w:r w:rsidR="0070316A" w:rsidRPr="0070316A">
        <w:t xml:space="preserve"> increased the incremental cost-effectiveness ratio (ICER) by </w:t>
      </w:r>
      <w:r w:rsidR="003D0BC2" w:rsidRPr="003D0BC2">
        <w:rPr>
          <w:sz w:val="2"/>
          <w:highlight w:val="black"/>
        </w:rPr>
        <w:t>redacted content</w:t>
      </w:r>
      <w:r w:rsidR="0070316A" w:rsidRPr="0070316A">
        <w:t>%.</w:t>
      </w:r>
      <w:r w:rsidR="00960CD7">
        <w:t xml:space="preserve"> The Pre-PBAC Response </w:t>
      </w:r>
      <w:r w:rsidR="00BF7E1D">
        <w:t>maintained</w:t>
      </w:r>
      <w:r w:rsidR="00E327FF">
        <w:t xml:space="preserve"> that </w:t>
      </w:r>
      <w:r w:rsidR="006C35CD">
        <w:t xml:space="preserve">a </w:t>
      </w:r>
      <w:r w:rsidR="00171BDB" w:rsidRPr="005B585F">
        <w:rPr>
          <w:rFonts w:ascii="Calibri" w:hAnsi="Calibri" w:cs="Calibri"/>
        </w:rPr>
        <w:t xml:space="preserve">log-based model </w:t>
      </w:r>
      <w:r w:rsidR="00171BDB">
        <w:rPr>
          <w:rFonts w:ascii="Calibri" w:hAnsi="Calibri" w:cs="Calibri"/>
        </w:rPr>
        <w:t>would</w:t>
      </w:r>
      <w:r w:rsidR="00171BDB" w:rsidRPr="005B585F">
        <w:rPr>
          <w:rFonts w:ascii="Calibri" w:hAnsi="Calibri" w:cs="Calibri"/>
        </w:rPr>
        <w:t xml:space="preserve"> more appropriately capture the expected survival trajectory</w:t>
      </w:r>
      <w:r w:rsidR="003D34DF">
        <w:rPr>
          <w:rFonts w:ascii="Calibri" w:hAnsi="Calibri" w:cs="Calibri"/>
        </w:rPr>
        <w:t xml:space="preserve"> o</w:t>
      </w:r>
      <w:r w:rsidR="00110EE0">
        <w:rPr>
          <w:rFonts w:ascii="Calibri" w:hAnsi="Calibri" w:cs="Calibri"/>
        </w:rPr>
        <w:t>f</w:t>
      </w:r>
      <w:r w:rsidR="003D34DF">
        <w:rPr>
          <w:rFonts w:ascii="Calibri" w:hAnsi="Calibri" w:cs="Calibri"/>
        </w:rPr>
        <w:t xml:space="preserve"> tarlatamab patients</w:t>
      </w:r>
      <w:r w:rsidR="00832B02">
        <w:rPr>
          <w:rFonts w:ascii="Calibri" w:hAnsi="Calibri" w:cs="Calibri"/>
        </w:rPr>
        <w:t>. The Response</w:t>
      </w:r>
      <w:r w:rsidR="003D34DF">
        <w:rPr>
          <w:rFonts w:ascii="Calibri" w:hAnsi="Calibri" w:cs="Calibri"/>
        </w:rPr>
        <w:t xml:space="preserve"> </w:t>
      </w:r>
      <w:r w:rsidR="002B3F8A">
        <w:rPr>
          <w:rFonts w:ascii="Calibri" w:hAnsi="Calibri" w:cs="Calibri"/>
        </w:rPr>
        <w:t>reiterat</w:t>
      </w:r>
      <w:r w:rsidR="00832B02">
        <w:rPr>
          <w:rFonts w:ascii="Calibri" w:hAnsi="Calibri" w:cs="Calibri"/>
        </w:rPr>
        <w:t>ed</w:t>
      </w:r>
      <w:r w:rsidR="002B3F8A">
        <w:rPr>
          <w:rFonts w:ascii="Calibri" w:hAnsi="Calibri" w:cs="Calibri"/>
        </w:rPr>
        <w:t xml:space="preserve"> that the</w:t>
      </w:r>
      <w:r w:rsidR="002919BC">
        <w:rPr>
          <w:rFonts w:ascii="Calibri" w:hAnsi="Calibri" w:cs="Calibri"/>
        </w:rPr>
        <w:t xml:space="preserve"> </w:t>
      </w:r>
      <w:r w:rsidR="00267C05" w:rsidRPr="005B585F">
        <w:rPr>
          <w:rFonts w:ascii="Calibri" w:hAnsi="Calibri" w:cs="Calibri"/>
        </w:rPr>
        <w:t xml:space="preserve">hazard of death </w:t>
      </w:r>
      <w:r w:rsidR="00267C05">
        <w:rPr>
          <w:rFonts w:ascii="Calibri" w:hAnsi="Calibri" w:cs="Calibri"/>
        </w:rPr>
        <w:t xml:space="preserve">for tarlatamab is not constant over time with evidence of hazard </w:t>
      </w:r>
      <w:r w:rsidR="00267C05" w:rsidRPr="004363E1">
        <w:rPr>
          <w:rFonts w:ascii="Calibri" w:hAnsi="Calibri" w:cs="Calibri"/>
        </w:rPr>
        <w:t>deceleration</w:t>
      </w:r>
      <w:r w:rsidR="00204562" w:rsidRPr="004363E1">
        <w:rPr>
          <w:rFonts w:ascii="Calibri" w:hAnsi="Calibri" w:cs="Calibri"/>
        </w:rPr>
        <w:t xml:space="preserve">. </w:t>
      </w:r>
      <w:r w:rsidR="00161092" w:rsidRPr="004363E1">
        <w:rPr>
          <w:rFonts w:ascii="Calibri" w:hAnsi="Calibri" w:cs="Calibri"/>
        </w:rPr>
        <w:t>The Response stated that a</w:t>
      </w:r>
      <w:r w:rsidR="00204562" w:rsidRPr="004363E1">
        <w:rPr>
          <w:rFonts w:ascii="Calibri" w:hAnsi="Calibri" w:cs="Calibri"/>
        </w:rPr>
        <w:t>s the exponential model assumes a constant hazard</w:t>
      </w:r>
      <w:r w:rsidR="00592AAC">
        <w:rPr>
          <w:rFonts w:ascii="Calibri" w:hAnsi="Calibri" w:cs="Calibri"/>
        </w:rPr>
        <w:t xml:space="preserve"> and </w:t>
      </w:r>
      <w:r w:rsidR="00204562" w:rsidRPr="004363E1">
        <w:rPr>
          <w:rFonts w:ascii="Calibri" w:hAnsi="Calibri" w:cs="Calibri"/>
        </w:rPr>
        <w:t xml:space="preserve">this </w:t>
      </w:r>
      <w:r w:rsidR="00204562" w:rsidRPr="00592AAC">
        <w:rPr>
          <w:rFonts w:ascii="Calibri" w:hAnsi="Calibri" w:cs="Calibri"/>
        </w:rPr>
        <w:t xml:space="preserve">structural assumption is not consistent with the observed DeLLphi-304 hazard dynamics and imposes a restrictive structural constraint which underestimates </w:t>
      </w:r>
      <w:r w:rsidR="00204562" w:rsidRPr="00592AAC">
        <w:rPr>
          <w:rFonts w:ascii="Calibri" w:hAnsi="Calibri" w:cs="Calibri"/>
        </w:rPr>
        <w:lastRenderedPageBreak/>
        <w:t>long-term survival</w:t>
      </w:r>
      <w:r w:rsidR="00161092">
        <w:rPr>
          <w:rFonts w:ascii="Calibri" w:hAnsi="Calibri" w:cs="Calibri"/>
        </w:rPr>
        <w:t xml:space="preserve">. The Response also stated that </w:t>
      </w:r>
      <w:r w:rsidR="004363E1">
        <w:rPr>
          <w:rFonts w:ascii="Calibri" w:hAnsi="Calibri" w:cs="Calibri"/>
        </w:rPr>
        <w:t xml:space="preserve">within </w:t>
      </w:r>
      <w:r w:rsidR="004363E1" w:rsidRPr="00592AAC">
        <w:rPr>
          <w:rFonts w:ascii="Calibri" w:hAnsi="Calibri" w:cs="Calibri"/>
        </w:rPr>
        <w:t>the observed trial period, the KM curves showed sustained separation with no evidence of convergence.</w:t>
      </w:r>
    </w:p>
    <w:p w14:paraId="68A41936" w14:textId="00A466A9" w:rsidR="000B0B4A" w:rsidRPr="00AE2135" w:rsidRDefault="000B0B4A" w:rsidP="000A206E">
      <w:pPr>
        <w:pStyle w:val="COMTableheadingrow"/>
        <w:spacing w:before="120"/>
      </w:pPr>
      <w:bookmarkStart w:id="57" w:name="_Ref222666821"/>
      <w:r w:rsidRPr="00AE2135">
        <w:t xml:space="preserve">Table </w:t>
      </w:r>
      <w:r>
        <w:fldChar w:fldCharType="begin"/>
      </w:r>
      <w:r>
        <w:instrText>SEQ Table \* ARABIC</w:instrText>
      </w:r>
      <w:r>
        <w:fldChar w:fldCharType="separate"/>
      </w:r>
      <w:r w:rsidR="00E26586">
        <w:rPr>
          <w:noProof/>
        </w:rPr>
        <w:t>9</w:t>
      </w:r>
      <w:r>
        <w:fldChar w:fldCharType="end"/>
      </w:r>
      <w:bookmarkEnd w:id="57"/>
      <w:r w:rsidRPr="00AE2135">
        <w:t xml:space="preserve">: AIC/BIC statistics and estimated </w:t>
      </w:r>
      <w:r w:rsidR="00D3462A">
        <w:t>percentages</w:t>
      </w:r>
      <w:r w:rsidR="00D3462A" w:rsidRPr="00AE2135">
        <w:t xml:space="preserve"> </w:t>
      </w:r>
      <w:r w:rsidRPr="00AE2135">
        <w:t>of patients alive at 2.5, 5, 7.5 and 10 years for different parametric functions (DeLLphi-304 tarlatamab arm)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AIC/BIC statistics and estimated percentages of patients alive at 2.5, 5, 7.5 and 10 years for different parametric functions (DeLLphi-304 tarlatamab arm)"/>
      </w:tblPr>
      <w:tblGrid>
        <w:gridCol w:w="1160"/>
        <w:gridCol w:w="1151"/>
        <w:gridCol w:w="1118"/>
        <w:gridCol w:w="1118"/>
        <w:gridCol w:w="1118"/>
        <w:gridCol w:w="1118"/>
        <w:gridCol w:w="1118"/>
        <w:gridCol w:w="1116"/>
      </w:tblGrid>
      <w:tr w:rsidR="000B0B4A" w:rsidRPr="00AE2135" w14:paraId="685EB715" w14:textId="77777777" w:rsidTr="000B0B4A">
        <w:tc>
          <w:tcPr>
            <w:tcW w:w="643" w:type="pct"/>
            <w:noWrap/>
            <w:vAlign w:val="bottom"/>
            <w:hideMark/>
          </w:tcPr>
          <w:p w14:paraId="7A680913" w14:textId="77777777" w:rsidR="000B0B4A" w:rsidRPr="00AE2135" w:rsidRDefault="000B0B4A">
            <w:pPr>
              <w:pStyle w:val="COMTabletext"/>
            </w:pPr>
          </w:p>
        </w:tc>
        <w:tc>
          <w:tcPr>
            <w:tcW w:w="638" w:type="pct"/>
            <w:noWrap/>
            <w:vAlign w:val="center"/>
            <w:hideMark/>
          </w:tcPr>
          <w:p w14:paraId="043123A7" w14:textId="77777777" w:rsidR="000B0B4A" w:rsidRPr="00AE2135" w:rsidRDefault="000B0B4A">
            <w:pPr>
              <w:pStyle w:val="COMTabletext"/>
              <w:jc w:val="center"/>
              <w:rPr>
                <w:b/>
                <w:color w:val="000000"/>
              </w:rPr>
            </w:pPr>
            <w:r w:rsidRPr="00AE2135">
              <w:rPr>
                <w:b/>
                <w:color w:val="000000"/>
              </w:rPr>
              <w:t>Exponential</w:t>
            </w:r>
          </w:p>
        </w:tc>
        <w:tc>
          <w:tcPr>
            <w:tcW w:w="620" w:type="pct"/>
            <w:noWrap/>
            <w:vAlign w:val="center"/>
            <w:hideMark/>
          </w:tcPr>
          <w:p w14:paraId="6C3179FC" w14:textId="77777777" w:rsidR="000B0B4A" w:rsidRPr="00AE2135" w:rsidRDefault="000B0B4A">
            <w:pPr>
              <w:pStyle w:val="COMTabletext"/>
              <w:jc w:val="center"/>
              <w:rPr>
                <w:b/>
                <w:color w:val="000000"/>
              </w:rPr>
            </w:pPr>
            <w:r w:rsidRPr="00AE2135">
              <w:rPr>
                <w:b/>
                <w:color w:val="000000"/>
              </w:rPr>
              <w:t>Gamma</w:t>
            </w:r>
          </w:p>
        </w:tc>
        <w:tc>
          <w:tcPr>
            <w:tcW w:w="620" w:type="pct"/>
            <w:noWrap/>
            <w:vAlign w:val="center"/>
            <w:hideMark/>
          </w:tcPr>
          <w:p w14:paraId="41219ADA" w14:textId="77777777" w:rsidR="000B0B4A" w:rsidRPr="00AE2135" w:rsidRDefault="000B0B4A">
            <w:pPr>
              <w:pStyle w:val="COMTabletext"/>
              <w:jc w:val="center"/>
              <w:rPr>
                <w:b/>
                <w:color w:val="000000"/>
              </w:rPr>
            </w:pPr>
            <w:r w:rsidRPr="00AE2135">
              <w:rPr>
                <w:b/>
                <w:color w:val="000000"/>
              </w:rPr>
              <w:t>Gen. Gamma</w:t>
            </w:r>
          </w:p>
        </w:tc>
        <w:tc>
          <w:tcPr>
            <w:tcW w:w="620" w:type="pct"/>
            <w:noWrap/>
            <w:vAlign w:val="center"/>
            <w:hideMark/>
          </w:tcPr>
          <w:p w14:paraId="413E8306" w14:textId="77777777" w:rsidR="000B0B4A" w:rsidRPr="00AE2135" w:rsidRDefault="000B0B4A">
            <w:pPr>
              <w:pStyle w:val="COMTabletext"/>
              <w:jc w:val="center"/>
              <w:rPr>
                <w:b/>
                <w:color w:val="000000"/>
              </w:rPr>
            </w:pPr>
            <w:r w:rsidRPr="00AE2135">
              <w:rPr>
                <w:b/>
                <w:color w:val="000000"/>
              </w:rPr>
              <w:t>Gompertz</w:t>
            </w:r>
          </w:p>
        </w:tc>
        <w:tc>
          <w:tcPr>
            <w:tcW w:w="620" w:type="pct"/>
            <w:noWrap/>
            <w:vAlign w:val="center"/>
            <w:hideMark/>
          </w:tcPr>
          <w:p w14:paraId="16355141" w14:textId="77777777" w:rsidR="000B0B4A" w:rsidRPr="00AE2135" w:rsidRDefault="000B0B4A">
            <w:pPr>
              <w:pStyle w:val="COMTabletext"/>
              <w:jc w:val="center"/>
              <w:rPr>
                <w:b/>
                <w:color w:val="000000"/>
              </w:rPr>
            </w:pPr>
            <w:r w:rsidRPr="00AE2135">
              <w:rPr>
                <w:b/>
                <w:color w:val="000000"/>
              </w:rPr>
              <w:t>Loglogistic</w:t>
            </w:r>
          </w:p>
        </w:tc>
        <w:tc>
          <w:tcPr>
            <w:tcW w:w="620" w:type="pct"/>
            <w:noWrap/>
            <w:vAlign w:val="center"/>
            <w:hideMark/>
          </w:tcPr>
          <w:p w14:paraId="167AD673" w14:textId="77777777" w:rsidR="000B0B4A" w:rsidRPr="00AE2135" w:rsidRDefault="000B0B4A">
            <w:pPr>
              <w:pStyle w:val="COMTabletext"/>
              <w:jc w:val="center"/>
              <w:rPr>
                <w:b/>
                <w:color w:val="000000"/>
              </w:rPr>
            </w:pPr>
            <w:r w:rsidRPr="00AE2135">
              <w:rPr>
                <w:b/>
                <w:color w:val="000000"/>
              </w:rPr>
              <w:t>Lognormal</w:t>
            </w:r>
          </w:p>
        </w:tc>
        <w:tc>
          <w:tcPr>
            <w:tcW w:w="620" w:type="pct"/>
            <w:noWrap/>
            <w:vAlign w:val="center"/>
            <w:hideMark/>
          </w:tcPr>
          <w:p w14:paraId="0181B739" w14:textId="77777777" w:rsidR="000B0B4A" w:rsidRPr="00AE2135" w:rsidRDefault="000B0B4A">
            <w:pPr>
              <w:pStyle w:val="COMTabletext"/>
              <w:jc w:val="center"/>
              <w:rPr>
                <w:b/>
                <w:color w:val="000000"/>
              </w:rPr>
            </w:pPr>
            <w:r w:rsidRPr="00AE2135">
              <w:rPr>
                <w:b/>
                <w:color w:val="000000"/>
              </w:rPr>
              <w:t>Weibull</w:t>
            </w:r>
          </w:p>
        </w:tc>
      </w:tr>
      <w:tr w:rsidR="000B0B4A" w:rsidRPr="00AE2135" w14:paraId="3C491C4D" w14:textId="77777777" w:rsidTr="000B0B4A">
        <w:tc>
          <w:tcPr>
            <w:tcW w:w="5000" w:type="pct"/>
            <w:gridSpan w:val="8"/>
            <w:noWrap/>
            <w:vAlign w:val="bottom"/>
            <w:hideMark/>
          </w:tcPr>
          <w:p w14:paraId="14A2955F" w14:textId="77777777" w:rsidR="000B0B4A" w:rsidRPr="00AE2135" w:rsidRDefault="000B0B4A">
            <w:pPr>
              <w:pStyle w:val="COMTabletext"/>
            </w:pPr>
            <w:r w:rsidRPr="00AE2135">
              <w:rPr>
                <w:b/>
                <w:smallCaps/>
                <w:color w:val="000000"/>
              </w:rPr>
              <w:t>Tarlatamab</w:t>
            </w:r>
          </w:p>
        </w:tc>
      </w:tr>
      <w:tr w:rsidR="000B0B4A" w:rsidRPr="00AE2135" w14:paraId="7772C433" w14:textId="77777777" w:rsidTr="000B0B4A">
        <w:tc>
          <w:tcPr>
            <w:tcW w:w="643" w:type="pct"/>
            <w:noWrap/>
            <w:vAlign w:val="bottom"/>
            <w:hideMark/>
          </w:tcPr>
          <w:p w14:paraId="5BCF980D" w14:textId="77777777" w:rsidR="000B0B4A" w:rsidRPr="00AE2135" w:rsidRDefault="000B0B4A">
            <w:pPr>
              <w:pStyle w:val="COMTabletext"/>
              <w:rPr>
                <w:color w:val="000000"/>
              </w:rPr>
            </w:pPr>
            <w:r w:rsidRPr="00AE2135">
              <w:rPr>
                <w:color w:val="000000"/>
              </w:rPr>
              <w:t>AIC</w:t>
            </w:r>
          </w:p>
        </w:tc>
        <w:tc>
          <w:tcPr>
            <w:tcW w:w="638" w:type="pct"/>
            <w:noWrap/>
            <w:vAlign w:val="center"/>
            <w:hideMark/>
          </w:tcPr>
          <w:p w14:paraId="46092202" w14:textId="77777777" w:rsidR="000B0B4A" w:rsidRPr="00AE2135" w:rsidRDefault="000B0B4A">
            <w:pPr>
              <w:pStyle w:val="COMTabletext"/>
              <w:jc w:val="center"/>
              <w:rPr>
                <w:color w:val="000000"/>
              </w:rPr>
            </w:pPr>
            <w:r w:rsidRPr="00AE2135">
              <w:rPr>
                <w:color w:val="000000"/>
              </w:rPr>
              <w:t>1,024.6</w:t>
            </w:r>
          </w:p>
        </w:tc>
        <w:tc>
          <w:tcPr>
            <w:tcW w:w="620" w:type="pct"/>
            <w:noWrap/>
            <w:vAlign w:val="center"/>
            <w:hideMark/>
          </w:tcPr>
          <w:p w14:paraId="676A8728" w14:textId="77777777" w:rsidR="000B0B4A" w:rsidRPr="00AE2135" w:rsidRDefault="000B0B4A">
            <w:pPr>
              <w:pStyle w:val="COMTabletext"/>
              <w:jc w:val="center"/>
              <w:rPr>
                <w:color w:val="000000"/>
              </w:rPr>
            </w:pPr>
            <w:r w:rsidRPr="00AE2135">
              <w:rPr>
                <w:color w:val="000000"/>
              </w:rPr>
              <w:t>1,026.6</w:t>
            </w:r>
          </w:p>
        </w:tc>
        <w:tc>
          <w:tcPr>
            <w:tcW w:w="620" w:type="pct"/>
            <w:noWrap/>
            <w:vAlign w:val="center"/>
            <w:hideMark/>
          </w:tcPr>
          <w:p w14:paraId="7CD000F7" w14:textId="77777777" w:rsidR="000B0B4A" w:rsidRPr="00AE2135" w:rsidRDefault="000B0B4A">
            <w:pPr>
              <w:pStyle w:val="COMTabletext"/>
              <w:jc w:val="center"/>
              <w:rPr>
                <w:color w:val="000000"/>
              </w:rPr>
            </w:pPr>
            <w:r w:rsidRPr="00AE2135">
              <w:rPr>
                <w:color w:val="000000"/>
              </w:rPr>
              <w:t>1,028.3</w:t>
            </w:r>
          </w:p>
        </w:tc>
        <w:tc>
          <w:tcPr>
            <w:tcW w:w="620" w:type="pct"/>
            <w:noWrap/>
            <w:vAlign w:val="center"/>
            <w:hideMark/>
          </w:tcPr>
          <w:p w14:paraId="52C1F219" w14:textId="77777777" w:rsidR="000B0B4A" w:rsidRPr="00AE2135" w:rsidRDefault="000B0B4A">
            <w:pPr>
              <w:pStyle w:val="COMTabletext"/>
              <w:jc w:val="center"/>
              <w:rPr>
                <w:color w:val="000000"/>
              </w:rPr>
            </w:pPr>
            <w:r w:rsidRPr="00AE2135">
              <w:rPr>
                <w:color w:val="000000"/>
              </w:rPr>
              <w:t>1,026.5</w:t>
            </w:r>
          </w:p>
        </w:tc>
        <w:tc>
          <w:tcPr>
            <w:tcW w:w="620" w:type="pct"/>
            <w:noWrap/>
            <w:vAlign w:val="center"/>
            <w:hideMark/>
          </w:tcPr>
          <w:p w14:paraId="75719859" w14:textId="77777777" w:rsidR="000B0B4A" w:rsidRPr="00AE2135" w:rsidRDefault="000B0B4A">
            <w:pPr>
              <w:pStyle w:val="COMTabletext"/>
              <w:jc w:val="center"/>
              <w:rPr>
                <w:color w:val="000000"/>
              </w:rPr>
            </w:pPr>
            <w:r w:rsidRPr="00AE2135">
              <w:rPr>
                <w:color w:val="000000"/>
              </w:rPr>
              <w:t>1,029.6</w:t>
            </w:r>
          </w:p>
        </w:tc>
        <w:tc>
          <w:tcPr>
            <w:tcW w:w="620" w:type="pct"/>
            <w:noWrap/>
            <w:vAlign w:val="center"/>
            <w:hideMark/>
          </w:tcPr>
          <w:p w14:paraId="21EE846C" w14:textId="77777777" w:rsidR="000B0B4A" w:rsidRPr="00AE2135" w:rsidRDefault="000B0B4A">
            <w:pPr>
              <w:pStyle w:val="COMTabletext"/>
              <w:jc w:val="center"/>
              <w:rPr>
                <w:color w:val="000000"/>
              </w:rPr>
            </w:pPr>
            <w:r w:rsidRPr="00AE2135">
              <w:rPr>
                <w:color w:val="000000"/>
              </w:rPr>
              <w:t>1,035.0</w:t>
            </w:r>
          </w:p>
        </w:tc>
        <w:tc>
          <w:tcPr>
            <w:tcW w:w="620" w:type="pct"/>
            <w:noWrap/>
            <w:vAlign w:val="center"/>
            <w:hideMark/>
          </w:tcPr>
          <w:p w14:paraId="565AE0E6" w14:textId="77777777" w:rsidR="000B0B4A" w:rsidRPr="00AE2135" w:rsidRDefault="000B0B4A">
            <w:pPr>
              <w:pStyle w:val="COMTabletext"/>
              <w:jc w:val="center"/>
              <w:rPr>
                <w:color w:val="000000"/>
              </w:rPr>
            </w:pPr>
            <w:r w:rsidRPr="00AE2135">
              <w:rPr>
                <w:color w:val="000000"/>
              </w:rPr>
              <w:t>1,026.6</w:t>
            </w:r>
          </w:p>
        </w:tc>
      </w:tr>
      <w:tr w:rsidR="000B0B4A" w:rsidRPr="00AE2135" w14:paraId="3CBBEA9D" w14:textId="77777777" w:rsidTr="000B0B4A">
        <w:tc>
          <w:tcPr>
            <w:tcW w:w="643" w:type="pct"/>
            <w:noWrap/>
            <w:vAlign w:val="bottom"/>
            <w:hideMark/>
          </w:tcPr>
          <w:p w14:paraId="08DDC0E8" w14:textId="77777777" w:rsidR="000B0B4A" w:rsidRPr="00AE2135" w:rsidRDefault="000B0B4A">
            <w:pPr>
              <w:pStyle w:val="COMTabletext"/>
              <w:rPr>
                <w:color w:val="000000"/>
              </w:rPr>
            </w:pPr>
            <w:r w:rsidRPr="00AE2135">
              <w:rPr>
                <w:color w:val="000000"/>
              </w:rPr>
              <w:t>BIC</w:t>
            </w:r>
          </w:p>
        </w:tc>
        <w:tc>
          <w:tcPr>
            <w:tcW w:w="638" w:type="pct"/>
            <w:noWrap/>
            <w:vAlign w:val="center"/>
            <w:hideMark/>
          </w:tcPr>
          <w:p w14:paraId="3E3E38CE" w14:textId="77777777" w:rsidR="000B0B4A" w:rsidRPr="00AE2135" w:rsidRDefault="000B0B4A">
            <w:pPr>
              <w:pStyle w:val="COMTabletext"/>
              <w:jc w:val="center"/>
              <w:rPr>
                <w:color w:val="000000"/>
              </w:rPr>
            </w:pPr>
            <w:r w:rsidRPr="00AE2135">
              <w:rPr>
                <w:color w:val="000000"/>
              </w:rPr>
              <w:t>1,028.2</w:t>
            </w:r>
          </w:p>
        </w:tc>
        <w:tc>
          <w:tcPr>
            <w:tcW w:w="620" w:type="pct"/>
            <w:noWrap/>
            <w:vAlign w:val="center"/>
            <w:hideMark/>
          </w:tcPr>
          <w:p w14:paraId="74161D56" w14:textId="77777777" w:rsidR="000B0B4A" w:rsidRPr="00AE2135" w:rsidRDefault="000B0B4A">
            <w:pPr>
              <w:pStyle w:val="COMTabletext"/>
              <w:jc w:val="center"/>
              <w:rPr>
                <w:color w:val="000000"/>
              </w:rPr>
            </w:pPr>
            <w:r w:rsidRPr="00AE2135">
              <w:rPr>
                <w:color w:val="000000"/>
              </w:rPr>
              <w:t>1,033.7</w:t>
            </w:r>
          </w:p>
        </w:tc>
        <w:tc>
          <w:tcPr>
            <w:tcW w:w="620" w:type="pct"/>
            <w:noWrap/>
            <w:vAlign w:val="center"/>
            <w:hideMark/>
          </w:tcPr>
          <w:p w14:paraId="0F7058AB" w14:textId="77777777" w:rsidR="000B0B4A" w:rsidRPr="00AE2135" w:rsidRDefault="000B0B4A">
            <w:pPr>
              <w:pStyle w:val="COMTabletext"/>
              <w:jc w:val="center"/>
              <w:rPr>
                <w:color w:val="000000"/>
              </w:rPr>
            </w:pPr>
            <w:r w:rsidRPr="00AE2135">
              <w:rPr>
                <w:color w:val="000000"/>
              </w:rPr>
              <w:t>1,038.9</w:t>
            </w:r>
          </w:p>
        </w:tc>
        <w:tc>
          <w:tcPr>
            <w:tcW w:w="620" w:type="pct"/>
            <w:noWrap/>
            <w:vAlign w:val="center"/>
            <w:hideMark/>
          </w:tcPr>
          <w:p w14:paraId="6406454D" w14:textId="77777777" w:rsidR="000B0B4A" w:rsidRPr="00AE2135" w:rsidRDefault="000B0B4A">
            <w:pPr>
              <w:pStyle w:val="COMTabletext"/>
              <w:jc w:val="center"/>
              <w:rPr>
                <w:color w:val="000000"/>
              </w:rPr>
            </w:pPr>
            <w:r w:rsidRPr="00AE2135">
              <w:rPr>
                <w:color w:val="000000"/>
              </w:rPr>
              <w:t>1,033.5</w:t>
            </w:r>
          </w:p>
        </w:tc>
        <w:tc>
          <w:tcPr>
            <w:tcW w:w="620" w:type="pct"/>
            <w:noWrap/>
            <w:vAlign w:val="center"/>
            <w:hideMark/>
          </w:tcPr>
          <w:p w14:paraId="5F9D891E" w14:textId="77777777" w:rsidR="000B0B4A" w:rsidRPr="00AE2135" w:rsidRDefault="000B0B4A">
            <w:pPr>
              <w:pStyle w:val="COMTabletext"/>
              <w:jc w:val="center"/>
              <w:rPr>
                <w:color w:val="000000"/>
              </w:rPr>
            </w:pPr>
            <w:r w:rsidRPr="00AE2135">
              <w:rPr>
                <w:color w:val="000000"/>
              </w:rPr>
              <w:t>1,036.6</w:t>
            </w:r>
          </w:p>
        </w:tc>
        <w:tc>
          <w:tcPr>
            <w:tcW w:w="620" w:type="pct"/>
            <w:noWrap/>
            <w:vAlign w:val="center"/>
            <w:hideMark/>
          </w:tcPr>
          <w:p w14:paraId="39A21E30" w14:textId="77777777" w:rsidR="000B0B4A" w:rsidRPr="00AE2135" w:rsidRDefault="000B0B4A">
            <w:pPr>
              <w:pStyle w:val="COMTabletext"/>
              <w:jc w:val="center"/>
              <w:rPr>
                <w:color w:val="000000"/>
              </w:rPr>
            </w:pPr>
            <w:r w:rsidRPr="00AE2135">
              <w:rPr>
                <w:color w:val="000000"/>
              </w:rPr>
              <w:t>1,042.1</w:t>
            </w:r>
          </w:p>
        </w:tc>
        <w:tc>
          <w:tcPr>
            <w:tcW w:w="620" w:type="pct"/>
            <w:noWrap/>
            <w:vAlign w:val="center"/>
            <w:hideMark/>
          </w:tcPr>
          <w:p w14:paraId="1B6CEC8F" w14:textId="77777777" w:rsidR="000B0B4A" w:rsidRPr="00AE2135" w:rsidRDefault="000B0B4A">
            <w:pPr>
              <w:pStyle w:val="COMTabletext"/>
              <w:jc w:val="center"/>
              <w:rPr>
                <w:color w:val="000000"/>
              </w:rPr>
            </w:pPr>
            <w:r w:rsidRPr="00AE2135">
              <w:rPr>
                <w:color w:val="000000"/>
              </w:rPr>
              <w:t>1,033.7</w:t>
            </w:r>
          </w:p>
        </w:tc>
      </w:tr>
      <w:tr w:rsidR="000B0B4A" w:rsidRPr="00AE2135" w14:paraId="5D8AAD36" w14:textId="77777777" w:rsidTr="000B0B4A">
        <w:tc>
          <w:tcPr>
            <w:tcW w:w="5000" w:type="pct"/>
            <w:gridSpan w:val="8"/>
            <w:noWrap/>
            <w:vAlign w:val="center"/>
            <w:hideMark/>
          </w:tcPr>
          <w:p w14:paraId="10245983" w14:textId="72680DE4" w:rsidR="000B0B4A" w:rsidRPr="00AE2135" w:rsidRDefault="00D3462A">
            <w:pPr>
              <w:pStyle w:val="COMTabletext"/>
            </w:pPr>
            <w:r w:rsidRPr="00AE2135">
              <w:rPr>
                <w:b/>
                <w:bCs w:val="0"/>
                <w:color w:val="000000"/>
              </w:rPr>
              <w:t>P</w:t>
            </w:r>
            <w:r>
              <w:rPr>
                <w:b/>
                <w:bCs w:val="0"/>
                <w:color w:val="000000"/>
              </w:rPr>
              <w:t>ercentage</w:t>
            </w:r>
            <w:r w:rsidRPr="00AE2135">
              <w:rPr>
                <w:b/>
                <w:bCs w:val="0"/>
                <w:color w:val="000000"/>
              </w:rPr>
              <w:t xml:space="preserve"> </w:t>
            </w:r>
            <w:r w:rsidR="000B0B4A" w:rsidRPr="00AE2135">
              <w:rPr>
                <w:b/>
                <w:bCs w:val="0"/>
                <w:color w:val="000000"/>
              </w:rPr>
              <w:t>alive</w:t>
            </w:r>
          </w:p>
        </w:tc>
      </w:tr>
      <w:tr w:rsidR="000B0B4A" w:rsidRPr="00AE2135" w14:paraId="3FC357BA" w14:textId="77777777" w:rsidTr="000B0B4A">
        <w:tc>
          <w:tcPr>
            <w:tcW w:w="643" w:type="pct"/>
            <w:noWrap/>
            <w:vAlign w:val="bottom"/>
            <w:hideMark/>
          </w:tcPr>
          <w:p w14:paraId="2C23DA6B" w14:textId="77777777" w:rsidR="000B0B4A" w:rsidRPr="00AE2135" w:rsidRDefault="000B0B4A">
            <w:pPr>
              <w:pStyle w:val="COMTabletext"/>
              <w:rPr>
                <w:color w:val="000000"/>
              </w:rPr>
            </w:pPr>
            <w:r w:rsidRPr="00AE2135">
              <w:rPr>
                <w:color w:val="000000"/>
              </w:rPr>
              <w:t>2.5 years</w:t>
            </w:r>
          </w:p>
        </w:tc>
        <w:tc>
          <w:tcPr>
            <w:tcW w:w="638" w:type="pct"/>
            <w:noWrap/>
            <w:vAlign w:val="center"/>
            <w:hideMark/>
          </w:tcPr>
          <w:p w14:paraId="767F00A0" w14:textId="77777777" w:rsidR="000B0B4A" w:rsidRPr="00AE2135" w:rsidRDefault="000B0B4A">
            <w:pPr>
              <w:pStyle w:val="COMTabletext"/>
              <w:jc w:val="center"/>
              <w:rPr>
                <w:color w:val="000000"/>
              </w:rPr>
            </w:pPr>
            <w:r w:rsidRPr="00AE2135">
              <w:rPr>
                <w:color w:val="000000"/>
              </w:rPr>
              <w:t>23.5%</w:t>
            </w:r>
          </w:p>
        </w:tc>
        <w:tc>
          <w:tcPr>
            <w:tcW w:w="620" w:type="pct"/>
            <w:noWrap/>
            <w:vAlign w:val="center"/>
            <w:hideMark/>
          </w:tcPr>
          <w:p w14:paraId="0147FE74" w14:textId="77777777" w:rsidR="000B0B4A" w:rsidRPr="00AE2135" w:rsidRDefault="000B0B4A">
            <w:pPr>
              <w:pStyle w:val="COMTabletext"/>
              <w:jc w:val="center"/>
              <w:rPr>
                <w:color w:val="000000"/>
              </w:rPr>
            </w:pPr>
            <w:r w:rsidRPr="00AE2135">
              <w:rPr>
                <w:color w:val="000000"/>
              </w:rPr>
              <w:t>23.4%</w:t>
            </w:r>
          </w:p>
        </w:tc>
        <w:tc>
          <w:tcPr>
            <w:tcW w:w="620" w:type="pct"/>
            <w:noWrap/>
            <w:vAlign w:val="center"/>
            <w:hideMark/>
          </w:tcPr>
          <w:p w14:paraId="41F95339" w14:textId="77777777" w:rsidR="000B0B4A" w:rsidRPr="00AE2135" w:rsidRDefault="000B0B4A">
            <w:pPr>
              <w:pStyle w:val="COMTabletext"/>
              <w:jc w:val="center"/>
              <w:rPr>
                <w:color w:val="000000"/>
              </w:rPr>
            </w:pPr>
            <w:r w:rsidRPr="00AE2135">
              <w:rPr>
                <w:color w:val="000000"/>
              </w:rPr>
              <w:t>19.8%</w:t>
            </w:r>
          </w:p>
        </w:tc>
        <w:tc>
          <w:tcPr>
            <w:tcW w:w="620" w:type="pct"/>
            <w:noWrap/>
            <w:vAlign w:val="center"/>
            <w:hideMark/>
          </w:tcPr>
          <w:p w14:paraId="14FA9C8F" w14:textId="77777777" w:rsidR="000B0B4A" w:rsidRPr="00AE2135" w:rsidRDefault="000B0B4A">
            <w:pPr>
              <w:pStyle w:val="COMTabletext"/>
              <w:jc w:val="center"/>
              <w:rPr>
                <w:color w:val="000000"/>
              </w:rPr>
            </w:pPr>
            <w:r w:rsidRPr="00AE2135">
              <w:rPr>
                <w:color w:val="000000"/>
              </w:rPr>
              <w:t>21.2%</w:t>
            </w:r>
          </w:p>
        </w:tc>
        <w:tc>
          <w:tcPr>
            <w:tcW w:w="620" w:type="pct"/>
            <w:noWrap/>
            <w:vAlign w:val="center"/>
            <w:hideMark/>
          </w:tcPr>
          <w:p w14:paraId="6D54D9A3" w14:textId="77777777" w:rsidR="000B0B4A" w:rsidRPr="00AE2135" w:rsidRDefault="000B0B4A">
            <w:pPr>
              <w:pStyle w:val="COMTabletext"/>
              <w:jc w:val="center"/>
              <w:rPr>
                <w:color w:val="000000"/>
              </w:rPr>
            </w:pPr>
            <w:r w:rsidRPr="00AE2135">
              <w:rPr>
                <w:color w:val="000000"/>
              </w:rPr>
              <w:t>30.5%</w:t>
            </w:r>
          </w:p>
        </w:tc>
        <w:tc>
          <w:tcPr>
            <w:tcW w:w="620" w:type="pct"/>
            <w:noWrap/>
            <w:vAlign w:val="center"/>
            <w:hideMark/>
          </w:tcPr>
          <w:p w14:paraId="6B2E2B30" w14:textId="77777777" w:rsidR="000B0B4A" w:rsidRPr="00AE2135" w:rsidRDefault="000B0B4A">
            <w:pPr>
              <w:pStyle w:val="COMTabletext"/>
              <w:jc w:val="center"/>
              <w:rPr>
                <w:color w:val="000000"/>
              </w:rPr>
            </w:pPr>
            <w:r w:rsidRPr="00AE2135">
              <w:rPr>
                <w:color w:val="000000"/>
              </w:rPr>
              <w:t>33.6%</w:t>
            </w:r>
          </w:p>
        </w:tc>
        <w:tc>
          <w:tcPr>
            <w:tcW w:w="620" w:type="pct"/>
            <w:noWrap/>
            <w:vAlign w:val="center"/>
            <w:hideMark/>
          </w:tcPr>
          <w:p w14:paraId="653BBCB5" w14:textId="77777777" w:rsidR="000B0B4A" w:rsidRPr="00AE2135" w:rsidRDefault="000B0B4A">
            <w:pPr>
              <w:pStyle w:val="COMTabletext"/>
              <w:jc w:val="center"/>
              <w:rPr>
                <w:color w:val="000000"/>
              </w:rPr>
            </w:pPr>
            <w:r w:rsidRPr="00AE2135">
              <w:rPr>
                <w:color w:val="000000"/>
              </w:rPr>
              <w:t>23.3%</w:t>
            </w:r>
          </w:p>
        </w:tc>
      </w:tr>
      <w:tr w:rsidR="000B0B4A" w:rsidRPr="00AE2135" w14:paraId="2F18DB05" w14:textId="77777777" w:rsidTr="000B0B4A">
        <w:tc>
          <w:tcPr>
            <w:tcW w:w="643" w:type="pct"/>
            <w:noWrap/>
            <w:vAlign w:val="bottom"/>
            <w:hideMark/>
          </w:tcPr>
          <w:p w14:paraId="44094A98" w14:textId="77777777" w:rsidR="000B0B4A" w:rsidRPr="00AE2135" w:rsidRDefault="000B0B4A">
            <w:pPr>
              <w:pStyle w:val="COMTabletext"/>
              <w:rPr>
                <w:color w:val="000000"/>
              </w:rPr>
            </w:pPr>
            <w:r w:rsidRPr="00AE2135">
              <w:rPr>
                <w:color w:val="000000"/>
              </w:rPr>
              <w:t>5 years</w:t>
            </w:r>
          </w:p>
        </w:tc>
        <w:tc>
          <w:tcPr>
            <w:tcW w:w="638" w:type="pct"/>
            <w:noWrap/>
            <w:vAlign w:val="center"/>
            <w:hideMark/>
          </w:tcPr>
          <w:p w14:paraId="337F82C2" w14:textId="77777777" w:rsidR="000B0B4A" w:rsidRPr="00AE2135" w:rsidRDefault="000B0B4A">
            <w:pPr>
              <w:pStyle w:val="COMTabletext"/>
              <w:jc w:val="center"/>
              <w:rPr>
                <w:color w:val="000000"/>
              </w:rPr>
            </w:pPr>
            <w:r w:rsidRPr="00AE2135">
              <w:rPr>
                <w:color w:val="000000"/>
              </w:rPr>
              <w:t>5.5%</w:t>
            </w:r>
          </w:p>
        </w:tc>
        <w:tc>
          <w:tcPr>
            <w:tcW w:w="620" w:type="pct"/>
            <w:noWrap/>
            <w:vAlign w:val="center"/>
            <w:hideMark/>
          </w:tcPr>
          <w:p w14:paraId="3DC828A4" w14:textId="77777777" w:rsidR="000B0B4A" w:rsidRPr="00AE2135" w:rsidRDefault="000B0B4A">
            <w:pPr>
              <w:pStyle w:val="COMTabletext"/>
              <w:jc w:val="center"/>
              <w:rPr>
                <w:color w:val="000000"/>
              </w:rPr>
            </w:pPr>
            <w:r w:rsidRPr="00AE2135">
              <w:rPr>
                <w:color w:val="000000"/>
              </w:rPr>
              <w:t>5.5%</w:t>
            </w:r>
          </w:p>
        </w:tc>
        <w:tc>
          <w:tcPr>
            <w:tcW w:w="620" w:type="pct"/>
            <w:noWrap/>
            <w:vAlign w:val="center"/>
            <w:hideMark/>
          </w:tcPr>
          <w:p w14:paraId="42CBDF17" w14:textId="77777777" w:rsidR="000B0B4A" w:rsidRPr="00AE2135" w:rsidRDefault="000B0B4A">
            <w:pPr>
              <w:pStyle w:val="COMTabletext"/>
              <w:jc w:val="center"/>
              <w:rPr>
                <w:color w:val="000000"/>
              </w:rPr>
            </w:pPr>
            <w:r w:rsidRPr="00AE2135">
              <w:rPr>
                <w:color w:val="000000"/>
              </w:rPr>
              <w:t>2.0%</w:t>
            </w:r>
          </w:p>
        </w:tc>
        <w:tc>
          <w:tcPr>
            <w:tcW w:w="620" w:type="pct"/>
            <w:noWrap/>
            <w:vAlign w:val="center"/>
            <w:hideMark/>
          </w:tcPr>
          <w:p w14:paraId="223A4216" w14:textId="77777777" w:rsidR="000B0B4A" w:rsidRPr="00AE2135" w:rsidRDefault="000B0B4A">
            <w:pPr>
              <w:pStyle w:val="COMTabletext"/>
              <w:jc w:val="center"/>
              <w:rPr>
                <w:color w:val="000000"/>
              </w:rPr>
            </w:pPr>
            <w:r w:rsidRPr="00AE2135">
              <w:rPr>
                <w:color w:val="000000"/>
              </w:rPr>
              <w:t>3.0%</w:t>
            </w:r>
          </w:p>
        </w:tc>
        <w:tc>
          <w:tcPr>
            <w:tcW w:w="620" w:type="pct"/>
            <w:noWrap/>
            <w:vAlign w:val="center"/>
            <w:hideMark/>
          </w:tcPr>
          <w:p w14:paraId="3005F978" w14:textId="77777777" w:rsidR="000B0B4A" w:rsidRPr="00AE2135" w:rsidRDefault="000B0B4A">
            <w:pPr>
              <w:pStyle w:val="COMTabletext"/>
              <w:jc w:val="center"/>
              <w:rPr>
                <w:color w:val="000000"/>
              </w:rPr>
            </w:pPr>
            <w:r w:rsidRPr="00AE2135">
              <w:rPr>
                <w:color w:val="000000"/>
              </w:rPr>
              <w:t>16.4%</w:t>
            </w:r>
          </w:p>
        </w:tc>
        <w:tc>
          <w:tcPr>
            <w:tcW w:w="620" w:type="pct"/>
            <w:noWrap/>
            <w:vAlign w:val="center"/>
            <w:hideMark/>
          </w:tcPr>
          <w:p w14:paraId="70404243" w14:textId="77777777" w:rsidR="000B0B4A" w:rsidRPr="00AE2135" w:rsidRDefault="000B0B4A">
            <w:pPr>
              <w:pStyle w:val="COMTabletext"/>
              <w:jc w:val="center"/>
              <w:rPr>
                <w:color w:val="000000"/>
              </w:rPr>
            </w:pPr>
            <w:r w:rsidRPr="00AE2135">
              <w:rPr>
                <w:color w:val="000000"/>
              </w:rPr>
              <w:t>19.6%</w:t>
            </w:r>
          </w:p>
        </w:tc>
        <w:tc>
          <w:tcPr>
            <w:tcW w:w="620" w:type="pct"/>
            <w:noWrap/>
            <w:vAlign w:val="center"/>
            <w:hideMark/>
          </w:tcPr>
          <w:p w14:paraId="6C3B0417" w14:textId="77777777" w:rsidR="000B0B4A" w:rsidRPr="00AE2135" w:rsidRDefault="000B0B4A">
            <w:pPr>
              <w:pStyle w:val="COMTabletext"/>
              <w:jc w:val="center"/>
              <w:rPr>
                <w:color w:val="000000"/>
              </w:rPr>
            </w:pPr>
            <w:r w:rsidRPr="00AE2135">
              <w:rPr>
                <w:color w:val="000000"/>
              </w:rPr>
              <w:t>5.4%</w:t>
            </w:r>
          </w:p>
        </w:tc>
      </w:tr>
      <w:tr w:rsidR="000B0B4A" w:rsidRPr="00AE2135" w14:paraId="26B794F5" w14:textId="77777777" w:rsidTr="000B0B4A">
        <w:tc>
          <w:tcPr>
            <w:tcW w:w="643" w:type="pct"/>
            <w:noWrap/>
            <w:vAlign w:val="bottom"/>
            <w:hideMark/>
          </w:tcPr>
          <w:p w14:paraId="6797219C" w14:textId="77777777" w:rsidR="000B0B4A" w:rsidRPr="00AE2135" w:rsidRDefault="000B0B4A">
            <w:pPr>
              <w:pStyle w:val="COMTabletext"/>
              <w:rPr>
                <w:color w:val="000000"/>
              </w:rPr>
            </w:pPr>
            <w:r w:rsidRPr="00AE2135">
              <w:rPr>
                <w:color w:val="000000"/>
              </w:rPr>
              <w:t>7.5 years</w:t>
            </w:r>
          </w:p>
        </w:tc>
        <w:tc>
          <w:tcPr>
            <w:tcW w:w="638" w:type="pct"/>
            <w:noWrap/>
            <w:vAlign w:val="center"/>
            <w:hideMark/>
          </w:tcPr>
          <w:p w14:paraId="2BF152DC" w14:textId="77777777" w:rsidR="000B0B4A" w:rsidRPr="00AE2135" w:rsidRDefault="000B0B4A">
            <w:pPr>
              <w:pStyle w:val="COMTabletext"/>
              <w:jc w:val="center"/>
              <w:rPr>
                <w:color w:val="000000"/>
              </w:rPr>
            </w:pPr>
            <w:r w:rsidRPr="00AE2135">
              <w:rPr>
                <w:color w:val="000000"/>
              </w:rPr>
              <w:t>1.3%</w:t>
            </w:r>
          </w:p>
        </w:tc>
        <w:tc>
          <w:tcPr>
            <w:tcW w:w="620" w:type="pct"/>
            <w:noWrap/>
            <w:vAlign w:val="center"/>
            <w:hideMark/>
          </w:tcPr>
          <w:p w14:paraId="64049F0E" w14:textId="77777777" w:rsidR="000B0B4A" w:rsidRPr="00AE2135" w:rsidRDefault="000B0B4A">
            <w:pPr>
              <w:pStyle w:val="COMTabletext"/>
              <w:jc w:val="center"/>
              <w:rPr>
                <w:color w:val="000000"/>
              </w:rPr>
            </w:pPr>
            <w:r w:rsidRPr="00AE2135">
              <w:rPr>
                <w:color w:val="000000"/>
              </w:rPr>
              <w:t>1.3%</w:t>
            </w:r>
          </w:p>
        </w:tc>
        <w:tc>
          <w:tcPr>
            <w:tcW w:w="620" w:type="pct"/>
            <w:noWrap/>
            <w:vAlign w:val="center"/>
            <w:hideMark/>
          </w:tcPr>
          <w:p w14:paraId="2056D3D3" w14:textId="77777777" w:rsidR="000B0B4A" w:rsidRPr="00AE2135" w:rsidRDefault="000B0B4A">
            <w:pPr>
              <w:pStyle w:val="COMTabletext"/>
              <w:jc w:val="center"/>
              <w:rPr>
                <w:color w:val="000000"/>
              </w:rPr>
            </w:pPr>
            <w:r w:rsidRPr="00AE2135">
              <w:rPr>
                <w:color w:val="000000"/>
              </w:rPr>
              <w:t>0.1%</w:t>
            </w:r>
          </w:p>
        </w:tc>
        <w:tc>
          <w:tcPr>
            <w:tcW w:w="620" w:type="pct"/>
            <w:noWrap/>
            <w:vAlign w:val="center"/>
            <w:hideMark/>
          </w:tcPr>
          <w:p w14:paraId="3E09032B" w14:textId="77777777" w:rsidR="000B0B4A" w:rsidRPr="00AE2135" w:rsidRDefault="000B0B4A">
            <w:pPr>
              <w:pStyle w:val="COMTabletext"/>
              <w:jc w:val="center"/>
              <w:rPr>
                <w:color w:val="000000"/>
              </w:rPr>
            </w:pPr>
            <w:r w:rsidRPr="00AE2135">
              <w:rPr>
                <w:color w:val="000000"/>
              </w:rPr>
              <w:t>0.3%</w:t>
            </w:r>
          </w:p>
        </w:tc>
        <w:tc>
          <w:tcPr>
            <w:tcW w:w="620" w:type="pct"/>
            <w:noWrap/>
            <w:vAlign w:val="center"/>
            <w:hideMark/>
          </w:tcPr>
          <w:p w14:paraId="7ACB6754" w14:textId="77777777" w:rsidR="000B0B4A" w:rsidRPr="00AE2135" w:rsidRDefault="000B0B4A">
            <w:pPr>
              <w:pStyle w:val="COMTabletext"/>
              <w:jc w:val="center"/>
              <w:rPr>
                <w:color w:val="000000"/>
              </w:rPr>
            </w:pPr>
            <w:r w:rsidRPr="00AE2135">
              <w:rPr>
                <w:color w:val="000000"/>
              </w:rPr>
              <w:t>10.9%</w:t>
            </w:r>
          </w:p>
        </w:tc>
        <w:tc>
          <w:tcPr>
            <w:tcW w:w="620" w:type="pct"/>
            <w:noWrap/>
            <w:vAlign w:val="center"/>
            <w:hideMark/>
          </w:tcPr>
          <w:p w14:paraId="6847F221" w14:textId="77777777" w:rsidR="000B0B4A" w:rsidRPr="00AE2135" w:rsidRDefault="000B0B4A">
            <w:pPr>
              <w:pStyle w:val="COMTabletext"/>
              <w:jc w:val="center"/>
              <w:rPr>
                <w:color w:val="000000"/>
              </w:rPr>
            </w:pPr>
            <w:r w:rsidRPr="00AE2135">
              <w:rPr>
                <w:color w:val="000000"/>
              </w:rPr>
              <w:t>13.4%</w:t>
            </w:r>
          </w:p>
        </w:tc>
        <w:tc>
          <w:tcPr>
            <w:tcW w:w="620" w:type="pct"/>
            <w:noWrap/>
            <w:vAlign w:val="center"/>
            <w:hideMark/>
          </w:tcPr>
          <w:p w14:paraId="2B20DC7E" w14:textId="77777777" w:rsidR="000B0B4A" w:rsidRPr="00AE2135" w:rsidRDefault="000B0B4A">
            <w:pPr>
              <w:pStyle w:val="COMTabletext"/>
              <w:jc w:val="center"/>
              <w:rPr>
                <w:color w:val="000000"/>
              </w:rPr>
            </w:pPr>
            <w:r w:rsidRPr="00AE2135">
              <w:rPr>
                <w:color w:val="000000"/>
              </w:rPr>
              <w:t>1.2%</w:t>
            </w:r>
          </w:p>
        </w:tc>
      </w:tr>
      <w:tr w:rsidR="000B0B4A" w:rsidRPr="00AE2135" w14:paraId="1F0581F6" w14:textId="77777777" w:rsidTr="000B0B4A">
        <w:tc>
          <w:tcPr>
            <w:tcW w:w="643" w:type="pct"/>
            <w:noWrap/>
            <w:vAlign w:val="bottom"/>
            <w:hideMark/>
          </w:tcPr>
          <w:p w14:paraId="6BDA43E8" w14:textId="77777777" w:rsidR="000B0B4A" w:rsidRPr="00AE2135" w:rsidRDefault="000B0B4A">
            <w:pPr>
              <w:pStyle w:val="COMTabletext"/>
              <w:rPr>
                <w:color w:val="000000"/>
              </w:rPr>
            </w:pPr>
            <w:r w:rsidRPr="00AE2135">
              <w:rPr>
                <w:color w:val="000000"/>
              </w:rPr>
              <w:t>10 years</w:t>
            </w:r>
          </w:p>
        </w:tc>
        <w:tc>
          <w:tcPr>
            <w:tcW w:w="638" w:type="pct"/>
            <w:noWrap/>
            <w:vAlign w:val="center"/>
            <w:hideMark/>
          </w:tcPr>
          <w:p w14:paraId="2F6C115F" w14:textId="77777777" w:rsidR="000B0B4A" w:rsidRPr="00AE2135" w:rsidRDefault="000B0B4A">
            <w:pPr>
              <w:pStyle w:val="COMTabletext"/>
              <w:jc w:val="center"/>
              <w:rPr>
                <w:color w:val="000000"/>
              </w:rPr>
            </w:pPr>
            <w:r w:rsidRPr="00AE2135">
              <w:rPr>
                <w:color w:val="000000"/>
              </w:rPr>
              <w:t>0.3%</w:t>
            </w:r>
          </w:p>
        </w:tc>
        <w:tc>
          <w:tcPr>
            <w:tcW w:w="620" w:type="pct"/>
            <w:noWrap/>
            <w:vAlign w:val="center"/>
            <w:hideMark/>
          </w:tcPr>
          <w:p w14:paraId="5FE3272D" w14:textId="77777777" w:rsidR="000B0B4A" w:rsidRPr="00AE2135" w:rsidRDefault="000B0B4A">
            <w:pPr>
              <w:pStyle w:val="COMTabletext"/>
              <w:jc w:val="center"/>
              <w:rPr>
                <w:color w:val="000000"/>
              </w:rPr>
            </w:pPr>
            <w:r w:rsidRPr="00AE2135">
              <w:rPr>
                <w:color w:val="000000"/>
              </w:rPr>
              <w:t>0.3%</w:t>
            </w:r>
          </w:p>
        </w:tc>
        <w:tc>
          <w:tcPr>
            <w:tcW w:w="620" w:type="pct"/>
            <w:noWrap/>
            <w:vAlign w:val="center"/>
            <w:hideMark/>
          </w:tcPr>
          <w:p w14:paraId="2862D5FF" w14:textId="77777777" w:rsidR="000B0B4A" w:rsidRPr="00AE2135" w:rsidRDefault="000B0B4A">
            <w:pPr>
              <w:pStyle w:val="COMTabletext"/>
              <w:jc w:val="center"/>
              <w:rPr>
                <w:color w:val="000000"/>
              </w:rPr>
            </w:pPr>
            <w:r w:rsidRPr="00AE2135">
              <w:rPr>
                <w:color w:val="000000"/>
              </w:rPr>
              <w:t>0.0%</w:t>
            </w:r>
          </w:p>
        </w:tc>
        <w:tc>
          <w:tcPr>
            <w:tcW w:w="620" w:type="pct"/>
            <w:noWrap/>
            <w:vAlign w:val="center"/>
            <w:hideMark/>
          </w:tcPr>
          <w:p w14:paraId="72B859A5" w14:textId="77777777" w:rsidR="000B0B4A" w:rsidRPr="00AE2135" w:rsidRDefault="000B0B4A">
            <w:pPr>
              <w:pStyle w:val="COMTabletext"/>
              <w:jc w:val="center"/>
              <w:rPr>
                <w:color w:val="000000"/>
              </w:rPr>
            </w:pPr>
            <w:r w:rsidRPr="00AE2135">
              <w:rPr>
                <w:color w:val="000000"/>
              </w:rPr>
              <w:t>0.0%</w:t>
            </w:r>
          </w:p>
        </w:tc>
        <w:tc>
          <w:tcPr>
            <w:tcW w:w="620" w:type="pct"/>
            <w:noWrap/>
            <w:vAlign w:val="center"/>
            <w:hideMark/>
          </w:tcPr>
          <w:p w14:paraId="2554101F" w14:textId="77777777" w:rsidR="000B0B4A" w:rsidRPr="00AE2135" w:rsidRDefault="000B0B4A">
            <w:pPr>
              <w:pStyle w:val="COMTabletext"/>
              <w:jc w:val="center"/>
              <w:rPr>
                <w:color w:val="000000"/>
              </w:rPr>
            </w:pPr>
            <w:r w:rsidRPr="00AE2135">
              <w:rPr>
                <w:color w:val="000000"/>
              </w:rPr>
              <w:t>8.1%</w:t>
            </w:r>
          </w:p>
        </w:tc>
        <w:tc>
          <w:tcPr>
            <w:tcW w:w="620" w:type="pct"/>
            <w:noWrap/>
            <w:vAlign w:val="center"/>
            <w:hideMark/>
          </w:tcPr>
          <w:p w14:paraId="24FB2E6F" w14:textId="77777777" w:rsidR="000B0B4A" w:rsidRPr="00AE2135" w:rsidRDefault="000B0B4A">
            <w:pPr>
              <w:pStyle w:val="COMTabletext"/>
              <w:jc w:val="center"/>
              <w:rPr>
                <w:color w:val="000000"/>
              </w:rPr>
            </w:pPr>
            <w:r w:rsidRPr="00AE2135">
              <w:rPr>
                <w:color w:val="000000"/>
              </w:rPr>
              <w:t>9.9%</w:t>
            </w:r>
          </w:p>
        </w:tc>
        <w:tc>
          <w:tcPr>
            <w:tcW w:w="620" w:type="pct"/>
            <w:noWrap/>
            <w:vAlign w:val="center"/>
            <w:hideMark/>
          </w:tcPr>
          <w:p w14:paraId="53312281" w14:textId="77777777" w:rsidR="000B0B4A" w:rsidRPr="00AE2135" w:rsidRDefault="000B0B4A">
            <w:pPr>
              <w:pStyle w:val="COMTabletext"/>
              <w:jc w:val="center"/>
              <w:rPr>
                <w:color w:val="000000"/>
              </w:rPr>
            </w:pPr>
            <w:r w:rsidRPr="00AE2135">
              <w:rPr>
                <w:color w:val="000000"/>
              </w:rPr>
              <w:t>0.3%</w:t>
            </w:r>
          </w:p>
        </w:tc>
      </w:tr>
    </w:tbl>
    <w:p w14:paraId="31577EB4" w14:textId="77777777" w:rsidR="000B0B4A" w:rsidRPr="00AE2135" w:rsidRDefault="000B0B4A" w:rsidP="000B0B4A">
      <w:pPr>
        <w:pStyle w:val="COMTablefooter"/>
      </w:pPr>
      <w:r w:rsidRPr="00AE2135">
        <w:t>Source: Tables 3.4.2-1, p90 and 3.4.2-3, p92 of the submission; ‘Tarlatamab 2L CE Model v0.1’ model spreadsheet provided with the submission.</w:t>
      </w:r>
    </w:p>
    <w:p w14:paraId="5EDF81FA" w14:textId="55EAC82F" w:rsidR="00983CDF" w:rsidRPr="00AE2135" w:rsidRDefault="000B0B4A" w:rsidP="00300FFB">
      <w:pPr>
        <w:pStyle w:val="COMTablefooter"/>
      </w:pPr>
      <w:r w:rsidRPr="00AE2135">
        <w:t>Abbreviations: AIC, Akaike information criterion; BIC, Bayesian information criterion; gen., generalised.</w:t>
      </w:r>
      <w:bookmarkStart w:id="58" w:name="_Ref222722292"/>
    </w:p>
    <w:p w14:paraId="0BD8BCB0" w14:textId="63859626" w:rsidR="00E704EF" w:rsidRPr="00E704EF" w:rsidRDefault="00044563" w:rsidP="00D853B5">
      <w:pPr>
        <w:pStyle w:val="COMESnumberedpara"/>
      </w:pPr>
      <w:bookmarkStart w:id="59" w:name="_Ref222757099"/>
      <w:r w:rsidRPr="008C7B8B">
        <w:t xml:space="preserve">Health state utilities were based on patient-level EQ-5D-5L data from the DeLLphi-304 trial, estimated using generalised estimating equations. Utilities were valued using the Australian value set (Norman 2023). </w:t>
      </w:r>
      <w:r w:rsidR="002B6723" w:rsidRPr="00644149">
        <w:rPr>
          <w:szCs w:val="20"/>
        </w:rPr>
        <w:t>The evaluation considered that the</w:t>
      </w:r>
      <w:r w:rsidR="002B6723">
        <w:rPr>
          <w:szCs w:val="20"/>
        </w:rPr>
        <w:t xml:space="preserve"> h</w:t>
      </w:r>
      <w:r w:rsidRPr="00044563">
        <w:rPr>
          <w:szCs w:val="20"/>
        </w:rPr>
        <w:t xml:space="preserve">ealth state utilities derived from patients with relapsed SCLC in the DeLLphi-304 trial </w:t>
      </w:r>
      <w:r w:rsidR="00A84F7A" w:rsidRPr="00FD6292">
        <w:t xml:space="preserve">(0.885 [topotecan] to 0.910 [tarlatamab] for progression-free disease; 0.863 for progressed disease) </w:t>
      </w:r>
      <w:r w:rsidRPr="00044563">
        <w:rPr>
          <w:szCs w:val="20"/>
        </w:rPr>
        <w:t>lack</w:t>
      </w:r>
      <w:r w:rsidR="0071751F">
        <w:rPr>
          <w:szCs w:val="20"/>
        </w:rPr>
        <w:t>ed</w:t>
      </w:r>
      <w:r w:rsidRPr="00044563">
        <w:rPr>
          <w:szCs w:val="20"/>
        </w:rPr>
        <w:t xml:space="preserve"> face validity as they </w:t>
      </w:r>
      <w:r w:rsidR="0071751F">
        <w:rPr>
          <w:szCs w:val="20"/>
        </w:rPr>
        <w:t>were</w:t>
      </w:r>
      <w:r w:rsidRPr="00044563">
        <w:rPr>
          <w:szCs w:val="20"/>
        </w:rPr>
        <w:t xml:space="preserve"> </w:t>
      </w:r>
      <w:proofErr w:type="gramStart"/>
      <w:r w:rsidRPr="00044563">
        <w:rPr>
          <w:szCs w:val="20"/>
        </w:rPr>
        <w:t>similar to</w:t>
      </w:r>
      <w:proofErr w:type="gramEnd"/>
      <w:r w:rsidRPr="00044563">
        <w:rPr>
          <w:szCs w:val="20"/>
        </w:rPr>
        <w:t xml:space="preserve"> or higher than Australian general population norms (0.86 to 0.89 for 55 to 64 year olds; McCaffrey 2016, Redwood 2024). Further, given key DeLLphi-304 trial eligibility criteria (ECOG performance status, minimum life expectancy, inclusion of patients with limited stage disease) are not included in the proposed restriction, Australian patients may have a lower quality of life than the DeLLphi-304 trial population.</w:t>
      </w:r>
      <w:r>
        <w:t xml:space="preserve"> </w:t>
      </w:r>
      <w:r w:rsidR="005B5ABD" w:rsidRPr="005B5ABD">
        <w:t xml:space="preserve">Utilities were </w:t>
      </w:r>
      <w:r w:rsidR="000E0E49">
        <w:t xml:space="preserve">also </w:t>
      </w:r>
      <w:r w:rsidR="005B5ABD" w:rsidRPr="005B5ABD">
        <w:t>adjusted for age-related changes and to ensure that utilities did not exceed general population norms based on a survey of a sample of Australia’s general adult population using the EQ-5D-5L instrument, with estimates reported by age and gender (Redwood 2023).</w:t>
      </w:r>
      <w:r w:rsidR="005B5ABD">
        <w:t xml:space="preserve"> </w:t>
      </w:r>
      <w:r w:rsidR="00B24F13">
        <w:t xml:space="preserve">The evaluation </w:t>
      </w:r>
      <w:r w:rsidR="001844BB">
        <w:t>considered</w:t>
      </w:r>
      <w:r w:rsidR="00B24F13">
        <w:t xml:space="preserve"> that </w:t>
      </w:r>
      <w:r w:rsidRPr="008C7B8B">
        <w:t xml:space="preserve">age-related utility adjustments </w:t>
      </w:r>
      <w:r w:rsidR="001844BB">
        <w:t xml:space="preserve">were double counted and </w:t>
      </w:r>
      <w:r w:rsidRPr="008C7B8B">
        <w:t xml:space="preserve">resulted in higher utilities used over </w:t>
      </w:r>
      <w:proofErr w:type="gramStart"/>
      <w:r w:rsidRPr="008C7B8B">
        <w:t>the majority of</w:t>
      </w:r>
      <w:proofErr w:type="gramEnd"/>
      <w:r w:rsidRPr="008C7B8B">
        <w:t xml:space="preserve"> the model time horizon</w:t>
      </w:r>
      <w:r w:rsidR="00915197">
        <w:t>.</w:t>
      </w:r>
      <w:bookmarkEnd w:id="58"/>
      <w:bookmarkEnd w:id="59"/>
      <w:r w:rsidR="00C4494D">
        <w:t xml:space="preserve"> </w:t>
      </w:r>
      <w:bookmarkStart w:id="60" w:name="_Ref222722294"/>
      <w:r w:rsidR="00AD1D2A" w:rsidRPr="00744F75">
        <w:t xml:space="preserve">The ESC noted that </w:t>
      </w:r>
      <w:r w:rsidR="00693D70" w:rsidRPr="00744F75">
        <w:rPr>
          <w:rFonts w:ascii="Calibri" w:hAnsi="Calibri" w:cs="Calibri"/>
        </w:rPr>
        <w:t xml:space="preserve">the </w:t>
      </w:r>
      <w:r w:rsidR="008A53A2" w:rsidRPr="00744F75">
        <w:rPr>
          <w:rFonts w:ascii="Calibri" w:hAnsi="Calibri" w:cs="Calibri"/>
        </w:rPr>
        <w:t xml:space="preserve">model included treatment-specific utilities (with a lower utility for the </w:t>
      </w:r>
      <w:r w:rsidR="00213810" w:rsidRPr="00744F75">
        <w:rPr>
          <w:rFonts w:ascii="Calibri" w:hAnsi="Calibri" w:cs="Calibri"/>
        </w:rPr>
        <w:t>SOC</w:t>
      </w:r>
      <w:r w:rsidR="008A53A2" w:rsidRPr="00744F75">
        <w:rPr>
          <w:rFonts w:ascii="Calibri" w:hAnsi="Calibri" w:cs="Calibri"/>
        </w:rPr>
        <w:t xml:space="preserve"> arm than the tarlatamab arm for the progression-free health state). </w:t>
      </w:r>
      <w:r w:rsidR="00AD1D2A" w:rsidRPr="00744F75">
        <w:rPr>
          <w:rFonts w:ascii="Calibri" w:hAnsi="Calibri" w:cs="Calibri"/>
        </w:rPr>
        <w:t xml:space="preserve">The </w:t>
      </w:r>
      <w:r w:rsidR="00693D70" w:rsidRPr="00744F75">
        <w:rPr>
          <w:rFonts w:ascii="Calibri" w:hAnsi="Calibri" w:cs="Calibri"/>
        </w:rPr>
        <w:t xml:space="preserve">ESC considered that </w:t>
      </w:r>
      <w:r w:rsidR="00286709" w:rsidRPr="00744F75">
        <w:rPr>
          <w:rFonts w:ascii="Calibri" w:hAnsi="Calibri" w:cs="Calibri"/>
        </w:rPr>
        <w:t xml:space="preserve">the </w:t>
      </w:r>
      <w:r w:rsidR="00AD1D2A" w:rsidRPr="00744F75">
        <w:rPr>
          <w:rFonts w:ascii="Calibri" w:hAnsi="Calibri" w:cs="Calibri"/>
        </w:rPr>
        <w:t xml:space="preserve">use of treatment-specific utilities was not </w:t>
      </w:r>
      <w:r w:rsidR="00693D70" w:rsidRPr="00744F75">
        <w:rPr>
          <w:rFonts w:ascii="Calibri" w:hAnsi="Calibri" w:cs="Calibri"/>
        </w:rPr>
        <w:t xml:space="preserve">well </w:t>
      </w:r>
      <w:r w:rsidR="00AD1D2A" w:rsidRPr="00744F75">
        <w:rPr>
          <w:rFonts w:ascii="Calibri" w:hAnsi="Calibri" w:cs="Calibri"/>
        </w:rPr>
        <w:t xml:space="preserve">justified in the </w:t>
      </w:r>
      <w:r w:rsidR="00AD1D2A" w:rsidRPr="005D5C08">
        <w:rPr>
          <w:rFonts w:ascii="Calibri" w:hAnsi="Calibri" w:cs="Calibri"/>
        </w:rPr>
        <w:t>submission</w:t>
      </w:r>
      <w:r w:rsidR="005D5C08" w:rsidRPr="005D5C08">
        <w:t>, particularly given its inferior safety profile</w:t>
      </w:r>
      <w:r w:rsidR="00AD1D2A" w:rsidRPr="005D5C08">
        <w:rPr>
          <w:rFonts w:ascii="Calibri" w:hAnsi="Calibri" w:cs="Calibri"/>
        </w:rPr>
        <w:t>.</w:t>
      </w:r>
      <w:r w:rsidR="00AD1D2A" w:rsidRPr="00744F75">
        <w:rPr>
          <w:rFonts w:ascii="Calibri" w:hAnsi="Calibri" w:cs="Calibri"/>
        </w:rPr>
        <w:t xml:space="preserve"> </w:t>
      </w:r>
      <w:r w:rsidR="00E704EF">
        <w:t>The Pre-PBAC Response</w:t>
      </w:r>
      <w:r w:rsidR="003D0BC2">
        <w:t xml:space="preserve"> </w:t>
      </w:r>
      <w:r w:rsidR="00E704EF" w:rsidRPr="00242944">
        <w:rPr>
          <w:rFonts w:ascii="Calibri" w:hAnsi="Calibri" w:cs="Calibri"/>
        </w:rPr>
        <w:t xml:space="preserve">stated that treatment-specific utility values for tarlatamab versus topotecan were supported by the trial outcomes and appropriately reflect the overall patient-experienced pre-progression health state. </w:t>
      </w:r>
      <w:r w:rsidR="00E704EF" w:rsidRPr="00242944">
        <w:rPr>
          <w:rFonts w:ascii="Calibri" w:hAnsi="Calibri" w:cs="Calibri"/>
          <w:lang w:val="en-US"/>
        </w:rPr>
        <w:t>The Response argued that</w:t>
      </w:r>
      <w:r w:rsidR="00E704EF">
        <w:rPr>
          <w:rFonts w:ascii="Calibri" w:hAnsi="Calibri" w:cs="Calibri"/>
          <w:lang w:val="en-US"/>
        </w:rPr>
        <w:t xml:space="preserve"> the higher value</w:t>
      </w:r>
      <w:r w:rsidR="00D41F18">
        <w:rPr>
          <w:rFonts w:ascii="Calibri" w:hAnsi="Calibri" w:cs="Calibri"/>
          <w:lang w:val="en-US"/>
        </w:rPr>
        <w:t xml:space="preserve"> for tarlatamab</w:t>
      </w:r>
      <w:r w:rsidR="00E704EF">
        <w:rPr>
          <w:rFonts w:ascii="Calibri" w:hAnsi="Calibri" w:cs="Calibri"/>
          <w:lang w:val="en-US"/>
        </w:rPr>
        <w:t xml:space="preserve"> was supported by </w:t>
      </w:r>
      <w:r w:rsidR="00FF677C">
        <w:rPr>
          <w:rFonts w:ascii="Calibri" w:hAnsi="Calibri" w:cs="Calibri"/>
          <w:lang w:val="en-US"/>
        </w:rPr>
        <w:t xml:space="preserve">evidence </w:t>
      </w:r>
      <w:r w:rsidR="00241EAB">
        <w:rPr>
          <w:rFonts w:ascii="Calibri" w:hAnsi="Calibri" w:cs="Calibri"/>
          <w:lang w:val="en-US"/>
        </w:rPr>
        <w:t xml:space="preserve">demonstrating </w:t>
      </w:r>
      <w:r w:rsidR="00E704EF" w:rsidRPr="00242944">
        <w:rPr>
          <w:rFonts w:ascii="Calibri" w:hAnsi="Calibri" w:cs="Calibri"/>
          <w:lang w:val="en-US"/>
        </w:rPr>
        <w:t>improve</w:t>
      </w:r>
      <w:r w:rsidR="00241EAB">
        <w:rPr>
          <w:rFonts w:ascii="Calibri" w:hAnsi="Calibri" w:cs="Calibri"/>
          <w:lang w:val="en-US"/>
        </w:rPr>
        <w:t>ment to</w:t>
      </w:r>
      <w:r w:rsidR="00E704EF" w:rsidRPr="00242944">
        <w:rPr>
          <w:rFonts w:ascii="Calibri" w:hAnsi="Calibri" w:cs="Calibri"/>
          <w:lang w:val="en-US"/>
        </w:rPr>
        <w:t xml:space="preserve"> symptomatic disease control</w:t>
      </w:r>
      <w:r w:rsidR="00E704EF">
        <w:rPr>
          <w:rFonts w:ascii="Calibri" w:hAnsi="Calibri" w:cs="Calibri"/>
          <w:lang w:val="en-US"/>
        </w:rPr>
        <w:t xml:space="preserve">, </w:t>
      </w:r>
      <w:r w:rsidR="008C42AA">
        <w:rPr>
          <w:rFonts w:ascii="Calibri" w:hAnsi="Calibri" w:cs="Calibri"/>
          <w:lang w:val="en-US"/>
        </w:rPr>
        <w:t>quality of life</w:t>
      </w:r>
      <w:r w:rsidR="00E704EF" w:rsidRPr="00242944">
        <w:rPr>
          <w:rFonts w:ascii="Calibri" w:hAnsi="Calibri" w:cs="Calibri"/>
          <w:lang w:val="en-US"/>
        </w:rPr>
        <w:t xml:space="preserve"> measures, </w:t>
      </w:r>
      <w:proofErr w:type="gramStart"/>
      <w:r w:rsidR="00E704EF" w:rsidRPr="00242944">
        <w:rPr>
          <w:rFonts w:ascii="Calibri" w:hAnsi="Calibri" w:cs="Calibri"/>
          <w:lang w:val="en-US"/>
        </w:rPr>
        <w:t>and</w:t>
      </w:r>
      <w:r w:rsidR="00E704EF">
        <w:rPr>
          <w:rFonts w:ascii="Calibri" w:hAnsi="Calibri" w:cs="Calibri"/>
          <w:lang w:val="en-US"/>
        </w:rPr>
        <w:t xml:space="preserve"> also</w:t>
      </w:r>
      <w:proofErr w:type="gramEnd"/>
      <w:r w:rsidR="00E704EF">
        <w:rPr>
          <w:rFonts w:ascii="Calibri" w:hAnsi="Calibri" w:cs="Calibri"/>
          <w:lang w:val="en-US"/>
        </w:rPr>
        <w:t xml:space="preserve"> considered that tarlatamab had a</w:t>
      </w:r>
      <w:r w:rsidR="00E704EF" w:rsidRPr="00242944">
        <w:rPr>
          <w:rFonts w:ascii="Calibri" w:hAnsi="Calibri" w:cs="Calibri"/>
          <w:lang w:val="en-US"/>
        </w:rPr>
        <w:t xml:space="preserve"> superior safety profile</w:t>
      </w:r>
      <w:r w:rsidR="00E704EF">
        <w:rPr>
          <w:rFonts w:ascii="Calibri" w:hAnsi="Calibri" w:cs="Calibri"/>
          <w:lang w:val="en-US"/>
        </w:rPr>
        <w:t xml:space="preserve"> compared to SOC chemotherapies</w:t>
      </w:r>
      <w:r w:rsidR="00E704EF" w:rsidRPr="00242944">
        <w:rPr>
          <w:rFonts w:ascii="Calibri" w:hAnsi="Calibri" w:cs="Calibri"/>
          <w:lang w:val="en-US"/>
        </w:rPr>
        <w:t>.</w:t>
      </w:r>
    </w:p>
    <w:p w14:paraId="52E49F4C" w14:textId="74E2E722" w:rsidR="00AF69E7" w:rsidRPr="00744F75" w:rsidRDefault="00AD1D2A" w:rsidP="00D853B5">
      <w:pPr>
        <w:pStyle w:val="COMESnumberedpara"/>
      </w:pPr>
      <w:r w:rsidRPr="00744F75">
        <w:rPr>
          <w:rFonts w:ascii="Calibri" w:hAnsi="Calibri" w:cs="Calibri"/>
        </w:rPr>
        <w:t xml:space="preserve">The </w:t>
      </w:r>
      <w:r w:rsidR="00D853B5" w:rsidRPr="00744F75">
        <w:rPr>
          <w:rFonts w:ascii="Calibri" w:hAnsi="Calibri" w:cs="Calibri"/>
        </w:rPr>
        <w:t>ESC also considered that the</w:t>
      </w:r>
      <w:r w:rsidRPr="00744F75">
        <w:rPr>
          <w:rFonts w:ascii="Calibri" w:hAnsi="Calibri" w:cs="Calibri"/>
        </w:rPr>
        <w:t xml:space="preserve"> utilities </w:t>
      </w:r>
      <w:r w:rsidR="00D853B5" w:rsidRPr="00744F75">
        <w:rPr>
          <w:rFonts w:ascii="Calibri" w:hAnsi="Calibri" w:cs="Calibri"/>
        </w:rPr>
        <w:t>were</w:t>
      </w:r>
      <w:r w:rsidRPr="00744F75">
        <w:rPr>
          <w:rFonts w:ascii="Calibri" w:hAnsi="Calibri" w:cs="Calibri"/>
        </w:rPr>
        <w:t xml:space="preserve"> </w:t>
      </w:r>
      <w:r w:rsidR="00286709" w:rsidRPr="00744F75">
        <w:rPr>
          <w:rFonts w:ascii="Calibri" w:hAnsi="Calibri" w:cs="Calibri"/>
        </w:rPr>
        <w:t xml:space="preserve">likely too </w:t>
      </w:r>
      <w:r w:rsidRPr="00744F75">
        <w:rPr>
          <w:rFonts w:ascii="Calibri" w:hAnsi="Calibri" w:cs="Calibri"/>
        </w:rPr>
        <w:t>high</w:t>
      </w:r>
      <w:r w:rsidR="00286709" w:rsidRPr="00744F75">
        <w:rPr>
          <w:rFonts w:ascii="Calibri" w:hAnsi="Calibri" w:cs="Calibri"/>
        </w:rPr>
        <w:t xml:space="preserve"> for this patient group</w:t>
      </w:r>
      <w:r w:rsidRPr="00744F75">
        <w:rPr>
          <w:rFonts w:ascii="Calibri" w:hAnsi="Calibri" w:cs="Calibri"/>
        </w:rPr>
        <w:t>.</w:t>
      </w:r>
      <w:r w:rsidR="00D853B5" w:rsidRPr="00744F75">
        <w:t xml:space="preserve"> T</w:t>
      </w:r>
      <w:r w:rsidR="00AF69E7" w:rsidRPr="00744F75">
        <w:t xml:space="preserve">he ESC </w:t>
      </w:r>
      <w:r w:rsidR="00F96BA8" w:rsidRPr="00744F75">
        <w:t>also noted that</w:t>
      </w:r>
      <w:r w:rsidR="00AF69E7" w:rsidRPr="00744F75">
        <w:t xml:space="preserve"> </w:t>
      </w:r>
      <w:r w:rsidR="00F96BA8" w:rsidRPr="00744F75">
        <w:t>t</w:t>
      </w:r>
      <w:r w:rsidR="00AF69E7" w:rsidRPr="00744F75">
        <w:t>he disutility associated with CRS and ICAN</w:t>
      </w:r>
      <w:r w:rsidR="00F96BA8" w:rsidRPr="00744F75">
        <w:t>S</w:t>
      </w:r>
      <w:r w:rsidR="00AF69E7" w:rsidRPr="00744F75">
        <w:t xml:space="preserve"> </w:t>
      </w:r>
      <w:r w:rsidR="00CC434E" w:rsidRPr="00744F75">
        <w:t>appeared low,</w:t>
      </w:r>
      <w:r w:rsidR="00BB5369" w:rsidRPr="00744F75">
        <w:t xml:space="preserve"> </w:t>
      </w:r>
      <w:r w:rsidR="00BB5369" w:rsidRPr="00744F75">
        <w:lastRenderedPageBreak/>
        <w:t xml:space="preserve">however noted this </w:t>
      </w:r>
      <w:r w:rsidR="00AF69E7" w:rsidRPr="00744F75">
        <w:t>had a limited effect on modelled results.</w:t>
      </w:r>
      <w:bookmarkEnd w:id="60"/>
      <w:r w:rsidR="002A1FC9" w:rsidRPr="00744F75">
        <w:rPr>
          <w:rFonts w:ascii="Calibri" w:hAnsi="Calibri" w:cs="Calibri"/>
        </w:rPr>
        <w:t xml:space="preserve"> </w:t>
      </w:r>
      <w:r w:rsidR="00D148AB" w:rsidRPr="00C4494D">
        <w:t xml:space="preserve">The economic model was sensitive to the use of lower health state utility values. Using alternative utilities (for both arms) for progression-free (0.72) and progressed disease (0.70) increased the ICER by </w:t>
      </w:r>
      <w:r w:rsidR="003D0BC2" w:rsidRPr="003D0BC2">
        <w:rPr>
          <w:sz w:val="2"/>
          <w:highlight w:val="black"/>
        </w:rPr>
        <w:t>redacted content</w:t>
      </w:r>
      <w:r w:rsidR="00D148AB" w:rsidRPr="00C4494D">
        <w:t xml:space="preserve">%. </w:t>
      </w:r>
      <w:r w:rsidR="002A1FC9" w:rsidRPr="00744F75">
        <w:rPr>
          <w:rFonts w:ascii="Calibri" w:hAnsi="Calibri" w:cs="Calibri"/>
        </w:rPr>
        <w:t xml:space="preserve">The ESC noted that the PSCR proposed </w:t>
      </w:r>
      <w:r w:rsidR="002B6213" w:rsidRPr="00744F75">
        <w:rPr>
          <w:rFonts w:ascii="Calibri" w:hAnsi="Calibri" w:cs="Calibri"/>
        </w:rPr>
        <w:t xml:space="preserve">an </w:t>
      </w:r>
      <w:r w:rsidR="002A1FC9" w:rsidRPr="00744F75">
        <w:rPr>
          <w:rFonts w:ascii="Calibri" w:hAnsi="Calibri" w:cs="Calibri"/>
        </w:rPr>
        <w:t>alternative utilit</w:t>
      </w:r>
      <w:r w:rsidR="00024404" w:rsidRPr="00744F75">
        <w:rPr>
          <w:rFonts w:ascii="Calibri" w:hAnsi="Calibri" w:cs="Calibri"/>
        </w:rPr>
        <w:t>y</w:t>
      </w:r>
      <w:r w:rsidR="002A1FC9" w:rsidRPr="00744F75">
        <w:rPr>
          <w:rFonts w:ascii="Calibri" w:hAnsi="Calibri" w:cs="Calibri"/>
        </w:rPr>
        <w:t xml:space="preserve"> valu</w:t>
      </w:r>
      <w:r w:rsidR="002B6213" w:rsidRPr="00744F75">
        <w:rPr>
          <w:rFonts w:ascii="Calibri" w:hAnsi="Calibri" w:cs="Calibri"/>
        </w:rPr>
        <w:t>e</w:t>
      </w:r>
      <w:r w:rsidR="002A1FC9" w:rsidRPr="00744F75">
        <w:rPr>
          <w:rFonts w:ascii="Calibri" w:hAnsi="Calibri" w:cs="Calibri"/>
        </w:rPr>
        <w:t xml:space="preserve"> for the progression-free health state in the tarlatamab arm, but applied the same decrements as the model base case for </w:t>
      </w:r>
      <w:r w:rsidR="002B6213" w:rsidRPr="00744F75">
        <w:rPr>
          <w:rFonts w:ascii="Calibri" w:hAnsi="Calibri" w:cs="Calibri"/>
        </w:rPr>
        <w:t>SOC</w:t>
      </w:r>
      <w:r w:rsidR="002A1FC9" w:rsidRPr="00744F75">
        <w:rPr>
          <w:rFonts w:ascii="Calibri" w:hAnsi="Calibri" w:cs="Calibri"/>
        </w:rPr>
        <w:t xml:space="preserve"> treatment and progressed disease </w:t>
      </w:r>
      <w:r w:rsidR="00A23630" w:rsidRPr="00744F75">
        <w:rPr>
          <w:rFonts w:ascii="Calibri" w:hAnsi="Calibri" w:cs="Calibri"/>
        </w:rPr>
        <w:t>and therefore</w:t>
      </w:r>
      <w:r w:rsidR="002A1FC9" w:rsidRPr="00744F75">
        <w:rPr>
          <w:rFonts w:ascii="Calibri" w:hAnsi="Calibri" w:cs="Calibri"/>
        </w:rPr>
        <w:t xml:space="preserve"> had a limited impact on the economic model</w:t>
      </w:r>
      <w:r w:rsidR="00A23630" w:rsidRPr="00744F75">
        <w:rPr>
          <w:rFonts w:ascii="Calibri" w:hAnsi="Calibri" w:cs="Calibri"/>
        </w:rPr>
        <w:t>.</w:t>
      </w:r>
      <w:r w:rsidR="00021414">
        <w:rPr>
          <w:rFonts w:ascii="Calibri" w:hAnsi="Calibri" w:cs="Calibri"/>
        </w:rPr>
        <w:t xml:space="preserve"> </w:t>
      </w:r>
    </w:p>
    <w:p w14:paraId="02D464AC" w14:textId="41238E4D" w:rsidR="0028354E" w:rsidRPr="008C7B8B" w:rsidRDefault="0028354E" w:rsidP="00A012D5">
      <w:pPr>
        <w:pStyle w:val="COMESnumberedpara"/>
      </w:pPr>
      <w:r w:rsidRPr="008C7B8B">
        <w:fldChar w:fldCharType="begin"/>
      </w:r>
      <w:r w:rsidRPr="008C7B8B">
        <w:instrText xml:space="preserve"> REF _Ref216626621 \h </w:instrText>
      </w:r>
      <w:r w:rsidR="008C7B8B" w:rsidRPr="008C7B8B">
        <w:instrText xml:space="preserve"> \* MERGEFORMAT </w:instrText>
      </w:r>
      <w:r w:rsidRPr="008C7B8B">
        <w:fldChar w:fldCharType="separate"/>
      </w:r>
      <w:r w:rsidR="00E26586">
        <w:t xml:space="preserve">Figure </w:t>
      </w:r>
      <w:r w:rsidR="00E26586">
        <w:rPr>
          <w:noProof/>
        </w:rPr>
        <w:t>5</w:t>
      </w:r>
      <w:r w:rsidRPr="008C7B8B">
        <w:fldChar w:fldCharType="end"/>
      </w:r>
      <w:r w:rsidRPr="008C7B8B">
        <w:t xml:space="preserve"> presents the model traces for the tarlatamab and topotecan (as a proxy for SOC) arms of the model.</w:t>
      </w:r>
    </w:p>
    <w:p w14:paraId="0D4F3919" w14:textId="7EE124FD" w:rsidR="0028354E" w:rsidRDefault="0028354E" w:rsidP="0028354E">
      <w:pPr>
        <w:pStyle w:val="Caption"/>
      </w:pPr>
      <w:bookmarkStart w:id="61" w:name="_Ref216626621"/>
      <w:r>
        <w:t xml:space="preserve">Figure </w:t>
      </w:r>
      <w:r>
        <w:fldChar w:fldCharType="begin"/>
      </w:r>
      <w:r>
        <w:instrText>SEQ Figure \* ARABIC</w:instrText>
      </w:r>
      <w:r>
        <w:fldChar w:fldCharType="separate"/>
      </w:r>
      <w:r w:rsidR="00E26586">
        <w:rPr>
          <w:noProof/>
        </w:rPr>
        <w:t>5</w:t>
      </w:r>
      <w:r>
        <w:fldChar w:fldCharType="end"/>
      </w:r>
      <w:bookmarkEnd w:id="61"/>
      <w:r>
        <w:t>: Model traces for the tarlatamab and topotecan (as a proxy for SOC) arms of the model</w:t>
      </w:r>
    </w:p>
    <w:p w14:paraId="334E2CA7" w14:textId="77777777" w:rsidR="0028354E" w:rsidRDefault="0028354E" w:rsidP="0028354E">
      <w:r w:rsidRPr="0028354E">
        <w:rPr>
          <w:noProof/>
        </w:rPr>
        <w:drawing>
          <wp:inline distT="0" distB="0" distL="0" distR="0" wp14:anchorId="14BE072F" wp14:editId="6B46DB23">
            <wp:extent cx="5688330" cy="3499485"/>
            <wp:effectExtent l="0" t="0" r="7620" b="5715"/>
            <wp:docPr id="1169739516" name="Picture 15" descr="Figure 5: Model traces for the tarlatamab and topotecan (as a proxy for SOC) arms of th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39516" name="Picture 15" descr="Figure 5: Model traces for the tarlatamab and topotecan (as a proxy for SOC) arms of the mod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8330" cy="3499485"/>
                    </a:xfrm>
                    <a:prstGeom prst="rect">
                      <a:avLst/>
                    </a:prstGeom>
                    <a:noFill/>
                  </pic:spPr>
                </pic:pic>
              </a:graphicData>
            </a:graphic>
          </wp:inline>
        </w:drawing>
      </w:r>
    </w:p>
    <w:p w14:paraId="5913E1D3" w14:textId="77777777" w:rsidR="0028354E" w:rsidRDefault="0028354E" w:rsidP="0028354E">
      <w:pPr>
        <w:pStyle w:val="COMTablefooter"/>
      </w:pPr>
      <w:r>
        <w:t xml:space="preserve">Source: ‘Tarlatamab 2L CE Model v0.1’ model spreadsheet </w:t>
      </w:r>
      <w:r w:rsidRPr="00BF6BAA">
        <w:t>provided with the submission.</w:t>
      </w:r>
    </w:p>
    <w:p w14:paraId="6ACB4FB7" w14:textId="77777777" w:rsidR="0028354E" w:rsidRPr="001825D9" w:rsidRDefault="0028354E" w:rsidP="0028354E">
      <w:pPr>
        <w:pStyle w:val="COMTablefooter"/>
      </w:pPr>
      <w:r w:rsidRPr="001825D9">
        <w:t>Abbreviations: SOC, standard of care.</w:t>
      </w:r>
    </w:p>
    <w:p w14:paraId="2B4AF938" w14:textId="79AD403C" w:rsidR="008C5739" w:rsidRDefault="003F78A7" w:rsidP="00A012D5">
      <w:pPr>
        <w:pStyle w:val="COMESnumberedpara"/>
      </w:pPr>
      <w:r>
        <w:t xml:space="preserve">The model estimated additional </w:t>
      </w:r>
      <w:r w:rsidR="00BF4139">
        <w:t xml:space="preserve">survival for tarlatamab of </w:t>
      </w:r>
      <w:r w:rsidR="00560164">
        <w:t>17.3</w:t>
      </w:r>
      <w:r w:rsidR="00BF4139">
        <w:t xml:space="preserve"> months compared with topotecan for the treatment of </w:t>
      </w:r>
      <w:r w:rsidR="00873421">
        <w:t xml:space="preserve">second-line ES-SCLC. </w:t>
      </w:r>
      <w:r w:rsidR="0086731E">
        <w:t>Patients in the tarlatamab arm receive</w:t>
      </w:r>
      <w:r w:rsidR="006B6CE1">
        <w:t>d</w:t>
      </w:r>
      <w:r w:rsidR="0086731E">
        <w:t xml:space="preserve"> an average of 8.9 month</w:t>
      </w:r>
      <w:r w:rsidR="004A6B98">
        <w:t>s</w:t>
      </w:r>
      <w:r w:rsidR="0086731E">
        <w:t xml:space="preserve"> of treatment</w:t>
      </w:r>
      <w:r w:rsidR="004A6B98">
        <w:t xml:space="preserve">, with </w:t>
      </w:r>
      <w:r w:rsidR="00205209">
        <w:t xml:space="preserve">an average overall survival of </w:t>
      </w:r>
      <w:r w:rsidR="00560164">
        <w:t>29.0</w:t>
      </w:r>
      <w:r w:rsidR="00205209">
        <w:t xml:space="preserve"> months</w:t>
      </w:r>
      <w:r w:rsidR="004A6B98">
        <w:t xml:space="preserve"> (</w:t>
      </w:r>
      <w:r w:rsidR="0014652A">
        <w:t>9.6</w:t>
      </w:r>
      <w:r w:rsidR="00205209">
        <w:t xml:space="preserve"> months progression-free, and </w:t>
      </w:r>
      <w:r w:rsidR="0014652A">
        <w:t>19.3</w:t>
      </w:r>
      <w:r w:rsidR="00205209">
        <w:t xml:space="preserve"> months </w:t>
      </w:r>
      <w:r w:rsidR="004A6B98">
        <w:t>with</w:t>
      </w:r>
      <w:r w:rsidR="00205209">
        <w:t xml:space="preserve"> progressed disease</w:t>
      </w:r>
      <w:r w:rsidR="004A6B98">
        <w:t>)</w:t>
      </w:r>
      <w:r w:rsidR="00205209">
        <w:t xml:space="preserve">. </w:t>
      </w:r>
      <w:r w:rsidR="004A6B98">
        <w:t xml:space="preserve">Patients in the </w:t>
      </w:r>
      <w:r w:rsidR="00205209">
        <w:t>topotecan</w:t>
      </w:r>
      <w:r w:rsidR="004A6B98">
        <w:t xml:space="preserve"> arm receive</w:t>
      </w:r>
      <w:r w:rsidR="006B6CE1">
        <w:t>d</w:t>
      </w:r>
      <w:r w:rsidR="004A6B98">
        <w:t xml:space="preserve"> an average of 4.0 months of treatment, with an</w:t>
      </w:r>
      <w:r w:rsidR="00205209">
        <w:t xml:space="preserve"> average overall survival </w:t>
      </w:r>
      <w:r w:rsidR="004C7672">
        <w:t>of</w:t>
      </w:r>
      <w:r w:rsidR="00205209">
        <w:t xml:space="preserve"> </w:t>
      </w:r>
      <w:r w:rsidR="00CE2918">
        <w:t>11.6</w:t>
      </w:r>
      <w:r w:rsidR="00205209">
        <w:t xml:space="preserve"> months</w:t>
      </w:r>
      <w:r w:rsidR="004A6B98">
        <w:t xml:space="preserve"> (</w:t>
      </w:r>
      <w:r w:rsidR="00E65AA7">
        <w:t>5.2</w:t>
      </w:r>
      <w:r w:rsidR="00205209">
        <w:t xml:space="preserve"> months progression-free</w:t>
      </w:r>
      <w:r w:rsidR="006B6CE1">
        <w:t>,</w:t>
      </w:r>
      <w:r w:rsidR="00205209">
        <w:t xml:space="preserve"> </w:t>
      </w:r>
      <w:r w:rsidR="004A0667">
        <w:t>an</w:t>
      </w:r>
      <w:r w:rsidR="00E65AA7">
        <w:t>d</w:t>
      </w:r>
      <w:r w:rsidR="004A0667">
        <w:t xml:space="preserve"> </w:t>
      </w:r>
      <w:r w:rsidR="00E65AA7">
        <w:t>6.5</w:t>
      </w:r>
      <w:r w:rsidR="004A0667">
        <w:t xml:space="preserve"> months </w:t>
      </w:r>
      <w:r w:rsidR="006B6CE1">
        <w:t>with</w:t>
      </w:r>
      <w:r w:rsidR="004A0667">
        <w:t xml:space="preserve"> progressed disease</w:t>
      </w:r>
      <w:r w:rsidR="006B6CE1">
        <w:t>)</w:t>
      </w:r>
      <w:r w:rsidR="004A0667">
        <w:t>.</w:t>
      </w:r>
    </w:p>
    <w:p w14:paraId="2CAF75CE" w14:textId="052A1A8A" w:rsidR="006B6EEF" w:rsidRPr="00726F37" w:rsidRDefault="006B6EEF" w:rsidP="006B6EEF">
      <w:pPr>
        <w:pStyle w:val="COMESnumberedpara"/>
      </w:pPr>
      <w:r w:rsidRPr="00726F37">
        <w:t xml:space="preserve">Key drivers of the economic model are summarised in </w:t>
      </w:r>
      <w:r w:rsidRPr="00726F37">
        <w:fldChar w:fldCharType="begin"/>
      </w:r>
      <w:r w:rsidRPr="00726F37">
        <w:instrText xml:space="preserve"> REF _Ref104805122 \h  \* MERGEFORMAT </w:instrText>
      </w:r>
      <w:r w:rsidRPr="00726F37">
        <w:fldChar w:fldCharType="separate"/>
      </w:r>
      <w:r w:rsidR="00E26586" w:rsidRPr="0098262F">
        <w:t xml:space="preserve">Table </w:t>
      </w:r>
      <w:r w:rsidR="00E26586">
        <w:rPr>
          <w:noProof/>
        </w:rPr>
        <w:t>10</w:t>
      </w:r>
      <w:r w:rsidRPr="00726F37">
        <w:fldChar w:fldCharType="end"/>
      </w:r>
      <w:r w:rsidRPr="00726F37">
        <w:t>.</w:t>
      </w:r>
    </w:p>
    <w:p w14:paraId="62471B41" w14:textId="1A438063" w:rsidR="006B6EEF" w:rsidRPr="0098262F" w:rsidRDefault="006B6EEF" w:rsidP="006B6EEF">
      <w:pPr>
        <w:pStyle w:val="COMTableFigurecaption"/>
      </w:pPr>
      <w:bookmarkStart w:id="62" w:name="_Ref104805122"/>
      <w:r w:rsidRPr="0098262F">
        <w:lastRenderedPageBreak/>
        <w:t xml:space="preserve">Table </w:t>
      </w:r>
      <w:r>
        <w:fldChar w:fldCharType="begin"/>
      </w:r>
      <w:r>
        <w:instrText>SEQ Table \* ARABIC</w:instrText>
      </w:r>
      <w:r>
        <w:fldChar w:fldCharType="separate"/>
      </w:r>
      <w:r w:rsidR="00E26586">
        <w:rPr>
          <w:noProof/>
        </w:rPr>
        <w:t>10</w:t>
      </w:r>
      <w:r>
        <w:fldChar w:fldCharType="end"/>
      </w:r>
      <w:bookmarkEnd w:id="62"/>
      <w:r w:rsidRPr="0098262F">
        <w:t xml:space="preserve">: Key drivers of the </w:t>
      </w:r>
      <w:r>
        <w:t xml:space="preserve">economic </w:t>
      </w:r>
      <w:r w:rsidRPr="0098262F">
        <w:t>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Key drivers of the economic model"/>
      </w:tblPr>
      <w:tblGrid>
        <w:gridCol w:w="1414"/>
        <w:gridCol w:w="5244"/>
        <w:gridCol w:w="2359"/>
      </w:tblGrid>
      <w:tr w:rsidR="006B6EEF" w:rsidRPr="0098262F" w14:paraId="45B97020" w14:textId="77777777" w:rsidTr="00ED2179">
        <w:trPr>
          <w:tblHeader/>
        </w:trPr>
        <w:tc>
          <w:tcPr>
            <w:tcW w:w="784" w:type="pct"/>
            <w:vAlign w:val="center"/>
          </w:tcPr>
          <w:p w14:paraId="5CED6806" w14:textId="77777777" w:rsidR="006B6EEF" w:rsidRPr="008C7B8B" w:rsidRDefault="006B6EEF" w:rsidP="00060FE8">
            <w:pPr>
              <w:pStyle w:val="COMTableheadingrow"/>
              <w:ind w:left="57" w:right="57"/>
            </w:pPr>
            <w:r w:rsidRPr="008C7B8B">
              <w:t>Description</w:t>
            </w:r>
          </w:p>
        </w:tc>
        <w:tc>
          <w:tcPr>
            <w:tcW w:w="2908" w:type="pct"/>
            <w:vAlign w:val="center"/>
          </w:tcPr>
          <w:p w14:paraId="1ABC9F19" w14:textId="77777777" w:rsidR="006B6EEF" w:rsidRPr="008C7B8B" w:rsidRDefault="006B6EEF" w:rsidP="00060FE8">
            <w:pPr>
              <w:pStyle w:val="COMTableheadingrow"/>
              <w:ind w:left="57" w:right="57"/>
              <w:jc w:val="center"/>
            </w:pPr>
            <w:r w:rsidRPr="008C7B8B">
              <w:t>Method/Value</w:t>
            </w:r>
          </w:p>
        </w:tc>
        <w:tc>
          <w:tcPr>
            <w:tcW w:w="1308" w:type="pct"/>
            <w:vAlign w:val="center"/>
          </w:tcPr>
          <w:p w14:paraId="0FA123F8" w14:textId="77777777" w:rsidR="006B6EEF" w:rsidRPr="00F00190" w:rsidRDefault="006B6EEF" w:rsidP="00060FE8">
            <w:pPr>
              <w:pStyle w:val="COMTableheadingrow"/>
              <w:ind w:left="57" w:right="57"/>
              <w:jc w:val="center"/>
            </w:pPr>
            <w:r w:rsidRPr="00F00190">
              <w:t>Impact</w:t>
            </w:r>
          </w:p>
          <w:p w14:paraId="513051A8" w14:textId="3FA761FF" w:rsidR="00ED2179" w:rsidRPr="00F00190" w:rsidRDefault="00ED2179" w:rsidP="00060FE8">
            <w:pPr>
              <w:pStyle w:val="COMTabletext"/>
              <w:ind w:left="57" w:right="57"/>
              <w:jc w:val="center"/>
            </w:pPr>
            <w:r w:rsidRPr="00F00190">
              <w:rPr>
                <w:b/>
                <w:bCs w:val="0"/>
              </w:rPr>
              <w:t>Base case:</w:t>
            </w:r>
            <w:r w:rsidRPr="00F00190">
              <w:t xml:space="preserve"> </w:t>
            </w:r>
            <w:r w:rsidRPr="00F00190">
              <w:rPr>
                <w:b/>
                <w:bCs w:val="0"/>
              </w:rPr>
              <w:t>$</w:t>
            </w:r>
            <w:r w:rsidR="003D0BC2" w:rsidRPr="003D0BC2">
              <w:rPr>
                <w:b/>
                <w:bCs w:val="0"/>
                <w:sz w:val="2"/>
                <w:highlight w:val="black"/>
              </w:rPr>
              <w:t>redacted content</w:t>
            </w:r>
            <w:r w:rsidR="00A1075E">
              <w:rPr>
                <w:b/>
                <w:bCs w:val="0"/>
                <w:vertAlign w:val="superscript"/>
              </w:rPr>
              <w:t>1</w:t>
            </w:r>
            <w:r w:rsidR="00804A2F" w:rsidRPr="00F00190">
              <w:rPr>
                <w:b/>
                <w:bCs w:val="0"/>
              </w:rPr>
              <w:t>/QALY gained</w:t>
            </w:r>
          </w:p>
        </w:tc>
      </w:tr>
      <w:tr w:rsidR="006B6EEF" w:rsidRPr="0098262F" w14:paraId="46035706" w14:textId="77777777" w:rsidTr="00ED2179">
        <w:tc>
          <w:tcPr>
            <w:tcW w:w="784" w:type="pct"/>
            <w:vAlign w:val="center"/>
          </w:tcPr>
          <w:p w14:paraId="760F4A26" w14:textId="77777777" w:rsidR="006B6EEF" w:rsidRPr="008C7B8B" w:rsidRDefault="006B6EEF" w:rsidP="00060FE8">
            <w:pPr>
              <w:pStyle w:val="COMTabletext"/>
              <w:ind w:left="57" w:right="57"/>
            </w:pPr>
            <w:r w:rsidRPr="008C7B8B">
              <w:t>Extrapolation of tarlatamab overall survival</w:t>
            </w:r>
          </w:p>
        </w:tc>
        <w:tc>
          <w:tcPr>
            <w:tcW w:w="2908" w:type="pct"/>
            <w:vAlign w:val="center"/>
          </w:tcPr>
          <w:p w14:paraId="65380CE4" w14:textId="2F26B95D" w:rsidR="006B6EEF" w:rsidRPr="008C7B8B" w:rsidRDefault="00EF1D1F" w:rsidP="00060FE8">
            <w:pPr>
              <w:pStyle w:val="COMTabletext"/>
              <w:spacing w:after="60"/>
              <w:ind w:left="57" w:right="57"/>
            </w:pPr>
            <w:r>
              <w:t>T</w:t>
            </w:r>
            <w:r w:rsidR="006B6EEF" w:rsidRPr="008C7B8B">
              <w:t>he loglogistic function was selected as the base case parametric distribution for tarlatamab overall survival</w:t>
            </w:r>
            <w:r>
              <w:t xml:space="preserve">. However, the best fitting </w:t>
            </w:r>
            <w:r w:rsidR="00ED2179">
              <w:t>function</w:t>
            </w:r>
            <w:r>
              <w:t xml:space="preserve"> was </w:t>
            </w:r>
            <w:r w:rsidR="00ED2179">
              <w:t xml:space="preserve">the exponential curve. </w:t>
            </w:r>
          </w:p>
        </w:tc>
        <w:tc>
          <w:tcPr>
            <w:tcW w:w="1308" w:type="pct"/>
          </w:tcPr>
          <w:p w14:paraId="5B8ACFCE" w14:textId="77777777" w:rsidR="006B6EEF" w:rsidRPr="00F00190" w:rsidRDefault="006B6EEF" w:rsidP="00060FE8">
            <w:pPr>
              <w:pStyle w:val="COMTabletext"/>
              <w:ind w:left="57" w:right="57"/>
            </w:pPr>
            <w:r w:rsidRPr="00F00190">
              <w:t>High, favours tarlatamab.</w:t>
            </w:r>
          </w:p>
          <w:p w14:paraId="50745BE5" w14:textId="77777777" w:rsidR="0064787B" w:rsidRPr="00F00190" w:rsidRDefault="0064787B" w:rsidP="00060FE8">
            <w:pPr>
              <w:pStyle w:val="COMTabletext"/>
              <w:ind w:left="57" w:right="57"/>
            </w:pPr>
          </w:p>
          <w:p w14:paraId="3253702E" w14:textId="79BE5966" w:rsidR="00A51662" w:rsidRPr="00F00190" w:rsidRDefault="00804A2F" w:rsidP="00060FE8">
            <w:pPr>
              <w:pStyle w:val="COMTabletext"/>
              <w:ind w:left="57" w:right="57"/>
            </w:pPr>
            <w:r w:rsidRPr="00F00190">
              <w:t>Changing the extrapolation of tarlatamab overall survival to the exponential function increase</w:t>
            </w:r>
            <w:r w:rsidR="00BB3861" w:rsidRPr="00F00190">
              <w:t>d</w:t>
            </w:r>
            <w:r w:rsidRPr="00F00190">
              <w:t xml:space="preserve"> the ICER to </w:t>
            </w:r>
            <w:r w:rsidR="0064787B" w:rsidRPr="00F00190">
              <w:rPr>
                <w:rFonts w:cs="Calibri"/>
                <w:color w:val="000000"/>
                <w:szCs w:val="20"/>
              </w:rPr>
              <w:t>$</w:t>
            </w:r>
            <w:r w:rsidR="003D0BC2" w:rsidRPr="003D0BC2">
              <w:rPr>
                <w:rFonts w:cs="Calibri"/>
                <w:color w:val="000000"/>
                <w:sz w:val="2"/>
                <w:szCs w:val="20"/>
                <w:highlight w:val="black"/>
              </w:rPr>
              <w:t>redacted content</w:t>
            </w:r>
            <w:r w:rsidR="00C12472">
              <w:rPr>
                <w:rFonts w:cs="Calibri"/>
                <w:color w:val="000000"/>
                <w:szCs w:val="20"/>
                <w:vertAlign w:val="superscript"/>
              </w:rPr>
              <w:t>2</w:t>
            </w:r>
            <w:r w:rsidR="0064787B" w:rsidRPr="00F00190">
              <w:rPr>
                <w:rFonts w:cs="Calibri"/>
                <w:color w:val="000000"/>
                <w:szCs w:val="20"/>
              </w:rPr>
              <w:t>/QALY gained.</w:t>
            </w:r>
          </w:p>
        </w:tc>
      </w:tr>
      <w:tr w:rsidR="006B6EEF" w:rsidRPr="0098262F" w14:paraId="1FC8B385" w14:textId="77777777" w:rsidTr="00ED2179">
        <w:tc>
          <w:tcPr>
            <w:tcW w:w="784" w:type="pct"/>
            <w:vAlign w:val="center"/>
          </w:tcPr>
          <w:p w14:paraId="092E5182" w14:textId="77777777" w:rsidR="006B6EEF" w:rsidRPr="008C7B8B" w:rsidRDefault="006B6EEF" w:rsidP="00060FE8">
            <w:pPr>
              <w:pStyle w:val="COMTabletext"/>
              <w:ind w:left="57" w:right="57"/>
            </w:pPr>
            <w:r w:rsidRPr="008C7B8B">
              <w:t>Health state utilities</w:t>
            </w:r>
          </w:p>
        </w:tc>
        <w:tc>
          <w:tcPr>
            <w:tcW w:w="2908" w:type="pct"/>
            <w:vAlign w:val="center"/>
          </w:tcPr>
          <w:p w14:paraId="50F990E9" w14:textId="0AEC3DC7" w:rsidR="006B6EEF" w:rsidRPr="008C7B8B" w:rsidRDefault="00492BAD" w:rsidP="00060FE8">
            <w:pPr>
              <w:pStyle w:val="COMTabletext"/>
              <w:spacing w:after="60"/>
              <w:ind w:left="57" w:right="57"/>
            </w:pPr>
            <w:r>
              <w:t>P</w:t>
            </w:r>
            <w:r w:rsidR="006B6EEF" w:rsidRPr="008C7B8B">
              <w:t>rogression-free (tarlatamab) 0.910; progression-free (topotecan) 0.885; and progressed-disease 0.863.</w:t>
            </w:r>
          </w:p>
          <w:p w14:paraId="11392CB0" w14:textId="52F8000E" w:rsidR="006B6EEF" w:rsidRPr="008C7B8B" w:rsidRDefault="006B6EEF" w:rsidP="00060FE8">
            <w:pPr>
              <w:pStyle w:val="COMTabletext"/>
              <w:spacing w:after="60"/>
              <w:ind w:left="57" w:right="57"/>
              <w:rPr>
                <w:szCs w:val="20"/>
              </w:rPr>
            </w:pPr>
            <w:r w:rsidRPr="008C7B8B">
              <w:rPr>
                <w:szCs w:val="20"/>
              </w:rPr>
              <w:t xml:space="preserve">The health state utilities derived from patients with relapsed SCLC in the DeLLphi-304 trial lack face validity as they are </w:t>
            </w:r>
            <w:proofErr w:type="gramStart"/>
            <w:r w:rsidRPr="008C7B8B">
              <w:rPr>
                <w:szCs w:val="20"/>
              </w:rPr>
              <w:t>similar to</w:t>
            </w:r>
            <w:proofErr w:type="gramEnd"/>
            <w:r w:rsidRPr="008C7B8B">
              <w:rPr>
                <w:szCs w:val="20"/>
              </w:rPr>
              <w:t xml:space="preserve"> or higher than Australian general population norms</w:t>
            </w:r>
            <w:r w:rsidR="003610E8">
              <w:rPr>
                <w:szCs w:val="20"/>
              </w:rPr>
              <w:t>.</w:t>
            </w:r>
          </w:p>
          <w:p w14:paraId="597420F2" w14:textId="1820B6AF" w:rsidR="006B6EEF" w:rsidRPr="008C7B8B" w:rsidRDefault="006B6EEF" w:rsidP="00060FE8">
            <w:pPr>
              <w:pStyle w:val="COMTabletext"/>
              <w:ind w:left="57" w:right="57"/>
            </w:pPr>
            <w:r w:rsidRPr="008C7B8B">
              <w:t xml:space="preserve">Double counting of age-related utility adjustments resulted in higher utilities used over </w:t>
            </w:r>
            <w:proofErr w:type="gramStart"/>
            <w:r w:rsidRPr="008C7B8B">
              <w:t>the majority of</w:t>
            </w:r>
            <w:proofErr w:type="gramEnd"/>
            <w:r w:rsidRPr="008C7B8B">
              <w:t xml:space="preserve"> the model time horizon</w:t>
            </w:r>
            <w:r w:rsidR="00606326">
              <w:t>.</w:t>
            </w:r>
          </w:p>
        </w:tc>
        <w:tc>
          <w:tcPr>
            <w:tcW w:w="1308" w:type="pct"/>
          </w:tcPr>
          <w:p w14:paraId="33C7EF26" w14:textId="77777777" w:rsidR="006B6EEF" w:rsidRPr="00F00190" w:rsidRDefault="006B6EEF" w:rsidP="00060FE8">
            <w:pPr>
              <w:pStyle w:val="COMTabletext"/>
              <w:ind w:left="57" w:right="57"/>
            </w:pPr>
            <w:r w:rsidRPr="00F00190">
              <w:t>High, favours tarlatamab.</w:t>
            </w:r>
          </w:p>
          <w:p w14:paraId="3F5A5345" w14:textId="77777777" w:rsidR="0011754D" w:rsidRPr="00F00190" w:rsidRDefault="0011754D" w:rsidP="00060FE8">
            <w:pPr>
              <w:pStyle w:val="COMTabletext"/>
              <w:ind w:left="57" w:right="57"/>
            </w:pPr>
          </w:p>
          <w:p w14:paraId="5720C8EB" w14:textId="2BBE02C3" w:rsidR="0011754D" w:rsidRPr="00F00190" w:rsidRDefault="0011754D" w:rsidP="00060FE8">
            <w:pPr>
              <w:pStyle w:val="COMTabletext"/>
              <w:ind w:left="57" w:right="57"/>
            </w:pPr>
            <w:r w:rsidRPr="00F00190">
              <w:t xml:space="preserve">Use of alternative utilities </w:t>
            </w:r>
            <w:r w:rsidR="00A47928" w:rsidRPr="00F00190">
              <w:t>from</w:t>
            </w:r>
            <w:r w:rsidRPr="00F00190">
              <w:t xml:space="preserve"> the July 2019 atezolizumab submission </w:t>
            </w:r>
            <w:r w:rsidR="00A47928" w:rsidRPr="00F00190">
              <w:t xml:space="preserve">increased the ICER to </w:t>
            </w:r>
            <w:r w:rsidR="00A47928" w:rsidRPr="00F00190">
              <w:rPr>
                <w:rFonts w:cs="Calibri"/>
                <w:color w:val="000000"/>
                <w:szCs w:val="20"/>
              </w:rPr>
              <w:t>$</w:t>
            </w:r>
            <w:r w:rsidR="003D0BC2" w:rsidRPr="003D0BC2">
              <w:rPr>
                <w:rFonts w:cs="Calibri"/>
                <w:color w:val="000000"/>
                <w:sz w:val="2"/>
                <w:szCs w:val="20"/>
                <w:highlight w:val="black"/>
              </w:rPr>
              <w:t>redacted content</w:t>
            </w:r>
            <w:r w:rsidR="0085110D">
              <w:rPr>
                <w:rFonts w:cs="Calibri"/>
                <w:color w:val="000000"/>
                <w:szCs w:val="20"/>
                <w:vertAlign w:val="superscript"/>
              </w:rPr>
              <w:t>3</w:t>
            </w:r>
            <w:r w:rsidR="00A47928" w:rsidRPr="00F00190">
              <w:rPr>
                <w:rFonts w:cs="Calibri"/>
                <w:color w:val="000000"/>
                <w:szCs w:val="20"/>
              </w:rPr>
              <w:t>/QALY gained.</w:t>
            </w:r>
          </w:p>
        </w:tc>
      </w:tr>
    </w:tbl>
    <w:p w14:paraId="719BA81D" w14:textId="3A0D12FE" w:rsidR="006B6EEF" w:rsidRPr="0064787B" w:rsidRDefault="006B6EEF" w:rsidP="006B6EEF">
      <w:pPr>
        <w:pStyle w:val="COMTablefooter"/>
        <w:rPr>
          <w:i/>
          <w:iCs/>
        </w:rPr>
      </w:pPr>
      <w:r w:rsidRPr="0098262F">
        <w:t xml:space="preserve">Source: </w:t>
      </w:r>
      <w:r>
        <w:t>Constructed during the evaluation</w:t>
      </w:r>
      <w:r w:rsidR="00804A2F">
        <w:t xml:space="preserve"> </w:t>
      </w:r>
      <w:r w:rsidR="00804A2F" w:rsidRPr="0066212E">
        <w:t xml:space="preserve">and </w:t>
      </w:r>
      <w:r w:rsidR="0064787B" w:rsidRPr="0066212E">
        <w:t>during the development of the ESC advice.</w:t>
      </w:r>
    </w:p>
    <w:p w14:paraId="1EB1F923" w14:textId="229E75B0" w:rsidR="006B6EEF" w:rsidRDefault="006B6EEF" w:rsidP="0048460C">
      <w:pPr>
        <w:pStyle w:val="COMTablefooter"/>
        <w:spacing w:after="0"/>
      </w:pPr>
      <w:r>
        <w:t xml:space="preserve">Abbreviations: ECOG, </w:t>
      </w:r>
      <w:r w:rsidRPr="00222F9A">
        <w:t>Eastern Cooperative Oncology Group</w:t>
      </w:r>
      <w:r>
        <w:t xml:space="preserve">; </w:t>
      </w:r>
      <w:r w:rsidR="00A47928">
        <w:t xml:space="preserve">ICER, incremental cost-effectiveness ratio; </w:t>
      </w:r>
      <w:r>
        <w:t>SCLC, small cell lung cancer</w:t>
      </w:r>
      <w:r w:rsidR="00804A2F">
        <w:t>; QALY, quality adjusted life year.</w:t>
      </w:r>
    </w:p>
    <w:p w14:paraId="75B2AC41" w14:textId="77777777" w:rsidR="0048460C" w:rsidRPr="0048460C" w:rsidRDefault="0048460C" w:rsidP="0048460C">
      <w:pPr>
        <w:jc w:val="left"/>
        <w:rPr>
          <w:rFonts w:ascii="Arial Narrow" w:hAnsi="Arial Narrow" w:cstheme="minorHAnsi"/>
          <w:bCs/>
          <w:i/>
          <w:iCs/>
          <w:sz w:val="18"/>
          <w:szCs w:val="18"/>
        </w:rPr>
      </w:pPr>
      <w:r w:rsidRPr="0048460C">
        <w:rPr>
          <w:rFonts w:ascii="Arial Narrow" w:hAnsi="Arial Narrow" w:cstheme="minorHAnsi"/>
          <w:bCs/>
          <w:i/>
          <w:iCs/>
          <w:sz w:val="18"/>
          <w:szCs w:val="18"/>
        </w:rPr>
        <w:t xml:space="preserve">The redacted values correspond to the following ranges: </w:t>
      </w:r>
    </w:p>
    <w:p w14:paraId="62873611" w14:textId="0583723D" w:rsidR="0048460C" w:rsidRPr="0048460C" w:rsidRDefault="0048460C" w:rsidP="0048460C">
      <w:pPr>
        <w:jc w:val="left"/>
        <w:rPr>
          <w:rFonts w:ascii="Arial Narrow" w:hAnsi="Arial Narrow"/>
          <w:i/>
          <w:sz w:val="18"/>
          <w:szCs w:val="18"/>
        </w:rPr>
      </w:pPr>
      <w:r w:rsidRPr="0048460C">
        <w:rPr>
          <w:rFonts w:ascii="Arial Narrow" w:hAnsi="Arial Narrow"/>
          <w:i/>
          <w:sz w:val="18"/>
          <w:szCs w:val="18"/>
          <w:vertAlign w:val="superscript"/>
        </w:rPr>
        <w:t>1</w:t>
      </w:r>
      <w:r w:rsidRPr="0048460C">
        <w:rPr>
          <w:rFonts w:ascii="Arial Narrow" w:hAnsi="Arial Narrow"/>
          <w:i/>
          <w:sz w:val="18"/>
          <w:szCs w:val="18"/>
        </w:rPr>
        <w:t xml:space="preserve"> </w:t>
      </w:r>
      <w:r w:rsidR="00A1075E" w:rsidRPr="00A1075E">
        <w:rPr>
          <w:rFonts w:ascii="Arial Narrow" w:hAnsi="Arial Narrow"/>
          <w:i/>
          <w:sz w:val="18"/>
          <w:szCs w:val="18"/>
        </w:rPr>
        <w:t>$355,000 to &lt; $455,000</w:t>
      </w:r>
    </w:p>
    <w:p w14:paraId="78321F23" w14:textId="3E38CDD1" w:rsidR="0048460C" w:rsidRPr="0048460C" w:rsidRDefault="0048460C" w:rsidP="0048460C">
      <w:pPr>
        <w:jc w:val="left"/>
        <w:rPr>
          <w:rFonts w:ascii="Arial Narrow" w:hAnsi="Arial Narrow"/>
          <w:i/>
          <w:sz w:val="18"/>
          <w:szCs w:val="18"/>
        </w:rPr>
      </w:pPr>
      <w:r w:rsidRPr="0048460C">
        <w:rPr>
          <w:rFonts w:ascii="Arial Narrow" w:hAnsi="Arial Narrow"/>
          <w:i/>
          <w:sz w:val="18"/>
          <w:szCs w:val="18"/>
          <w:vertAlign w:val="superscript"/>
        </w:rPr>
        <w:t>2</w:t>
      </w:r>
      <w:r w:rsidRPr="0048460C">
        <w:rPr>
          <w:rFonts w:ascii="Arial Narrow" w:hAnsi="Arial Narrow"/>
          <w:i/>
          <w:sz w:val="18"/>
          <w:szCs w:val="18"/>
        </w:rPr>
        <w:t xml:space="preserve"> </w:t>
      </w:r>
      <w:r w:rsidR="00C12472" w:rsidRPr="00C12472">
        <w:rPr>
          <w:rFonts w:ascii="Arial Narrow" w:hAnsi="Arial Narrow"/>
          <w:i/>
          <w:sz w:val="18"/>
          <w:szCs w:val="18"/>
        </w:rPr>
        <w:t>$655,000 to &lt; $755,000</w:t>
      </w:r>
    </w:p>
    <w:p w14:paraId="35E1704F" w14:textId="28CE3DA5" w:rsidR="0048460C" w:rsidRPr="0048460C" w:rsidRDefault="0048460C" w:rsidP="0048460C">
      <w:pPr>
        <w:jc w:val="left"/>
        <w:rPr>
          <w:rFonts w:ascii="Arial Narrow" w:hAnsi="Arial Narrow"/>
          <w:i/>
          <w:sz w:val="18"/>
          <w:szCs w:val="18"/>
        </w:rPr>
      </w:pPr>
      <w:r w:rsidRPr="0048460C">
        <w:rPr>
          <w:rFonts w:ascii="Arial Narrow" w:hAnsi="Arial Narrow"/>
          <w:i/>
          <w:sz w:val="18"/>
          <w:szCs w:val="18"/>
          <w:vertAlign w:val="superscript"/>
        </w:rPr>
        <w:t>3</w:t>
      </w:r>
      <w:r w:rsidRPr="0048460C">
        <w:rPr>
          <w:rFonts w:ascii="Arial Narrow" w:hAnsi="Arial Narrow"/>
          <w:i/>
          <w:sz w:val="18"/>
          <w:szCs w:val="18"/>
        </w:rPr>
        <w:t xml:space="preserve"> </w:t>
      </w:r>
      <w:r w:rsidR="0085110D" w:rsidRPr="0085110D">
        <w:rPr>
          <w:rFonts w:ascii="Arial Narrow" w:hAnsi="Arial Narrow"/>
          <w:i/>
          <w:sz w:val="18"/>
          <w:szCs w:val="18"/>
        </w:rPr>
        <w:t>$355,000 to &lt; $455,000</w:t>
      </w:r>
    </w:p>
    <w:p w14:paraId="76ED5D68" w14:textId="77777777" w:rsidR="0048460C" w:rsidRDefault="0048460C" w:rsidP="006B6EEF">
      <w:pPr>
        <w:pStyle w:val="COMTablefooter"/>
      </w:pPr>
    </w:p>
    <w:p w14:paraId="0EF8CF16" w14:textId="0752A474" w:rsidR="00DF4553" w:rsidRPr="00A012D5" w:rsidRDefault="008F45F7" w:rsidP="00A012D5">
      <w:pPr>
        <w:pStyle w:val="COMESnumberedpara"/>
      </w:pPr>
      <w:r>
        <w:t xml:space="preserve">The results of the economic evaluation are presented in </w:t>
      </w:r>
      <w:r>
        <w:fldChar w:fldCharType="begin"/>
      </w:r>
      <w:r>
        <w:instrText xml:space="preserve"> REF _Ref104805160 \h </w:instrText>
      </w:r>
      <w:r>
        <w:fldChar w:fldCharType="separate"/>
      </w:r>
      <w:r w:rsidR="00E26586" w:rsidRPr="0098262F">
        <w:t xml:space="preserve">Table </w:t>
      </w:r>
      <w:r w:rsidR="00E26586">
        <w:rPr>
          <w:noProof/>
        </w:rPr>
        <w:t>11</w:t>
      </w:r>
      <w:r>
        <w:fldChar w:fldCharType="end"/>
      </w:r>
      <w:r>
        <w:t xml:space="preserve"> below.</w:t>
      </w:r>
    </w:p>
    <w:p w14:paraId="35AEE216" w14:textId="2DFBB1B2" w:rsidR="001B6217" w:rsidRPr="006A3BEC" w:rsidRDefault="00E16AD8" w:rsidP="001B6217">
      <w:pPr>
        <w:pStyle w:val="COMtablefigcaption"/>
      </w:pPr>
      <w:bookmarkStart w:id="63" w:name="_Ref104805160"/>
      <w:r w:rsidRPr="0098262F">
        <w:lastRenderedPageBreak/>
        <w:t xml:space="preserve">Table </w:t>
      </w:r>
      <w:r>
        <w:fldChar w:fldCharType="begin"/>
      </w:r>
      <w:r>
        <w:instrText>SEQ Table \* ARABIC</w:instrText>
      </w:r>
      <w:r>
        <w:fldChar w:fldCharType="separate"/>
      </w:r>
      <w:r w:rsidR="00E26586">
        <w:rPr>
          <w:noProof/>
        </w:rPr>
        <w:t>11</w:t>
      </w:r>
      <w:r>
        <w:fldChar w:fldCharType="end"/>
      </w:r>
      <w:bookmarkEnd w:id="63"/>
      <w:r w:rsidRPr="0098262F">
        <w:t>:</w:t>
      </w:r>
      <w:r w:rsidR="005A373D" w:rsidRPr="0098262F">
        <w:t xml:space="preserve"> </w:t>
      </w:r>
      <w:r w:rsidR="001B6217" w:rsidRPr="006A3BEC">
        <w:t>Results of the stepped economic evaluation</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Results of the stepped economic evaluation"/>
      </w:tblPr>
      <w:tblGrid>
        <w:gridCol w:w="2790"/>
        <w:gridCol w:w="2076"/>
        <w:gridCol w:w="9"/>
        <w:gridCol w:w="2069"/>
        <w:gridCol w:w="2105"/>
      </w:tblGrid>
      <w:tr w:rsidR="001B6217" w:rsidRPr="006A3BEC" w14:paraId="698546F9" w14:textId="77777777">
        <w:trPr>
          <w:tblHeader/>
        </w:trPr>
        <w:tc>
          <w:tcPr>
            <w:tcW w:w="1542" w:type="pct"/>
            <w:vAlign w:val="center"/>
          </w:tcPr>
          <w:p w14:paraId="11243B0A" w14:textId="77777777" w:rsidR="001B6217" w:rsidRPr="006A3BEC" w:rsidRDefault="001B6217">
            <w:pPr>
              <w:pStyle w:val="COMTableheadingrow"/>
            </w:pPr>
            <w:r w:rsidRPr="006A3BEC">
              <w:t>Step and component</w:t>
            </w:r>
          </w:p>
        </w:tc>
        <w:tc>
          <w:tcPr>
            <w:tcW w:w="1152" w:type="pct"/>
            <w:gridSpan w:val="2"/>
            <w:vAlign w:val="center"/>
          </w:tcPr>
          <w:p w14:paraId="35F9A854" w14:textId="77777777" w:rsidR="001B6217" w:rsidRPr="006A3BEC" w:rsidRDefault="001B6217">
            <w:pPr>
              <w:pStyle w:val="COMTableheadingrow"/>
              <w:jc w:val="center"/>
            </w:pPr>
            <w:r w:rsidRPr="006A3BEC">
              <w:t>Tarlatamab</w:t>
            </w:r>
          </w:p>
        </w:tc>
        <w:tc>
          <w:tcPr>
            <w:tcW w:w="1143" w:type="pct"/>
            <w:vAlign w:val="center"/>
          </w:tcPr>
          <w:p w14:paraId="45BB731C" w14:textId="77777777" w:rsidR="001B6217" w:rsidRPr="006A3BEC" w:rsidRDefault="001B6217">
            <w:pPr>
              <w:pStyle w:val="COMTableheadingrow"/>
              <w:jc w:val="center"/>
            </w:pPr>
            <w:r w:rsidRPr="006A3BEC">
              <w:t>SOC</w:t>
            </w:r>
          </w:p>
        </w:tc>
        <w:tc>
          <w:tcPr>
            <w:tcW w:w="1163" w:type="pct"/>
            <w:vAlign w:val="center"/>
          </w:tcPr>
          <w:p w14:paraId="433BD5C9" w14:textId="77777777" w:rsidR="001B6217" w:rsidRPr="006A3BEC" w:rsidRDefault="001B6217">
            <w:pPr>
              <w:pStyle w:val="COMTableheadingrow"/>
              <w:jc w:val="center"/>
            </w:pPr>
            <w:r w:rsidRPr="006A3BEC">
              <w:t>Increment</w:t>
            </w:r>
          </w:p>
        </w:tc>
      </w:tr>
      <w:tr w:rsidR="001B6217" w:rsidRPr="006A3BEC" w14:paraId="6CB34A29" w14:textId="77777777">
        <w:tc>
          <w:tcPr>
            <w:tcW w:w="5000" w:type="pct"/>
            <w:gridSpan w:val="5"/>
            <w:vAlign w:val="center"/>
          </w:tcPr>
          <w:p w14:paraId="3900BF2F" w14:textId="77777777" w:rsidR="001B6217" w:rsidRPr="006A3BEC" w:rsidRDefault="001B6217">
            <w:pPr>
              <w:pStyle w:val="COMTabletext"/>
              <w:rPr>
                <w:b/>
                <w:bCs w:val="0"/>
                <w:szCs w:val="20"/>
              </w:rPr>
            </w:pPr>
            <w:r w:rsidRPr="006A3BEC">
              <w:rPr>
                <w:b/>
                <w:bCs w:val="0"/>
                <w:szCs w:val="20"/>
              </w:rPr>
              <w:t xml:space="preserve">Step 1: Modelled analysis over 13.8 months based on OS, PFS, and TTD </w:t>
            </w:r>
            <w:r>
              <w:rPr>
                <w:b/>
                <w:bCs w:val="0"/>
                <w:szCs w:val="20"/>
              </w:rPr>
              <w:t xml:space="preserve">Kaplan-Meier curves </w:t>
            </w:r>
            <w:r w:rsidRPr="006A3BEC">
              <w:rPr>
                <w:b/>
                <w:bCs w:val="0"/>
                <w:szCs w:val="20"/>
              </w:rPr>
              <w:t xml:space="preserve">for </w:t>
            </w:r>
            <w:r>
              <w:rPr>
                <w:b/>
                <w:bCs w:val="0"/>
                <w:szCs w:val="20"/>
              </w:rPr>
              <w:t xml:space="preserve">the </w:t>
            </w:r>
            <w:r w:rsidRPr="006A3BEC">
              <w:rPr>
                <w:b/>
                <w:bCs w:val="0"/>
                <w:szCs w:val="20"/>
              </w:rPr>
              <w:t xml:space="preserve">tarlatamab </w:t>
            </w:r>
            <w:r>
              <w:rPr>
                <w:b/>
                <w:bCs w:val="0"/>
                <w:szCs w:val="20"/>
              </w:rPr>
              <w:t xml:space="preserve">arm and topotecan SOC subgroup </w:t>
            </w:r>
            <w:r w:rsidRPr="006A3BEC">
              <w:rPr>
                <w:b/>
                <w:bCs w:val="0"/>
                <w:szCs w:val="20"/>
              </w:rPr>
              <w:t>from DeLLphi-30</w:t>
            </w:r>
            <w:r>
              <w:rPr>
                <w:b/>
                <w:bCs w:val="0"/>
                <w:szCs w:val="20"/>
              </w:rPr>
              <w:t>4 (PFS and TTD extrapolated using standard parametric functions)</w:t>
            </w:r>
            <w:r w:rsidRPr="006A3BEC">
              <w:rPr>
                <w:b/>
                <w:bCs w:val="0"/>
                <w:szCs w:val="20"/>
              </w:rPr>
              <w:t>. Drug</w:t>
            </w:r>
            <w:r>
              <w:rPr>
                <w:b/>
                <w:bCs w:val="0"/>
                <w:szCs w:val="20"/>
              </w:rPr>
              <w:t>,</w:t>
            </w:r>
            <w:r w:rsidRPr="006A3BEC">
              <w:rPr>
                <w:b/>
                <w:bCs w:val="0"/>
                <w:szCs w:val="20"/>
              </w:rPr>
              <w:t xml:space="preserve"> administration </w:t>
            </w:r>
            <w:r>
              <w:rPr>
                <w:b/>
                <w:bCs w:val="0"/>
                <w:szCs w:val="20"/>
              </w:rPr>
              <w:t xml:space="preserve">and monitoring </w:t>
            </w:r>
            <w:r w:rsidRPr="006A3BEC">
              <w:rPr>
                <w:b/>
                <w:bCs w:val="0"/>
                <w:szCs w:val="20"/>
              </w:rPr>
              <w:t>costs included.</w:t>
            </w:r>
          </w:p>
        </w:tc>
      </w:tr>
      <w:tr w:rsidR="001B6217" w:rsidRPr="006A3BEC" w14:paraId="6F2D37D4" w14:textId="77777777">
        <w:tc>
          <w:tcPr>
            <w:tcW w:w="1542" w:type="pct"/>
            <w:vAlign w:val="center"/>
          </w:tcPr>
          <w:p w14:paraId="3530E9CD" w14:textId="77777777" w:rsidR="001B6217" w:rsidRPr="006A3BEC" w:rsidRDefault="001B6217">
            <w:pPr>
              <w:pStyle w:val="COMTabletext"/>
              <w:rPr>
                <w:szCs w:val="20"/>
              </w:rPr>
            </w:pPr>
            <w:r w:rsidRPr="006A3BEC">
              <w:rPr>
                <w:szCs w:val="20"/>
              </w:rPr>
              <w:t>Costs</w:t>
            </w:r>
            <w:r w:rsidRPr="00397429">
              <w:rPr>
                <w:szCs w:val="20"/>
                <w:vertAlign w:val="superscript"/>
              </w:rPr>
              <w:t>a</w:t>
            </w:r>
          </w:p>
        </w:tc>
        <w:tc>
          <w:tcPr>
            <w:tcW w:w="1147" w:type="pct"/>
            <w:vAlign w:val="bottom"/>
          </w:tcPr>
          <w:p w14:paraId="30862E52" w14:textId="552CA7BC" w:rsidR="001B6217" w:rsidRPr="00A4704F" w:rsidRDefault="001B6217">
            <w:pPr>
              <w:pStyle w:val="COMTabletext"/>
              <w:jc w:val="center"/>
              <w:rPr>
                <w:szCs w:val="20"/>
                <w:vertAlign w:val="superscript"/>
              </w:rPr>
            </w:pPr>
            <w:r w:rsidRPr="00A4704F">
              <w:rPr>
                <w:szCs w:val="20"/>
              </w:rPr>
              <w:t>$</w:t>
            </w:r>
            <w:r w:rsidR="003D0BC2" w:rsidRPr="003D0BC2">
              <w:rPr>
                <w:sz w:val="2"/>
                <w:szCs w:val="20"/>
                <w:highlight w:val="black"/>
              </w:rPr>
              <w:t xml:space="preserve">redacted </w:t>
            </w:r>
            <w:proofErr w:type="spellStart"/>
            <w:r w:rsidR="003D0BC2" w:rsidRPr="003D0BC2">
              <w:rPr>
                <w:sz w:val="2"/>
                <w:szCs w:val="20"/>
                <w:highlight w:val="black"/>
              </w:rPr>
              <w:t>content</w:t>
            </w:r>
            <w:r w:rsidR="00A4704F" w:rsidRPr="00A4704F">
              <w:rPr>
                <w:szCs w:val="20"/>
                <w:vertAlign w:val="superscript"/>
              </w:rPr>
              <w:t>a</w:t>
            </w:r>
            <w:proofErr w:type="spellEnd"/>
          </w:p>
        </w:tc>
        <w:tc>
          <w:tcPr>
            <w:tcW w:w="1148" w:type="pct"/>
            <w:gridSpan w:val="2"/>
            <w:vAlign w:val="bottom"/>
          </w:tcPr>
          <w:p w14:paraId="26ABD941" w14:textId="77777777" w:rsidR="001B6217" w:rsidRPr="006A3BEC" w:rsidRDefault="001B6217">
            <w:pPr>
              <w:pStyle w:val="COMTabletext"/>
              <w:jc w:val="center"/>
              <w:rPr>
                <w:szCs w:val="20"/>
              </w:rPr>
            </w:pPr>
            <w:r w:rsidRPr="00397429">
              <w:rPr>
                <w:szCs w:val="20"/>
              </w:rPr>
              <w:t>$10,028</w:t>
            </w:r>
          </w:p>
        </w:tc>
        <w:tc>
          <w:tcPr>
            <w:tcW w:w="1163" w:type="pct"/>
            <w:vAlign w:val="bottom"/>
          </w:tcPr>
          <w:p w14:paraId="29BA67CF" w14:textId="04229042" w:rsidR="001B6217" w:rsidRPr="00A4704F" w:rsidRDefault="001B6217">
            <w:pPr>
              <w:pStyle w:val="COMTabletext"/>
              <w:jc w:val="center"/>
              <w:rPr>
                <w:szCs w:val="20"/>
              </w:rPr>
            </w:pPr>
            <w:r w:rsidRPr="00A4704F">
              <w:rPr>
                <w:szCs w:val="20"/>
              </w:rPr>
              <w:t>$</w:t>
            </w:r>
            <w:r w:rsidR="003D0BC2" w:rsidRPr="003D0BC2">
              <w:rPr>
                <w:sz w:val="2"/>
                <w:szCs w:val="20"/>
                <w:highlight w:val="black"/>
              </w:rPr>
              <w:t>redacted content</w:t>
            </w:r>
            <w:r w:rsidR="00A4704F" w:rsidRPr="00A4704F">
              <w:rPr>
                <w:szCs w:val="20"/>
                <w:vertAlign w:val="superscript"/>
              </w:rPr>
              <w:t xml:space="preserve"> a</w:t>
            </w:r>
          </w:p>
        </w:tc>
      </w:tr>
      <w:tr w:rsidR="001B6217" w:rsidRPr="006A3BEC" w14:paraId="33AFA634" w14:textId="77777777">
        <w:tc>
          <w:tcPr>
            <w:tcW w:w="1542" w:type="pct"/>
            <w:vAlign w:val="center"/>
          </w:tcPr>
          <w:p w14:paraId="34C3B2BB" w14:textId="77777777" w:rsidR="001B6217" w:rsidRPr="006A3BEC" w:rsidRDefault="001B6217">
            <w:pPr>
              <w:pStyle w:val="COMTabletext"/>
              <w:rPr>
                <w:szCs w:val="20"/>
              </w:rPr>
            </w:pPr>
            <w:r w:rsidRPr="006A3BEC">
              <w:rPr>
                <w:szCs w:val="20"/>
              </w:rPr>
              <w:t>Life years</w:t>
            </w:r>
          </w:p>
        </w:tc>
        <w:tc>
          <w:tcPr>
            <w:tcW w:w="1147" w:type="pct"/>
            <w:vAlign w:val="bottom"/>
          </w:tcPr>
          <w:p w14:paraId="52AC8D5E" w14:textId="77777777" w:rsidR="001B6217" w:rsidRPr="00397429" w:rsidRDefault="001B6217">
            <w:pPr>
              <w:pStyle w:val="COMTabletext"/>
              <w:jc w:val="center"/>
              <w:rPr>
                <w:szCs w:val="20"/>
              </w:rPr>
            </w:pPr>
            <w:r w:rsidRPr="00397429">
              <w:rPr>
                <w:szCs w:val="20"/>
              </w:rPr>
              <w:t>0.8526</w:t>
            </w:r>
          </w:p>
        </w:tc>
        <w:tc>
          <w:tcPr>
            <w:tcW w:w="1148" w:type="pct"/>
            <w:gridSpan w:val="2"/>
            <w:vAlign w:val="bottom"/>
          </w:tcPr>
          <w:p w14:paraId="40B83C65" w14:textId="77777777" w:rsidR="001B6217" w:rsidRPr="006A3BEC" w:rsidRDefault="001B6217">
            <w:pPr>
              <w:pStyle w:val="COMTabletext"/>
              <w:jc w:val="center"/>
              <w:rPr>
                <w:szCs w:val="20"/>
              </w:rPr>
            </w:pPr>
            <w:r w:rsidRPr="00397429">
              <w:rPr>
                <w:szCs w:val="20"/>
              </w:rPr>
              <w:t>0.6777</w:t>
            </w:r>
          </w:p>
        </w:tc>
        <w:tc>
          <w:tcPr>
            <w:tcW w:w="1163" w:type="pct"/>
            <w:vAlign w:val="bottom"/>
          </w:tcPr>
          <w:p w14:paraId="76F1C215" w14:textId="77777777" w:rsidR="001B6217" w:rsidRPr="006A3BEC" w:rsidRDefault="001B6217">
            <w:pPr>
              <w:pStyle w:val="COMTabletext"/>
              <w:jc w:val="center"/>
              <w:rPr>
                <w:szCs w:val="20"/>
              </w:rPr>
            </w:pPr>
            <w:r w:rsidRPr="00397429">
              <w:rPr>
                <w:szCs w:val="20"/>
              </w:rPr>
              <w:t>0.1749</w:t>
            </w:r>
          </w:p>
        </w:tc>
      </w:tr>
      <w:tr w:rsidR="001B6217" w:rsidRPr="006A3BEC" w14:paraId="5E5F6425" w14:textId="77777777">
        <w:tc>
          <w:tcPr>
            <w:tcW w:w="3837" w:type="pct"/>
            <w:gridSpan w:val="4"/>
            <w:vAlign w:val="center"/>
          </w:tcPr>
          <w:p w14:paraId="7487D50E" w14:textId="77777777" w:rsidR="001B6217" w:rsidRPr="006A3BEC" w:rsidRDefault="001B6217">
            <w:pPr>
              <w:pStyle w:val="COMTabletext"/>
              <w:rPr>
                <w:szCs w:val="20"/>
              </w:rPr>
            </w:pPr>
            <w:r w:rsidRPr="006A3BEC">
              <w:rPr>
                <w:szCs w:val="20"/>
              </w:rPr>
              <w:t>Incremental cost</w:t>
            </w:r>
            <w:r>
              <w:rPr>
                <w:szCs w:val="20"/>
              </w:rPr>
              <w:t xml:space="preserve"> per </w:t>
            </w:r>
            <w:r w:rsidRPr="006A3BEC">
              <w:rPr>
                <w:szCs w:val="20"/>
              </w:rPr>
              <w:t>life year gained</w:t>
            </w:r>
          </w:p>
        </w:tc>
        <w:tc>
          <w:tcPr>
            <w:tcW w:w="1163" w:type="pct"/>
            <w:vAlign w:val="center"/>
          </w:tcPr>
          <w:p w14:paraId="1A0574D2" w14:textId="7D4D600C" w:rsidR="001B6217" w:rsidRPr="00A4704F" w:rsidRDefault="001B6217">
            <w:pPr>
              <w:pStyle w:val="COMTabletext"/>
              <w:jc w:val="center"/>
              <w:rPr>
                <w:szCs w:val="20"/>
              </w:rPr>
            </w:pPr>
            <w:r w:rsidRPr="00A4704F">
              <w:rPr>
                <w:szCs w:val="20"/>
              </w:rPr>
              <w:t>$</w:t>
            </w:r>
            <w:r w:rsidR="003D0BC2" w:rsidRPr="003D0BC2">
              <w:rPr>
                <w:sz w:val="2"/>
                <w:szCs w:val="20"/>
                <w:highlight w:val="black"/>
              </w:rPr>
              <w:t>redacted content</w:t>
            </w:r>
            <w:r w:rsidR="00890B41">
              <w:rPr>
                <w:szCs w:val="20"/>
                <w:vertAlign w:val="superscript"/>
              </w:rPr>
              <w:t>1</w:t>
            </w:r>
            <w:r w:rsidR="00A4704F" w:rsidRPr="00A4704F">
              <w:rPr>
                <w:szCs w:val="20"/>
                <w:vertAlign w:val="superscript"/>
              </w:rPr>
              <w:t xml:space="preserve"> a</w:t>
            </w:r>
          </w:p>
        </w:tc>
      </w:tr>
      <w:tr w:rsidR="001B6217" w:rsidRPr="006A3BEC" w14:paraId="4E9A6406" w14:textId="77777777">
        <w:tc>
          <w:tcPr>
            <w:tcW w:w="5000" w:type="pct"/>
            <w:gridSpan w:val="5"/>
            <w:vAlign w:val="center"/>
          </w:tcPr>
          <w:p w14:paraId="0C91C0B4" w14:textId="77777777" w:rsidR="001B6217" w:rsidRPr="006A3BEC" w:rsidRDefault="001B6217">
            <w:pPr>
              <w:pStyle w:val="COMTableheadingrow"/>
            </w:pPr>
            <w:r w:rsidRPr="006A3BEC">
              <w:t xml:space="preserve">Step 2: </w:t>
            </w:r>
            <w:r>
              <w:t>As for Step 1, with time horizon extrapolated to 10 years using standard parametric functions.</w:t>
            </w:r>
          </w:p>
        </w:tc>
      </w:tr>
      <w:tr w:rsidR="001B6217" w:rsidRPr="006A3BEC" w14:paraId="0806EF92" w14:textId="77777777">
        <w:tc>
          <w:tcPr>
            <w:tcW w:w="1542" w:type="pct"/>
            <w:vAlign w:val="center"/>
          </w:tcPr>
          <w:p w14:paraId="13FC2195" w14:textId="77777777" w:rsidR="001B6217" w:rsidRPr="006A3BEC" w:rsidRDefault="001B6217">
            <w:pPr>
              <w:pStyle w:val="COMTabletext"/>
              <w:rPr>
                <w:szCs w:val="20"/>
              </w:rPr>
            </w:pPr>
            <w:r w:rsidRPr="006A3BEC">
              <w:rPr>
                <w:szCs w:val="20"/>
              </w:rPr>
              <w:t>Costs</w:t>
            </w:r>
            <w:r w:rsidRPr="0013580B">
              <w:rPr>
                <w:szCs w:val="20"/>
                <w:vertAlign w:val="superscript"/>
              </w:rPr>
              <w:t>b</w:t>
            </w:r>
          </w:p>
        </w:tc>
        <w:tc>
          <w:tcPr>
            <w:tcW w:w="1147" w:type="pct"/>
            <w:vAlign w:val="bottom"/>
          </w:tcPr>
          <w:p w14:paraId="4AA11E14" w14:textId="4117DCC1" w:rsidR="001B6217" w:rsidRPr="00A4704F" w:rsidRDefault="001B6217">
            <w:pPr>
              <w:pStyle w:val="COMTabletext"/>
              <w:jc w:val="center"/>
              <w:rPr>
                <w:szCs w:val="20"/>
                <w:vertAlign w:val="superscript"/>
              </w:rPr>
            </w:pPr>
            <w:r w:rsidRPr="00A4704F">
              <w:rPr>
                <w:szCs w:val="20"/>
              </w:rPr>
              <w:t>$</w:t>
            </w:r>
            <w:r w:rsidR="003D0BC2" w:rsidRPr="003D0BC2">
              <w:rPr>
                <w:sz w:val="2"/>
                <w:szCs w:val="20"/>
                <w:highlight w:val="black"/>
              </w:rPr>
              <w:t xml:space="preserve">redacted </w:t>
            </w:r>
            <w:proofErr w:type="spellStart"/>
            <w:r w:rsidR="003D0BC2" w:rsidRPr="003D0BC2">
              <w:rPr>
                <w:sz w:val="2"/>
                <w:szCs w:val="20"/>
                <w:highlight w:val="black"/>
              </w:rPr>
              <w:t>content</w:t>
            </w:r>
            <w:r w:rsidR="00A4704F" w:rsidRPr="00A4704F">
              <w:rPr>
                <w:szCs w:val="20"/>
                <w:vertAlign w:val="superscript"/>
              </w:rPr>
              <w:t>a</w:t>
            </w:r>
            <w:proofErr w:type="spellEnd"/>
          </w:p>
        </w:tc>
        <w:tc>
          <w:tcPr>
            <w:tcW w:w="1148" w:type="pct"/>
            <w:gridSpan w:val="2"/>
            <w:vAlign w:val="bottom"/>
          </w:tcPr>
          <w:p w14:paraId="220BD403" w14:textId="77777777" w:rsidR="001B6217" w:rsidRPr="006A3BEC" w:rsidRDefault="001B6217">
            <w:pPr>
              <w:pStyle w:val="COMTabletext"/>
              <w:jc w:val="center"/>
              <w:rPr>
                <w:szCs w:val="20"/>
              </w:rPr>
            </w:pPr>
            <w:r w:rsidRPr="0013580B">
              <w:rPr>
                <w:szCs w:val="20"/>
              </w:rPr>
              <w:t>$10,332</w:t>
            </w:r>
          </w:p>
        </w:tc>
        <w:tc>
          <w:tcPr>
            <w:tcW w:w="1163" w:type="pct"/>
            <w:vAlign w:val="bottom"/>
          </w:tcPr>
          <w:p w14:paraId="3AD13C66" w14:textId="0B0E4072" w:rsidR="001B6217" w:rsidRPr="00A4704F" w:rsidRDefault="001B6217">
            <w:pPr>
              <w:pStyle w:val="COMTabletext"/>
              <w:jc w:val="center"/>
              <w:rPr>
                <w:szCs w:val="20"/>
              </w:rPr>
            </w:pPr>
            <w:r w:rsidRPr="00A4704F">
              <w:rPr>
                <w:szCs w:val="20"/>
              </w:rPr>
              <w:t>$</w:t>
            </w:r>
            <w:r w:rsidR="003D0BC2" w:rsidRPr="003D0BC2">
              <w:rPr>
                <w:sz w:val="2"/>
                <w:szCs w:val="20"/>
                <w:highlight w:val="black"/>
              </w:rPr>
              <w:t>redacted content</w:t>
            </w:r>
            <w:r w:rsidR="00A4704F" w:rsidRPr="00A4704F">
              <w:rPr>
                <w:szCs w:val="20"/>
                <w:vertAlign w:val="superscript"/>
              </w:rPr>
              <w:t xml:space="preserve"> a</w:t>
            </w:r>
          </w:p>
        </w:tc>
      </w:tr>
      <w:tr w:rsidR="001B6217" w:rsidRPr="006A3BEC" w14:paraId="7375A52A" w14:textId="77777777">
        <w:tc>
          <w:tcPr>
            <w:tcW w:w="1542" w:type="pct"/>
            <w:vAlign w:val="center"/>
          </w:tcPr>
          <w:p w14:paraId="0D2177B4" w14:textId="77777777" w:rsidR="001B6217" w:rsidRPr="006A3BEC" w:rsidRDefault="001B6217">
            <w:pPr>
              <w:pStyle w:val="COMTabletext"/>
              <w:rPr>
                <w:szCs w:val="20"/>
              </w:rPr>
            </w:pPr>
            <w:r w:rsidRPr="006A3BEC">
              <w:rPr>
                <w:szCs w:val="20"/>
              </w:rPr>
              <w:t>Life years</w:t>
            </w:r>
          </w:p>
        </w:tc>
        <w:tc>
          <w:tcPr>
            <w:tcW w:w="1147" w:type="pct"/>
            <w:vAlign w:val="bottom"/>
          </w:tcPr>
          <w:p w14:paraId="57F9E8B0" w14:textId="77777777" w:rsidR="001B6217" w:rsidRPr="006A3BEC" w:rsidRDefault="001B6217">
            <w:pPr>
              <w:pStyle w:val="COMTabletext"/>
              <w:jc w:val="center"/>
              <w:rPr>
                <w:szCs w:val="20"/>
              </w:rPr>
            </w:pPr>
            <w:r w:rsidRPr="0013580B">
              <w:rPr>
                <w:szCs w:val="20"/>
              </w:rPr>
              <w:t>2.4129</w:t>
            </w:r>
          </w:p>
        </w:tc>
        <w:tc>
          <w:tcPr>
            <w:tcW w:w="1148" w:type="pct"/>
            <w:gridSpan w:val="2"/>
            <w:vAlign w:val="bottom"/>
          </w:tcPr>
          <w:p w14:paraId="29609FE6" w14:textId="77777777" w:rsidR="001B6217" w:rsidRPr="006A3BEC" w:rsidRDefault="001B6217">
            <w:pPr>
              <w:pStyle w:val="COMTabletext"/>
              <w:jc w:val="center"/>
              <w:rPr>
                <w:szCs w:val="20"/>
              </w:rPr>
            </w:pPr>
            <w:r w:rsidRPr="0013580B">
              <w:rPr>
                <w:szCs w:val="20"/>
              </w:rPr>
              <w:t>0.9694</w:t>
            </w:r>
          </w:p>
        </w:tc>
        <w:tc>
          <w:tcPr>
            <w:tcW w:w="1163" w:type="pct"/>
            <w:vAlign w:val="bottom"/>
          </w:tcPr>
          <w:p w14:paraId="7AE30CF9" w14:textId="77777777" w:rsidR="001B6217" w:rsidRPr="006A3BEC" w:rsidRDefault="001B6217">
            <w:pPr>
              <w:pStyle w:val="COMTabletext"/>
              <w:jc w:val="center"/>
              <w:rPr>
                <w:szCs w:val="20"/>
              </w:rPr>
            </w:pPr>
            <w:r w:rsidRPr="0013580B">
              <w:rPr>
                <w:szCs w:val="20"/>
              </w:rPr>
              <w:t>1.4434</w:t>
            </w:r>
          </w:p>
        </w:tc>
      </w:tr>
      <w:tr w:rsidR="001B6217" w:rsidRPr="006A3BEC" w14:paraId="66229863" w14:textId="77777777">
        <w:tc>
          <w:tcPr>
            <w:tcW w:w="3837" w:type="pct"/>
            <w:gridSpan w:val="4"/>
            <w:vAlign w:val="center"/>
          </w:tcPr>
          <w:p w14:paraId="034E2E14" w14:textId="77777777" w:rsidR="001B6217" w:rsidRPr="006A3BEC" w:rsidRDefault="001B6217">
            <w:pPr>
              <w:pStyle w:val="COMTabletext"/>
              <w:rPr>
                <w:szCs w:val="20"/>
              </w:rPr>
            </w:pPr>
            <w:r w:rsidRPr="006A3BEC">
              <w:rPr>
                <w:szCs w:val="20"/>
              </w:rPr>
              <w:t>Incremental cost</w:t>
            </w:r>
            <w:r>
              <w:rPr>
                <w:szCs w:val="20"/>
              </w:rPr>
              <w:t xml:space="preserve"> per </w:t>
            </w:r>
            <w:r w:rsidRPr="006A3BEC">
              <w:rPr>
                <w:szCs w:val="20"/>
              </w:rPr>
              <w:t>life year gained</w:t>
            </w:r>
          </w:p>
        </w:tc>
        <w:tc>
          <w:tcPr>
            <w:tcW w:w="1163" w:type="pct"/>
            <w:vAlign w:val="center"/>
          </w:tcPr>
          <w:p w14:paraId="694A6571" w14:textId="52075CAF" w:rsidR="001B6217" w:rsidRPr="00A4704F" w:rsidRDefault="001B6217">
            <w:pPr>
              <w:pStyle w:val="COMTabletext"/>
              <w:jc w:val="center"/>
              <w:rPr>
                <w:szCs w:val="20"/>
              </w:rPr>
            </w:pPr>
            <w:r w:rsidRPr="00A4704F">
              <w:rPr>
                <w:szCs w:val="20"/>
              </w:rPr>
              <w:t>$</w:t>
            </w:r>
            <w:r w:rsidR="003D0BC2" w:rsidRPr="003D0BC2">
              <w:rPr>
                <w:sz w:val="2"/>
                <w:szCs w:val="20"/>
                <w:highlight w:val="black"/>
              </w:rPr>
              <w:t>redacted content</w:t>
            </w:r>
            <w:r w:rsidR="00FC46B1">
              <w:rPr>
                <w:szCs w:val="20"/>
                <w:vertAlign w:val="superscript"/>
              </w:rPr>
              <w:t>2</w:t>
            </w:r>
            <w:r w:rsidR="00A4704F" w:rsidRPr="00A4704F">
              <w:rPr>
                <w:szCs w:val="20"/>
                <w:vertAlign w:val="superscript"/>
              </w:rPr>
              <w:t xml:space="preserve"> a</w:t>
            </w:r>
          </w:p>
        </w:tc>
      </w:tr>
      <w:tr w:rsidR="001B6217" w:rsidRPr="006A3BEC" w14:paraId="356466B0" w14:textId="77777777">
        <w:tc>
          <w:tcPr>
            <w:tcW w:w="5000" w:type="pct"/>
            <w:gridSpan w:val="5"/>
            <w:vAlign w:val="center"/>
          </w:tcPr>
          <w:p w14:paraId="583CF3DE" w14:textId="77777777" w:rsidR="001B6217" w:rsidRPr="006A3BEC" w:rsidRDefault="001B6217">
            <w:pPr>
              <w:pStyle w:val="COMTableheadingrow"/>
            </w:pPr>
            <w:r w:rsidRPr="006A3BEC">
              <w:t xml:space="preserve">Step 3: As for Step 2, </w:t>
            </w:r>
            <w:r>
              <w:t>with 5% annual discount rate applied to costs and outcomes.</w:t>
            </w:r>
          </w:p>
        </w:tc>
      </w:tr>
      <w:tr w:rsidR="001B6217" w:rsidRPr="006A3BEC" w14:paraId="442FE43B" w14:textId="77777777">
        <w:tc>
          <w:tcPr>
            <w:tcW w:w="1542" w:type="pct"/>
            <w:vAlign w:val="center"/>
          </w:tcPr>
          <w:p w14:paraId="67C43C03" w14:textId="77777777" w:rsidR="001B6217" w:rsidRPr="006A3BEC" w:rsidRDefault="001B6217">
            <w:pPr>
              <w:pStyle w:val="COMTabletext"/>
              <w:rPr>
                <w:szCs w:val="20"/>
              </w:rPr>
            </w:pPr>
            <w:r w:rsidRPr="006A3BEC">
              <w:rPr>
                <w:szCs w:val="20"/>
              </w:rPr>
              <w:t>Costs</w:t>
            </w:r>
            <w:r w:rsidRPr="0013580B">
              <w:rPr>
                <w:szCs w:val="20"/>
                <w:vertAlign w:val="superscript"/>
              </w:rPr>
              <w:t>b</w:t>
            </w:r>
          </w:p>
        </w:tc>
        <w:tc>
          <w:tcPr>
            <w:tcW w:w="1147" w:type="pct"/>
            <w:vAlign w:val="bottom"/>
          </w:tcPr>
          <w:p w14:paraId="6E3F2344" w14:textId="4043F223" w:rsidR="001B6217" w:rsidRPr="00A4704F" w:rsidRDefault="001B6217">
            <w:pPr>
              <w:pStyle w:val="COMTabletext"/>
              <w:jc w:val="center"/>
              <w:rPr>
                <w:szCs w:val="20"/>
                <w:vertAlign w:val="superscript"/>
              </w:rPr>
            </w:pPr>
            <w:r w:rsidRPr="00A4704F">
              <w:rPr>
                <w:szCs w:val="20"/>
              </w:rPr>
              <w:t>$</w:t>
            </w:r>
            <w:r w:rsidR="003D0BC2" w:rsidRPr="003D0BC2">
              <w:rPr>
                <w:sz w:val="2"/>
                <w:szCs w:val="20"/>
                <w:highlight w:val="black"/>
              </w:rPr>
              <w:t xml:space="preserve">redacted </w:t>
            </w:r>
            <w:proofErr w:type="spellStart"/>
            <w:r w:rsidR="003D0BC2" w:rsidRPr="003D0BC2">
              <w:rPr>
                <w:sz w:val="2"/>
                <w:szCs w:val="20"/>
                <w:highlight w:val="black"/>
              </w:rPr>
              <w:t>content</w:t>
            </w:r>
            <w:r w:rsidR="00A4704F" w:rsidRPr="00A4704F">
              <w:rPr>
                <w:szCs w:val="20"/>
                <w:vertAlign w:val="superscript"/>
              </w:rPr>
              <w:t>a</w:t>
            </w:r>
            <w:proofErr w:type="spellEnd"/>
          </w:p>
        </w:tc>
        <w:tc>
          <w:tcPr>
            <w:tcW w:w="1148" w:type="pct"/>
            <w:gridSpan w:val="2"/>
            <w:vAlign w:val="bottom"/>
          </w:tcPr>
          <w:p w14:paraId="0738E24A" w14:textId="77777777" w:rsidR="001B6217" w:rsidRPr="006A3BEC" w:rsidRDefault="001B6217">
            <w:pPr>
              <w:pStyle w:val="COMTabletext"/>
              <w:jc w:val="center"/>
              <w:rPr>
                <w:szCs w:val="20"/>
              </w:rPr>
            </w:pPr>
            <w:r w:rsidRPr="0013580B">
              <w:rPr>
                <w:szCs w:val="20"/>
              </w:rPr>
              <w:t>$10,308</w:t>
            </w:r>
          </w:p>
        </w:tc>
        <w:tc>
          <w:tcPr>
            <w:tcW w:w="1163" w:type="pct"/>
            <w:vAlign w:val="bottom"/>
          </w:tcPr>
          <w:p w14:paraId="2C4DEAA7" w14:textId="4C22A073" w:rsidR="001B6217" w:rsidRPr="00A4704F" w:rsidRDefault="001B6217">
            <w:pPr>
              <w:pStyle w:val="COMTabletext"/>
              <w:jc w:val="center"/>
              <w:rPr>
                <w:szCs w:val="20"/>
              </w:rPr>
            </w:pPr>
            <w:r w:rsidRPr="00A4704F">
              <w:rPr>
                <w:szCs w:val="20"/>
              </w:rPr>
              <w:t>$</w:t>
            </w:r>
            <w:r w:rsidR="003D0BC2" w:rsidRPr="003D0BC2">
              <w:rPr>
                <w:sz w:val="2"/>
                <w:szCs w:val="20"/>
                <w:highlight w:val="black"/>
              </w:rPr>
              <w:t>redacted content</w:t>
            </w:r>
            <w:r w:rsidR="00A4704F" w:rsidRPr="00A4704F">
              <w:rPr>
                <w:szCs w:val="20"/>
                <w:vertAlign w:val="superscript"/>
              </w:rPr>
              <w:t xml:space="preserve"> a</w:t>
            </w:r>
          </w:p>
        </w:tc>
      </w:tr>
      <w:tr w:rsidR="001B6217" w:rsidRPr="006A3BEC" w14:paraId="1F942235" w14:textId="77777777">
        <w:tc>
          <w:tcPr>
            <w:tcW w:w="1542" w:type="pct"/>
            <w:vAlign w:val="center"/>
          </w:tcPr>
          <w:p w14:paraId="7C5383EC" w14:textId="77777777" w:rsidR="001B6217" w:rsidRPr="006A3BEC" w:rsidRDefault="001B6217">
            <w:pPr>
              <w:pStyle w:val="COMTabletext"/>
              <w:rPr>
                <w:szCs w:val="20"/>
              </w:rPr>
            </w:pPr>
            <w:r w:rsidRPr="006A3BEC">
              <w:rPr>
                <w:szCs w:val="20"/>
              </w:rPr>
              <w:t>Life years</w:t>
            </w:r>
          </w:p>
        </w:tc>
        <w:tc>
          <w:tcPr>
            <w:tcW w:w="1147" w:type="pct"/>
            <w:vAlign w:val="bottom"/>
          </w:tcPr>
          <w:p w14:paraId="2AF8E26E" w14:textId="77777777" w:rsidR="001B6217" w:rsidRPr="006A3BEC" w:rsidRDefault="001B6217">
            <w:pPr>
              <w:pStyle w:val="COMTabletext"/>
              <w:jc w:val="center"/>
              <w:rPr>
                <w:szCs w:val="20"/>
              </w:rPr>
            </w:pPr>
            <w:r w:rsidRPr="0013580B">
              <w:rPr>
                <w:szCs w:val="20"/>
              </w:rPr>
              <w:t>2.1565</w:t>
            </w:r>
          </w:p>
        </w:tc>
        <w:tc>
          <w:tcPr>
            <w:tcW w:w="1148" w:type="pct"/>
            <w:gridSpan w:val="2"/>
            <w:vAlign w:val="bottom"/>
          </w:tcPr>
          <w:p w14:paraId="29136CCE" w14:textId="77777777" w:rsidR="001B6217" w:rsidRPr="006A3BEC" w:rsidRDefault="001B6217">
            <w:pPr>
              <w:pStyle w:val="COMTabletext"/>
              <w:jc w:val="center"/>
              <w:rPr>
                <w:szCs w:val="20"/>
              </w:rPr>
            </w:pPr>
            <w:r w:rsidRPr="0013580B">
              <w:rPr>
                <w:szCs w:val="20"/>
              </w:rPr>
              <w:t>0.9451</w:t>
            </w:r>
          </w:p>
        </w:tc>
        <w:tc>
          <w:tcPr>
            <w:tcW w:w="1163" w:type="pct"/>
            <w:vAlign w:val="bottom"/>
          </w:tcPr>
          <w:p w14:paraId="6941E251" w14:textId="77777777" w:rsidR="001B6217" w:rsidRPr="006A3BEC" w:rsidRDefault="001B6217">
            <w:pPr>
              <w:pStyle w:val="COMTabletext"/>
              <w:jc w:val="center"/>
              <w:rPr>
                <w:szCs w:val="20"/>
              </w:rPr>
            </w:pPr>
            <w:r w:rsidRPr="0013580B">
              <w:rPr>
                <w:szCs w:val="20"/>
              </w:rPr>
              <w:t>1.2114</w:t>
            </w:r>
          </w:p>
        </w:tc>
      </w:tr>
      <w:tr w:rsidR="001B6217" w:rsidRPr="006A3BEC" w14:paraId="64D08D88" w14:textId="77777777">
        <w:tc>
          <w:tcPr>
            <w:tcW w:w="3837" w:type="pct"/>
            <w:gridSpan w:val="4"/>
            <w:vAlign w:val="center"/>
          </w:tcPr>
          <w:p w14:paraId="10F10A7F" w14:textId="77777777" w:rsidR="001B6217" w:rsidRPr="006A3BEC" w:rsidRDefault="001B6217">
            <w:pPr>
              <w:pStyle w:val="COMTabletext"/>
              <w:rPr>
                <w:szCs w:val="20"/>
              </w:rPr>
            </w:pPr>
            <w:r w:rsidRPr="006A3BEC">
              <w:rPr>
                <w:szCs w:val="20"/>
              </w:rPr>
              <w:t>Incremental cost</w:t>
            </w:r>
            <w:r>
              <w:rPr>
                <w:szCs w:val="20"/>
              </w:rPr>
              <w:t xml:space="preserve"> per </w:t>
            </w:r>
            <w:r w:rsidRPr="006A3BEC">
              <w:rPr>
                <w:szCs w:val="20"/>
              </w:rPr>
              <w:t>life year gained</w:t>
            </w:r>
          </w:p>
        </w:tc>
        <w:tc>
          <w:tcPr>
            <w:tcW w:w="1163" w:type="pct"/>
            <w:vAlign w:val="center"/>
          </w:tcPr>
          <w:p w14:paraId="0A2C694E" w14:textId="232F43B2" w:rsidR="001B6217" w:rsidRPr="00A4704F" w:rsidRDefault="001B6217">
            <w:pPr>
              <w:pStyle w:val="COMTabletext"/>
              <w:jc w:val="center"/>
              <w:rPr>
                <w:szCs w:val="20"/>
              </w:rPr>
            </w:pPr>
            <w:r w:rsidRPr="00A4704F">
              <w:rPr>
                <w:szCs w:val="20"/>
              </w:rPr>
              <w:t>$</w:t>
            </w:r>
            <w:r w:rsidR="003D0BC2" w:rsidRPr="003D0BC2">
              <w:rPr>
                <w:sz w:val="2"/>
                <w:szCs w:val="20"/>
                <w:highlight w:val="black"/>
              </w:rPr>
              <w:t>redacted content</w:t>
            </w:r>
            <w:r w:rsidR="00FC46B1">
              <w:rPr>
                <w:szCs w:val="20"/>
                <w:vertAlign w:val="superscript"/>
              </w:rPr>
              <w:t>2</w:t>
            </w:r>
            <w:r w:rsidR="00A4704F" w:rsidRPr="00A4704F">
              <w:rPr>
                <w:szCs w:val="20"/>
                <w:vertAlign w:val="superscript"/>
              </w:rPr>
              <w:t xml:space="preserve"> a</w:t>
            </w:r>
          </w:p>
        </w:tc>
      </w:tr>
      <w:tr w:rsidR="001B6217" w:rsidRPr="006A3BEC" w14:paraId="3915974D" w14:textId="77777777">
        <w:tc>
          <w:tcPr>
            <w:tcW w:w="5000" w:type="pct"/>
            <w:gridSpan w:val="5"/>
            <w:vAlign w:val="center"/>
          </w:tcPr>
          <w:p w14:paraId="2FD27D17" w14:textId="77777777" w:rsidR="001B6217" w:rsidRPr="006A3BEC" w:rsidRDefault="001B6217">
            <w:pPr>
              <w:pStyle w:val="COMTableheadingrow"/>
            </w:pPr>
            <w:r w:rsidRPr="006A3BEC">
              <w:t>Step 4: As for Step 3,</w:t>
            </w:r>
            <w:r>
              <w:t xml:space="preserve"> </w:t>
            </w:r>
            <w:r w:rsidRPr="0013580B">
              <w:t>with DeLLphi-304 trial-based utilities applied to time spent in the progression-free and progressed disease state</w:t>
            </w:r>
            <w:r w:rsidRPr="006A3BEC">
              <w:t>.</w:t>
            </w:r>
          </w:p>
        </w:tc>
      </w:tr>
      <w:tr w:rsidR="001B6217" w:rsidRPr="006A3BEC" w14:paraId="2A220492" w14:textId="77777777">
        <w:tc>
          <w:tcPr>
            <w:tcW w:w="1542" w:type="pct"/>
            <w:vAlign w:val="center"/>
          </w:tcPr>
          <w:p w14:paraId="0C5A2471" w14:textId="77777777" w:rsidR="001B6217" w:rsidRPr="006A3BEC" w:rsidRDefault="001B6217">
            <w:pPr>
              <w:pStyle w:val="COMTabletext"/>
              <w:rPr>
                <w:szCs w:val="20"/>
              </w:rPr>
            </w:pPr>
            <w:r w:rsidRPr="006A3BEC">
              <w:rPr>
                <w:szCs w:val="20"/>
              </w:rPr>
              <w:t>Costs</w:t>
            </w:r>
            <w:r w:rsidRPr="0013580B">
              <w:rPr>
                <w:szCs w:val="20"/>
                <w:vertAlign w:val="superscript"/>
              </w:rPr>
              <w:t>b</w:t>
            </w:r>
          </w:p>
        </w:tc>
        <w:tc>
          <w:tcPr>
            <w:tcW w:w="1147" w:type="pct"/>
          </w:tcPr>
          <w:p w14:paraId="7934B0C1" w14:textId="522CF202" w:rsidR="001B6217" w:rsidRPr="00A4704F" w:rsidRDefault="001B6217">
            <w:pPr>
              <w:pStyle w:val="COMTabletext"/>
              <w:jc w:val="center"/>
              <w:rPr>
                <w:szCs w:val="20"/>
                <w:vertAlign w:val="superscript"/>
              </w:rPr>
            </w:pPr>
            <w:r w:rsidRPr="00A4704F">
              <w:t>$</w:t>
            </w:r>
            <w:r w:rsidR="003D0BC2" w:rsidRPr="003D0BC2">
              <w:rPr>
                <w:sz w:val="2"/>
                <w:highlight w:val="black"/>
              </w:rPr>
              <w:t xml:space="preserve">redacted </w:t>
            </w:r>
            <w:proofErr w:type="spellStart"/>
            <w:r w:rsidR="003D0BC2" w:rsidRPr="003D0BC2">
              <w:rPr>
                <w:sz w:val="2"/>
                <w:highlight w:val="black"/>
              </w:rPr>
              <w:t>content</w:t>
            </w:r>
            <w:r w:rsidR="00A4704F" w:rsidRPr="00A4704F">
              <w:rPr>
                <w:vertAlign w:val="superscript"/>
              </w:rPr>
              <w:t>a</w:t>
            </w:r>
            <w:proofErr w:type="spellEnd"/>
          </w:p>
        </w:tc>
        <w:tc>
          <w:tcPr>
            <w:tcW w:w="1148" w:type="pct"/>
            <w:gridSpan w:val="2"/>
          </w:tcPr>
          <w:p w14:paraId="756DD4AC" w14:textId="77777777" w:rsidR="001B6217" w:rsidRPr="006A3BEC" w:rsidRDefault="001B6217">
            <w:pPr>
              <w:pStyle w:val="COMTabletext"/>
              <w:jc w:val="center"/>
              <w:rPr>
                <w:szCs w:val="20"/>
              </w:rPr>
            </w:pPr>
            <w:r w:rsidRPr="00EA4C90">
              <w:t>$10,308</w:t>
            </w:r>
          </w:p>
        </w:tc>
        <w:tc>
          <w:tcPr>
            <w:tcW w:w="1163" w:type="pct"/>
          </w:tcPr>
          <w:p w14:paraId="1184AE5E" w14:textId="25AC4EE6" w:rsidR="001B6217" w:rsidRPr="00A4704F" w:rsidRDefault="001B6217">
            <w:pPr>
              <w:pStyle w:val="COMTabletext"/>
              <w:jc w:val="center"/>
              <w:rPr>
                <w:szCs w:val="20"/>
              </w:rPr>
            </w:pPr>
            <w:r w:rsidRPr="00A4704F">
              <w:t>$</w:t>
            </w:r>
            <w:r w:rsidR="003D0BC2" w:rsidRPr="003D0BC2">
              <w:rPr>
                <w:sz w:val="2"/>
                <w:highlight w:val="black"/>
              </w:rPr>
              <w:t>redacted content</w:t>
            </w:r>
            <w:r w:rsidR="00A4704F" w:rsidRPr="00A4704F">
              <w:rPr>
                <w:szCs w:val="20"/>
                <w:vertAlign w:val="superscript"/>
              </w:rPr>
              <w:t xml:space="preserve"> a</w:t>
            </w:r>
          </w:p>
        </w:tc>
      </w:tr>
      <w:tr w:rsidR="001B6217" w:rsidRPr="006A3BEC" w14:paraId="4DF2C5D8" w14:textId="77777777">
        <w:tc>
          <w:tcPr>
            <w:tcW w:w="1542" w:type="pct"/>
            <w:vAlign w:val="center"/>
          </w:tcPr>
          <w:p w14:paraId="76162642" w14:textId="77777777" w:rsidR="001B6217" w:rsidRPr="006A3BEC" w:rsidRDefault="001B6217">
            <w:pPr>
              <w:pStyle w:val="COMTabletext"/>
              <w:rPr>
                <w:szCs w:val="20"/>
              </w:rPr>
            </w:pPr>
            <w:r>
              <w:rPr>
                <w:szCs w:val="20"/>
              </w:rPr>
              <w:t>QALYs</w:t>
            </w:r>
          </w:p>
        </w:tc>
        <w:tc>
          <w:tcPr>
            <w:tcW w:w="1147" w:type="pct"/>
          </w:tcPr>
          <w:p w14:paraId="4AC6AE48" w14:textId="77777777" w:rsidR="001B6217" w:rsidRPr="006A3BEC" w:rsidRDefault="001B6217">
            <w:pPr>
              <w:pStyle w:val="COMTabletext"/>
              <w:jc w:val="center"/>
              <w:rPr>
                <w:szCs w:val="20"/>
              </w:rPr>
            </w:pPr>
            <w:r w:rsidRPr="00EA4C90">
              <w:t>1.8988</w:t>
            </w:r>
          </w:p>
        </w:tc>
        <w:tc>
          <w:tcPr>
            <w:tcW w:w="1148" w:type="pct"/>
            <w:gridSpan w:val="2"/>
          </w:tcPr>
          <w:p w14:paraId="4318E72F" w14:textId="77777777" w:rsidR="001B6217" w:rsidRPr="006A3BEC" w:rsidRDefault="001B6217">
            <w:pPr>
              <w:pStyle w:val="COMTabletext"/>
              <w:jc w:val="center"/>
              <w:rPr>
                <w:szCs w:val="20"/>
              </w:rPr>
            </w:pPr>
            <w:r w:rsidRPr="00EA4C90">
              <w:t>0.8203</w:t>
            </w:r>
          </w:p>
        </w:tc>
        <w:tc>
          <w:tcPr>
            <w:tcW w:w="1163" w:type="pct"/>
          </w:tcPr>
          <w:p w14:paraId="2D69C68C" w14:textId="77777777" w:rsidR="001B6217" w:rsidRPr="006A3BEC" w:rsidRDefault="001B6217">
            <w:pPr>
              <w:pStyle w:val="COMTabletext"/>
              <w:jc w:val="center"/>
              <w:rPr>
                <w:szCs w:val="20"/>
              </w:rPr>
            </w:pPr>
            <w:r w:rsidRPr="00EA4C90">
              <w:t>1.0785</w:t>
            </w:r>
          </w:p>
        </w:tc>
      </w:tr>
      <w:tr w:rsidR="001B6217" w:rsidRPr="006A3BEC" w14:paraId="6C1509AF" w14:textId="77777777">
        <w:tc>
          <w:tcPr>
            <w:tcW w:w="3837" w:type="pct"/>
            <w:gridSpan w:val="4"/>
            <w:vAlign w:val="center"/>
          </w:tcPr>
          <w:p w14:paraId="759CD944" w14:textId="77777777" w:rsidR="001B6217" w:rsidRPr="006A3BEC" w:rsidRDefault="001B6217">
            <w:pPr>
              <w:pStyle w:val="COMTabletext"/>
              <w:rPr>
                <w:szCs w:val="20"/>
              </w:rPr>
            </w:pPr>
            <w:r w:rsidRPr="006A3BEC">
              <w:rPr>
                <w:szCs w:val="20"/>
              </w:rPr>
              <w:t>Incremental cost</w:t>
            </w:r>
            <w:r>
              <w:rPr>
                <w:szCs w:val="20"/>
              </w:rPr>
              <w:t xml:space="preserve"> per </w:t>
            </w:r>
            <w:r w:rsidRPr="006A3BEC">
              <w:rPr>
                <w:szCs w:val="20"/>
              </w:rPr>
              <w:t>life year gained</w:t>
            </w:r>
          </w:p>
        </w:tc>
        <w:tc>
          <w:tcPr>
            <w:tcW w:w="1163" w:type="pct"/>
            <w:vAlign w:val="center"/>
          </w:tcPr>
          <w:p w14:paraId="1D47F1D4" w14:textId="7C236B84" w:rsidR="001B6217" w:rsidRPr="00A4704F" w:rsidRDefault="001B6217">
            <w:pPr>
              <w:pStyle w:val="COMTabletext"/>
              <w:jc w:val="center"/>
              <w:rPr>
                <w:szCs w:val="20"/>
              </w:rPr>
            </w:pPr>
            <w:r w:rsidRPr="00A4704F">
              <w:rPr>
                <w:szCs w:val="20"/>
              </w:rPr>
              <w:t>$</w:t>
            </w:r>
            <w:r w:rsidR="003D0BC2" w:rsidRPr="003D0BC2">
              <w:rPr>
                <w:sz w:val="2"/>
                <w:szCs w:val="20"/>
                <w:highlight w:val="black"/>
              </w:rPr>
              <w:t>redacted content</w:t>
            </w:r>
            <w:r w:rsidR="00720CC8">
              <w:rPr>
                <w:szCs w:val="20"/>
                <w:vertAlign w:val="superscript"/>
              </w:rPr>
              <w:t>3</w:t>
            </w:r>
            <w:r w:rsidR="00A4704F" w:rsidRPr="00A4704F">
              <w:rPr>
                <w:szCs w:val="20"/>
                <w:vertAlign w:val="superscript"/>
              </w:rPr>
              <w:t xml:space="preserve"> a</w:t>
            </w:r>
          </w:p>
        </w:tc>
      </w:tr>
      <w:tr w:rsidR="001B6217" w:rsidRPr="006A3BEC" w14:paraId="65CD0CD4" w14:textId="77777777">
        <w:tc>
          <w:tcPr>
            <w:tcW w:w="5000" w:type="pct"/>
            <w:gridSpan w:val="5"/>
            <w:vAlign w:val="center"/>
          </w:tcPr>
          <w:p w14:paraId="7E217D33" w14:textId="77777777" w:rsidR="001B6217" w:rsidRPr="006A3BEC" w:rsidRDefault="001B6217">
            <w:pPr>
              <w:pStyle w:val="COMTableheadingrow"/>
            </w:pPr>
            <w:r w:rsidRPr="006A3BEC">
              <w:t xml:space="preserve">Step 5: As for Step 4, </w:t>
            </w:r>
            <w:r>
              <w:t>with</w:t>
            </w:r>
            <w:r w:rsidRPr="009A511C">
              <w:t xml:space="preserve"> disease management, subsequent treatment, adverse event and terminal care</w:t>
            </w:r>
            <w:r>
              <w:t xml:space="preserve"> costs</w:t>
            </w:r>
            <w:r w:rsidRPr="009A511C">
              <w:t>, as well as the disutility associated with adverse events</w:t>
            </w:r>
            <w:r>
              <w:t xml:space="preserve"> included</w:t>
            </w:r>
            <w:r w:rsidRPr="009A511C">
              <w:t>.</w:t>
            </w:r>
          </w:p>
        </w:tc>
      </w:tr>
      <w:tr w:rsidR="001B6217" w:rsidRPr="006A3BEC" w14:paraId="2436B39F" w14:textId="77777777">
        <w:tc>
          <w:tcPr>
            <w:tcW w:w="1542" w:type="pct"/>
            <w:vAlign w:val="center"/>
          </w:tcPr>
          <w:p w14:paraId="0672123C" w14:textId="77777777" w:rsidR="001B6217" w:rsidRPr="006A3BEC" w:rsidRDefault="001B6217">
            <w:pPr>
              <w:pStyle w:val="COMTabletext"/>
              <w:rPr>
                <w:szCs w:val="20"/>
              </w:rPr>
            </w:pPr>
            <w:r w:rsidRPr="006A3BEC">
              <w:rPr>
                <w:szCs w:val="20"/>
              </w:rPr>
              <w:t>Costs</w:t>
            </w:r>
          </w:p>
        </w:tc>
        <w:tc>
          <w:tcPr>
            <w:tcW w:w="1147" w:type="pct"/>
          </w:tcPr>
          <w:p w14:paraId="61324CE1" w14:textId="46F7F596" w:rsidR="001B6217" w:rsidRPr="006A3BEC" w:rsidRDefault="001B6217">
            <w:pPr>
              <w:pStyle w:val="COMTabletext"/>
              <w:jc w:val="center"/>
              <w:rPr>
                <w:szCs w:val="20"/>
              </w:rPr>
            </w:pPr>
            <w:r w:rsidRPr="00A41121">
              <w:t>$</w:t>
            </w:r>
            <w:r w:rsidR="003D0BC2" w:rsidRPr="003D0BC2">
              <w:rPr>
                <w:sz w:val="2"/>
                <w:highlight w:val="black"/>
              </w:rPr>
              <w:t>redacted content</w:t>
            </w:r>
          </w:p>
        </w:tc>
        <w:tc>
          <w:tcPr>
            <w:tcW w:w="1148" w:type="pct"/>
            <w:gridSpan w:val="2"/>
          </w:tcPr>
          <w:p w14:paraId="61BC3FB5" w14:textId="77777777" w:rsidR="001B6217" w:rsidRPr="006A3BEC" w:rsidRDefault="001B6217">
            <w:pPr>
              <w:pStyle w:val="COMTabletext"/>
              <w:jc w:val="center"/>
              <w:rPr>
                <w:szCs w:val="20"/>
              </w:rPr>
            </w:pPr>
            <w:r w:rsidRPr="00A41121">
              <w:t>$38,901</w:t>
            </w:r>
          </w:p>
        </w:tc>
        <w:tc>
          <w:tcPr>
            <w:tcW w:w="1163" w:type="pct"/>
          </w:tcPr>
          <w:p w14:paraId="0DE4F925" w14:textId="4B86D210" w:rsidR="001B6217" w:rsidRPr="006A3BEC" w:rsidRDefault="001B6217">
            <w:pPr>
              <w:pStyle w:val="COMTabletext"/>
              <w:jc w:val="center"/>
              <w:rPr>
                <w:szCs w:val="20"/>
              </w:rPr>
            </w:pPr>
            <w:r w:rsidRPr="00A41121">
              <w:t>$</w:t>
            </w:r>
            <w:r w:rsidR="003D0BC2" w:rsidRPr="003D0BC2">
              <w:rPr>
                <w:sz w:val="2"/>
                <w:highlight w:val="black"/>
              </w:rPr>
              <w:t>redacted content</w:t>
            </w:r>
          </w:p>
        </w:tc>
      </w:tr>
      <w:tr w:rsidR="001B6217" w:rsidRPr="006A3BEC" w14:paraId="63420DF0" w14:textId="77777777">
        <w:tc>
          <w:tcPr>
            <w:tcW w:w="1542" w:type="pct"/>
            <w:vAlign w:val="center"/>
          </w:tcPr>
          <w:p w14:paraId="6195908F" w14:textId="77777777" w:rsidR="001B6217" w:rsidRPr="006A3BEC" w:rsidRDefault="001B6217">
            <w:pPr>
              <w:pStyle w:val="COMTabletext"/>
              <w:rPr>
                <w:szCs w:val="20"/>
              </w:rPr>
            </w:pPr>
            <w:r>
              <w:rPr>
                <w:szCs w:val="20"/>
              </w:rPr>
              <w:t>Life years</w:t>
            </w:r>
          </w:p>
        </w:tc>
        <w:tc>
          <w:tcPr>
            <w:tcW w:w="1147" w:type="pct"/>
            <w:vAlign w:val="bottom"/>
          </w:tcPr>
          <w:p w14:paraId="41D7A7D3" w14:textId="77777777" w:rsidR="001B6217" w:rsidRPr="006A3BEC" w:rsidRDefault="001B6217">
            <w:pPr>
              <w:pStyle w:val="COMTabletext"/>
              <w:jc w:val="center"/>
              <w:rPr>
                <w:szCs w:val="20"/>
              </w:rPr>
            </w:pPr>
            <w:r w:rsidRPr="0013580B">
              <w:rPr>
                <w:szCs w:val="20"/>
              </w:rPr>
              <w:t>2.1565</w:t>
            </w:r>
          </w:p>
        </w:tc>
        <w:tc>
          <w:tcPr>
            <w:tcW w:w="1148" w:type="pct"/>
            <w:gridSpan w:val="2"/>
            <w:vAlign w:val="bottom"/>
          </w:tcPr>
          <w:p w14:paraId="094E1662" w14:textId="77777777" w:rsidR="001B6217" w:rsidRPr="006A3BEC" w:rsidRDefault="001B6217">
            <w:pPr>
              <w:pStyle w:val="COMTabletext"/>
              <w:jc w:val="center"/>
              <w:rPr>
                <w:szCs w:val="20"/>
              </w:rPr>
            </w:pPr>
            <w:r w:rsidRPr="0013580B">
              <w:rPr>
                <w:szCs w:val="20"/>
              </w:rPr>
              <w:t>0.9451</w:t>
            </w:r>
          </w:p>
        </w:tc>
        <w:tc>
          <w:tcPr>
            <w:tcW w:w="1163" w:type="pct"/>
            <w:vAlign w:val="bottom"/>
          </w:tcPr>
          <w:p w14:paraId="13BD6115" w14:textId="77777777" w:rsidR="001B6217" w:rsidRPr="006A3BEC" w:rsidRDefault="001B6217">
            <w:pPr>
              <w:pStyle w:val="COMTabletext"/>
              <w:jc w:val="center"/>
              <w:rPr>
                <w:szCs w:val="20"/>
              </w:rPr>
            </w:pPr>
            <w:r w:rsidRPr="0013580B">
              <w:rPr>
                <w:szCs w:val="20"/>
              </w:rPr>
              <w:t>1.2114</w:t>
            </w:r>
          </w:p>
        </w:tc>
      </w:tr>
      <w:tr w:rsidR="001B6217" w:rsidRPr="006A3BEC" w14:paraId="5795C359" w14:textId="77777777">
        <w:tc>
          <w:tcPr>
            <w:tcW w:w="1542" w:type="pct"/>
            <w:vAlign w:val="center"/>
          </w:tcPr>
          <w:p w14:paraId="781D8993" w14:textId="77777777" w:rsidR="001B6217" w:rsidRPr="006A3BEC" w:rsidRDefault="001B6217">
            <w:pPr>
              <w:pStyle w:val="COMTabletext"/>
              <w:rPr>
                <w:szCs w:val="20"/>
              </w:rPr>
            </w:pPr>
            <w:r w:rsidRPr="006A3BEC">
              <w:rPr>
                <w:szCs w:val="20"/>
              </w:rPr>
              <w:t>QALYs</w:t>
            </w:r>
          </w:p>
        </w:tc>
        <w:tc>
          <w:tcPr>
            <w:tcW w:w="1147" w:type="pct"/>
          </w:tcPr>
          <w:p w14:paraId="2033C0FE" w14:textId="77777777" w:rsidR="001B6217" w:rsidRPr="006A3BEC" w:rsidRDefault="001B6217">
            <w:pPr>
              <w:pStyle w:val="COMTabletext"/>
              <w:jc w:val="center"/>
              <w:rPr>
                <w:szCs w:val="20"/>
              </w:rPr>
            </w:pPr>
            <w:r w:rsidRPr="00A41121">
              <w:t>1.8962</w:t>
            </w:r>
          </w:p>
        </w:tc>
        <w:tc>
          <w:tcPr>
            <w:tcW w:w="1148" w:type="pct"/>
            <w:gridSpan w:val="2"/>
          </w:tcPr>
          <w:p w14:paraId="7C7F9C06" w14:textId="77777777" w:rsidR="001B6217" w:rsidRPr="006A3BEC" w:rsidRDefault="001B6217">
            <w:pPr>
              <w:pStyle w:val="COMTabletext"/>
              <w:jc w:val="center"/>
              <w:rPr>
                <w:szCs w:val="20"/>
              </w:rPr>
            </w:pPr>
            <w:r w:rsidRPr="00A41121">
              <w:t>0.8155</w:t>
            </w:r>
          </w:p>
        </w:tc>
        <w:tc>
          <w:tcPr>
            <w:tcW w:w="1163" w:type="pct"/>
          </w:tcPr>
          <w:p w14:paraId="46918485" w14:textId="77777777" w:rsidR="001B6217" w:rsidRPr="006A3BEC" w:rsidRDefault="001B6217">
            <w:pPr>
              <w:pStyle w:val="COMTabletext"/>
              <w:jc w:val="center"/>
              <w:rPr>
                <w:szCs w:val="20"/>
              </w:rPr>
            </w:pPr>
            <w:r w:rsidRPr="00A41121">
              <w:t>1.0806</w:t>
            </w:r>
          </w:p>
        </w:tc>
      </w:tr>
      <w:tr w:rsidR="001B6217" w:rsidRPr="006A3BEC" w14:paraId="38AF3BD9" w14:textId="77777777">
        <w:tc>
          <w:tcPr>
            <w:tcW w:w="3837" w:type="pct"/>
            <w:gridSpan w:val="4"/>
            <w:vAlign w:val="center"/>
          </w:tcPr>
          <w:p w14:paraId="27740FCA" w14:textId="77777777" w:rsidR="001B6217" w:rsidRPr="006A3BEC" w:rsidRDefault="001B6217">
            <w:pPr>
              <w:pStyle w:val="COMTabletext"/>
              <w:rPr>
                <w:szCs w:val="20"/>
              </w:rPr>
            </w:pPr>
            <w:r>
              <w:rPr>
                <w:szCs w:val="20"/>
              </w:rPr>
              <w:t>Incremental cost per life year gained</w:t>
            </w:r>
          </w:p>
        </w:tc>
        <w:tc>
          <w:tcPr>
            <w:tcW w:w="1163" w:type="pct"/>
            <w:vAlign w:val="center"/>
          </w:tcPr>
          <w:p w14:paraId="2A8E85C9" w14:textId="39C8BC7E" w:rsidR="001B6217" w:rsidRPr="00DC2704" w:rsidRDefault="001B6217">
            <w:pPr>
              <w:pStyle w:val="COMTabletext"/>
              <w:jc w:val="center"/>
              <w:rPr>
                <w:szCs w:val="20"/>
                <w:vertAlign w:val="superscript"/>
              </w:rPr>
            </w:pPr>
            <w:r>
              <w:rPr>
                <w:szCs w:val="20"/>
              </w:rPr>
              <w:t>$</w:t>
            </w:r>
            <w:r w:rsidR="003D0BC2" w:rsidRPr="003D0BC2">
              <w:rPr>
                <w:sz w:val="2"/>
                <w:szCs w:val="20"/>
                <w:highlight w:val="black"/>
              </w:rPr>
              <w:t>redacted content</w:t>
            </w:r>
            <w:r w:rsidR="00DC2704">
              <w:rPr>
                <w:szCs w:val="20"/>
                <w:vertAlign w:val="superscript"/>
              </w:rPr>
              <w:t>2</w:t>
            </w:r>
          </w:p>
        </w:tc>
      </w:tr>
      <w:tr w:rsidR="001B6217" w:rsidRPr="006A3BEC" w14:paraId="2AE2F6FB" w14:textId="77777777">
        <w:tc>
          <w:tcPr>
            <w:tcW w:w="3837" w:type="pct"/>
            <w:gridSpan w:val="4"/>
            <w:vAlign w:val="center"/>
          </w:tcPr>
          <w:p w14:paraId="3597C6C7" w14:textId="77777777" w:rsidR="001B6217" w:rsidRPr="0013580B" w:rsidRDefault="001B6217">
            <w:pPr>
              <w:pStyle w:val="COMTabletext"/>
              <w:rPr>
                <w:b/>
                <w:bCs w:val="0"/>
                <w:szCs w:val="20"/>
              </w:rPr>
            </w:pPr>
            <w:r w:rsidRPr="0013580B">
              <w:rPr>
                <w:b/>
                <w:bCs w:val="0"/>
                <w:szCs w:val="20"/>
              </w:rPr>
              <w:t>Incremental cost per QALY gained</w:t>
            </w:r>
          </w:p>
        </w:tc>
        <w:tc>
          <w:tcPr>
            <w:tcW w:w="1163" w:type="pct"/>
            <w:vAlign w:val="center"/>
          </w:tcPr>
          <w:p w14:paraId="1AB19D0F" w14:textId="7F1FF75C" w:rsidR="001B6217" w:rsidRPr="00720CC8" w:rsidRDefault="001B6217">
            <w:pPr>
              <w:pStyle w:val="COMTabletext"/>
              <w:jc w:val="center"/>
              <w:rPr>
                <w:b/>
                <w:bCs w:val="0"/>
                <w:szCs w:val="20"/>
                <w:vertAlign w:val="superscript"/>
              </w:rPr>
            </w:pPr>
            <w:r>
              <w:rPr>
                <w:b/>
                <w:bCs w:val="0"/>
                <w:szCs w:val="20"/>
              </w:rPr>
              <w:t>$</w:t>
            </w:r>
            <w:r w:rsidR="003D0BC2" w:rsidRPr="003D0BC2">
              <w:rPr>
                <w:b/>
                <w:bCs w:val="0"/>
                <w:sz w:val="2"/>
                <w:szCs w:val="20"/>
                <w:highlight w:val="black"/>
              </w:rPr>
              <w:t>redacted content</w:t>
            </w:r>
            <w:r w:rsidR="00720CC8">
              <w:rPr>
                <w:b/>
                <w:bCs w:val="0"/>
                <w:szCs w:val="20"/>
                <w:vertAlign w:val="superscript"/>
              </w:rPr>
              <w:t>3</w:t>
            </w:r>
          </w:p>
        </w:tc>
      </w:tr>
    </w:tbl>
    <w:p w14:paraId="6029CD4E" w14:textId="77777777" w:rsidR="001B6217" w:rsidRDefault="001B6217" w:rsidP="001B6217">
      <w:pPr>
        <w:pStyle w:val="COMTablefooter"/>
      </w:pPr>
      <w:r w:rsidRPr="006A3BEC">
        <w:t xml:space="preserve">Source: Table </w:t>
      </w:r>
      <w:r>
        <w:t>3.9.2-1, p128</w:t>
      </w:r>
      <w:r w:rsidRPr="006A3BEC">
        <w:t xml:space="preserve"> of the submission.</w:t>
      </w:r>
    </w:p>
    <w:p w14:paraId="3EB6062C" w14:textId="77777777" w:rsidR="001B6217" w:rsidRDefault="001B6217" w:rsidP="001B6217">
      <w:pPr>
        <w:pStyle w:val="COMTablefooter"/>
      </w:pPr>
      <w:r w:rsidRPr="006A3BEC">
        <w:t>Abbreviations: OS, overall survival; PFS, progression-free survival; QALY, quality adjusted life year; TTD, time to treatment discontinuation</w:t>
      </w:r>
    </w:p>
    <w:p w14:paraId="6817A1D8" w14:textId="77777777" w:rsidR="001B6217" w:rsidRPr="0013580B" w:rsidRDefault="001B6217" w:rsidP="001B6217">
      <w:pPr>
        <w:pStyle w:val="COMTablefooter"/>
      </w:pPr>
      <w:proofErr w:type="spellStart"/>
      <w:r w:rsidRPr="0013580B">
        <w:rPr>
          <w:vertAlign w:val="superscript"/>
        </w:rPr>
        <w:t>a</w:t>
      </w:r>
      <w:proofErr w:type="spellEnd"/>
      <w:r w:rsidRPr="0013580B">
        <w:rPr>
          <w:vertAlign w:val="superscript"/>
        </w:rPr>
        <w:t xml:space="preserve"> </w:t>
      </w:r>
      <w:r>
        <w:t xml:space="preserve">The submission included an adjustment to monitoring costs based on the tarlatamab TTD curve, which was not included in the model base case and was removed during the evaluation. </w:t>
      </w:r>
      <w:r w:rsidRPr="00A4704F">
        <w:t>This had a minor impact on the reported ICER.</w:t>
      </w:r>
    </w:p>
    <w:p w14:paraId="5BB8E1F2" w14:textId="77777777" w:rsidR="00791249" w:rsidRPr="00A4704F" w:rsidRDefault="001B6217" w:rsidP="001B6217">
      <w:pPr>
        <w:pStyle w:val="COMTablefooter"/>
      </w:pPr>
      <w:r w:rsidRPr="0013580B">
        <w:rPr>
          <w:vertAlign w:val="superscript"/>
        </w:rPr>
        <w:t xml:space="preserve">b </w:t>
      </w:r>
      <w:r>
        <w:t>Although included in Step 1, the Steps 2 to 4 did not include monitoring costs in the submission. Monitoring costs were included during the evaluation.</w:t>
      </w:r>
      <w:r w:rsidRPr="00A4704F">
        <w:t xml:space="preserve"> This had a minor impact on the reported ICERs.</w:t>
      </w:r>
      <w:r w:rsidR="00791249" w:rsidRPr="00A4704F">
        <w:t xml:space="preserve"> </w:t>
      </w:r>
    </w:p>
    <w:p w14:paraId="580A5131" w14:textId="3DAB6121" w:rsidR="00105311" w:rsidRDefault="00A4704F" w:rsidP="00307CEF">
      <w:pPr>
        <w:pStyle w:val="COMTablefooter"/>
        <w:spacing w:after="0"/>
      </w:pPr>
      <w:r w:rsidRPr="00A4704F">
        <w:rPr>
          <w:vertAlign w:val="superscript"/>
        </w:rPr>
        <w:t>a</w:t>
      </w:r>
      <w:r w:rsidR="00105311" w:rsidRPr="00A4704F">
        <w:t xml:space="preserve"> Errors in the cost of tarlatamab, topotecan and third-line SOC chemotherapies were not </w:t>
      </w:r>
      <w:r w:rsidR="006549DA" w:rsidRPr="00A4704F">
        <w:t>corrected</w:t>
      </w:r>
      <w:r w:rsidR="00105311" w:rsidRPr="00A4704F">
        <w:t xml:space="preserve"> during the evaluation due to their minimal impact.</w:t>
      </w:r>
    </w:p>
    <w:p w14:paraId="1756BAC5" w14:textId="77777777" w:rsidR="00307CEF" w:rsidRPr="00307CEF" w:rsidRDefault="00307CEF" w:rsidP="00307CEF">
      <w:pPr>
        <w:jc w:val="left"/>
        <w:rPr>
          <w:rFonts w:ascii="Arial Narrow" w:hAnsi="Arial Narrow"/>
          <w:i/>
          <w:sz w:val="18"/>
          <w:szCs w:val="18"/>
        </w:rPr>
      </w:pPr>
      <w:r w:rsidRPr="00307CEF">
        <w:rPr>
          <w:rFonts w:ascii="Arial Narrow" w:hAnsi="Arial Narrow"/>
          <w:i/>
          <w:sz w:val="18"/>
          <w:szCs w:val="18"/>
        </w:rPr>
        <w:t xml:space="preserve">The redacted values correspond to the following ranges: </w:t>
      </w:r>
    </w:p>
    <w:p w14:paraId="7547CCB0" w14:textId="4E0F69CC" w:rsidR="00307CEF" w:rsidRPr="00307CEF" w:rsidRDefault="00307CEF" w:rsidP="00307CEF">
      <w:pPr>
        <w:jc w:val="left"/>
        <w:rPr>
          <w:rFonts w:ascii="Arial Narrow" w:hAnsi="Arial Narrow"/>
          <w:bCs/>
          <w:i/>
          <w:sz w:val="18"/>
          <w:szCs w:val="18"/>
        </w:rPr>
      </w:pPr>
      <w:r w:rsidRPr="00307CEF">
        <w:rPr>
          <w:rFonts w:ascii="Arial Narrow" w:hAnsi="Arial Narrow"/>
          <w:i/>
          <w:sz w:val="18"/>
          <w:szCs w:val="18"/>
          <w:vertAlign w:val="superscript"/>
        </w:rPr>
        <w:t>1</w:t>
      </w:r>
      <w:r w:rsidRPr="00307CEF">
        <w:rPr>
          <w:rFonts w:ascii="Arial Narrow" w:hAnsi="Arial Narrow"/>
          <w:i/>
          <w:sz w:val="18"/>
          <w:szCs w:val="18"/>
        </w:rPr>
        <w:t xml:space="preserve"> </w:t>
      </w:r>
      <w:r w:rsidR="00890B41" w:rsidRPr="00890B41">
        <w:rPr>
          <w:rFonts w:ascii="Arial Narrow" w:hAnsi="Arial Narrow"/>
          <w:bCs/>
          <w:i/>
          <w:sz w:val="18"/>
          <w:szCs w:val="18"/>
        </w:rPr>
        <w:t>&gt; $1,055,000</w:t>
      </w:r>
    </w:p>
    <w:p w14:paraId="5E8473D2" w14:textId="2B7481CA" w:rsidR="00307CEF" w:rsidRPr="00307CEF" w:rsidRDefault="00307CEF" w:rsidP="00307CEF">
      <w:pPr>
        <w:jc w:val="left"/>
        <w:rPr>
          <w:rFonts w:ascii="Arial Narrow" w:hAnsi="Arial Narrow"/>
          <w:i/>
          <w:sz w:val="18"/>
          <w:szCs w:val="18"/>
        </w:rPr>
      </w:pPr>
      <w:r w:rsidRPr="00307CEF">
        <w:rPr>
          <w:rFonts w:ascii="Arial Narrow" w:hAnsi="Arial Narrow"/>
          <w:i/>
          <w:sz w:val="18"/>
          <w:szCs w:val="18"/>
          <w:vertAlign w:val="superscript"/>
        </w:rPr>
        <w:t>2</w:t>
      </w:r>
      <w:r w:rsidRPr="00307CEF">
        <w:rPr>
          <w:rFonts w:ascii="Arial Narrow" w:hAnsi="Arial Narrow"/>
          <w:i/>
          <w:sz w:val="18"/>
          <w:szCs w:val="18"/>
        </w:rPr>
        <w:t xml:space="preserve"> </w:t>
      </w:r>
      <w:r w:rsidR="00DC2704" w:rsidRPr="00DC2704">
        <w:rPr>
          <w:rFonts w:ascii="Arial Narrow" w:hAnsi="Arial Narrow"/>
          <w:i/>
          <w:sz w:val="18"/>
          <w:szCs w:val="18"/>
        </w:rPr>
        <w:t>$255,000 to &lt; $355,000</w:t>
      </w:r>
    </w:p>
    <w:p w14:paraId="5609A6B4" w14:textId="230884FC" w:rsidR="00307CEF" w:rsidRPr="00A4704F" w:rsidRDefault="00307CEF" w:rsidP="00720CC8">
      <w:pPr>
        <w:jc w:val="left"/>
      </w:pPr>
      <w:r w:rsidRPr="00307CEF">
        <w:rPr>
          <w:rFonts w:ascii="Arial Narrow" w:hAnsi="Arial Narrow"/>
          <w:i/>
          <w:sz w:val="18"/>
          <w:szCs w:val="18"/>
          <w:vertAlign w:val="superscript"/>
        </w:rPr>
        <w:t>3</w:t>
      </w:r>
      <w:r w:rsidRPr="00307CEF">
        <w:rPr>
          <w:rFonts w:ascii="Arial Narrow" w:hAnsi="Arial Narrow"/>
          <w:i/>
          <w:sz w:val="18"/>
          <w:szCs w:val="18"/>
        </w:rPr>
        <w:t xml:space="preserve"> </w:t>
      </w:r>
      <w:r w:rsidR="00720CC8" w:rsidRPr="00720CC8">
        <w:rPr>
          <w:rFonts w:ascii="Arial Narrow" w:hAnsi="Arial Narrow"/>
          <w:i/>
          <w:sz w:val="18"/>
          <w:szCs w:val="18"/>
        </w:rPr>
        <w:t>$355,000 to &lt; $455,000</w:t>
      </w:r>
    </w:p>
    <w:p w14:paraId="6F65EC89" w14:textId="77777777" w:rsidR="00AB65B9" w:rsidRPr="008C7B8B" w:rsidRDefault="00AB65B9" w:rsidP="00AB65B9">
      <w:pPr>
        <w:pStyle w:val="COMESnumberedpara"/>
      </w:pPr>
      <w:r w:rsidRPr="008C7B8B">
        <w:t>In the model, 86.0% of the incremental QALYs and 37.6% of the incremental costs were accrued in the extrapolated period beyond 14 months.</w:t>
      </w:r>
    </w:p>
    <w:p w14:paraId="343042C6" w14:textId="77777777" w:rsidR="00AB65B9" w:rsidRPr="008C7B8B" w:rsidRDefault="00AB65B9" w:rsidP="00AB65B9">
      <w:pPr>
        <w:pStyle w:val="COMESnumberedpara"/>
      </w:pPr>
      <w:r w:rsidRPr="008C7B8B">
        <w:t>For every patient treated with tarlatamab versus topotecan (as a proxy for SOC) and followed for up to 10 years, the economic evaluation (without discounting) estimated that there would be:</w:t>
      </w:r>
    </w:p>
    <w:p w14:paraId="3A7E7B46" w14:textId="77777777" w:rsidR="00AB65B9" w:rsidRPr="008C7B8B" w:rsidRDefault="00AB65B9" w:rsidP="00AB65B9">
      <w:pPr>
        <w:pStyle w:val="COMESbulletlist"/>
        <w:spacing w:after="60"/>
      </w:pPr>
      <w:r w:rsidRPr="008C7B8B">
        <w:t>An additional 17.3 months of life lived.</w:t>
      </w:r>
    </w:p>
    <w:p w14:paraId="214C0200" w14:textId="77777777" w:rsidR="00AB65B9" w:rsidRPr="008C7B8B" w:rsidRDefault="00AB65B9" w:rsidP="00AB65B9">
      <w:pPr>
        <w:pStyle w:val="COMESbulletlist"/>
        <w:spacing w:after="60"/>
      </w:pPr>
      <w:r w:rsidRPr="008C7B8B">
        <w:t>An additional 4.5 months spent progression-free.</w:t>
      </w:r>
    </w:p>
    <w:p w14:paraId="7BF57E1B" w14:textId="21FB6AEC" w:rsidR="00AB65B9" w:rsidRPr="008C7B8B" w:rsidRDefault="00AB65B9" w:rsidP="00AB65B9">
      <w:pPr>
        <w:pStyle w:val="COMESbulletlist"/>
        <w:spacing w:after="60"/>
      </w:pPr>
      <w:r w:rsidRPr="008C7B8B">
        <w:t>Additional drug, administration and costs of monitoring of $</w:t>
      </w:r>
      <w:r w:rsidR="003D0BC2" w:rsidRPr="003D0BC2">
        <w:rPr>
          <w:sz w:val="2"/>
          <w:highlight w:val="black"/>
        </w:rPr>
        <w:t>redacted content</w:t>
      </w:r>
      <w:r w:rsidRPr="008C7B8B">
        <w:t>; additional disease management and subsequent therapy costs of $2,942; and reduced adverse event and terminal care costs of $4,615.</w:t>
      </w:r>
    </w:p>
    <w:p w14:paraId="0B4CC251" w14:textId="54B82C02" w:rsidR="0091100C" w:rsidRPr="008C7B8B" w:rsidRDefault="0091100C" w:rsidP="0091100C">
      <w:pPr>
        <w:pStyle w:val="COMESnumberedpara"/>
      </w:pPr>
      <w:r w:rsidRPr="008C7B8B">
        <w:lastRenderedPageBreak/>
        <w:t>Based on the DeLLphi-304 trial tarlatamab arm and SOC topotecan subgroup, the economic model estimated that treatment with tarlatamab compared to topotecan (as a proxy for SOC) was associated with an incremental cost per</w:t>
      </w:r>
      <w:r w:rsidR="005F5211" w:rsidRPr="008C7B8B">
        <w:t xml:space="preserve"> quality adjusted life year</w:t>
      </w:r>
      <w:r w:rsidRPr="008C7B8B">
        <w:t xml:space="preserve"> </w:t>
      </w:r>
      <w:r w:rsidR="00565278" w:rsidRPr="008C7B8B">
        <w:t>(</w:t>
      </w:r>
      <w:r w:rsidRPr="008C7B8B">
        <w:t>QALY</w:t>
      </w:r>
      <w:r w:rsidR="00565278" w:rsidRPr="008C7B8B">
        <w:t>)</w:t>
      </w:r>
      <w:r w:rsidRPr="008C7B8B">
        <w:t xml:space="preserve"> gained of $</w:t>
      </w:r>
      <w:r w:rsidR="00CE5B1C" w:rsidRPr="00CE5B1C">
        <w:t>355,000 to &lt; $455,000</w:t>
      </w:r>
      <w:r w:rsidRPr="008C7B8B">
        <w:t xml:space="preserve">. </w:t>
      </w:r>
    </w:p>
    <w:p w14:paraId="6CC122D8" w14:textId="1588DE7A" w:rsidR="00CB2CE7" w:rsidRDefault="0091100C" w:rsidP="00AE2132">
      <w:pPr>
        <w:pStyle w:val="COMESnumberedpara"/>
      </w:pPr>
      <w:r w:rsidRPr="00744F75">
        <w:t xml:space="preserve">The </w:t>
      </w:r>
      <w:r w:rsidR="00654D67" w:rsidRPr="00744F75">
        <w:t>ESC noted that the</w:t>
      </w:r>
      <w:r w:rsidR="00654D67">
        <w:t xml:space="preserve"> </w:t>
      </w:r>
      <w:r w:rsidRPr="008C7B8B">
        <w:t xml:space="preserve">base case ICER </w:t>
      </w:r>
      <w:r w:rsidR="00457A0C" w:rsidRPr="00457A0C">
        <w:t>of $</w:t>
      </w:r>
      <w:r w:rsidR="00CE5B1C" w:rsidRPr="00CE5B1C">
        <w:t>355,000 to &lt; $455,000</w:t>
      </w:r>
      <w:r w:rsidR="00457A0C" w:rsidRPr="00457A0C">
        <w:t>/QAL</w:t>
      </w:r>
      <w:r w:rsidR="00457A0C">
        <w:t>Y</w:t>
      </w:r>
      <w:r w:rsidR="00457A0C" w:rsidRPr="00457A0C">
        <w:t xml:space="preserve"> </w:t>
      </w:r>
      <w:r w:rsidR="00654D67">
        <w:t>wa</w:t>
      </w:r>
      <w:r w:rsidRPr="008C7B8B">
        <w:t xml:space="preserve">s substantially higher than previously considered acceptable by the PBAC for ES-SCLC. The PBAC </w:t>
      </w:r>
      <w:r w:rsidR="007B29E3">
        <w:t xml:space="preserve">previously </w:t>
      </w:r>
      <w:r w:rsidRPr="008C7B8B">
        <w:t>considered an ICER of $45,000 to $75,000 per QALY gained acceptable for atezolizumab for induction and maintenance treatment of</w:t>
      </w:r>
      <w:r w:rsidR="006960BF" w:rsidRPr="008C7B8B">
        <w:t xml:space="preserve"> previously untreated</w:t>
      </w:r>
      <w:r w:rsidR="0093602D" w:rsidRPr="008C7B8B">
        <w:t xml:space="preserve"> patients with</w:t>
      </w:r>
      <w:r w:rsidRPr="008C7B8B">
        <w:t xml:space="preserve"> ES-SCLC (para 6.8, atezolizumab PSD, November 2019 PBAC meeting).</w:t>
      </w:r>
      <w:r w:rsidR="00172297">
        <w:t xml:space="preserve"> </w:t>
      </w:r>
    </w:p>
    <w:p w14:paraId="6BCADBD6" w14:textId="2CC45B90" w:rsidR="0091100C" w:rsidRDefault="009E3ED7" w:rsidP="00CB2CE7">
      <w:pPr>
        <w:pStyle w:val="COMESnumberedpara"/>
        <w:numPr>
          <w:ilvl w:val="0"/>
          <w:numId w:val="0"/>
        </w:numPr>
        <w:ind w:left="720"/>
      </w:pPr>
      <w:r>
        <w:t xml:space="preserve"> The Pre-PBAC Response </w:t>
      </w:r>
      <w:r w:rsidR="00AE74A4">
        <w:t xml:space="preserve">proposed a revised price for tarlatamab (paragraph </w:t>
      </w:r>
      <w:r w:rsidR="00AE74A4">
        <w:fldChar w:fldCharType="begin"/>
      </w:r>
      <w:r w:rsidR="00AE74A4">
        <w:instrText xml:space="preserve"> REF _Ref226643887 \r \h </w:instrText>
      </w:r>
      <w:r w:rsidR="00AE74A4">
        <w:fldChar w:fldCharType="separate"/>
      </w:r>
      <w:r w:rsidR="00D23029">
        <w:t>3.2</w:t>
      </w:r>
      <w:r w:rsidR="00AE74A4">
        <w:fldChar w:fldCharType="end"/>
      </w:r>
      <w:r w:rsidR="00AE74A4">
        <w:t>)</w:t>
      </w:r>
      <w:r w:rsidR="00DF2405">
        <w:t xml:space="preserve"> and </w:t>
      </w:r>
      <w:r w:rsidR="000A0A76">
        <w:t xml:space="preserve">base case </w:t>
      </w:r>
      <w:r w:rsidR="00DF2405">
        <w:t>based on this</w:t>
      </w:r>
      <w:r w:rsidR="000A0A76">
        <w:t xml:space="preserve"> price </w:t>
      </w:r>
      <w:r w:rsidR="00E81672">
        <w:t>(</w:t>
      </w:r>
      <w:r w:rsidR="00E81672">
        <w:fldChar w:fldCharType="begin"/>
      </w:r>
      <w:r w:rsidR="00E81672">
        <w:instrText xml:space="preserve"> REF _Ref226644563 \h </w:instrText>
      </w:r>
      <w:r w:rsidR="00E81672">
        <w:fldChar w:fldCharType="separate"/>
      </w:r>
      <w:r w:rsidR="00E26586" w:rsidRPr="0098262F">
        <w:t xml:space="preserve">Table </w:t>
      </w:r>
      <w:r w:rsidR="00E26586">
        <w:rPr>
          <w:noProof/>
        </w:rPr>
        <w:t>12</w:t>
      </w:r>
      <w:r w:rsidR="00E81672">
        <w:fldChar w:fldCharType="end"/>
      </w:r>
      <w:r w:rsidR="00E81672">
        <w:t>).</w:t>
      </w:r>
      <w:r w:rsidR="003473F6">
        <w:t xml:space="preserve"> The Pre-PBAC </w:t>
      </w:r>
      <w:r w:rsidR="001D4968">
        <w:t xml:space="preserve">Response </w:t>
      </w:r>
      <w:r w:rsidR="003473F6">
        <w:t>considered</w:t>
      </w:r>
      <w:r w:rsidR="009605CE">
        <w:t xml:space="preserve"> </w:t>
      </w:r>
      <w:r w:rsidR="002751F2">
        <w:t xml:space="preserve">that </w:t>
      </w:r>
      <w:r w:rsidR="009605CE">
        <w:t xml:space="preserve">an ICER of </w:t>
      </w:r>
      <w:r w:rsidR="00F55DF5" w:rsidRPr="00F55DF5">
        <w:t>$135,000 to &lt; $155,000</w:t>
      </w:r>
      <w:r w:rsidR="001D4968">
        <w:t xml:space="preserve"> per QALY gained</w:t>
      </w:r>
      <w:r w:rsidR="009605CE">
        <w:t xml:space="preserve"> reflected acceptable cost-effectiveness, as tarlatamab</w:t>
      </w:r>
      <w:r w:rsidR="00F5488E">
        <w:t xml:space="preserve"> is a</w:t>
      </w:r>
      <w:r w:rsidR="009605CE">
        <w:t xml:space="preserve"> </w:t>
      </w:r>
      <w:r w:rsidR="00F5488E" w:rsidRPr="00F5488E">
        <w:t>first-in-class therapy that delivers a survival benefit in a difficult to treat population</w:t>
      </w:r>
      <w:r w:rsidR="00763EB7">
        <w:t xml:space="preserve"> and in </w:t>
      </w:r>
      <w:r w:rsidR="00F5488E" w:rsidRPr="00F5488E">
        <w:t>a setting of high clinical nee</w:t>
      </w:r>
      <w:r w:rsidR="002751F2">
        <w:t>d</w:t>
      </w:r>
      <w:r w:rsidR="00F5488E" w:rsidRPr="00F5488E">
        <w:t>.</w:t>
      </w:r>
    </w:p>
    <w:p w14:paraId="79B87BE3" w14:textId="5ABFD6EF" w:rsidR="00B05060" w:rsidRDefault="000A0A76" w:rsidP="00B05060">
      <w:pPr>
        <w:pStyle w:val="COMtablefigcaption"/>
        <w:rPr>
          <w:rFonts w:ascii="Calibri" w:hAnsi="Calibri" w:cs="Calibri"/>
          <w:b w:val="0"/>
          <w:iCs/>
        </w:rPr>
      </w:pPr>
      <w:bookmarkStart w:id="64" w:name="_Ref226644563"/>
      <w:r w:rsidRPr="0098262F">
        <w:t xml:space="preserve">Table </w:t>
      </w:r>
      <w:r>
        <w:fldChar w:fldCharType="begin"/>
      </w:r>
      <w:r>
        <w:instrText>SEQ Table \* ARABIC</w:instrText>
      </w:r>
      <w:r>
        <w:fldChar w:fldCharType="separate"/>
      </w:r>
      <w:r w:rsidR="00E26586">
        <w:rPr>
          <w:noProof/>
        </w:rPr>
        <w:t>12</w:t>
      </w:r>
      <w:r>
        <w:fldChar w:fldCharType="end"/>
      </w:r>
      <w:bookmarkEnd w:id="64"/>
      <w:r w:rsidRPr="0098262F">
        <w:t>:</w:t>
      </w:r>
      <w:r w:rsidR="00E10D27" w:rsidRPr="00E10D27">
        <w:t xml:space="preserve"> </w:t>
      </w:r>
      <w:r w:rsidR="00B05060" w:rsidRPr="00B05060">
        <w:t>Results of the economic evaluation base case with revised price</w:t>
      </w:r>
      <w:r w:rsidR="008E4FC6">
        <w:t xml:space="preserve"> </w:t>
      </w:r>
    </w:p>
    <w:tbl>
      <w:tblPr>
        <w:tblStyle w:val="TableGrid"/>
        <w:tblW w:w="0" w:type="auto"/>
        <w:tblLook w:val="04A0" w:firstRow="1" w:lastRow="0" w:firstColumn="1" w:lastColumn="0" w:noHBand="0" w:noVBand="1"/>
        <w:tblCaption w:val="Table 12: Results of the economic evaluation base case with revised price "/>
      </w:tblPr>
      <w:tblGrid>
        <w:gridCol w:w="1522"/>
        <w:gridCol w:w="1486"/>
        <w:gridCol w:w="1480"/>
        <w:gridCol w:w="1536"/>
        <w:gridCol w:w="1536"/>
        <w:gridCol w:w="1457"/>
      </w:tblGrid>
      <w:tr w:rsidR="00B05060" w14:paraId="2CA83AA8" w14:textId="77777777" w:rsidTr="00E60393">
        <w:tc>
          <w:tcPr>
            <w:tcW w:w="16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759B3E" w14:textId="77777777" w:rsidR="00B05060" w:rsidRPr="00B05060" w:rsidRDefault="00B05060" w:rsidP="00B05060">
            <w:pPr>
              <w:pStyle w:val="COMTabletext"/>
              <w:rPr>
                <w:szCs w:val="20"/>
              </w:rPr>
            </w:pPr>
          </w:p>
        </w:tc>
        <w:tc>
          <w:tcPr>
            <w:tcW w:w="16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16306" w14:textId="7E5993F8" w:rsidR="00B05060" w:rsidRPr="00B952E4" w:rsidRDefault="008E4FC6" w:rsidP="00B05060">
            <w:pPr>
              <w:pStyle w:val="COMTabletext"/>
              <w:rPr>
                <w:b/>
                <w:bCs w:val="0"/>
                <w:szCs w:val="20"/>
              </w:rPr>
            </w:pPr>
            <w:r w:rsidRPr="00B952E4">
              <w:rPr>
                <w:b/>
                <w:bCs w:val="0"/>
                <w:szCs w:val="20"/>
              </w:rPr>
              <w:t>C</w:t>
            </w:r>
            <w:r w:rsidR="00B05060" w:rsidRPr="00B952E4">
              <w:rPr>
                <w:b/>
                <w:bCs w:val="0"/>
                <w:szCs w:val="20"/>
              </w:rPr>
              <w:t>osts</w:t>
            </w:r>
          </w:p>
        </w:tc>
        <w:tc>
          <w:tcPr>
            <w:tcW w:w="1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D0E4A7" w14:textId="20387E7F" w:rsidR="00B05060" w:rsidRPr="00B952E4" w:rsidRDefault="00B05060" w:rsidP="00B05060">
            <w:pPr>
              <w:pStyle w:val="COMTabletext"/>
              <w:rPr>
                <w:b/>
                <w:bCs w:val="0"/>
                <w:szCs w:val="20"/>
              </w:rPr>
            </w:pPr>
            <w:r w:rsidRPr="00B952E4">
              <w:rPr>
                <w:b/>
                <w:bCs w:val="0"/>
                <w:szCs w:val="20"/>
              </w:rPr>
              <w:t>QALYs</w:t>
            </w:r>
          </w:p>
        </w:tc>
        <w:tc>
          <w:tcPr>
            <w:tcW w:w="1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09DBB" w14:textId="77777777" w:rsidR="00B05060" w:rsidRPr="00B952E4" w:rsidRDefault="00B05060" w:rsidP="00B05060">
            <w:pPr>
              <w:pStyle w:val="COMTabletext"/>
              <w:rPr>
                <w:b/>
                <w:bCs w:val="0"/>
                <w:szCs w:val="20"/>
              </w:rPr>
            </w:pPr>
            <w:r w:rsidRPr="00B952E4">
              <w:rPr>
                <w:b/>
                <w:bCs w:val="0"/>
                <w:szCs w:val="20"/>
              </w:rPr>
              <w:t>Incremental costs</w:t>
            </w:r>
          </w:p>
        </w:tc>
        <w:tc>
          <w:tcPr>
            <w:tcW w:w="1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0FD838" w14:textId="77777777" w:rsidR="00B05060" w:rsidRPr="00B952E4" w:rsidRDefault="00B05060" w:rsidP="00B05060">
            <w:pPr>
              <w:pStyle w:val="COMTabletext"/>
              <w:rPr>
                <w:b/>
                <w:bCs w:val="0"/>
                <w:szCs w:val="20"/>
              </w:rPr>
            </w:pPr>
            <w:r w:rsidRPr="00B952E4">
              <w:rPr>
                <w:b/>
                <w:bCs w:val="0"/>
                <w:szCs w:val="20"/>
              </w:rPr>
              <w:t>Incremental QALYs</w:t>
            </w:r>
          </w:p>
        </w:tc>
        <w:tc>
          <w:tcPr>
            <w:tcW w:w="1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E6822F" w14:textId="77777777" w:rsidR="00B05060" w:rsidRPr="00B952E4" w:rsidRDefault="00B05060" w:rsidP="00B05060">
            <w:pPr>
              <w:pStyle w:val="COMTabletext"/>
              <w:rPr>
                <w:b/>
                <w:bCs w:val="0"/>
                <w:szCs w:val="20"/>
              </w:rPr>
            </w:pPr>
            <w:r w:rsidRPr="00B952E4">
              <w:rPr>
                <w:b/>
                <w:bCs w:val="0"/>
                <w:szCs w:val="20"/>
              </w:rPr>
              <w:t>ICER</w:t>
            </w:r>
          </w:p>
          <w:p w14:paraId="2E1D1480" w14:textId="3D975587" w:rsidR="00B05060" w:rsidRPr="00B952E4" w:rsidRDefault="00B05060" w:rsidP="00B05060">
            <w:pPr>
              <w:pStyle w:val="COMTabletext"/>
              <w:rPr>
                <w:b/>
                <w:bCs w:val="0"/>
                <w:szCs w:val="20"/>
              </w:rPr>
            </w:pPr>
          </w:p>
        </w:tc>
      </w:tr>
      <w:tr w:rsidR="00B05060" w14:paraId="5B59DFB0" w14:textId="77777777" w:rsidTr="00E60393">
        <w:tc>
          <w:tcPr>
            <w:tcW w:w="1604" w:type="dxa"/>
            <w:tcBorders>
              <w:top w:val="single" w:sz="4" w:space="0" w:color="auto"/>
              <w:left w:val="single" w:sz="4" w:space="0" w:color="auto"/>
              <w:bottom w:val="single" w:sz="4" w:space="0" w:color="auto"/>
              <w:right w:val="single" w:sz="4" w:space="0" w:color="auto"/>
            </w:tcBorders>
          </w:tcPr>
          <w:p w14:paraId="4CDF15CC" w14:textId="77777777" w:rsidR="00B05060" w:rsidRPr="00B05060" w:rsidRDefault="00B05060" w:rsidP="00B05060">
            <w:pPr>
              <w:pStyle w:val="COMTabletext"/>
              <w:rPr>
                <w:szCs w:val="20"/>
              </w:rPr>
            </w:pPr>
            <w:r w:rsidRPr="00B05060">
              <w:rPr>
                <w:szCs w:val="20"/>
              </w:rPr>
              <w:t>Topotecan</w:t>
            </w:r>
          </w:p>
        </w:tc>
        <w:tc>
          <w:tcPr>
            <w:tcW w:w="1604" w:type="dxa"/>
            <w:tcBorders>
              <w:top w:val="single" w:sz="4" w:space="0" w:color="auto"/>
              <w:left w:val="single" w:sz="4" w:space="0" w:color="auto"/>
              <w:bottom w:val="single" w:sz="4" w:space="0" w:color="auto"/>
              <w:right w:val="single" w:sz="4" w:space="0" w:color="auto"/>
            </w:tcBorders>
          </w:tcPr>
          <w:p w14:paraId="255419FD" w14:textId="77777777" w:rsidR="00B05060" w:rsidRPr="00B05060" w:rsidRDefault="00B05060" w:rsidP="00B05060">
            <w:pPr>
              <w:pStyle w:val="COMTabletext"/>
              <w:rPr>
                <w:szCs w:val="20"/>
              </w:rPr>
            </w:pPr>
            <w:r w:rsidRPr="00C733ED">
              <w:rPr>
                <w:szCs w:val="20"/>
              </w:rPr>
              <w:t>$38,901</w:t>
            </w:r>
          </w:p>
        </w:tc>
        <w:tc>
          <w:tcPr>
            <w:tcW w:w="1605" w:type="dxa"/>
            <w:tcBorders>
              <w:top w:val="single" w:sz="4" w:space="0" w:color="auto"/>
              <w:left w:val="single" w:sz="4" w:space="0" w:color="auto"/>
              <w:bottom w:val="single" w:sz="4" w:space="0" w:color="auto"/>
              <w:right w:val="single" w:sz="4" w:space="0" w:color="auto"/>
            </w:tcBorders>
          </w:tcPr>
          <w:p w14:paraId="2675C173" w14:textId="77777777" w:rsidR="00B05060" w:rsidRPr="00B05060" w:rsidRDefault="00B05060" w:rsidP="00B05060">
            <w:pPr>
              <w:pStyle w:val="COMTabletext"/>
              <w:rPr>
                <w:szCs w:val="20"/>
              </w:rPr>
            </w:pPr>
            <w:r w:rsidRPr="00B05060">
              <w:rPr>
                <w:szCs w:val="20"/>
              </w:rPr>
              <w:t>0.82</w:t>
            </w:r>
          </w:p>
        </w:tc>
        <w:tc>
          <w:tcPr>
            <w:tcW w:w="1605" w:type="dxa"/>
            <w:vMerge w:val="restart"/>
            <w:tcBorders>
              <w:top w:val="single" w:sz="4" w:space="0" w:color="auto"/>
              <w:left w:val="single" w:sz="4" w:space="0" w:color="auto"/>
              <w:bottom w:val="single" w:sz="4" w:space="0" w:color="auto"/>
              <w:right w:val="single" w:sz="4" w:space="0" w:color="auto"/>
            </w:tcBorders>
          </w:tcPr>
          <w:p w14:paraId="0E8B17A5" w14:textId="0422FD78" w:rsidR="00B05060" w:rsidRPr="00B05060" w:rsidRDefault="00B05060" w:rsidP="00B05060">
            <w:pPr>
              <w:pStyle w:val="COMTabletext"/>
              <w:rPr>
                <w:szCs w:val="20"/>
              </w:rPr>
            </w:pPr>
            <w:r w:rsidRPr="00B05060">
              <w:rPr>
                <w:szCs w:val="20"/>
              </w:rPr>
              <w:t>$</w:t>
            </w:r>
            <w:r w:rsidR="003D0BC2" w:rsidRPr="003D0BC2">
              <w:rPr>
                <w:sz w:val="2"/>
                <w:szCs w:val="20"/>
                <w:highlight w:val="black"/>
              </w:rPr>
              <w:t>redacted content</w:t>
            </w:r>
          </w:p>
        </w:tc>
        <w:tc>
          <w:tcPr>
            <w:tcW w:w="1605" w:type="dxa"/>
            <w:vMerge w:val="restart"/>
            <w:tcBorders>
              <w:top w:val="single" w:sz="4" w:space="0" w:color="auto"/>
              <w:left w:val="single" w:sz="4" w:space="0" w:color="auto"/>
              <w:bottom w:val="single" w:sz="4" w:space="0" w:color="auto"/>
              <w:right w:val="single" w:sz="4" w:space="0" w:color="auto"/>
            </w:tcBorders>
          </w:tcPr>
          <w:p w14:paraId="0916D7A2" w14:textId="77777777" w:rsidR="00B05060" w:rsidRPr="00B05060" w:rsidRDefault="00B05060" w:rsidP="00B05060">
            <w:pPr>
              <w:pStyle w:val="COMTabletext"/>
              <w:rPr>
                <w:szCs w:val="20"/>
              </w:rPr>
            </w:pPr>
            <w:r w:rsidRPr="00B05060">
              <w:rPr>
                <w:szCs w:val="20"/>
              </w:rPr>
              <w:t>1.08</w:t>
            </w:r>
          </w:p>
        </w:tc>
        <w:tc>
          <w:tcPr>
            <w:tcW w:w="1605" w:type="dxa"/>
            <w:vMerge w:val="restart"/>
            <w:tcBorders>
              <w:top w:val="single" w:sz="4" w:space="0" w:color="auto"/>
              <w:left w:val="single" w:sz="4" w:space="0" w:color="auto"/>
              <w:bottom w:val="single" w:sz="4" w:space="0" w:color="auto"/>
              <w:right w:val="single" w:sz="4" w:space="0" w:color="auto"/>
            </w:tcBorders>
          </w:tcPr>
          <w:p w14:paraId="4C5B084A" w14:textId="59206B57" w:rsidR="00B05060" w:rsidRPr="00C733ED" w:rsidRDefault="00B05060" w:rsidP="00B05060">
            <w:pPr>
              <w:pStyle w:val="COMTabletext"/>
              <w:rPr>
                <w:szCs w:val="20"/>
                <w:vertAlign w:val="superscript"/>
              </w:rPr>
            </w:pPr>
            <w:r w:rsidRPr="00B05060">
              <w:rPr>
                <w:szCs w:val="20"/>
              </w:rPr>
              <w:t>$</w:t>
            </w:r>
            <w:r w:rsidR="003D0BC2" w:rsidRPr="003D0BC2">
              <w:rPr>
                <w:sz w:val="2"/>
                <w:szCs w:val="20"/>
                <w:highlight w:val="black"/>
              </w:rPr>
              <w:t>redacted content</w:t>
            </w:r>
            <w:r w:rsidR="00C733ED">
              <w:rPr>
                <w:szCs w:val="20"/>
                <w:vertAlign w:val="superscript"/>
              </w:rPr>
              <w:t>1</w:t>
            </w:r>
          </w:p>
        </w:tc>
      </w:tr>
      <w:tr w:rsidR="00B05060" w14:paraId="5461DD94" w14:textId="77777777" w:rsidTr="00E60393">
        <w:tc>
          <w:tcPr>
            <w:tcW w:w="1604" w:type="dxa"/>
            <w:tcBorders>
              <w:top w:val="single" w:sz="4" w:space="0" w:color="auto"/>
            </w:tcBorders>
          </w:tcPr>
          <w:p w14:paraId="21E756DB" w14:textId="77777777" w:rsidR="00B05060" w:rsidRPr="00B05060" w:rsidRDefault="00B05060" w:rsidP="00B05060">
            <w:pPr>
              <w:pStyle w:val="COMTabletext"/>
              <w:rPr>
                <w:szCs w:val="20"/>
              </w:rPr>
            </w:pPr>
            <w:r w:rsidRPr="00B05060">
              <w:rPr>
                <w:szCs w:val="20"/>
              </w:rPr>
              <w:t>Tarlatamab</w:t>
            </w:r>
          </w:p>
        </w:tc>
        <w:tc>
          <w:tcPr>
            <w:tcW w:w="1604" w:type="dxa"/>
            <w:tcBorders>
              <w:top w:val="single" w:sz="4" w:space="0" w:color="auto"/>
            </w:tcBorders>
          </w:tcPr>
          <w:p w14:paraId="42FBC2F6" w14:textId="0CDD9C3B" w:rsidR="00B05060" w:rsidRPr="00B05060" w:rsidRDefault="00B05060" w:rsidP="00B05060">
            <w:pPr>
              <w:pStyle w:val="COMTabletext"/>
              <w:rPr>
                <w:szCs w:val="20"/>
              </w:rPr>
            </w:pPr>
            <w:r w:rsidRPr="00B05060">
              <w:rPr>
                <w:szCs w:val="20"/>
              </w:rPr>
              <w:t>$</w:t>
            </w:r>
            <w:r w:rsidR="003D0BC2" w:rsidRPr="003D0BC2">
              <w:rPr>
                <w:sz w:val="2"/>
                <w:szCs w:val="20"/>
                <w:highlight w:val="black"/>
              </w:rPr>
              <w:t>redacted content</w:t>
            </w:r>
          </w:p>
        </w:tc>
        <w:tc>
          <w:tcPr>
            <w:tcW w:w="1605" w:type="dxa"/>
            <w:tcBorders>
              <w:top w:val="single" w:sz="4" w:space="0" w:color="auto"/>
            </w:tcBorders>
          </w:tcPr>
          <w:p w14:paraId="4F732212" w14:textId="77777777" w:rsidR="00B05060" w:rsidRPr="00B05060" w:rsidRDefault="00B05060" w:rsidP="00B05060">
            <w:pPr>
              <w:pStyle w:val="COMTabletext"/>
              <w:rPr>
                <w:szCs w:val="20"/>
              </w:rPr>
            </w:pPr>
            <w:r w:rsidRPr="00B05060">
              <w:rPr>
                <w:szCs w:val="20"/>
              </w:rPr>
              <w:t>1.90</w:t>
            </w:r>
          </w:p>
        </w:tc>
        <w:tc>
          <w:tcPr>
            <w:tcW w:w="1605" w:type="dxa"/>
            <w:vMerge/>
            <w:tcBorders>
              <w:top w:val="single" w:sz="4" w:space="0" w:color="auto"/>
            </w:tcBorders>
          </w:tcPr>
          <w:p w14:paraId="0EEEEA0E" w14:textId="77777777" w:rsidR="00B05060" w:rsidRPr="00BE3205" w:rsidRDefault="00B05060" w:rsidP="00E60393">
            <w:pPr>
              <w:rPr>
                <w:rFonts w:cs="Calibri"/>
                <w:bCs/>
                <w:iCs/>
              </w:rPr>
            </w:pPr>
          </w:p>
        </w:tc>
        <w:tc>
          <w:tcPr>
            <w:tcW w:w="1605" w:type="dxa"/>
            <w:vMerge/>
            <w:tcBorders>
              <w:top w:val="single" w:sz="4" w:space="0" w:color="auto"/>
            </w:tcBorders>
          </w:tcPr>
          <w:p w14:paraId="7E95C292" w14:textId="77777777" w:rsidR="00B05060" w:rsidRPr="00BE3205" w:rsidRDefault="00B05060" w:rsidP="00E60393">
            <w:pPr>
              <w:rPr>
                <w:rFonts w:cs="Calibri"/>
                <w:bCs/>
                <w:iCs/>
              </w:rPr>
            </w:pPr>
          </w:p>
        </w:tc>
        <w:tc>
          <w:tcPr>
            <w:tcW w:w="1605" w:type="dxa"/>
            <w:vMerge/>
            <w:tcBorders>
              <w:top w:val="single" w:sz="4" w:space="0" w:color="auto"/>
            </w:tcBorders>
          </w:tcPr>
          <w:p w14:paraId="525650AD" w14:textId="77777777" w:rsidR="00B05060" w:rsidRPr="00BE3205" w:rsidRDefault="00B05060" w:rsidP="00E60393">
            <w:pPr>
              <w:rPr>
                <w:rFonts w:cs="Calibri"/>
                <w:bCs/>
                <w:iCs/>
              </w:rPr>
            </w:pPr>
          </w:p>
        </w:tc>
      </w:tr>
    </w:tbl>
    <w:p w14:paraId="789D273D" w14:textId="565AC4D7" w:rsidR="00B05060" w:rsidRDefault="00B05060" w:rsidP="00B05060">
      <w:pPr>
        <w:pStyle w:val="COMTablefooter"/>
      </w:pPr>
      <w:r>
        <w:t>Source: Pre-PBAC Response (p3)</w:t>
      </w:r>
    </w:p>
    <w:p w14:paraId="497E63B6" w14:textId="53943AB6" w:rsidR="00B05060" w:rsidRDefault="00B05060" w:rsidP="00D2472E">
      <w:pPr>
        <w:pStyle w:val="COMTablefooter"/>
        <w:spacing w:after="0"/>
      </w:pPr>
      <w:r w:rsidRPr="00B05060">
        <w:t>Abbreviations: ICER, incremental cost-effectiveness ratio; QALY, quality-adjusted life-years</w:t>
      </w:r>
    </w:p>
    <w:p w14:paraId="469C32BC" w14:textId="77777777" w:rsidR="00D2472E" w:rsidRPr="00D2472E" w:rsidRDefault="00D2472E" w:rsidP="00D2472E">
      <w:pPr>
        <w:jc w:val="left"/>
        <w:rPr>
          <w:rFonts w:ascii="Arial Narrow" w:hAnsi="Arial Narrow" w:cstheme="minorHAnsi"/>
          <w:bCs/>
          <w:i/>
          <w:iCs/>
          <w:sz w:val="18"/>
          <w:szCs w:val="18"/>
        </w:rPr>
      </w:pPr>
      <w:r w:rsidRPr="00D2472E">
        <w:rPr>
          <w:rFonts w:ascii="Arial Narrow" w:hAnsi="Arial Narrow" w:cstheme="minorHAnsi"/>
          <w:bCs/>
          <w:i/>
          <w:iCs/>
          <w:sz w:val="18"/>
          <w:szCs w:val="18"/>
        </w:rPr>
        <w:t xml:space="preserve">The redacted values correspond to the following ranges: </w:t>
      </w:r>
    </w:p>
    <w:p w14:paraId="7153306F" w14:textId="056266C7" w:rsidR="00D2472E" w:rsidRPr="00D2472E" w:rsidRDefault="00D2472E" w:rsidP="00D2472E">
      <w:pPr>
        <w:jc w:val="left"/>
        <w:rPr>
          <w:rFonts w:ascii="Arial Narrow" w:hAnsi="Arial Narrow"/>
          <w:i/>
          <w:sz w:val="18"/>
          <w:szCs w:val="18"/>
        </w:rPr>
      </w:pPr>
      <w:r w:rsidRPr="00D2472E">
        <w:rPr>
          <w:rFonts w:ascii="Arial Narrow" w:hAnsi="Arial Narrow"/>
          <w:i/>
          <w:sz w:val="18"/>
          <w:szCs w:val="18"/>
          <w:vertAlign w:val="superscript"/>
        </w:rPr>
        <w:t>1</w:t>
      </w:r>
      <w:r w:rsidRPr="00D2472E">
        <w:rPr>
          <w:rFonts w:ascii="Arial Narrow" w:hAnsi="Arial Narrow"/>
          <w:i/>
          <w:sz w:val="18"/>
          <w:szCs w:val="18"/>
        </w:rPr>
        <w:t xml:space="preserve"> $135,000 to &lt; $155,000</w:t>
      </w:r>
    </w:p>
    <w:p w14:paraId="34B8F986" w14:textId="77777777" w:rsidR="00D2472E" w:rsidRPr="004962DB" w:rsidRDefault="00D2472E" w:rsidP="00B05060">
      <w:pPr>
        <w:pStyle w:val="COMTablefooter"/>
        <w:rPr>
          <w:rFonts w:ascii="Calibri" w:hAnsi="Calibri" w:cs="Calibri"/>
          <w:sz w:val="16"/>
          <w:szCs w:val="16"/>
        </w:rPr>
      </w:pPr>
    </w:p>
    <w:p w14:paraId="24DA60A0" w14:textId="155DCC51" w:rsidR="00706800" w:rsidRDefault="00D23D11" w:rsidP="00706800">
      <w:pPr>
        <w:pStyle w:val="COMESnumberedpara"/>
        <w:rPr>
          <w:rFonts w:eastAsia="Times New Roman"/>
          <w:szCs w:val="24"/>
        </w:rPr>
      </w:pPr>
      <w:r w:rsidRPr="008C7B8B">
        <w:t xml:space="preserve">The results of key sensitivity analyses </w:t>
      </w:r>
      <w:r w:rsidR="00421F6D" w:rsidRPr="008C7B8B">
        <w:t xml:space="preserve">included in the submission and conducted during the evaluation </w:t>
      </w:r>
      <w:r w:rsidRPr="008C7B8B">
        <w:t xml:space="preserve">are summarised </w:t>
      </w:r>
      <w:r w:rsidR="00E16AD8" w:rsidRPr="008C7B8B">
        <w:t xml:space="preserve">in </w:t>
      </w:r>
      <w:r w:rsidR="00E16AD8" w:rsidRPr="008C7B8B">
        <w:fldChar w:fldCharType="begin"/>
      </w:r>
      <w:r w:rsidR="00E16AD8" w:rsidRPr="008C7B8B">
        <w:instrText xml:space="preserve"> REF _Ref104804865 \h </w:instrText>
      </w:r>
      <w:r w:rsidR="008C7B8B" w:rsidRPr="008C7B8B">
        <w:instrText xml:space="preserve"> \* MERGEFORMAT </w:instrText>
      </w:r>
      <w:r w:rsidR="00E16AD8" w:rsidRPr="008C7B8B">
        <w:fldChar w:fldCharType="separate"/>
      </w:r>
      <w:r w:rsidR="00E26586" w:rsidRPr="0098262F">
        <w:t xml:space="preserve">Table </w:t>
      </w:r>
      <w:r w:rsidR="00E26586">
        <w:rPr>
          <w:noProof/>
        </w:rPr>
        <w:t>13</w:t>
      </w:r>
      <w:r w:rsidR="00E16AD8" w:rsidRPr="008C7B8B">
        <w:fldChar w:fldCharType="end"/>
      </w:r>
      <w:r w:rsidRPr="008C7B8B">
        <w:t>.</w:t>
      </w:r>
      <w:r w:rsidR="00706800" w:rsidRPr="00706800">
        <w:t xml:space="preserve"> </w:t>
      </w:r>
    </w:p>
    <w:p w14:paraId="1BAC1159" w14:textId="24074435" w:rsidR="00A86E8B" w:rsidRPr="00706800" w:rsidRDefault="00706800" w:rsidP="00706800">
      <w:pPr>
        <w:pStyle w:val="COMESnumberedpara"/>
        <w:rPr>
          <w:rFonts w:eastAsia="Times New Roman"/>
          <w:szCs w:val="24"/>
        </w:rPr>
      </w:pPr>
      <w:r w:rsidRPr="008C7B8B">
        <w:t>The model was most sensitive to the parametric function used to extrapolate tarlatamab overall survival, the price of tarlatamab, tarlatamab treatment adherence, and health state utility values.</w:t>
      </w:r>
    </w:p>
    <w:p w14:paraId="3A64F4E7" w14:textId="2BAC0C87" w:rsidR="00D23D11" w:rsidRDefault="00E16AD8" w:rsidP="002031BF">
      <w:pPr>
        <w:pStyle w:val="COMTableFigurecaption"/>
      </w:pPr>
      <w:bookmarkStart w:id="65" w:name="_Ref104804865"/>
      <w:r w:rsidRPr="0098262F">
        <w:t xml:space="preserve">Table </w:t>
      </w:r>
      <w:r>
        <w:fldChar w:fldCharType="begin"/>
      </w:r>
      <w:r>
        <w:instrText>SEQ Table \* ARABIC</w:instrText>
      </w:r>
      <w:r>
        <w:fldChar w:fldCharType="separate"/>
      </w:r>
      <w:r w:rsidR="00E26586">
        <w:rPr>
          <w:noProof/>
        </w:rPr>
        <w:t>13</w:t>
      </w:r>
      <w:r>
        <w:fldChar w:fldCharType="end"/>
      </w:r>
      <w:bookmarkEnd w:id="65"/>
      <w:r w:rsidRPr="0098262F">
        <w:t>:</w:t>
      </w:r>
      <w:r w:rsidR="00354F64" w:rsidRPr="0098262F">
        <w:t xml:space="preserve"> </w:t>
      </w:r>
      <w:r w:rsidR="007C06F3">
        <w:t>Results of key s</w:t>
      </w:r>
      <w:r w:rsidR="00D15314" w:rsidRPr="0098262F">
        <w:t>ensitivity analyses</w:t>
      </w:r>
      <w:r w:rsidR="00D53197">
        <w:t>, based on the submission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Results of key sensitivity analyses, based on the submission base case"/>
      </w:tblPr>
      <w:tblGrid>
        <w:gridCol w:w="4106"/>
        <w:gridCol w:w="1227"/>
        <w:gridCol w:w="1228"/>
        <w:gridCol w:w="1228"/>
        <w:gridCol w:w="1228"/>
      </w:tblGrid>
      <w:tr w:rsidR="00276A1B" w:rsidRPr="00382BCC" w14:paraId="1CB80897" w14:textId="77777777">
        <w:trPr>
          <w:tblHeader/>
        </w:trPr>
        <w:tc>
          <w:tcPr>
            <w:tcW w:w="4106" w:type="dxa"/>
            <w:vAlign w:val="center"/>
          </w:tcPr>
          <w:p w14:paraId="2C4A7D50" w14:textId="77777777" w:rsidR="00276A1B" w:rsidRPr="00382BCC" w:rsidRDefault="00276A1B">
            <w:pPr>
              <w:pStyle w:val="COMTableheadingrow"/>
              <w:keepNext w:val="0"/>
            </w:pPr>
            <w:r w:rsidRPr="00382BCC">
              <w:t>Analysis</w:t>
            </w:r>
          </w:p>
        </w:tc>
        <w:tc>
          <w:tcPr>
            <w:tcW w:w="1227" w:type="dxa"/>
            <w:vAlign w:val="center"/>
          </w:tcPr>
          <w:p w14:paraId="40B6296C" w14:textId="77777777" w:rsidR="00276A1B" w:rsidRPr="00382BCC" w:rsidRDefault="00276A1B">
            <w:pPr>
              <w:pStyle w:val="COMTableheadingrow"/>
              <w:keepNext w:val="0"/>
              <w:jc w:val="center"/>
            </w:pPr>
            <w:r w:rsidRPr="00382BCC">
              <w:t>Incremental cost</w:t>
            </w:r>
          </w:p>
        </w:tc>
        <w:tc>
          <w:tcPr>
            <w:tcW w:w="1228" w:type="dxa"/>
            <w:vAlign w:val="center"/>
          </w:tcPr>
          <w:p w14:paraId="275FF964" w14:textId="77777777" w:rsidR="00276A1B" w:rsidRPr="00382BCC" w:rsidRDefault="00276A1B">
            <w:pPr>
              <w:pStyle w:val="COMTableheadingrow"/>
              <w:keepNext w:val="0"/>
              <w:jc w:val="center"/>
            </w:pPr>
            <w:r w:rsidRPr="00382BCC">
              <w:t>Incremental QALYs</w:t>
            </w:r>
          </w:p>
        </w:tc>
        <w:tc>
          <w:tcPr>
            <w:tcW w:w="1228" w:type="dxa"/>
            <w:vAlign w:val="center"/>
          </w:tcPr>
          <w:p w14:paraId="27EF2D0C" w14:textId="77777777" w:rsidR="00276A1B" w:rsidRPr="00382BCC" w:rsidRDefault="00276A1B">
            <w:pPr>
              <w:pStyle w:val="COMTableheadingrow"/>
              <w:keepNext w:val="0"/>
              <w:jc w:val="center"/>
            </w:pPr>
            <w:r w:rsidRPr="00382BCC">
              <w:t>ICER</w:t>
            </w:r>
          </w:p>
        </w:tc>
        <w:tc>
          <w:tcPr>
            <w:tcW w:w="1228" w:type="dxa"/>
            <w:vAlign w:val="center"/>
          </w:tcPr>
          <w:p w14:paraId="1D9FF649" w14:textId="77777777" w:rsidR="00276A1B" w:rsidRPr="00382BCC" w:rsidRDefault="00276A1B">
            <w:pPr>
              <w:pStyle w:val="COMTableheadingrow"/>
              <w:keepNext w:val="0"/>
              <w:jc w:val="center"/>
            </w:pPr>
            <w:r w:rsidRPr="00382BCC">
              <w:t>% change</w:t>
            </w:r>
          </w:p>
        </w:tc>
      </w:tr>
      <w:tr w:rsidR="00276A1B" w:rsidRPr="002D19AF" w14:paraId="080777BE" w14:textId="77777777">
        <w:trPr>
          <w:tblHeader/>
        </w:trPr>
        <w:tc>
          <w:tcPr>
            <w:tcW w:w="4106" w:type="dxa"/>
          </w:tcPr>
          <w:p w14:paraId="5B2E59ED" w14:textId="21291553" w:rsidR="00276A1B" w:rsidRPr="00382BCC" w:rsidRDefault="00276A1B">
            <w:pPr>
              <w:pStyle w:val="COMTabletext"/>
              <w:keepNext w:val="0"/>
              <w:rPr>
                <w:b/>
                <w:bCs w:val="0"/>
              </w:rPr>
            </w:pPr>
            <w:r w:rsidRPr="00382BCC">
              <w:rPr>
                <w:b/>
                <w:bCs w:val="0"/>
              </w:rPr>
              <w:t>Base case</w:t>
            </w:r>
            <w:r w:rsidR="00C77B04">
              <w:rPr>
                <w:b/>
                <w:bCs w:val="0"/>
              </w:rPr>
              <w:t xml:space="preserve"> of the submission</w:t>
            </w:r>
          </w:p>
        </w:tc>
        <w:tc>
          <w:tcPr>
            <w:tcW w:w="1227" w:type="dxa"/>
          </w:tcPr>
          <w:p w14:paraId="1C3CC778" w14:textId="40CF619E" w:rsidR="00276A1B" w:rsidRPr="002D19AF" w:rsidRDefault="00276A1B">
            <w:pPr>
              <w:pStyle w:val="COMTabletext"/>
              <w:keepNext w:val="0"/>
              <w:jc w:val="center"/>
              <w:rPr>
                <w:b/>
                <w:bCs w:val="0"/>
              </w:rPr>
            </w:pPr>
            <w:r w:rsidRPr="002D19AF">
              <w:rPr>
                <w:b/>
                <w:bCs w:val="0"/>
              </w:rPr>
              <w:t>$</w:t>
            </w:r>
            <w:r w:rsidR="003D0BC2" w:rsidRPr="003D0BC2">
              <w:rPr>
                <w:b/>
                <w:bCs w:val="0"/>
                <w:sz w:val="2"/>
                <w:highlight w:val="black"/>
              </w:rPr>
              <w:t>redacted content</w:t>
            </w:r>
          </w:p>
        </w:tc>
        <w:tc>
          <w:tcPr>
            <w:tcW w:w="1228" w:type="dxa"/>
          </w:tcPr>
          <w:p w14:paraId="62BD0F6C" w14:textId="77777777" w:rsidR="00276A1B" w:rsidRPr="002D19AF" w:rsidRDefault="00276A1B">
            <w:pPr>
              <w:pStyle w:val="COMTabletext"/>
              <w:keepNext w:val="0"/>
              <w:jc w:val="center"/>
              <w:rPr>
                <w:b/>
                <w:bCs w:val="0"/>
              </w:rPr>
            </w:pPr>
            <w:r w:rsidRPr="002D19AF">
              <w:rPr>
                <w:b/>
                <w:bCs w:val="0"/>
              </w:rPr>
              <w:t>1.0806</w:t>
            </w:r>
          </w:p>
        </w:tc>
        <w:tc>
          <w:tcPr>
            <w:tcW w:w="1228" w:type="dxa"/>
          </w:tcPr>
          <w:p w14:paraId="0A05915B" w14:textId="3CCA2CE1" w:rsidR="00276A1B" w:rsidRPr="00BE78B4" w:rsidRDefault="00276A1B">
            <w:pPr>
              <w:pStyle w:val="COMTabletext"/>
              <w:keepNext w:val="0"/>
              <w:jc w:val="center"/>
              <w:rPr>
                <w:b/>
                <w:bCs w:val="0"/>
                <w:vertAlign w:val="superscript"/>
              </w:rPr>
            </w:pPr>
            <w:r w:rsidRPr="002D19AF">
              <w:rPr>
                <w:b/>
                <w:bCs w:val="0"/>
              </w:rPr>
              <w:t>$</w:t>
            </w:r>
            <w:r w:rsidR="003D0BC2" w:rsidRPr="003D0BC2">
              <w:rPr>
                <w:b/>
                <w:bCs w:val="0"/>
                <w:sz w:val="2"/>
                <w:highlight w:val="black"/>
              </w:rPr>
              <w:t>redacted content</w:t>
            </w:r>
            <w:r w:rsidR="00BE78B4">
              <w:rPr>
                <w:b/>
                <w:bCs w:val="0"/>
                <w:vertAlign w:val="superscript"/>
              </w:rPr>
              <w:t>1</w:t>
            </w:r>
          </w:p>
        </w:tc>
        <w:tc>
          <w:tcPr>
            <w:tcW w:w="1228" w:type="dxa"/>
          </w:tcPr>
          <w:p w14:paraId="12A611D9" w14:textId="77777777" w:rsidR="00276A1B" w:rsidRPr="002D19AF" w:rsidRDefault="00276A1B">
            <w:pPr>
              <w:pStyle w:val="COMTabletext"/>
              <w:keepNext w:val="0"/>
              <w:jc w:val="center"/>
              <w:rPr>
                <w:b/>
                <w:bCs w:val="0"/>
              </w:rPr>
            </w:pPr>
            <w:r w:rsidRPr="002D19AF">
              <w:rPr>
                <w:b/>
                <w:bCs w:val="0"/>
              </w:rPr>
              <w:t>-</w:t>
            </w:r>
          </w:p>
        </w:tc>
      </w:tr>
      <w:tr w:rsidR="00276A1B" w:rsidRPr="00382BCC" w14:paraId="32092C01" w14:textId="77777777">
        <w:tc>
          <w:tcPr>
            <w:tcW w:w="9017" w:type="dxa"/>
            <w:gridSpan w:val="5"/>
          </w:tcPr>
          <w:p w14:paraId="2189798F" w14:textId="77777777" w:rsidR="00276A1B" w:rsidRPr="00382BCC" w:rsidRDefault="00276A1B">
            <w:pPr>
              <w:pStyle w:val="COMTableheadingrow"/>
            </w:pPr>
            <w:r w:rsidRPr="00382BCC">
              <w:t>Discount rate (base case: 5% costs and outcomes)</w:t>
            </w:r>
          </w:p>
        </w:tc>
      </w:tr>
      <w:tr w:rsidR="00276A1B" w:rsidRPr="00B50C9F" w14:paraId="6AE7F55F" w14:textId="77777777">
        <w:tc>
          <w:tcPr>
            <w:tcW w:w="4106" w:type="dxa"/>
          </w:tcPr>
          <w:p w14:paraId="24EA0007" w14:textId="77777777" w:rsidR="00276A1B" w:rsidRPr="00B50C9F" w:rsidRDefault="00276A1B">
            <w:pPr>
              <w:pStyle w:val="COMTabletext"/>
              <w:keepNext w:val="0"/>
            </w:pPr>
            <w:r w:rsidRPr="00B50C9F">
              <w:t>0%</w:t>
            </w:r>
          </w:p>
        </w:tc>
        <w:tc>
          <w:tcPr>
            <w:tcW w:w="1227" w:type="dxa"/>
            <w:vAlign w:val="bottom"/>
          </w:tcPr>
          <w:p w14:paraId="400FC1F8" w14:textId="3661B1B7" w:rsidR="00276A1B" w:rsidRPr="00B50C9F"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p>
        </w:tc>
        <w:tc>
          <w:tcPr>
            <w:tcW w:w="1228" w:type="dxa"/>
            <w:vAlign w:val="bottom"/>
          </w:tcPr>
          <w:p w14:paraId="37910E20" w14:textId="77777777" w:rsidR="00276A1B" w:rsidRPr="00B50C9F" w:rsidRDefault="00276A1B">
            <w:pPr>
              <w:pStyle w:val="COMTabletext"/>
              <w:keepNext w:val="0"/>
              <w:jc w:val="center"/>
            </w:pPr>
            <w:r>
              <w:rPr>
                <w:rFonts w:cs="Calibri"/>
                <w:color w:val="000000"/>
                <w:szCs w:val="20"/>
              </w:rPr>
              <w:t>1.2881</w:t>
            </w:r>
          </w:p>
        </w:tc>
        <w:tc>
          <w:tcPr>
            <w:tcW w:w="1228" w:type="dxa"/>
            <w:vAlign w:val="bottom"/>
          </w:tcPr>
          <w:p w14:paraId="52D7C2F5" w14:textId="510FEA09" w:rsidR="00276A1B" w:rsidRPr="00B50C9F"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p>
        </w:tc>
        <w:tc>
          <w:tcPr>
            <w:tcW w:w="1228" w:type="dxa"/>
            <w:vAlign w:val="center"/>
          </w:tcPr>
          <w:p w14:paraId="3A5F08F8" w14:textId="053D4E29" w:rsidR="00276A1B" w:rsidRPr="00B50C9F"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r>
              <w:rPr>
                <w:rFonts w:cs="Calibri"/>
                <w:color w:val="000000"/>
                <w:szCs w:val="20"/>
              </w:rPr>
              <w:t>%</w:t>
            </w:r>
          </w:p>
        </w:tc>
      </w:tr>
      <w:tr w:rsidR="00276A1B" w:rsidRPr="00B50C9F" w14:paraId="0419A9D5" w14:textId="77777777">
        <w:tc>
          <w:tcPr>
            <w:tcW w:w="4106" w:type="dxa"/>
          </w:tcPr>
          <w:p w14:paraId="5FBD3133" w14:textId="77777777" w:rsidR="00276A1B" w:rsidRPr="00B50C9F" w:rsidRDefault="00276A1B">
            <w:pPr>
              <w:pStyle w:val="COMTabletext"/>
              <w:keepNext w:val="0"/>
            </w:pPr>
            <w:r w:rsidRPr="00B50C9F">
              <w:t>3.5%</w:t>
            </w:r>
          </w:p>
        </w:tc>
        <w:tc>
          <w:tcPr>
            <w:tcW w:w="1227" w:type="dxa"/>
            <w:vAlign w:val="bottom"/>
          </w:tcPr>
          <w:p w14:paraId="78155CBF" w14:textId="4D23968C" w:rsidR="00276A1B" w:rsidRPr="00B50C9F"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p>
        </w:tc>
        <w:tc>
          <w:tcPr>
            <w:tcW w:w="1228" w:type="dxa"/>
            <w:vAlign w:val="bottom"/>
          </w:tcPr>
          <w:p w14:paraId="669408D1" w14:textId="77777777" w:rsidR="00276A1B" w:rsidRPr="00B50C9F" w:rsidRDefault="00276A1B">
            <w:pPr>
              <w:pStyle w:val="COMTabletext"/>
              <w:keepNext w:val="0"/>
              <w:jc w:val="center"/>
            </w:pPr>
            <w:r>
              <w:rPr>
                <w:rFonts w:cs="Calibri"/>
                <w:color w:val="000000"/>
                <w:szCs w:val="20"/>
              </w:rPr>
              <w:t>1.1362</w:t>
            </w:r>
          </w:p>
        </w:tc>
        <w:tc>
          <w:tcPr>
            <w:tcW w:w="1228" w:type="dxa"/>
            <w:vAlign w:val="bottom"/>
          </w:tcPr>
          <w:p w14:paraId="58231676" w14:textId="3DFCDEAA" w:rsidR="00276A1B" w:rsidRPr="00B50C9F"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p>
        </w:tc>
        <w:tc>
          <w:tcPr>
            <w:tcW w:w="1228" w:type="dxa"/>
            <w:vAlign w:val="center"/>
          </w:tcPr>
          <w:p w14:paraId="55219338" w14:textId="23E98A3E" w:rsidR="00276A1B" w:rsidRPr="00B50C9F"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r>
              <w:rPr>
                <w:rFonts w:cs="Calibri"/>
                <w:color w:val="000000"/>
                <w:szCs w:val="20"/>
              </w:rPr>
              <w:t>%</w:t>
            </w:r>
          </w:p>
        </w:tc>
      </w:tr>
      <w:tr w:rsidR="00276A1B" w:rsidRPr="00382BCC" w14:paraId="5B0996FF" w14:textId="77777777">
        <w:tc>
          <w:tcPr>
            <w:tcW w:w="9017" w:type="dxa"/>
            <w:gridSpan w:val="5"/>
          </w:tcPr>
          <w:p w14:paraId="679505BA" w14:textId="77777777" w:rsidR="00276A1B" w:rsidRPr="00382BCC" w:rsidRDefault="00276A1B">
            <w:pPr>
              <w:pStyle w:val="COMTableheadingrow"/>
            </w:pPr>
            <w:r w:rsidRPr="00382BCC">
              <w:t xml:space="preserve">Time horizon (base case: </w:t>
            </w:r>
            <w:r>
              <w:t>10</w:t>
            </w:r>
            <w:r w:rsidRPr="00382BCC">
              <w:t xml:space="preserve"> years)</w:t>
            </w:r>
          </w:p>
        </w:tc>
      </w:tr>
      <w:tr w:rsidR="00276A1B" w:rsidRPr="00B50C9F" w14:paraId="2A61F69A" w14:textId="77777777">
        <w:tc>
          <w:tcPr>
            <w:tcW w:w="4106" w:type="dxa"/>
          </w:tcPr>
          <w:p w14:paraId="19F29A18" w14:textId="5D958BB8" w:rsidR="00276A1B" w:rsidRPr="00082D31" w:rsidRDefault="00276A1B">
            <w:pPr>
              <w:pStyle w:val="COMTabletext"/>
              <w:keepNext w:val="0"/>
              <w:rPr>
                <w:vertAlign w:val="superscript"/>
              </w:rPr>
            </w:pPr>
            <w:r w:rsidRPr="00082D31">
              <w:t>3 years</w:t>
            </w:r>
            <w:r w:rsidR="00082D31" w:rsidRPr="00082D31">
              <w:rPr>
                <w:vertAlign w:val="superscript"/>
              </w:rPr>
              <w:t>a</w:t>
            </w:r>
          </w:p>
        </w:tc>
        <w:tc>
          <w:tcPr>
            <w:tcW w:w="1227" w:type="dxa"/>
            <w:vAlign w:val="bottom"/>
          </w:tcPr>
          <w:p w14:paraId="0B0E3BF3" w14:textId="4A6D611E" w:rsidR="00276A1B" w:rsidRPr="00082D31" w:rsidRDefault="00276A1B">
            <w:pPr>
              <w:pStyle w:val="COMTabletext"/>
              <w:keepNext w:val="0"/>
              <w:jc w:val="center"/>
            </w:pPr>
            <w:r w:rsidRPr="00082D31">
              <w:rPr>
                <w:rFonts w:cs="Calibri"/>
                <w:color w:val="000000"/>
                <w:szCs w:val="20"/>
              </w:rPr>
              <w:t>$</w:t>
            </w:r>
            <w:r w:rsidR="003D0BC2" w:rsidRPr="003D0BC2">
              <w:rPr>
                <w:rFonts w:cs="Calibri"/>
                <w:color w:val="000000"/>
                <w:sz w:val="2"/>
                <w:szCs w:val="20"/>
                <w:highlight w:val="black"/>
              </w:rPr>
              <w:t>redacted content</w:t>
            </w:r>
          </w:p>
        </w:tc>
        <w:tc>
          <w:tcPr>
            <w:tcW w:w="1228" w:type="dxa"/>
            <w:vAlign w:val="bottom"/>
          </w:tcPr>
          <w:p w14:paraId="3C1E99B7" w14:textId="77777777" w:rsidR="00276A1B" w:rsidRPr="00082D31" w:rsidRDefault="00276A1B">
            <w:pPr>
              <w:pStyle w:val="COMTabletext"/>
              <w:keepNext w:val="0"/>
              <w:jc w:val="center"/>
            </w:pPr>
            <w:r w:rsidRPr="00082D31">
              <w:rPr>
                <w:rFonts w:cs="Calibri"/>
                <w:color w:val="000000"/>
                <w:szCs w:val="20"/>
              </w:rPr>
              <w:t>0.4703</w:t>
            </w:r>
          </w:p>
        </w:tc>
        <w:tc>
          <w:tcPr>
            <w:tcW w:w="1228" w:type="dxa"/>
            <w:vAlign w:val="bottom"/>
          </w:tcPr>
          <w:p w14:paraId="7CFBE369" w14:textId="1462F58F" w:rsidR="00276A1B" w:rsidRPr="00082D31" w:rsidRDefault="00276A1B">
            <w:pPr>
              <w:pStyle w:val="COMTabletext"/>
              <w:keepNext w:val="0"/>
              <w:jc w:val="center"/>
            </w:pPr>
            <w:r w:rsidRPr="00082D31">
              <w:rPr>
                <w:rFonts w:cs="Calibri"/>
                <w:color w:val="000000"/>
                <w:szCs w:val="20"/>
              </w:rPr>
              <w:t>$</w:t>
            </w:r>
            <w:r w:rsidR="003D0BC2" w:rsidRPr="003D0BC2">
              <w:rPr>
                <w:rFonts w:cs="Calibri"/>
                <w:color w:val="000000"/>
                <w:sz w:val="2"/>
                <w:szCs w:val="20"/>
                <w:highlight w:val="black"/>
              </w:rPr>
              <w:t>redacted content</w:t>
            </w:r>
          </w:p>
        </w:tc>
        <w:tc>
          <w:tcPr>
            <w:tcW w:w="1228" w:type="dxa"/>
            <w:vAlign w:val="center"/>
          </w:tcPr>
          <w:p w14:paraId="66501C7E" w14:textId="62500907" w:rsidR="00276A1B" w:rsidRPr="00082D31" w:rsidRDefault="00276A1B">
            <w:pPr>
              <w:pStyle w:val="COMTabletext"/>
              <w:keepNext w:val="0"/>
              <w:jc w:val="center"/>
            </w:pPr>
            <w:r w:rsidRPr="00082D31">
              <w:rPr>
                <w:rFonts w:cs="Calibri"/>
                <w:color w:val="000000"/>
                <w:szCs w:val="20"/>
              </w:rPr>
              <w:t>+</w:t>
            </w:r>
            <w:r w:rsidR="003D0BC2" w:rsidRPr="003D0BC2">
              <w:rPr>
                <w:rFonts w:cs="Calibri"/>
                <w:color w:val="000000"/>
                <w:sz w:val="2"/>
                <w:szCs w:val="20"/>
                <w:highlight w:val="black"/>
              </w:rPr>
              <w:t>redacted content</w:t>
            </w:r>
            <w:r w:rsidRPr="00082D31">
              <w:rPr>
                <w:rFonts w:cs="Calibri"/>
                <w:color w:val="000000"/>
                <w:szCs w:val="20"/>
              </w:rPr>
              <w:t>%</w:t>
            </w:r>
          </w:p>
        </w:tc>
      </w:tr>
      <w:tr w:rsidR="00276A1B" w:rsidRPr="00B930C6" w14:paraId="745C3556" w14:textId="77777777">
        <w:tc>
          <w:tcPr>
            <w:tcW w:w="4106" w:type="dxa"/>
          </w:tcPr>
          <w:p w14:paraId="0B3E29D8" w14:textId="77777777" w:rsidR="00276A1B" w:rsidRPr="00B930C6" w:rsidRDefault="00276A1B">
            <w:pPr>
              <w:pStyle w:val="COMTabletext"/>
              <w:keepNext w:val="0"/>
            </w:pPr>
            <w:r>
              <w:t>5</w:t>
            </w:r>
            <w:r w:rsidRPr="00B930C6">
              <w:t xml:space="preserve"> years</w:t>
            </w:r>
          </w:p>
        </w:tc>
        <w:tc>
          <w:tcPr>
            <w:tcW w:w="1227" w:type="dxa"/>
            <w:vAlign w:val="bottom"/>
          </w:tcPr>
          <w:p w14:paraId="6AD80A46" w14:textId="00464391" w:rsidR="00276A1B" w:rsidRPr="00B930C6"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p>
        </w:tc>
        <w:tc>
          <w:tcPr>
            <w:tcW w:w="1228" w:type="dxa"/>
            <w:vAlign w:val="bottom"/>
          </w:tcPr>
          <w:p w14:paraId="7D0F1237" w14:textId="77777777" w:rsidR="00276A1B" w:rsidRPr="00B930C6" w:rsidRDefault="00276A1B">
            <w:pPr>
              <w:pStyle w:val="COMTabletext"/>
              <w:keepNext w:val="0"/>
              <w:jc w:val="center"/>
            </w:pPr>
            <w:r>
              <w:rPr>
                <w:rFonts w:cs="Calibri"/>
                <w:color w:val="000000"/>
                <w:szCs w:val="20"/>
              </w:rPr>
              <w:t>0.7368</w:t>
            </w:r>
          </w:p>
        </w:tc>
        <w:tc>
          <w:tcPr>
            <w:tcW w:w="1228" w:type="dxa"/>
            <w:vAlign w:val="bottom"/>
          </w:tcPr>
          <w:p w14:paraId="463AD2AC" w14:textId="27593188" w:rsidR="00276A1B" w:rsidRPr="00B930C6"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p>
        </w:tc>
        <w:tc>
          <w:tcPr>
            <w:tcW w:w="1228" w:type="dxa"/>
            <w:vAlign w:val="center"/>
          </w:tcPr>
          <w:p w14:paraId="59B0F2B7" w14:textId="2FFD0322" w:rsidR="00276A1B" w:rsidRPr="00B930C6"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r>
              <w:rPr>
                <w:rFonts w:cs="Calibri"/>
                <w:color w:val="000000"/>
                <w:szCs w:val="20"/>
              </w:rPr>
              <w:t>%</w:t>
            </w:r>
          </w:p>
        </w:tc>
      </w:tr>
      <w:tr w:rsidR="00276A1B" w:rsidRPr="00382BCC" w14:paraId="1FBF81F9" w14:textId="77777777">
        <w:tc>
          <w:tcPr>
            <w:tcW w:w="4106" w:type="dxa"/>
          </w:tcPr>
          <w:p w14:paraId="107722CD" w14:textId="77777777" w:rsidR="00276A1B" w:rsidRPr="00382BCC" w:rsidRDefault="00276A1B">
            <w:pPr>
              <w:pStyle w:val="COMTabletext"/>
              <w:keepNext w:val="0"/>
            </w:pPr>
            <w:r>
              <w:t>7</w:t>
            </w:r>
            <w:r w:rsidRPr="00382BCC">
              <w:t xml:space="preserve"> years</w:t>
            </w:r>
          </w:p>
        </w:tc>
        <w:tc>
          <w:tcPr>
            <w:tcW w:w="1227" w:type="dxa"/>
            <w:vAlign w:val="bottom"/>
          </w:tcPr>
          <w:p w14:paraId="457EBE02" w14:textId="4CEE164E" w:rsidR="00276A1B" w:rsidRPr="00382BCC"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p>
        </w:tc>
        <w:tc>
          <w:tcPr>
            <w:tcW w:w="1228" w:type="dxa"/>
            <w:vAlign w:val="bottom"/>
          </w:tcPr>
          <w:p w14:paraId="2A4C1AA9" w14:textId="77777777" w:rsidR="00276A1B" w:rsidRPr="00382BCC" w:rsidRDefault="00276A1B">
            <w:pPr>
              <w:pStyle w:val="COMTabletext"/>
              <w:keepNext w:val="0"/>
              <w:jc w:val="center"/>
            </w:pPr>
            <w:r>
              <w:rPr>
                <w:rFonts w:cs="Calibri"/>
                <w:color w:val="000000"/>
                <w:szCs w:val="20"/>
              </w:rPr>
              <w:t>0.9143</w:t>
            </w:r>
          </w:p>
        </w:tc>
        <w:tc>
          <w:tcPr>
            <w:tcW w:w="1228" w:type="dxa"/>
            <w:vAlign w:val="bottom"/>
          </w:tcPr>
          <w:p w14:paraId="44A78742" w14:textId="2F14331B" w:rsidR="00276A1B" w:rsidRPr="00382BCC"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p>
        </w:tc>
        <w:tc>
          <w:tcPr>
            <w:tcW w:w="1228" w:type="dxa"/>
            <w:vAlign w:val="center"/>
          </w:tcPr>
          <w:p w14:paraId="69FCBBDA" w14:textId="5F3FF42F" w:rsidR="00276A1B" w:rsidRPr="00382BCC"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r>
              <w:rPr>
                <w:rFonts w:cs="Calibri"/>
                <w:color w:val="000000"/>
                <w:szCs w:val="20"/>
              </w:rPr>
              <w:t>%</w:t>
            </w:r>
          </w:p>
        </w:tc>
      </w:tr>
      <w:tr w:rsidR="00276A1B" w:rsidRPr="00865ECE" w14:paraId="7AB13C9A" w14:textId="77777777">
        <w:tc>
          <w:tcPr>
            <w:tcW w:w="9017" w:type="dxa"/>
            <w:gridSpan w:val="5"/>
          </w:tcPr>
          <w:p w14:paraId="10E9F6E4" w14:textId="77777777" w:rsidR="00276A1B" w:rsidRPr="00865ECE" w:rsidRDefault="00276A1B">
            <w:pPr>
              <w:pStyle w:val="COMTabletext"/>
              <w:keepNext w:val="0"/>
              <w:rPr>
                <w:rFonts w:cs="Calibri"/>
                <w:b/>
                <w:bCs w:val="0"/>
                <w:color w:val="000000"/>
                <w:szCs w:val="20"/>
              </w:rPr>
            </w:pPr>
            <w:r w:rsidRPr="00865ECE">
              <w:rPr>
                <w:b/>
                <w:bCs w:val="0"/>
              </w:rPr>
              <w:t>Standard of care arm (base case: topotecan subgroup of the DeLLphi-304 SOC arm used as a proxy for SOC)</w:t>
            </w:r>
          </w:p>
        </w:tc>
      </w:tr>
      <w:tr w:rsidR="00276A1B" w14:paraId="21884B6C" w14:textId="77777777">
        <w:tc>
          <w:tcPr>
            <w:tcW w:w="4106" w:type="dxa"/>
          </w:tcPr>
          <w:p w14:paraId="7C6ECD7D" w14:textId="18D82C75" w:rsidR="00276A1B" w:rsidRDefault="00276A1B">
            <w:pPr>
              <w:pStyle w:val="COMTabletext"/>
              <w:keepNext w:val="0"/>
            </w:pPr>
            <w:r>
              <w:t>DeLLphi-304 ITT SOC arm</w:t>
            </w:r>
            <w:r w:rsidR="006323AE">
              <w:rPr>
                <w:vertAlign w:val="superscript"/>
              </w:rPr>
              <w:t>b</w:t>
            </w:r>
          </w:p>
        </w:tc>
        <w:tc>
          <w:tcPr>
            <w:tcW w:w="1227" w:type="dxa"/>
            <w:vAlign w:val="bottom"/>
          </w:tcPr>
          <w:p w14:paraId="41CE23D4" w14:textId="7271011B" w:rsidR="00276A1B" w:rsidRDefault="00276A1B">
            <w:pPr>
              <w:pStyle w:val="COMTabletext"/>
              <w:keepNext w:val="0"/>
              <w:jc w:val="center"/>
              <w:rPr>
                <w:rFonts w:cs="Calibri"/>
                <w:color w:val="000000"/>
                <w:szCs w:val="20"/>
              </w:rPr>
            </w:pPr>
            <w:r>
              <w:rPr>
                <w:rFonts w:cs="Calibri"/>
                <w:color w:val="000000"/>
                <w:szCs w:val="20"/>
              </w:rPr>
              <w:t>$</w:t>
            </w:r>
            <w:r w:rsidR="003D0BC2" w:rsidRPr="003D0BC2">
              <w:rPr>
                <w:rFonts w:cs="Calibri"/>
                <w:color w:val="000000"/>
                <w:sz w:val="2"/>
                <w:szCs w:val="20"/>
                <w:highlight w:val="black"/>
              </w:rPr>
              <w:t>redacted content</w:t>
            </w:r>
          </w:p>
        </w:tc>
        <w:tc>
          <w:tcPr>
            <w:tcW w:w="1228" w:type="dxa"/>
            <w:vAlign w:val="bottom"/>
          </w:tcPr>
          <w:p w14:paraId="1C4159C1" w14:textId="77777777" w:rsidR="00276A1B" w:rsidRDefault="00276A1B">
            <w:pPr>
              <w:pStyle w:val="COMTabletext"/>
              <w:keepNext w:val="0"/>
              <w:jc w:val="center"/>
              <w:rPr>
                <w:rFonts w:cs="Calibri"/>
                <w:color w:val="000000"/>
                <w:szCs w:val="20"/>
              </w:rPr>
            </w:pPr>
            <w:r>
              <w:rPr>
                <w:rFonts w:cs="Calibri"/>
                <w:color w:val="000000"/>
                <w:szCs w:val="20"/>
              </w:rPr>
              <w:t>1.0177</w:t>
            </w:r>
          </w:p>
        </w:tc>
        <w:tc>
          <w:tcPr>
            <w:tcW w:w="1228" w:type="dxa"/>
            <w:vAlign w:val="bottom"/>
          </w:tcPr>
          <w:p w14:paraId="121CFD82" w14:textId="7FB6E73F" w:rsidR="00276A1B" w:rsidRPr="00BE78B4" w:rsidRDefault="00276A1B">
            <w:pPr>
              <w:pStyle w:val="COMTabletext"/>
              <w:keepNext w:val="0"/>
              <w:jc w:val="center"/>
              <w:rPr>
                <w:rFonts w:cs="Calibri"/>
                <w:color w:val="000000"/>
                <w:szCs w:val="20"/>
                <w:vertAlign w:val="superscript"/>
              </w:rPr>
            </w:pPr>
            <w:r>
              <w:rPr>
                <w:rFonts w:cs="Calibri"/>
                <w:color w:val="000000"/>
                <w:szCs w:val="20"/>
              </w:rPr>
              <w:t>$</w:t>
            </w:r>
            <w:r w:rsidR="003D0BC2" w:rsidRPr="003D0BC2">
              <w:rPr>
                <w:rFonts w:cs="Calibri"/>
                <w:color w:val="000000"/>
                <w:sz w:val="2"/>
                <w:szCs w:val="20"/>
                <w:highlight w:val="black"/>
              </w:rPr>
              <w:t>redacted content</w:t>
            </w:r>
            <w:r w:rsidR="00BE78B4">
              <w:rPr>
                <w:rFonts w:cs="Calibri"/>
                <w:color w:val="000000"/>
                <w:szCs w:val="20"/>
                <w:vertAlign w:val="superscript"/>
              </w:rPr>
              <w:t>1</w:t>
            </w:r>
          </w:p>
        </w:tc>
        <w:tc>
          <w:tcPr>
            <w:tcW w:w="1228" w:type="dxa"/>
            <w:vAlign w:val="center"/>
          </w:tcPr>
          <w:p w14:paraId="7D362722" w14:textId="6F462E8C" w:rsidR="00276A1B" w:rsidRDefault="00276A1B">
            <w:pPr>
              <w:pStyle w:val="COMTabletext"/>
              <w:keepNext w:val="0"/>
              <w:jc w:val="center"/>
              <w:rPr>
                <w:rFonts w:cs="Calibri"/>
                <w:color w:val="000000"/>
                <w:szCs w:val="20"/>
              </w:rPr>
            </w:pPr>
            <w:r>
              <w:rPr>
                <w:rFonts w:cs="Calibri"/>
                <w:color w:val="000000"/>
                <w:szCs w:val="20"/>
              </w:rPr>
              <w:t>+</w:t>
            </w:r>
            <w:r w:rsidR="003D0BC2" w:rsidRPr="003D0BC2">
              <w:rPr>
                <w:rFonts w:cs="Calibri"/>
                <w:color w:val="000000"/>
                <w:sz w:val="2"/>
                <w:szCs w:val="20"/>
                <w:highlight w:val="black"/>
              </w:rPr>
              <w:t>redacted content</w:t>
            </w:r>
            <w:r>
              <w:rPr>
                <w:rFonts w:cs="Calibri"/>
                <w:color w:val="000000"/>
                <w:szCs w:val="20"/>
              </w:rPr>
              <w:t>%</w:t>
            </w:r>
          </w:p>
        </w:tc>
      </w:tr>
      <w:tr w:rsidR="00276A1B" w:rsidRPr="00382BCC" w14:paraId="2B84DBE3" w14:textId="77777777">
        <w:trPr>
          <w:trHeight w:val="64"/>
        </w:trPr>
        <w:tc>
          <w:tcPr>
            <w:tcW w:w="9017" w:type="dxa"/>
            <w:gridSpan w:val="5"/>
          </w:tcPr>
          <w:p w14:paraId="04C242AF" w14:textId="77777777" w:rsidR="00276A1B" w:rsidRPr="00382BCC" w:rsidRDefault="00276A1B">
            <w:pPr>
              <w:pStyle w:val="COMTableheadingrow"/>
            </w:pPr>
            <w:r>
              <w:lastRenderedPageBreak/>
              <w:t>Overall survival extrapolation (base case: modelled independently using a loglogistic function for tarlatamab and an exponential function for topotecan)</w:t>
            </w:r>
          </w:p>
        </w:tc>
      </w:tr>
      <w:tr w:rsidR="00276A1B" w:rsidRPr="00382BCC" w14:paraId="2A355181" w14:textId="77777777">
        <w:trPr>
          <w:trHeight w:val="64"/>
        </w:trPr>
        <w:tc>
          <w:tcPr>
            <w:tcW w:w="4106" w:type="dxa"/>
          </w:tcPr>
          <w:p w14:paraId="22F462AB" w14:textId="77777777" w:rsidR="00276A1B" w:rsidRPr="00382BCC" w:rsidRDefault="00276A1B">
            <w:pPr>
              <w:pStyle w:val="COMTabletext"/>
              <w:keepNext w:val="0"/>
            </w:pPr>
            <w:r>
              <w:t>Tarlatamab arm based on best fitting exponential function</w:t>
            </w:r>
          </w:p>
        </w:tc>
        <w:tc>
          <w:tcPr>
            <w:tcW w:w="1227" w:type="dxa"/>
            <w:vAlign w:val="center"/>
          </w:tcPr>
          <w:p w14:paraId="1479ED60" w14:textId="010A2C87" w:rsidR="00276A1B" w:rsidRPr="00382BCC"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p>
        </w:tc>
        <w:tc>
          <w:tcPr>
            <w:tcW w:w="1228" w:type="dxa"/>
            <w:vAlign w:val="center"/>
          </w:tcPr>
          <w:p w14:paraId="249438A5" w14:textId="77777777" w:rsidR="00276A1B" w:rsidRPr="00382BCC" w:rsidRDefault="00276A1B">
            <w:pPr>
              <w:pStyle w:val="COMTabletext"/>
              <w:keepNext w:val="0"/>
              <w:jc w:val="center"/>
            </w:pPr>
            <w:r>
              <w:rPr>
                <w:rFonts w:cs="Calibri"/>
                <w:color w:val="000000"/>
                <w:szCs w:val="20"/>
              </w:rPr>
              <w:t>0.6007</w:t>
            </w:r>
          </w:p>
        </w:tc>
        <w:tc>
          <w:tcPr>
            <w:tcW w:w="1228" w:type="dxa"/>
            <w:vAlign w:val="center"/>
          </w:tcPr>
          <w:p w14:paraId="654DD154" w14:textId="0059C834" w:rsidR="00276A1B" w:rsidRPr="005A04AD" w:rsidRDefault="00276A1B">
            <w:pPr>
              <w:pStyle w:val="COMTabletext"/>
              <w:keepNext w:val="0"/>
              <w:jc w:val="center"/>
              <w:rPr>
                <w:vertAlign w:val="superscript"/>
              </w:rPr>
            </w:pPr>
            <w:r>
              <w:rPr>
                <w:rFonts w:cs="Calibri"/>
                <w:color w:val="000000"/>
                <w:szCs w:val="20"/>
              </w:rPr>
              <w:t>$</w:t>
            </w:r>
            <w:r w:rsidR="003D0BC2" w:rsidRPr="003D0BC2">
              <w:rPr>
                <w:rFonts w:cs="Calibri"/>
                <w:color w:val="000000"/>
                <w:sz w:val="2"/>
                <w:szCs w:val="20"/>
                <w:highlight w:val="black"/>
              </w:rPr>
              <w:t>redacted content</w:t>
            </w:r>
            <w:r w:rsidR="005A04AD">
              <w:rPr>
                <w:rFonts w:cs="Calibri"/>
                <w:color w:val="000000"/>
                <w:szCs w:val="20"/>
                <w:vertAlign w:val="superscript"/>
              </w:rPr>
              <w:t>2</w:t>
            </w:r>
          </w:p>
        </w:tc>
        <w:tc>
          <w:tcPr>
            <w:tcW w:w="1228" w:type="dxa"/>
            <w:vAlign w:val="center"/>
          </w:tcPr>
          <w:p w14:paraId="756476FA" w14:textId="40365A8D" w:rsidR="00276A1B" w:rsidRPr="00382BCC"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r>
              <w:rPr>
                <w:rFonts w:cs="Calibri"/>
                <w:color w:val="000000"/>
                <w:szCs w:val="20"/>
              </w:rPr>
              <w:t>%</w:t>
            </w:r>
          </w:p>
        </w:tc>
      </w:tr>
      <w:tr w:rsidR="00276A1B" w14:paraId="7B6BEE92" w14:textId="77777777">
        <w:trPr>
          <w:trHeight w:val="64"/>
        </w:trPr>
        <w:tc>
          <w:tcPr>
            <w:tcW w:w="4106" w:type="dxa"/>
          </w:tcPr>
          <w:p w14:paraId="5A847EEE" w14:textId="77777777" w:rsidR="00276A1B" w:rsidRDefault="00276A1B">
            <w:pPr>
              <w:pStyle w:val="COMTabletext"/>
              <w:keepNext w:val="0"/>
            </w:pPr>
            <w:r>
              <w:t>Tarlatamab arm based on the Gompertz function</w:t>
            </w:r>
          </w:p>
        </w:tc>
        <w:tc>
          <w:tcPr>
            <w:tcW w:w="1227" w:type="dxa"/>
            <w:vAlign w:val="bottom"/>
          </w:tcPr>
          <w:p w14:paraId="28064BBA" w14:textId="3209A112" w:rsidR="00276A1B" w:rsidRDefault="00276A1B">
            <w:pPr>
              <w:pStyle w:val="COMTabletext"/>
              <w:keepNext w:val="0"/>
              <w:jc w:val="center"/>
              <w:rPr>
                <w:rFonts w:cs="Calibri"/>
                <w:color w:val="000000"/>
                <w:szCs w:val="20"/>
              </w:rPr>
            </w:pPr>
            <w:r>
              <w:rPr>
                <w:rFonts w:cs="Calibri"/>
                <w:color w:val="000000"/>
                <w:szCs w:val="20"/>
              </w:rPr>
              <w:t>$</w:t>
            </w:r>
            <w:r w:rsidR="003D0BC2" w:rsidRPr="003D0BC2">
              <w:rPr>
                <w:rFonts w:cs="Calibri"/>
                <w:color w:val="000000"/>
                <w:sz w:val="2"/>
                <w:szCs w:val="20"/>
                <w:highlight w:val="black"/>
              </w:rPr>
              <w:t>redacted content</w:t>
            </w:r>
          </w:p>
        </w:tc>
        <w:tc>
          <w:tcPr>
            <w:tcW w:w="1228" w:type="dxa"/>
            <w:vAlign w:val="bottom"/>
          </w:tcPr>
          <w:p w14:paraId="1493DB31" w14:textId="77777777" w:rsidR="00276A1B" w:rsidRDefault="00276A1B">
            <w:pPr>
              <w:pStyle w:val="COMTabletext"/>
              <w:keepNext w:val="0"/>
              <w:jc w:val="center"/>
              <w:rPr>
                <w:rFonts w:cs="Calibri"/>
                <w:color w:val="000000"/>
                <w:szCs w:val="20"/>
              </w:rPr>
            </w:pPr>
            <w:r>
              <w:rPr>
                <w:rFonts w:cs="Calibri"/>
                <w:color w:val="000000"/>
                <w:szCs w:val="20"/>
              </w:rPr>
              <w:t>0.5045</w:t>
            </w:r>
          </w:p>
        </w:tc>
        <w:tc>
          <w:tcPr>
            <w:tcW w:w="1228" w:type="dxa"/>
            <w:vAlign w:val="bottom"/>
          </w:tcPr>
          <w:p w14:paraId="074C9842" w14:textId="43D30457" w:rsidR="00276A1B" w:rsidRPr="00FF31AA" w:rsidRDefault="00276A1B">
            <w:pPr>
              <w:pStyle w:val="COMTabletext"/>
              <w:keepNext w:val="0"/>
              <w:jc w:val="center"/>
              <w:rPr>
                <w:rFonts w:cs="Calibri"/>
                <w:color w:val="000000"/>
                <w:szCs w:val="20"/>
                <w:vertAlign w:val="superscript"/>
              </w:rPr>
            </w:pPr>
            <w:r>
              <w:rPr>
                <w:rFonts w:cs="Calibri"/>
                <w:color w:val="000000"/>
                <w:szCs w:val="20"/>
              </w:rPr>
              <w:t>$</w:t>
            </w:r>
            <w:r w:rsidR="003D0BC2" w:rsidRPr="003D0BC2">
              <w:rPr>
                <w:rFonts w:cs="Calibri"/>
                <w:color w:val="000000"/>
                <w:sz w:val="2"/>
                <w:szCs w:val="20"/>
                <w:highlight w:val="black"/>
              </w:rPr>
              <w:t>redacted content</w:t>
            </w:r>
            <w:r w:rsidR="00FF31AA">
              <w:rPr>
                <w:rFonts w:cs="Calibri"/>
                <w:color w:val="000000"/>
                <w:szCs w:val="20"/>
                <w:vertAlign w:val="superscript"/>
              </w:rPr>
              <w:t>3</w:t>
            </w:r>
          </w:p>
        </w:tc>
        <w:tc>
          <w:tcPr>
            <w:tcW w:w="1228" w:type="dxa"/>
            <w:vAlign w:val="center"/>
          </w:tcPr>
          <w:p w14:paraId="2079CAF5" w14:textId="4F80BD1D" w:rsidR="00276A1B" w:rsidRDefault="00276A1B">
            <w:pPr>
              <w:pStyle w:val="COMTabletext"/>
              <w:keepNext w:val="0"/>
              <w:jc w:val="center"/>
              <w:rPr>
                <w:rFonts w:cs="Calibri"/>
                <w:color w:val="000000"/>
                <w:szCs w:val="20"/>
              </w:rPr>
            </w:pPr>
            <w:r>
              <w:rPr>
                <w:rFonts w:cs="Calibri"/>
                <w:color w:val="000000"/>
                <w:szCs w:val="20"/>
              </w:rPr>
              <w:t>+</w:t>
            </w:r>
            <w:r w:rsidR="003D0BC2" w:rsidRPr="003D0BC2">
              <w:rPr>
                <w:rFonts w:cs="Calibri"/>
                <w:color w:val="000000"/>
                <w:sz w:val="2"/>
                <w:szCs w:val="20"/>
                <w:highlight w:val="black"/>
              </w:rPr>
              <w:t>redacted content</w:t>
            </w:r>
            <w:r>
              <w:rPr>
                <w:rFonts w:cs="Calibri"/>
                <w:color w:val="000000"/>
                <w:szCs w:val="20"/>
              </w:rPr>
              <w:t>%</w:t>
            </w:r>
          </w:p>
        </w:tc>
      </w:tr>
      <w:tr w:rsidR="00276A1B" w14:paraId="5B339E1B" w14:textId="77777777">
        <w:trPr>
          <w:trHeight w:val="64"/>
        </w:trPr>
        <w:tc>
          <w:tcPr>
            <w:tcW w:w="4106" w:type="dxa"/>
          </w:tcPr>
          <w:p w14:paraId="76AC4182" w14:textId="77777777" w:rsidR="00276A1B" w:rsidRDefault="00276A1B">
            <w:pPr>
              <w:pStyle w:val="COMTabletext"/>
              <w:keepNext w:val="0"/>
            </w:pPr>
            <w:r>
              <w:t>Topotecan arm based on the gamma function</w:t>
            </w:r>
          </w:p>
        </w:tc>
        <w:tc>
          <w:tcPr>
            <w:tcW w:w="1227" w:type="dxa"/>
            <w:vAlign w:val="bottom"/>
          </w:tcPr>
          <w:p w14:paraId="495A1CC6" w14:textId="7AEA8672" w:rsidR="00276A1B" w:rsidRDefault="00276A1B">
            <w:pPr>
              <w:pStyle w:val="COMTabletext"/>
              <w:keepNext w:val="0"/>
              <w:jc w:val="center"/>
              <w:rPr>
                <w:rFonts w:cs="Calibri"/>
                <w:color w:val="000000"/>
                <w:szCs w:val="20"/>
              </w:rPr>
            </w:pPr>
            <w:r>
              <w:rPr>
                <w:rFonts w:cs="Calibri"/>
                <w:color w:val="000000"/>
                <w:szCs w:val="20"/>
              </w:rPr>
              <w:t>$</w:t>
            </w:r>
            <w:r w:rsidR="003D0BC2" w:rsidRPr="003D0BC2">
              <w:rPr>
                <w:rFonts w:cs="Calibri"/>
                <w:color w:val="000000"/>
                <w:sz w:val="2"/>
                <w:szCs w:val="20"/>
                <w:highlight w:val="black"/>
              </w:rPr>
              <w:t>redacted content</w:t>
            </w:r>
          </w:p>
        </w:tc>
        <w:tc>
          <w:tcPr>
            <w:tcW w:w="1228" w:type="dxa"/>
            <w:vAlign w:val="bottom"/>
          </w:tcPr>
          <w:p w14:paraId="210EBE36" w14:textId="77777777" w:rsidR="00276A1B" w:rsidRDefault="00276A1B">
            <w:pPr>
              <w:pStyle w:val="COMTabletext"/>
              <w:keepNext w:val="0"/>
              <w:jc w:val="center"/>
              <w:rPr>
                <w:rFonts w:cs="Calibri"/>
                <w:color w:val="000000"/>
                <w:szCs w:val="20"/>
              </w:rPr>
            </w:pPr>
            <w:r>
              <w:rPr>
                <w:rFonts w:cs="Calibri"/>
                <w:color w:val="000000"/>
                <w:szCs w:val="20"/>
              </w:rPr>
              <w:t>1.1194</w:t>
            </w:r>
          </w:p>
        </w:tc>
        <w:tc>
          <w:tcPr>
            <w:tcW w:w="1228" w:type="dxa"/>
            <w:vAlign w:val="bottom"/>
          </w:tcPr>
          <w:p w14:paraId="4DA3CEC5" w14:textId="0C360240" w:rsidR="00276A1B" w:rsidRPr="00304C0E" w:rsidRDefault="00276A1B">
            <w:pPr>
              <w:pStyle w:val="COMTabletext"/>
              <w:keepNext w:val="0"/>
              <w:jc w:val="center"/>
              <w:rPr>
                <w:rFonts w:cs="Calibri"/>
                <w:color w:val="000000"/>
                <w:szCs w:val="20"/>
                <w:vertAlign w:val="superscript"/>
              </w:rPr>
            </w:pPr>
            <w:r>
              <w:rPr>
                <w:rFonts w:cs="Calibri"/>
                <w:color w:val="000000"/>
                <w:szCs w:val="20"/>
              </w:rPr>
              <w:t>$</w:t>
            </w:r>
            <w:r w:rsidR="003D0BC2" w:rsidRPr="003D0BC2">
              <w:rPr>
                <w:rFonts w:cs="Calibri"/>
                <w:color w:val="000000"/>
                <w:sz w:val="2"/>
                <w:szCs w:val="20"/>
                <w:highlight w:val="black"/>
              </w:rPr>
              <w:t>redacted content</w:t>
            </w:r>
            <w:r w:rsidR="00304C0E">
              <w:rPr>
                <w:rFonts w:cs="Calibri"/>
                <w:color w:val="000000"/>
                <w:szCs w:val="20"/>
                <w:vertAlign w:val="superscript"/>
              </w:rPr>
              <w:t>4</w:t>
            </w:r>
          </w:p>
        </w:tc>
        <w:tc>
          <w:tcPr>
            <w:tcW w:w="1228" w:type="dxa"/>
            <w:vAlign w:val="center"/>
          </w:tcPr>
          <w:p w14:paraId="20403B67" w14:textId="37162E9C" w:rsidR="00276A1B" w:rsidRDefault="00276A1B">
            <w:pPr>
              <w:pStyle w:val="COMTabletext"/>
              <w:keepNext w:val="0"/>
              <w:jc w:val="center"/>
              <w:rPr>
                <w:rFonts w:cs="Calibri"/>
                <w:color w:val="000000"/>
                <w:szCs w:val="20"/>
              </w:rPr>
            </w:pPr>
            <w:r>
              <w:rPr>
                <w:rFonts w:cs="Calibri"/>
                <w:color w:val="000000"/>
                <w:szCs w:val="20"/>
              </w:rPr>
              <w:t>-</w:t>
            </w:r>
            <w:r w:rsidR="003D0BC2" w:rsidRPr="003D0BC2">
              <w:rPr>
                <w:rFonts w:cs="Calibri"/>
                <w:color w:val="000000"/>
                <w:sz w:val="2"/>
                <w:szCs w:val="20"/>
                <w:highlight w:val="black"/>
              </w:rPr>
              <w:t>redacted content</w:t>
            </w:r>
            <w:r>
              <w:rPr>
                <w:rFonts w:cs="Calibri"/>
                <w:color w:val="000000"/>
                <w:szCs w:val="20"/>
              </w:rPr>
              <w:t>%</w:t>
            </w:r>
          </w:p>
        </w:tc>
      </w:tr>
      <w:tr w:rsidR="00276A1B" w14:paraId="209B7087" w14:textId="77777777">
        <w:trPr>
          <w:trHeight w:val="64"/>
        </w:trPr>
        <w:tc>
          <w:tcPr>
            <w:tcW w:w="4106" w:type="dxa"/>
          </w:tcPr>
          <w:p w14:paraId="66455AC8" w14:textId="77777777" w:rsidR="00276A1B" w:rsidRDefault="00276A1B">
            <w:pPr>
              <w:pStyle w:val="COMTabletext"/>
              <w:keepNext w:val="0"/>
            </w:pPr>
            <w:r>
              <w:t>Topotecan arm based on the Weibull function</w:t>
            </w:r>
          </w:p>
        </w:tc>
        <w:tc>
          <w:tcPr>
            <w:tcW w:w="1227" w:type="dxa"/>
            <w:vAlign w:val="bottom"/>
          </w:tcPr>
          <w:p w14:paraId="0DB896DB" w14:textId="4B5C76B7" w:rsidR="00276A1B" w:rsidRDefault="00276A1B">
            <w:pPr>
              <w:pStyle w:val="COMTabletext"/>
              <w:keepNext w:val="0"/>
              <w:jc w:val="center"/>
              <w:rPr>
                <w:rFonts w:cs="Calibri"/>
                <w:color w:val="000000"/>
                <w:szCs w:val="20"/>
              </w:rPr>
            </w:pPr>
            <w:r>
              <w:rPr>
                <w:rFonts w:cs="Calibri"/>
                <w:color w:val="000000"/>
                <w:szCs w:val="20"/>
              </w:rPr>
              <w:t>$</w:t>
            </w:r>
            <w:r w:rsidR="003D0BC2" w:rsidRPr="003D0BC2">
              <w:rPr>
                <w:rFonts w:cs="Calibri"/>
                <w:color w:val="000000"/>
                <w:sz w:val="2"/>
                <w:szCs w:val="20"/>
                <w:highlight w:val="black"/>
              </w:rPr>
              <w:t>redacted content</w:t>
            </w:r>
          </w:p>
        </w:tc>
        <w:tc>
          <w:tcPr>
            <w:tcW w:w="1228" w:type="dxa"/>
            <w:vAlign w:val="bottom"/>
          </w:tcPr>
          <w:p w14:paraId="7D800E1F" w14:textId="77777777" w:rsidR="00276A1B" w:rsidRDefault="00276A1B">
            <w:pPr>
              <w:pStyle w:val="COMTabletext"/>
              <w:keepNext w:val="0"/>
              <w:jc w:val="center"/>
              <w:rPr>
                <w:rFonts w:cs="Calibri"/>
                <w:color w:val="000000"/>
                <w:szCs w:val="20"/>
              </w:rPr>
            </w:pPr>
            <w:r>
              <w:rPr>
                <w:rFonts w:cs="Calibri"/>
                <w:color w:val="000000"/>
                <w:szCs w:val="20"/>
              </w:rPr>
              <w:t>1.1309</w:t>
            </w:r>
          </w:p>
        </w:tc>
        <w:tc>
          <w:tcPr>
            <w:tcW w:w="1228" w:type="dxa"/>
            <w:vAlign w:val="bottom"/>
          </w:tcPr>
          <w:p w14:paraId="34AAAECD" w14:textId="6F19A9D3" w:rsidR="00276A1B" w:rsidRPr="00304C0E" w:rsidRDefault="00276A1B">
            <w:pPr>
              <w:pStyle w:val="COMTabletext"/>
              <w:keepNext w:val="0"/>
              <w:jc w:val="center"/>
              <w:rPr>
                <w:rFonts w:cs="Calibri"/>
                <w:color w:val="000000"/>
                <w:szCs w:val="20"/>
                <w:vertAlign w:val="superscript"/>
              </w:rPr>
            </w:pPr>
            <w:r>
              <w:rPr>
                <w:rFonts w:cs="Calibri"/>
                <w:color w:val="000000"/>
                <w:szCs w:val="20"/>
              </w:rPr>
              <w:t>$</w:t>
            </w:r>
            <w:r w:rsidR="003D0BC2" w:rsidRPr="003D0BC2">
              <w:rPr>
                <w:rFonts w:cs="Calibri"/>
                <w:color w:val="000000"/>
                <w:sz w:val="2"/>
                <w:szCs w:val="20"/>
                <w:highlight w:val="black"/>
              </w:rPr>
              <w:t>redacted content</w:t>
            </w:r>
            <w:r w:rsidR="00304C0E">
              <w:rPr>
                <w:rFonts w:cs="Calibri"/>
                <w:color w:val="000000"/>
                <w:szCs w:val="20"/>
                <w:vertAlign w:val="superscript"/>
              </w:rPr>
              <w:t>4</w:t>
            </w:r>
          </w:p>
        </w:tc>
        <w:tc>
          <w:tcPr>
            <w:tcW w:w="1228" w:type="dxa"/>
            <w:vAlign w:val="center"/>
          </w:tcPr>
          <w:p w14:paraId="1300CBE9" w14:textId="5C322C35" w:rsidR="00276A1B" w:rsidRDefault="00276A1B">
            <w:pPr>
              <w:pStyle w:val="COMTabletext"/>
              <w:keepNext w:val="0"/>
              <w:jc w:val="center"/>
              <w:rPr>
                <w:rFonts w:cs="Calibri"/>
                <w:color w:val="000000"/>
                <w:szCs w:val="20"/>
              </w:rPr>
            </w:pPr>
            <w:r>
              <w:rPr>
                <w:rFonts w:cs="Calibri"/>
                <w:color w:val="000000"/>
                <w:szCs w:val="20"/>
              </w:rPr>
              <w:t>-</w:t>
            </w:r>
            <w:r w:rsidR="003D0BC2" w:rsidRPr="003D0BC2">
              <w:rPr>
                <w:rFonts w:cs="Calibri"/>
                <w:color w:val="000000"/>
                <w:sz w:val="2"/>
                <w:szCs w:val="20"/>
                <w:highlight w:val="black"/>
              </w:rPr>
              <w:t>redacted content</w:t>
            </w:r>
            <w:r>
              <w:rPr>
                <w:rFonts w:cs="Calibri"/>
                <w:color w:val="000000"/>
                <w:szCs w:val="20"/>
              </w:rPr>
              <w:t>%</w:t>
            </w:r>
          </w:p>
        </w:tc>
      </w:tr>
      <w:tr w:rsidR="00276A1B" w14:paraId="31C1B847" w14:textId="77777777">
        <w:trPr>
          <w:trHeight w:val="64"/>
        </w:trPr>
        <w:tc>
          <w:tcPr>
            <w:tcW w:w="4106" w:type="dxa"/>
          </w:tcPr>
          <w:p w14:paraId="0638BE71" w14:textId="77777777" w:rsidR="00276A1B" w:rsidRDefault="00276A1B">
            <w:pPr>
              <w:pStyle w:val="COMTabletext"/>
              <w:keepNext w:val="0"/>
            </w:pPr>
            <w:r>
              <w:t>Both arms modelled jointly: exponential function</w:t>
            </w:r>
          </w:p>
        </w:tc>
        <w:tc>
          <w:tcPr>
            <w:tcW w:w="1227" w:type="dxa"/>
            <w:vAlign w:val="bottom"/>
          </w:tcPr>
          <w:p w14:paraId="49EEAEE5" w14:textId="77777777" w:rsidR="00276A1B" w:rsidRDefault="00276A1B">
            <w:pPr>
              <w:pStyle w:val="COMTabletext"/>
              <w:keepNext w:val="0"/>
              <w:jc w:val="center"/>
              <w:rPr>
                <w:rFonts w:cs="Calibri"/>
                <w:color w:val="000000"/>
                <w:szCs w:val="20"/>
              </w:rPr>
            </w:pPr>
            <w:r>
              <w:rPr>
                <w:rFonts w:cs="Calibri"/>
                <w:color w:val="000000"/>
                <w:szCs w:val="20"/>
              </w:rPr>
              <w:t>NR</w:t>
            </w:r>
          </w:p>
        </w:tc>
        <w:tc>
          <w:tcPr>
            <w:tcW w:w="1228" w:type="dxa"/>
            <w:vAlign w:val="bottom"/>
          </w:tcPr>
          <w:p w14:paraId="64B869B8" w14:textId="77777777" w:rsidR="00276A1B" w:rsidRDefault="00276A1B">
            <w:pPr>
              <w:pStyle w:val="COMTabletext"/>
              <w:keepNext w:val="0"/>
              <w:jc w:val="center"/>
              <w:rPr>
                <w:rFonts w:cs="Calibri"/>
                <w:color w:val="000000"/>
                <w:szCs w:val="20"/>
              </w:rPr>
            </w:pPr>
            <w:r>
              <w:rPr>
                <w:rFonts w:cs="Calibri"/>
                <w:color w:val="000000"/>
                <w:szCs w:val="20"/>
              </w:rPr>
              <w:t>NR</w:t>
            </w:r>
          </w:p>
        </w:tc>
        <w:tc>
          <w:tcPr>
            <w:tcW w:w="1228" w:type="dxa"/>
            <w:vAlign w:val="bottom"/>
          </w:tcPr>
          <w:p w14:paraId="11BCB294" w14:textId="77777777" w:rsidR="00276A1B" w:rsidRDefault="00276A1B">
            <w:pPr>
              <w:pStyle w:val="COMTabletext"/>
              <w:keepNext w:val="0"/>
              <w:jc w:val="center"/>
              <w:rPr>
                <w:rFonts w:cs="Calibri"/>
                <w:color w:val="000000"/>
                <w:szCs w:val="20"/>
              </w:rPr>
            </w:pPr>
            <w:r>
              <w:rPr>
                <w:rFonts w:cs="Calibri"/>
                <w:color w:val="000000"/>
                <w:szCs w:val="20"/>
              </w:rPr>
              <w:t>NR</w:t>
            </w:r>
          </w:p>
        </w:tc>
        <w:tc>
          <w:tcPr>
            <w:tcW w:w="1228" w:type="dxa"/>
            <w:vAlign w:val="center"/>
          </w:tcPr>
          <w:p w14:paraId="0F1B9F7A" w14:textId="77777777" w:rsidR="00276A1B" w:rsidRDefault="00276A1B">
            <w:pPr>
              <w:pStyle w:val="COMTabletext"/>
              <w:keepNext w:val="0"/>
              <w:jc w:val="center"/>
              <w:rPr>
                <w:rFonts w:cs="Calibri"/>
                <w:color w:val="000000"/>
                <w:szCs w:val="20"/>
              </w:rPr>
            </w:pPr>
            <w:r>
              <w:rPr>
                <w:rFonts w:cs="Calibri"/>
                <w:color w:val="000000"/>
                <w:szCs w:val="20"/>
              </w:rPr>
              <w:t>NR</w:t>
            </w:r>
          </w:p>
        </w:tc>
      </w:tr>
      <w:tr w:rsidR="00276A1B" w14:paraId="554BBD22" w14:textId="77777777">
        <w:trPr>
          <w:trHeight w:val="64"/>
        </w:trPr>
        <w:tc>
          <w:tcPr>
            <w:tcW w:w="4106" w:type="dxa"/>
          </w:tcPr>
          <w:p w14:paraId="6FC75508" w14:textId="77777777" w:rsidR="00276A1B" w:rsidRDefault="00276A1B">
            <w:pPr>
              <w:pStyle w:val="COMTabletext"/>
              <w:keepNext w:val="0"/>
            </w:pPr>
            <w:r>
              <w:t>Both arms modelled jointly: gamma function</w:t>
            </w:r>
          </w:p>
        </w:tc>
        <w:tc>
          <w:tcPr>
            <w:tcW w:w="1227" w:type="dxa"/>
            <w:vAlign w:val="bottom"/>
          </w:tcPr>
          <w:p w14:paraId="4D15FA8F" w14:textId="492ADAB1" w:rsidR="00276A1B" w:rsidRDefault="00276A1B">
            <w:pPr>
              <w:pStyle w:val="COMTabletext"/>
              <w:keepNext w:val="0"/>
              <w:jc w:val="center"/>
              <w:rPr>
                <w:rFonts w:cs="Calibri"/>
                <w:color w:val="000000"/>
                <w:szCs w:val="20"/>
              </w:rPr>
            </w:pPr>
            <w:r>
              <w:rPr>
                <w:rFonts w:cs="Calibri"/>
                <w:color w:val="000000"/>
                <w:szCs w:val="20"/>
              </w:rPr>
              <w:t>$</w:t>
            </w:r>
            <w:r w:rsidR="003D0BC2" w:rsidRPr="003D0BC2">
              <w:rPr>
                <w:rFonts w:cs="Calibri"/>
                <w:color w:val="000000"/>
                <w:sz w:val="2"/>
                <w:szCs w:val="20"/>
                <w:highlight w:val="black"/>
              </w:rPr>
              <w:t>redacted content</w:t>
            </w:r>
          </w:p>
        </w:tc>
        <w:tc>
          <w:tcPr>
            <w:tcW w:w="1228" w:type="dxa"/>
            <w:vAlign w:val="bottom"/>
          </w:tcPr>
          <w:p w14:paraId="5F3A1418" w14:textId="77777777" w:rsidR="00276A1B" w:rsidRDefault="00276A1B">
            <w:pPr>
              <w:pStyle w:val="COMTabletext"/>
              <w:keepNext w:val="0"/>
              <w:jc w:val="center"/>
              <w:rPr>
                <w:rFonts w:cs="Calibri"/>
                <w:color w:val="000000"/>
                <w:szCs w:val="20"/>
              </w:rPr>
            </w:pPr>
            <w:r>
              <w:rPr>
                <w:rFonts w:cs="Calibri"/>
                <w:color w:val="000000"/>
                <w:szCs w:val="20"/>
              </w:rPr>
              <w:t>0.5601</w:t>
            </w:r>
          </w:p>
        </w:tc>
        <w:tc>
          <w:tcPr>
            <w:tcW w:w="1228" w:type="dxa"/>
            <w:vAlign w:val="bottom"/>
          </w:tcPr>
          <w:p w14:paraId="5221B5E2" w14:textId="0E7906C2" w:rsidR="00276A1B" w:rsidRPr="005A04AD" w:rsidRDefault="00276A1B">
            <w:pPr>
              <w:pStyle w:val="COMTabletext"/>
              <w:keepNext w:val="0"/>
              <w:jc w:val="center"/>
              <w:rPr>
                <w:rFonts w:cs="Calibri"/>
                <w:color w:val="000000"/>
                <w:szCs w:val="20"/>
                <w:vertAlign w:val="superscript"/>
              </w:rPr>
            </w:pPr>
            <w:r>
              <w:rPr>
                <w:rFonts w:cs="Calibri"/>
                <w:color w:val="000000"/>
                <w:szCs w:val="20"/>
              </w:rPr>
              <w:t>$</w:t>
            </w:r>
            <w:r w:rsidR="003D0BC2" w:rsidRPr="003D0BC2">
              <w:rPr>
                <w:rFonts w:cs="Calibri"/>
                <w:color w:val="000000"/>
                <w:sz w:val="2"/>
                <w:szCs w:val="20"/>
                <w:highlight w:val="black"/>
              </w:rPr>
              <w:t>redacted content</w:t>
            </w:r>
            <w:r w:rsidR="005A04AD">
              <w:rPr>
                <w:rFonts w:cs="Calibri"/>
                <w:color w:val="000000"/>
                <w:szCs w:val="20"/>
                <w:vertAlign w:val="superscript"/>
              </w:rPr>
              <w:t>2</w:t>
            </w:r>
          </w:p>
        </w:tc>
        <w:tc>
          <w:tcPr>
            <w:tcW w:w="1228" w:type="dxa"/>
            <w:vAlign w:val="center"/>
          </w:tcPr>
          <w:p w14:paraId="724B7EC8" w14:textId="5F572F0F" w:rsidR="00276A1B" w:rsidRDefault="00276A1B">
            <w:pPr>
              <w:pStyle w:val="COMTabletext"/>
              <w:keepNext w:val="0"/>
              <w:jc w:val="center"/>
              <w:rPr>
                <w:rFonts w:cs="Calibri"/>
                <w:color w:val="000000"/>
                <w:szCs w:val="20"/>
              </w:rPr>
            </w:pPr>
            <w:r>
              <w:rPr>
                <w:rFonts w:cs="Calibri"/>
                <w:color w:val="000000"/>
                <w:szCs w:val="20"/>
              </w:rPr>
              <w:t>+</w:t>
            </w:r>
            <w:r w:rsidR="003D0BC2" w:rsidRPr="003D0BC2">
              <w:rPr>
                <w:rFonts w:cs="Calibri"/>
                <w:color w:val="000000"/>
                <w:sz w:val="2"/>
                <w:szCs w:val="20"/>
                <w:highlight w:val="black"/>
              </w:rPr>
              <w:t>redacted content</w:t>
            </w:r>
            <w:r>
              <w:rPr>
                <w:rFonts w:cs="Calibri"/>
                <w:color w:val="000000"/>
                <w:szCs w:val="20"/>
              </w:rPr>
              <w:t>%</w:t>
            </w:r>
          </w:p>
        </w:tc>
      </w:tr>
      <w:tr w:rsidR="00276A1B" w:rsidRPr="00382BCC" w14:paraId="74BA33AD" w14:textId="77777777">
        <w:trPr>
          <w:trHeight w:val="64"/>
        </w:trPr>
        <w:tc>
          <w:tcPr>
            <w:tcW w:w="4106" w:type="dxa"/>
          </w:tcPr>
          <w:p w14:paraId="55A3B291" w14:textId="77777777" w:rsidR="00276A1B" w:rsidRPr="00382BCC" w:rsidRDefault="00276A1B">
            <w:pPr>
              <w:pStyle w:val="COMTabletext"/>
              <w:keepNext w:val="0"/>
            </w:pPr>
            <w:r>
              <w:t>Both arms modelled jointly: Weibull function</w:t>
            </w:r>
          </w:p>
        </w:tc>
        <w:tc>
          <w:tcPr>
            <w:tcW w:w="1227" w:type="dxa"/>
            <w:vAlign w:val="bottom"/>
          </w:tcPr>
          <w:p w14:paraId="04065020" w14:textId="787C3886" w:rsidR="00276A1B" w:rsidRPr="00382BCC"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p>
        </w:tc>
        <w:tc>
          <w:tcPr>
            <w:tcW w:w="1228" w:type="dxa"/>
            <w:vAlign w:val="bottom"/>
          </w:tcPr>
          <w:p w14:paraId="013CA13D" w14:textId="77777777" w:rsidR="00276A1B" w:rsidRPr="00382BCC" w:rsidRDefault="00276A1B">
            <w:pPr>
              <w:pStyle w:val="COMTabletext"/>
              <w:keepNext w:val="0"/>
              <w:jc w:val="center"/>
            </w:pPr>
            <w:r>
              <w:rPr>
                <w:rFonts w:cs="Calibri"/>
                <w:color w:val="000000"/>
                <w:szCs w:val="20"/>
              </w:rPr>
              <w:t>0.5493</w:t>
            </w:r>
          </w:p>
        </w:tc>
        <w:tc>
          <w:tcPr>
            <w:tcW w:w="1228" w:type="dxa"/>
            <w:vAlign w:val="bottom"/>
          </w:tcPr>
          <w:p w14:paraId="0E024AD3" w14:textId="76080C0D" w:rsidR="00276A1B" w:rsidRPr="005A04AD" w:rsidRDefault="00276A1B">
            <w:pPr>
              <w:pStyle w:val="COMTabletext"/>
              <w:keepNext w:val="0"/>
              <w:jc w:val="center"/>
              <w:rPr>
                <w:vertAlign w:val="superscript"/>
              </w:rPr>
            </w:pPr>
            <w:r>
              <w:rPr>
                <w:rFonts w:cs="Calibri"/>
                <w:color w:val="000000"/>
                <w:szCs w:val="20"/>
              </w:rPr>
              <w:t>$</w:t>
            </w:r>
            <w:r w:rsidR="003D0BC2" w:rsidRPr="003D0BC2">
              <w:rPr>
                <w:rFonts w:cs="Calibri"/>
                <w:color w:val="000000"/>
                <w:sz w:val="2"/>
                <w:szCs w:val="20"/>
                <w:highlight w:val="black"/>
              </w:rPr>
              <w:t>redacted content</w:t>
            </w:r>
            <w:r w:rsidR="005A04AD">
              <w:rPr>
                <w:rFonts w:cs="Calibri"/>
                <w:color w:val="000000"/>
                <w:szCs w:val="20"/>
                <w:vertAlign w:val="superscript"/>
              </w:rPr>
              <w:t>2</w:t>
            </w:r>
          </w:p>
        </w:tc>
        <w:tc>
          <w:tcPr>
            <w:tcW w:w="1228" w:type="dxa"/>
            <w:vAlign w:val="center"/>
          </w:tcPr>
          <w:p w14:paraId="08FD33D5" w14:textId="359B6FBE" w:rsidR="00276A1B" w:rsidRPr="00382BCC"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r>
              <w:rPr>
                <w:rFonts w:cs="Calibri"/>
                <w:color w:val="000000"/>
                <w:szCs w:val="20"/>
              </w:rPr>
              <w:t>%</w:t>
            </w:r>
          </w:p>
        </w:tc>
      </w:tr>
      <w:tr w:rsidR="00276A1B" w:rsidRPr="00382BCC" w14:paraId="67F56A72" w14:textId="77777777">
        <w:trPr>
          <w:trHeight w:val="64"/>
        </w:trPr>
        <w:tc>
          <w:tcPr>
            <w:tcW w:w="9017" w:type="dxa"/>
            <w:gridSpan w:val="5"/>
          </w:tcPr>
          <w:p w14:paraId="0B2A11B1" w14:textId="62B2DCE0" w:rsidR="00276A1B" w:rsidRPr="00382BCC" w:rsidRDefault="00276A1B">
            <w:pPr>
              <w:pStyle w:val="COMTabletext"/>
              <w:keepNext w:val="0"/>
            </w:pPr>
            <w:r>
              <w:rPr>
                <w:b/>
                <w:bCs w:val="0"/>
              </w:rPr>
              <w:t>Time to treatment discontinuation</w:t>
            </w:r>
            <w:r w:rsidRPr="00184B59">
              <w:rPr>
                <w:b/>
                <w:bCs w:val="0"/>
              </w:rPr>
              <w:t xml:space="preserve"> extrapolation (base case: modelled independently using a log</w:t>
            </w:r>
            <w:r>
              <w:rPr>
                <w:b/>
                <w:bCs w:val="0"/>
              </w:rPr>
              <w:t>normal function for tarlatamab an</w:t>
            </w:r>
            <w:r w:rsidR="00CF31A7">
              <w:rPr>
                <w:b/>
                <w:bCs w:val="0"/>
              </w:rPr>
              <w:t>d</w:t>
            </w:r>
            <w:r>
              <w:rPr>
                <w:b/>
                <w:bCs w:val="0"/>
              </w:rPr>
              <w:t xml:space="preserve"> exponential function for topotecan</w:t>
            </w:r>
            <w:r w:rsidRPr="00184B59">
              <w:rPr>
                <w:b/>
                <w:bCs w:val="0"/>
              </w:rPr>
              <w:t>)</w:t>
            </w:r>
          </w:p>
        </w:tc>
      </w:tr>
      <w:tr w:rsidR="00276A1B" w:rsidRPr="0072051E" w14:paraId="3EA7893F" w14:textId="77777777">
        <w:trPr>
          <w:trHeight w:val="64"/>
        </w:trPr>
        <w:tc>
          <w:tcPr>
            <w:tcW w:w="4106" w:type="dxa"/>
          </w:tcPr>
          <w:p w14:paraId="4D018BA1" w14:textId="77777777" w:rsidR="00276A1B" w:rsidRDefault="00276A1B">
            <w:pPr>
              <w:pStyle w:val="COMTabletext"/>
              <w:keepNext w:val="0"/>
            </w:pPr>
            <w:r>
              <w:t>Tarlatamab arm based on the loglogistic function</w:t>
            </w:r>
          </w:p>
        </w:tc>
        <w:tc>
          <w:tcPr>
            <w:tcW w:w="1227" w:type="dxa"/>
            <w:vAlign w:val="bottom"/>
          </w:tcPr>
          <w:p w14:paraId="4F566EC3" w14:textId="44F7F9D8" w:rsidR="00276A1B" w:rsidRPr="0072051E" w:rsidRDefault="00276A1B">
            <w:pPr>
              <w:pStyle w:val="COMTabletext"/>
              <w:keepNext w:val="0"/>
              <w:jc w:val="center"/>
              <w:rPr>
                <w:i/>
                <w:iCs/>
              </w:rPr>
            </w:pPr>
            <w:r>
              <w:rPr>
                <w:rFonts w:cs="Calibri"/>
                <w:color w:val="000000"/>
                <w:szCs w:val="20"/>
              </w:rPr>
              <w:t>$</w:t>
            </w:r>
            <w:r w:rsidR="003D0BC2" w:rsidRPr="003D0BC2">
              <w:rPr>
                <w:rFonts w:cs="Calibri"/>
                <w:color w:val="000000"/>
                <w:sz w:val="2"/>
                <w:szCs w:val="20"/>
                <w:highlight w:val="black"/>
              </w:rPr>
              <w:t>redacted content</w:t>
            </w:r>
          </w:p>
        </w:tc>
        <w:tc>
          <w:tcPr>
            <w:tcW w:w="1228" w:type="dxa"/>
            <w:vAlign w:val="bottom"/>
          </w:tcPr>
          <w:p w14:paraId="41E40F6C" w14:textId="77777777" w:rsidR="00276A1B" w:rsidRPr="0072051E" w:rsidRDefault="00276A1B">
            <w:pPr>
              <w:pStyle w:val="COMTabletext"/>
              <w:keepNext w:val="0"/>
              <w:jc w:val="center"/>
              <w:rPr>
                <w:i/>
                <w:iCs/>
              </w:rPr>
            </w:pPr>
            <w:r>
              <w:rPr>
                <w:rFonts w:cs="Calibri"/>
                <w:color w:val="000000"/>
                <w:szCs w:val="20"/>
              </w:rPr>
              <w:t>1.0806</w:t>
            </w:r>
          </w:p>
        </w:tc>
        <w:tc>
          <w:tcPr>
            <w:tcW w:w="1228" w:type="dxa"/>
            <w:vAlign w:val="bottom"/>
          </w:tcPr>
          <w:p w14:paraId="6530813E" w14:textId="31D35C12" w:rsidR="00276A1B" w:rsidRPr="00BE78B4" w:rsidRDefault="00276A1B">
            <w:pPr>
              <w:pStyle w:val="COMTabletext"/>
              <w:keepNext w:val="0"/>
              <w:jc w:val="center"/>
              <w:rPr>
                <w:i/>
                <w:iCs/>
                <w:vertAlign w:val="superscript"/>
              </w:rPr>
            </w:pPr>
            <w:r>
              <w:rPr>
                <w:rFonts w:cs="Calibri"/>
                <w:color w:val="000000"/>
                <w:szCs w:val="20"/>
              </w:rPr>
              <w:t>$</w:t>
            </w:r>
            <w:r w:rsidR="003D0BC2" w:rsidRPr="003D0BC2">
              <w:rPr>
                <w:rFonts w:cs="Calibri"/>
                <w:color w:val="000000"/>
                <w:sz w:val="2"/>
                <w:szCs w:val="20"/>
                <w:highlight w:val="black"/>
              </w:rPr>
              <w:t>redacted content</w:t>
            </w:r>
            <w:r w:rsidR="00BE78B4">
              <w:rPr>
                <w:rFonts w:cs="Calibri"/>
                <w:color w:val="000000"/>
                <w:szCs w:val="20"/>
                <w:vertAlign w:val="superscript"/>
              </w:rPr>
              <w:t>1</w:t>
            </w:r>
          </w:p>
        </w:tc>
        <w:tc>
          <w:tcPr>
            <w:tcW w:w="1228" w:type="dxa"/>
            <w:vAlign w:val="center"/>
          </w:tcPr>
          <w:p w14:paraId="10DB0DA7" w14:textId="0A070E55" w:rsidR="00276A1B" w:rsidRPr="0072051E" w:rsidRDefault="00276A1B">
            <w:pPr>
              <w:pStyle w:val="COMTabletext"/>
              <w:keepNext w:val="0"/>
              <w:jc w:val="center"/>
              <w:rPr>
                <w:i/>
                <w:iCs/>
              </w:rPr>
            </w:pPr>
            <w:r>
              <w:rPr>
                <w:rFonts w:cs="Calibri"/>
                <w:color w:val="000000"/>
                <w:szCs w:val="20"/>
              </w:rPr>
              <w:t>+</w:t>
            </w:r>
            <w:r w:rsidR="003D0BC2" w:rsidRPr="003D0BC2">
              <w:rPr>
                <w:rFonts w:cs="Calibri"/>
                <w:color w:val="000000"/>
                <w:sz w:val="2"/>
                <w:szCs w:val="20"/>
                <w:highlight w:val="black"/>
              </w:rPr>
              <w:t>redacted content</w:t>
            </w:r>
            <w:r>
              <w:rPr>
                <w:rFonts w:cs="Calibri"/>
                <w:color w:val="000000"/>
                <w:szCs w:val="20"/>
              </w:rPr>
              <w:t>%</w:t>
            </w:r>
          </w:p>
        </w:tc>
      </w:tr>
      <w:tr w:rsidR="00276A1B" w:rsidRPr="00382BCC" w14:paraId="7ADDC46C" w14:textId="77777777">
        <w:trPr>
          <w:trHeight w:val="64"/>
        </w:trPr>
        <w:tc>
          <w:tcPr>
            <w:tcW w:w="4106" w:type="dxa"/>
          </w:tcPr>
          <w:p w14:paraId="3C491DF6" w14:textId="77777777" w:rsidR="00276A1B" w:rsidRDefault="00276A1B">
            <w:pPr>
              <w:pStyle w:val="COMTabletext"/>
              <w:keepNext w:val="0"/>
            </w:pPr>
            <w:r>
              <w:t>Tarlatamab arm based on the generalised gamma function</w:t>
            </w:r>
          </w:p>
        </w:tc>
        <w:tc>
          <w:tcPr>
            <w:tcW w:w="1227" w:type="dxa"/>
            <w:vAlign w:val="center"/>
          </w:tcPr>
          <w:p w14:paraId="5C0F4BAB" w14:textId="3F797282" w:rsidR="00276A1B" w:rsidRPr="00382BCC"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p>
        </w:tc>
        <w:tc>
          <w:tcPr>
            <w:tcW w:w="1228" w:type="dxa"/>
            <w:vAlign w:val="center"/>
          </w:tcPr>
          <w:p w14:paraId="51D6CF23" w14:textId="77777777" w:rsidR="00276A1B" w:rsidRPr="00382BCC" w:rsidRDefault="00276A1B">
            <w:pPr>
              <w:pStyle w:val="COMTabletext"/>
              <w:keepNext w:val="0"/>
              <w:jc w:val="center"/>
            </w:pPr>
            <w:r>
              <w:rPr>
                <w:rFonts w:cs="Calibri"/>
                <w:color w:val="000000"/>
                <w:szCs w:val="20"/>
              </w:rPr>
              <w:t>1.0806</w:t>
            </w:r>
          </w:p>
        </w:tc>
        <w:tc>
          <w:tcPr>
            <w:tcW w:w="1228" w:type="dxa"/>
            <w:vAlign w:val="center"/>
          </w:tcPr>
          <w:p w14:paraId="38D560C2" w14:textId="507ABAA4" w:rsidR="00276A1B" w:rsidRPr="00BE78B4" w:rsidRDefault="00276A1B">
            <w:pPr>
              <w:pStyle w:val="COMTabletext"/>
              <w:keepNext w:val="0"/>
              <w:jc w:val="center"/>
              <w:rPr>
                <w:vertAlign w:val="superscript"/>
              </w:rPr>
            </w:pPr>
            <w:r>
              <w:rPr>
                <w:rFonts w:cs="Calibri"/>
                <w:color w:val="000000"/>
                <w:szCs w:val="20"/>
              </w:rPr>
              <w:t>$</w:t>
            </w:r>
            <w:r w:rsidR="003D0BC2" w:rsidRPr="003D0BC2">
              <w:rPr>
                <w:rFonts w:cs="Calibri"/>
                <w:color w:val="000000"/>
                <w:sz w:val="2"/>
                <w:szCs w:val="20"/>
                <w:highlight w:val="black"/>
              </w:rPr>
              <w:t>redacted content</w:t>
            </w:r>
            <w:r w:rsidR="00BE78B4">
              <w:rPr>
                <w:rFonts w:cs="Calibri"/>
                <w:color w:val="000000"/>
                <w:szCs w:val="20"/>
                <w:vertAlign w:val="superscript"/>
              </w:rPr>
              <w:t>1</w:t>
            </w:r>
          </w:p>
        </w:tc>
        <w:tc>
          <w:tcPr>
            <w:tcW w:w="1228" w:type="dxa"/>
            <w:vAlign w:val="center"/>
          </w:tcPr>
          <w:p w14:paraId="6CEDD3A8" w14:textId="169A48AB" w:rsidR="00276A1B" w:rsidRPr="00382BCC"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r>
              <w:rPr>
                <w:rFonts w:cs="Calibri"/>
                <w:color w:val="000000"/>
                <w:szCs w:val="20"/>
              </w:rPr>
              <w:t>%</w:t>
            </w:r>
          </w:p>
        </w:tc>
      </w:tr>
      <w:tr w:rsidR="00276A1B" w:rsidRPr="00382BCC" w14:paraId="0F9FF8E3" w14:textId="77777777">
        <w:trPr>
          <w:trHeight w:val="64"/>
        </w:trPr>
        <w:tc>
          <w:tcPr>
            <w:tcW w:w="4106" w:type="dxa"/>
          </w:tcPr>
          <w:p w14:paraId="28C54EC2" w14:textId="77777777" w:rsidR="00276A1B" w:rsidRDefault="00276A1B">
            <w:pPr>
              <w:pStyle w:val="COMTabletext"/>
              <w:keepNext w:val="0"/>
            </w:pPr>
            <w:r>
              <w:t>Topotecan arm based on the gamma function</w:t>
            </w:r>
          </w:p>
        </w:tc>
        <w:tc>
          <w:tcPr>
            <w:tcW w:w="1227" w:type="dxa"/>
            <w:vAlign w:val="bottom"/>
          </w:tcPr>
          <w:p w14:paraId="346B3521" w14:textId="07F9DF41" w:rsidR="00276A1B" w:rsidRPr="00382BCC"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p>
        </w:tc>
        <w:tc>
          <w:tcPr>
            <w:tcW w:w="1228" w:type="dxa"/>
            <w:vAlign w:val="bottom"/>
          </w:tcPr>
          <w:p w14:paraId="0FE205DD" w14:textId="77777777" w:rsidR="00276A1B" w:rsidRPr="00382BCC" w:rsidRDefault="00276A1B">
            <w:pPr>
              <w:pStyle w:val="COMTabletext"/>
              <w:keepNext w:val="0"/>
              <w:jc w:val="center"/>
            </w:pPr>
            <w:r>
              <w:rPr>
                <w:rFonts w:cs="Calibri"/>
                <w:color w:val="000000"/>
                <w:szCs w:val="20"/>
              </w:rPr>
              <w:t>1.0806</w:t>
            </w:r>
          </w:p>
        </w:tc>
        <w:tc>
          <w:tcPr>
            <w:tcW w:w="1228" w:type="dxa"/>
            <w:vAlign w:val="bottom"/>
          </w:tcPr>
          <w:p w14:paraId="6D079EB6" w14:textId="67D8851B" w:rsidR="00276A1B" w:rsidRPr="00BE78B4" w:rsidRDefault="00276A1B">
            <w:pPr>
              <w:pStyle w:val="COMTabletext"/>
              <w:keepNext w:val="0"/>
              <w:jc w:val="center"/>
              <w:rPr>
                <w:vertAlign w:val="superscript"/>
              </w:rPr>
            </w:pPr>
            <w:r>
              <w:rPr>
                <w:rFonts w:cs="Calibri"/>
                <w:color w:val="000000"/>
                <w:szCs w:val="20"/>
              </w:rPr>
              <w:t>$</w:t>
            </w:r>
            <w:r w:rsidR="003D0BC2" w:rsidRPr="003D0BC2">
              <w:rPr>
                <w:rFonts w:cs="Calibri"/>
                <w:color w:val="000000"/>
                <w:sz w:val="2"/>
                <w:szCs w:val="20"/>
                <w:highlight w:val="black"/>
              </w:rPr>
              <w:t>redacted content</w:t>
            </w:r>
            <w:r w:rsidR="00BE78B4">
              <w:rPr>
                <w:rFonts w:cs="Calibri"/>
                <w:color w:val="000000"/>
                <w:szCs w:val="20"/>
                <w:vertAlign w:val="superscript"/>
              </w:rPr>
              <w:t>1</w:t>
            </w:r>
          </w:p>
        </w:tc>
        <w:tc>
          <w:tcPr>
            <w:tcW w:w="1228" w:type="dxa"/>
            <w:vAlign w:val="center"/>
          </w:tcPr>
          <w:p w14:paraId="5860AB7E" w14:textId="16210ECD" w:rsidR="00276A1B" w:rsidRPr="00382BCC" w:rsidRDefault="003D0BC2">
            <w:pPr>
              <w:pStyle w:val="COMTabletext"/>
              <w:keepNext w:val="0"/>
              <w:jc w:val="center"/>
            </w:pPr>
            <w:r w:rsidRPr="003D0BC2">
              <w:rPr>
                <w:rFonts w:cs="Calibri"/>
                <w:color w:val="000000"/>
                <w:sz w:val="2"/>
                <w:szCs w:val="20"/>
                <w:highlight w:val="black"/>
              </w:rPr>
              <w:t>redacted content</w:t>
            </w:r>
            <w:r w:rsidR="00276A1B">
              <w:rPr>
                <w:rFonts w:cs="Calibri"/>
                <w:color w:val="000000"/>
                <w:szCs w:val="20"/>
              </w:rPr>
              <w:t>%</w:t>
            </w:r>
          </w:p>
        </w:tc>
      </w:tr>
      <w:tr w:rsidR="00276A1B" w:rsidRPr="00382BCC" w14:paraId="005F2FFC" w14:textId="77777777">
        <w:trPr>
          <w:trHeight w:val="64"/>
        </w:trPr>
        <w:tc>
          <w:tcPr>
            <w:tcW w:w="4106" w:type="dxa"/>
          </w:tcPr>
          <w:p w14:paraId="071BD677" w14:textId="77777777" w:rsidR="00276A1B" w:rsidRDefault="00276A1B">
            <w:pPr>
              <w:pStyle w:val="COMTabletext"/>
              <w:keepNext w:val="0"/>
            </w:pPr>
            <w:r>
              <w:t>Topotecan arm based on the Weibull function</w:t>
            </w:r>
          </w:p>
        </w:tc>
        <w:tc>
          <w:tcPr>
            <w:tcW w:w="1227" w:type="dxa"/>
            <w:vAlign w:val="bottom"/>
          </w:tcPr>
          <w:p w14:paraId="51FF36F8" w14:textId="2448A2C8" w:rsidR="00276A1B" w:rsidRPr="00382BCC" w:rsidRDefault="00276A1B">
            <w:pPr>
              <w:pStyle w:val="COMTabletext"/>
              <w:keepNext w:val="0"/>
              <w:jc w:val="center"/>
            </w:pPr>
            <w:r>
              <w:rPr>
                <w:rFonts w:cs="Calibri"/>
                <w:color w:val="000000"/>
                <w:szCs w:val="20"/>
              </w:rPr>
              <w:t>$</w:t>
            </w:r>
            <w:r w:rsidR="003D0BC2" w:rsidRPr="003D0BC2">
              <w:rPr>
                <w:rFonts w:cs="Calibri"/>
                <w:color w:val="000000"/>
                <w:sz w:val="2"/>
                <w:szCs w:val="20"/>
                <w:highlight w:val="black"/>
              </w:rPr>
              <w:t>redacted content</w:t>
            </w:r>
          </w:p>
        </w:tc>
        <w:tc>
          <w:tcPr>
            <w:tcW w:w="1228" w:type="dxa"/>
            <w:vAlign w:val="bottom"/>
          </w:tcPr>
          <w:p w14:paraId="46ECBA96" w14:textId="77777777" w:rsidR="00276A1B" w:rsidRPr="00382BCC" w:rsidRDefault="00276A1B">
            <w:pPr>
              <w:pStyle w:val="COMTabletext"/>
              <w:keepNext w:val="0"/>
              <w:jc w:val="center"/>
            </w:pPr>
            <w:r>
              <w:rPr>
                <w:rFonts w:cs="Calibri"/>
                <w:color w:val="000000"/>
                <w:szCs w:val="20"/>
              </w:rPr>
              <w:t>1.0806</w:t>
            </w:r>
          </w:p>
        </w:tc>
        <w:tc>
          <w:tcPr>
            <w:tcW w:w="1228" w:type="dxa"/>
            <w:vAlign w:val="bottom"/>
          </w:tcPr>
          <w:p w14:paraId="02BED4F4" w14:textId="4A9BCDF0" w:rsidR="00276A1B" w:rsidRPr="00BE78B4" w:rsidRDefault="00276A1B">
            <w:pPr>
              <w:pStyle w:val="COMTabletext"/>
              <w:keepNext w:val="0"/>
              <w:jc w:val="center"/>
              <w:rPr>
                <w:vertAlign w:val="superscript"/>
              </w:rPr>
            </w:pPr>
            <w:r>
              <w:rPr>
                <w:rFonts w:cs="Calibri"/>
                <w:color w:val="000000"/>
                <w:szCs w:val="20"/>
              </w:rPr>
              <w:t>$</w:t>
            </w:r>
            <w:r w:rsidR="003D0BC2" w:rsidRPr="003D0BC2">
              <w:rPr>
                <w:rFonts w:cs="Calibri"/>
                <w:color w:val="000000"/>
                <w:sz w:val="2"/>
                <w:szCs w:val="20"/>
                <w:highlight w:val="black"/>
              </w:rPr>
              <w:t>redacted content</w:t>
            </w:r>
            <w:r w:rsidR="00BE78B4">
              <w:rPr>
                <w:rFonts w:cs="Calibri"/>
                <w:color w:val="000000"/>
                <w:szCs w:val="20"/>
                <w:vertAlign w:val="superscript"/>
              </w:rPr>
              <w:t>1</w:t>
            </w:r>
          </w:p>
        </w:tc>
        <w:tc>
          <w:tcPr>
            <w:tcW w:w="1228" w:type="dxa"/>
            <w:vAlign w:val="center"/>
          </w:tcPr>
          <w:p w14:paraId="6DFC3A8D" w14:textId="463DDA14" w:rsidR="00276A1B" w:rsidRPr="00382BCC" w:rsidRDefault="003D0BC2">
            <w:pPr>
              <w:pStyle w:val="COMTabletext"/>
              <w:keepNext w:val="0"/>
              <w:jc w:val="center"/>
            </w:pPr>
            <w:r w:rsidRPr="003D0BC2">
              <w:rPr>
                <w:rFonts w:cs="Calibri"/>
                <w:color w:val="000000"/>
                <w:sz w:val="2"/>
                <w:szCs w:val="20"/>
                <w:highlight w:val="black"/>
              </w:rPr>
              <w:t>redacted content</w:t>
            </w:r>
            <w:r w:rsidR="00276A1B">
              <w:rPr>
                <w:rFonts w:cs="Calibri"/>
                <w:color w:val="000000"/>
                <w:szCs w:val="20"/>
              </w:rPr>
              <w:t>%</w:t>
            </w:r>
          </w:p>
        </w:tc>
      </w:tr>
      <w:tr w:rsidR="00276A1B" w:rsidRPr="00382BCC" w14:paraId="50AC79FE" w14:textId="77777777">
        <w:trPr>
          <w:trHeight w:val="64"/>
        </w:trPr>
        <w:tc>
          <w:tcPr>
            <w:tcW w:w="4106" w:type="dxa"/>
          </w:tcPr>
          <w:p w14:paraId="5EC08B38" w14:textId="4B94FB73" w:rsidR="00276A1B" w:rsidRDefault="00276A1B">
            <w:pPr>
              <w:pStyle w:val="COMTabletext"/>
              <w:keepNext w:val="0"/>
            </w:pPr>
            <w:r>
              <w:t xml:space="preserve">Impact of capping TTD at PFS based on standard partitioned survival analysis </w:t>
            </w:r>
            <w:r w:rsidRPr="00082D31">
              <w:t>approach</w:t>
            </w:r>
            <w:r w:rsidR="00082D31">
              <w:rPr>
                <w:vertAlign w:val="superscript"/>
              </w:rPr>
              <w:t>a,</w:t>
            </w:r>
            <w:r w:rsidR="006323AE" w:rsidRPr="00082D31">
              <w:rPr>
                <w:vertAlign w:val="superscript"/>
              </w:rPr>
              <w:t>c</w:t>
            </w:r>
          </w:p>
        </w:tc>
        <w:tc>
          <w:tcPr>
            <w:tcW w:w="1227" w:type="dxa"/>
            <w:vAlign w:val="center"/>
          </w:tcPr>
          <w:p w14:paraId="1BA9D7C9" w14:textId="43427D2F" w:rsidR="00276A1B" w:rsidRPr="00082D31" w:rsidRDefault="00276A1B">
            <w:pPr>
              <w:pStyle w:val="COMTabletext"/>
              <w:keepNext w:val="0"/>
              <w:jc w:val="center"/>
            </w:pPr>
            <w:r w:rsidRPr="00082D31">
              <w:rPr>
                <w:rFonts w:cs="Calibri"/>
                <w:color w:val="000000"/>
                <w:szCs w:val="20"/>
              </w:rPr>
              <w:t>$</w:t>
            </w:r>
            <w:r w:rsidR="003D0BC2" w:rsidRPr="003D0BC2">
              <w:rPr>
                <w:rFonts w:cs="Calibri"/>
                <w:color w:val="000000"/>
                <w:sz w:val="2"/>
                <w:szCs w:val="20"/>
                <w:highlight w:val="black"/>
              </w:rPr>
              <w:t>redacted content</w:t>
            </w:r>
          </w:p>
        </w:tc>
        <w:tc>
          <w:tcPr>
            <w:tcW w:w="1228" w:type="dxa"/>
            <w:vAlign w:val="center"/>
          </w:tcPr>
          <w:p w14:paraId="5DC80638" w14:textId="77777777" w:rsidR="00276A1B" w:rsidRPr="00082D31" w:rsidRDefault="00276A1B">
            <w:pPr>
              <w:pStyle w:val="COMTabletext"/>
              <w:keepNext w:val="0"/>
              <w:jc w:val="center"/>
            </w:pPr>
            <w:r w:rsidRPr="00082D31">
              <w:rPr>
                <w:rFonts w:cs="Calibri"/>
                <w:color w:val="000000"/>
                <w:szCs w:val="20"/>
              </w:rPr>
              <w:t>1.0806</w:t>
            </w:r>
          </w:p>
        </w:tc>
        <w:tc>
          <w:tcPr>
            <w:tcW w:w="1228" w:type="dxa"/>
            <w:vAlign w:val="center"/>
          </w:tcPr>
          <w:p w14:paraId="5DA38821" w14:textId="0DB35C33" w:rsidR="00276A1B" w:rsidRPr="00BE78B4" w:rsidRDefault="00276A1B">
            <w:pPr>
              <w:pStyle w:val="COMTabletext"/>
              <w:keepNext w:val="0"/>
              <w:jc w:val="center"/>
              <w:rPr>
                <w:vertAlign w:val="superscript"/>
              </w:rPr>
            </w:pPr>
            <w:r w:rsidRPr="00082D31">
              <w:rPr>
                <w:rFonts w:cs="Calibri"/>
                <w:color w:val="000000"/>
                <w:szCs w:val="20"/>
              </w:rPr>
              <w:t>$</w:t>
            </w:r>
            <w:r w:rsidR="003D0BC2" w:rsidRPr="003D0BC2">
              <w:rPr>
                <w:rFonts w:cs="Calibri"/>
                <w:color w:val="000000"/>
                <w:sz w:val="2"/>
                <w:szCs w:val="20"/>
                <w:highlight w:val="black"/>
              </w:rPr>
              <w:t>redacted content</w:t>
            </w:r>
            <w:r w:rsidR="00BE78B4">
              <w:rPr>
                <w:rFonts w:cs="Calibri"/>
                <w:color w:val="000000"/>
                <w:szCs w:val="20"/>
                <w:vertAlign w:val="superscript"/>
              </w:rPr>
              <w:t>1</w:t>
            </w:r>
          </w:p>
        </w:tc>
        <w:tc>
          <w:tcPr>
            <w:tcW w:w="1228" w:type="dxa"/>
            <w:vAlign w:val="center"/>
          </w:tcPr>
          <w:p w14:paraId="65AA4881" w14:textId="49A7505C" w:rsidR="00276A1B" w:rsidRPr="00082D31" w:rsidRDefault="00276A1B">
            <w:pPr>
              <w:pStyle w:val="COMTabletext"/>
              <w:keepNext w:val="0"/>
              <w:jc w:val="center"/>
            </w:pPr>
            <w:r w:rsidRPr="00082D31">
              <w:rPr>
                <w:rFonts w:cs="Calibri"/>
                <w:color w:val="000000"/>
                <w:szCs w:val="20"/>
              </w:rPr>
              <w:t>+</w:t>
            </w:r>
            <w:r w:rsidR="003D0BC2" w:rsidRPr="003D0BC2">
              <w:rPr>
                <w:rFonts w:cs="Calibri"/>
                <w:color w:val="000000"/>
                <w:sz w:val="2"/>
                <w:szCs w:val="20"/>
                <w:highlight w:val="black"/>
              </w:rPr>
              <w:t>redacted content</w:t>
            </w:r>
            <w:r w:rsidRPr="00082D31">
              <w:rPr>
                <w:rFonts w:cs="Calibri"/>
                <w:color w:val="000000"/>
                <w:szCs w:val="20"/>
              </w:rPr>
              <w:t>%</w:t>
            </w:r>
          </w:p>
        </w:tc>
      </w:tr>
      <w:tr w:rsidR="00276A1B" w:rsidRPr="006B0B1C" w14:paraId="010056B5" w14:textId="77777777">
        <w:trPr>
          <w:trHeight w:val="64"/>
        </w:trPr>
        <w:tc>
          <w:tcPr>
            <w:tcW w:w="9017" w:type="dxa"/>
            <w:gridSpan w:val="5"/>
          </w:tcPr>
          <w:p w14:paraId="03D0EC27" w14:textId="77777777" w:rsidR="00276A1B" w:rsidRPr="006B0B1C" w:rsidRDefault="00276A1B">
            <w:pPr>
              <w:pStyle w:val="COMTabletext"/>
              <w:keepNext w:val="0"/>
              <w:rPr>
                <w:b/>
                <w:bCs w:val="0"/>
              </w:rPr>
            </w:pPr>
            <w:r>
              <w:rPr>
                <w:b/>
                <w:bCs w:val="0"/>
              </w:rPr>
              <w:t xml:space="preserve">Utilities </w:t>
            </w:r>
            <w:r w:rsidRPr="006B0B1C">
              <w:rPr>
                <w:b/>
                <w:bCs w:val="0"/>
              </w:rPr>
              <w:t>(base case: progression-free (tarlatamab) 0.910; progression-free (topotecan) 0.885; progressed disease 0.863; with age-related utility adjustment and population norms as a ceiling)</w:t>
            </w:r>
          </w:p>
        </w:tc>
      </w:tr>
      <w:tr w:rsidR="00276A1B" w:rsidRPr="003555C8" w14:paraId="2A7AFB88" w14:textId="77777777">
        <w:trPr>
          <w:trHeight w:val="64"/>
        </w:trPr>
        <w:tc>
          <w:tcPr>
            <w:tcW w:w="4106" w:type="dxa"/>
          </w:tcPr>
          <w:p w14:paraId="6ACF94E0" w14:textId="40963345" w:rsidR="00276A1B" w:rsidRPr="00082D31" w:rsidRDefault="00276A1B">
            <w:pPr>
              <w:pStyle w:val="COMTabletext"/>
              <w:keepNext w:val="0"/>
            </w:pPr>
            <w:r w:rsidRPr="00082D31">
              <w:t>Use alternative utilities in the July 2019 atezolizumab submission (progression-free 0.72; progressed disease 0.70)</w:t>
            </w:r>
            <w:r w:rsidR="00082D31" w:rsidRPr="00082D31">
              <w:rPr>
                <w:vertAlign w:val="superscript"/>
              </w:rPr>
              <w:t xml:space="preserve"> a</w:t>
            </w:r>
          </w:p>
        </w:tc>
        <w:tc>
          <w:tcPr>
            <w:tcW w:w="1227" w:type="dxa"/>
            <w:vAlign w:val="center"/>
          </w:tcPr>
          <w:p w14:paraId="388F423F" w14:textId="7263E302" w:rsidR="00276A1B" w:rsidRPr="00082D31" w:rsidRDefault="00276A1B">
            <w:pPr>
              <w:pStyle w:val="COMTabletext"/>
              <w:keepNext w:val="0"/>
              <w:jc w:val="center"/>
            </w:pPr>
            <w:r w:rsidRPr="00082D31">
              <w:rPr>
                <w:rFonts w:cs="Calibri"/>
                <w:color w:val="000000"/>
                <w:szCs w:val="20"/>
              </w:rPr>
              <w:t>$</w:t>
            </w:r>
            <w:r w:rsidR="003D0BC2" w:rsidRPr="003D0BC2">
              <w:rPr>
                <w:rFonts w:cs="Calibri"/>
                <w:color w:val="000000"/>
                <w:sz w:val="2"/>
                <w:szCs w:val="20"/>
                <w:highlight w:val="black"/>
              </w:rPr>
              <w:t>redacted content</w:t>
            </w:r>
          </w:p>
        </w:tc>
        <w:tc>
          <w:tcPr>
            <w:tcW w:w="1228" w:type="dxa"/>
            <w:vAlign w:val="center"/>
          </w:tcPr>
          <w:p w14:paraId="6AED41E0" w14:textId="77777777" w:rsidR="00276A1B" w:rsidRPr="00082D31" w:rsidRDefault="00276A1B">
            <w:pPr>
              <w:pStyle w:val="COMTabletext"/>
              <w:keepNext w:val="0"/>
              <w:jc w:val="center"/>
            </w:pPr>
            <w:r w:rsidRPr="00082D31">
              <w:rPr>
                <w:rFonts w:cs="Calibri"/>
                <w:color w:val="000000"/>
                <w:szCs w:val="20"/>
              </w:rPr>
              <w:t>0.8806</w:t>
            </w:r>
          </w:p>
        </w:tc>
        <w:tc>
          <w:tcPr>
            <w:tcW w:w="1228" w:type="dxa"/>
            <w:vAlign w:val="center"/>
          </w:tcPr>
          <w:p w14:paraId="2B052A28" w14:textId="544013FC" w:rsidR="00276A1B" w:rsidRPr="00BE78B4" w:rsidRDefault="00276A1B">
            <w:pPr>
              <w:pStyle w:val="COMTabletext"/>
              <w:keepNext w:val="0"/>
              <w:jc w:val="center"/>
              <w:rPr>
                <w:vertAlign w:val="superscript"/>
              </w:rPr>
            </w:pPr>
            <w:r w:rsidRPr="00082D31">
              <w:rPr>
                <w:rFonts w:cs="Calibri"/>
                <w:color w:val="000000"/>
                <w:szCs w:val="20"/>
              </w:rPr>
              <w:t>$</w:t>
            </w:r>
            <w:r w:rsidR="003D0BC2" w:rsidRPr="003D0BC2">
              <w:rPr>
                <w:rFonts w:cs="Calibri"/>
                <w:color w:val="000000"/>
                <w:sz w:val="2"/>
                <w:szCs w:val="20"/>
                <w:highlight w:val="black"/>
              </w:rPr>
              <w:t>redacted content</w:t>
            </w:r>
            <w:r w:rsidR="00BE78B4">
              <w:rPr>
                <w:rFonts w:cs="Calibri"/>
                <w:color w:val="000000"/>
                <w:szCs w:val="20"/>
                <w:vertAlign w:val="superscript"/>
              </w:rPr>
              <w:t>1</w:t>
            </w:r>
          </w:p>
        </w:tc>
        <w:tc>
          <w:tcPr>
            <w:tcW w:w="1228" w:type="dxa"/>
            <w:vAlign w:val="center"/>
          </w:tcPr>
          <w:p w14:paraId="002F1D12" w14:textId="201467CC" w:rsidR="00276A1B" w:rsidRPr="00082D31" w:rsidRDefault="00276A1B">
            <w:pPr>
              <w:pStyle w:val="COMTabletext"/>
              <w:keepNext w:val="0"/>
              <w:jc w:val="center"/>
            </w:pPr>
            <w:r w:rsidRPr="00082D31">
              <w:rPr>
                <w:rFonts w:cs="Calibri"/>
                <w:color w:val="000000"/>
                <w:szCs w:val="20"/>
              </w:rPr>
              <w:t>+</w:t>
            </w:r>
            <w:r w:rsidR="003D0BC2" w:rsidRPr="003D0BC2">
              <w:rPr>
                <w:rFonts w:cs="Calibri"/>
                <w:color w:val="000000"/>
                <w:sz w:val="2"/>
                <w:szCs w:val="20"/>
                <w:highlight w:val="black"/>
              </w:rPr>
              <w:t>redacted content</w:t>
            </w:r>
            <w:r w:rsidRPr="00082D31">
              <w:rPr>
                <w:rFonts w:cs="Calibri"/>
                <w:color w:val="000000"/>
                <w:szCs w:val="20"/>
              </w:rPr>
              <w:t>%</w:t>
            </w:r>
          </w:p>
        </w:tc>
      </w:tr>
      <w:tr w:rsidR="00276A1B" w:rsidRPr="00575570" w14:paraId="54468047" w14:textId="77777777">
        <w:trPr>
          <w:trHeight w:val="64"/>
        </w:trPr>
        <w:tc>
          <w:tcPr>
            <w:tcW w:w="4106" w:type="dxa"/>
          </w:tcPr>
          <w:p w14:paraId="4B104887" w14:textId="4BDF96AE" w:rsidR="00276A1B" w:rsidRPr="00082D31" w:rsidRDefault="00276A1B">
            <w:pPr>
              <w:pStyle w:val="COMTabletext"/>
              <w:keepNext w:val="0"/>
            </w:pPr>
            <w:r w:rsidRPr="00082D31">
              <w:t>Use progression-free utility in the July 2019 atezolizumab submission (0.72); with decrement for progressed disease from DeLLphi-304 analysis Model 1 (0.035; progressed disease 0.685)</w:t>
            </w:r>
            <w:r w:rsidR="00082D31" w:rsidRPr="00082D31">
              <w:rPr>
                <w:vertAlign w:val="superscript"/>
              </w:rPr>
              <w:t xml:space="preserve"> a</w:t>
            </w:r>
          </w:p>
        </w:tc>
        <w:tc>
          <w:tcPr>
            <w:tcW w:w="1227" w:type="dxa"/>
            <w:vAlign w:val="center"/>
          </w:tcPr>
          <w:p w14:paraId="4ABB4D24" w14:textId="7FA7B678" w:rsidR="00276A1B" w:rsidRPr="00082D31" w:rsidRDefault="00276A1B">
            <w:pPr>
              <w:pStyle w:val="COMTabletext"/>
              <w:keepNext w:val="0"/>
              <w:jc w:val="center"/>
            </w:pPr>
            <w:r w:rsidRPr="00082D31">
              <w:rPr>
                <w:rFonts w:cs="Calibri"/>
                <w:color w:val="000000"/>
                <w:szCs w:val="20"/>
              </w:rPr>
              <w:t>$</w:t>
            </w:r>
            <w:r w:rsidR="003D0BC2" w:rsidRPr="003D0BC2">
              <w:rPr>
                <w:rFonts w:cs="Calibri"/>
                <w:color w:val="000000"/>
                <w:sz w:val="2"/>
                <w:szCs w:val="20"/>
                <w:highlight w:val="black"/>
              </w:rPr>
              <w:t>redacted content</w:t>
            </w:r>
          </w:p>
        </w:tc>
        <w:tc>
          <w:tcPr>
            <w:tcW w:w="1228" w:type="dxa"/>
            <w:vAlign w:val="center"/>
          </w:tcPr>
          <w:p w14:paraId="0E8B3FB7" w14:textId="77777777" w:rsidR="00276A1B" w:rsidRPr="00082D31" w:rsidRDefault="00276A1B">
            <w:pPr>
              <w:pStyle w:val="COMTabletext"/>
              <w:keepNext w:val="0"/>
              <w:jc w:val="center"/>
            </w:pPr>
            <w:r w:rsidRPr="00082D31">
              <w:rPr>
                <w:rFonts w:cs="Calibri"/>
                <w:color w:val="000000"/>
                <w:szCs w:val="20"/>
              </w:rPr>
              <w:t>0.8670</w:t>
            </w:r>
          </w:p>
        </w:tc>
        <w:tc>
          <w:tcPr>
            <w:tcW w:w="1228" w:type="dxa"/>
            <w:vAlign w:val="center"/>
          </w:tcPr>
          <w:p w14:paraId="0F17F699" w14:textId="663BA786" w:rsidR="00276A1B" w:rsidRPr="001154CA" w:rsidRDefault="00276A1B">
            <w:pPr>
              <w:pStyle w:val="COMTabletext"/>
              <w:keepNext w:val="0"/>
              <w:jc w:val="center"/>
              <w:rPr>
                <w:vertAlign w:val="superscript"/>
              </w:rPr>
            </w:pPr>
            <w:r w:rsidRPr="00082D31">
              <w:rPr>
                <w:rFonts w:cs="Calibri"/>
                <w:color w:val="000000"/>
                <w:szCs w:val="20"/>
              </w:rPr>
              <w:t>$</w:t>
            </w:r>
            <w:r w:rsidR="003D0BC2" w:rsidRPr="003D0BC2">
              <w:rPr>
                <w:rFonts w:cs="Calibri"/>
                <w:color w:val="000000"/>
                <w:sz w:val="2"/>
                <w:szCs w:val="20"/>
                <w:highlight w:val="black"/>
              </w:rPr>
              <w:t>redacted content</w:t>
            </w:r>
            <w:r w:rsidR="001154CA">
              <w:rPr>
                <w:rFonts w:cs="Calibri"/>
                <w:color w:val="000000"/>
                <w:szCs w:val="20"/>
                <w:vertAlign w:val="superscript"/>
              </w:rPr>
              <w:t>5</w:t>
            </w:r>
          </w:p>
        </w:tc>
        <w:tc>
          <w:tcPr>
            <w:tcW w:w="1228" w:type="dxa"/>
            <w:vAlign w:val="center"/>
          </w:tcPr>
          <w:p w14:paraId="255BF804" w14:textId="460181A5" w:rsidR="00276A1B" w:rsidRPr="00082D31" w:rsidRDefault="00276A1B">
            <w:pPr>
              <w:pStyle w:val="COMTabletext"/>
              <w:keepNext w:val="0"/>
              <w:jc w:val="center"/>
            </w:pPr>
            <w:r w:rsidRPr="00082D31">
              <w:rPr>
                <w:rFonts w:cs="Calibri"/>
                <w:color w:val="000000"/>
                <w:szCs w:val="20"/>
              </w:rPr>
              <w:t>+</w:t>
            </w:r>
            <w:r w:rsidR="003D0BC2" w:rsidRPr="003D0BC2">
              <w:rPr>
                <w:rFonts w:cs="Calibri"/>
                <w:color w:val="000000"/>
                <w:sz w:val="2"/>
                <w:szCs w:val="20"/>
                <w:highlight w:val="black"/>
              </w:rPr>
              <w:t>redacted content</w:t>
            </w:r>
            <w:r w:rsidRPr="00082D31">
              <w:rPr>
                <w:rFonts w:cs="Calibri"/>
                <w:color w:val="000000"/>
                <w:szCs w:val="20"/>
              </w:rPr>
              <w:t>%</w:t>
            </w:r>
          </w:p>
        </w:tc>
      </w:tr>
      <w:tr w:rsidR="00276A1B" w:rsidRPr="00701B1A" w14:paraId="5F2D741F" w14:textId="77777777">
        <w:trPr>
          <w:trHeight w:val="64"/>
        </w:trPr>
        <w:tc>
          <w:tcPr>
            <w:tcW w:w="4106" w:type="dxa"/>
          </w:tcPr>
          <w:p w14:paraId="2A07394D" w14:textId="251F690D" w:rsidR="00276A1B" w:rsidRPr="00082D31" w:rsidRDefault="00276A1B">
            <w:pPr>
              <w:pStyle w:val="COMTabletext"/>
              <w:keepNext w:val="0"/>
            </w:pPr>
            <w:r w:rsidRPr="00082D31">
              <w:t>Increase tarlatamab relative dose intensity to 100%</w:t>
            </w:r>
            <w:r w:rsidR="00082D31" w:rsidRPr="00082D31">
              <w:rPr>
                <w:vertAlign w:val="superscript"/>
              </w:rPr>
              <w:t>a</w:t>
            </w:r>
          </w:p>
        </w:tc>
        <w:tc>
          <w:tcPr>
            <w:tcW w:w="1227" w:type="dxa"/>
            <w:vAlign w:val="bottom"/>
          </w:tcPr>
          <w:p w14:paraId="722E0195" w14:textId="600583B2" w:rsidR="00276A1B" w:rsidRPr="00082D31" w:rsidRDefault="00276A1B">
            <w:pPr>
              <w:pStyle w:val="COMTabletext"/>
              <w:keepNext w:val="0"/>
              <w:jc w:val="center"/>
              <w:rPr>
                <w:rFonts w:cs="Calibri"/>
                <w:color w:val="000000"/>
                <w:szCs w:val="20"/>
              </w:rPr>
            </w:pPr>
            <w:r w:rsidRPr="00082D31">
              <w:rPr>
                <w:rFonts w:cs="Calibri"/>
                <w:color w:val="000000"/>
                <w:szCs w:val="20"/>
              </w:rPr>
              <w:t>$</w:t>
            </w:r>
            <w:r w:rsidR="003D0BC2" w:rsidRPr="003D0BC2">
              <w:rPr>
                <w:rFonts w:cs="Calibri"/>
                <w:color w:val="000000"/>
                <w:sz w:val="2"/>
                <w:szCs w:val="20"/>
                <w:highlight w:val="black"/>
              </w:rPr>
              <w:t>redacted content</w:t>
            </w:r>
          </w:p>
        </w:tc>
        <w:tc>
          <w:tcPr>
            <w:tcW w:w="1228" w:type="dxa"/>
            <w:vAlign w:val="bottom"/>
          </w:tcPr>
          <w:p w14:paraId="69FF9D53" w14:textId="77777777" w:rsidR="00276A1B" w:rsidRPr="00082D31" w:rsidRDefault="00276A1B">
            <w:pPr>
              <w:pStyle w:val="COMTabletext"/>
              <w:keepNext w:val="0"/>
              <w:jc w:val="center"/>
              <w:rPr>
                <w:rFonts w:cs="Calibri"/>
                <w:color w:val="000000"/>
                <w:szCs w:val="20"/>
              </w:rPr>
            </w:pPr>
            <w:r w:rsidRPr="00082D31">
              <w:rPr>
                <w:rFonts w:cs="Calibri"/>
                <w:color w:val="000000"/>
                <w:szCs w:val="20"/>
              </w:rPr>
              <w:t>1.0806</w:t>
            </w:r>
          </w:p>
        </w:tc>
        <w:tc>
          <w:tcPr>
            <w:tcW w:w="1228" w:type="dxa"/>
            <w:vAlign w:val="bottom"/>
          </w:tcPr>
          <w:p w14:paraId="0E435E16" w14:textId="0A8182FE" w:rsidR="00276A1B" w:rsidRPr="00304C0E" w:rsidRDefault="00276A1B">
            <w:pPr>
              <w:pStyle w:val="COMTabletext"/>
              <w:keepNext w:val="0"/>
              <w:jc w:val="center"/>
              <w:rPr>
                <w:rFonts w:cs="Calibri"/>
                <w:color w:val="000000"/>
                <w:szCs w:val="20"/>
                <w:vertAlign w:val="superscript"/>
              </w:rPr>
            </w:pPr>
            <w:r w:rsidRPr="00082D31">
              <w:rPr>
                <w:rFonts w:cs="Calibri"/>
                <w:color w:val="000000"/>
                <w:szCs w:val="20"/>
              </w:rPr>
              <w:t>$</w:t>
            </w:r>
            <w:r w:rsidR="003D0BC2" w:rsidRPr="003D0BC2">
              <w:rPr>
                <w:rFonts w:cs="Calibri"/>
                <w:color w:val="000000"/>
                <w:sz w:val="2"/>
                <w:szCs w:val="20"/>
                <w:highlight w:val="black"/>
              </w:rPr>
              <w:t>redacted content</w:t>
            </w:r>
            <w:r w:rsidR="00304C0E">
              <w:rPr>
                <w:rFonts w:cs="Calibri"/>
                <w:color w:val="000000"/>
                <w:szCs w:val="20"/>
                <w:vertAlign w:val="superscript"/>
              </w:rPr>
              <w:t>4</w:t>
            </w:r>
          </w:p>
        </w:tc>
        <w:tc>
          <w:tcPr>
            <w:tcW w:w="1228" w:type="dxa"/>
            <w:vAlign w:val="center"/>
          </w:tcPr>
          <w:p w14:paraId="497D18CE" w14:textId="6379FAC9" w:rsidR="00276A1B" w:rsidRPr="00082D31" w:rsidRDefault="00276A1B">
            <w:pPr>
              <w:pStyle w:val="COMTabletext"/>
              <w:keepNext w:val="0"/>
              <w:jc w:val="center"/>
              <w:rPr>
                <w:rFonts w:cs="Calibri"/>
                <w:color w:val="000000"/>
                <w:szCs w:val="20"/>
              </w:rPr>
            </w:pPr>
            <w:r w:rsidRPr="00082D31">
              <w:rPr>
                <w:rFonts w:cs="Calibri"/>
                <w:color w:val="000000"/>
                <w:szCs w:val="20"/>
              </w:rPr>
              <w:t>-</w:t>
            </w:r>
            <w:r w:rsidR="003D0BC2" w:rsidRPr="003D0BC2">
              <w:rPr>
                <w:rFonts w:cs="Calibri"/>
                <w:color w:val="000000"/>
                <w:sz w:val="2"/>
                <w:szCs w:val="20"/>
                <w:highlight w:val="black"/>
              </w:rPr>
              <w:t>redacted content</w:t>
            </w:r>
            <w:r w:rsidRPr="00082D31">
              <w:rPr>
                <w:rFonts w:cs="Calibri"/>
                <w:color w:val="000000"/>
                <w:szCs w:val="20"/>
              </w:rPr>
              <w:t>%</w:t>
            </w:r>
          </w:p>
        </w:tc>
      </w:tr>
      <w:tr w:rsidR="00276A1B" w:rsidRPr="00380EA2" w14:paraId="69B77085" w14:textId="77777777">
        <w:trPr>
          <w:trHeight w:val="64"/>
        </w:trPr>
        <w:tc>
          <w:tcPr>
            <w:tcW w:w="4106" w:type="dxa"/>
          </w:tcPr>
          <w:p w14:paraId="6DCCA891" w14:textId="410DDCE2" w:rsidR="00276A1B" w:rsidRPr="00082D31" w:rsidRDefault="00276A1B">
            <w:pPr>
              <w:pStyle w:val="COMTabletext"/>
              <w:keepNext w:val="0"/>
            </w:pPr>
            <w:r w:rsidRPr="00082D31">
              <w:t>Decrease tarlatamab relative dose intensity by 20% (75.16%)</w:t>
            </w:r>
            <w:r w:rsidR="00082D31" w:rsidRPr="00082D31">
              <w:rPr>
                <w:vertAlign w:val="superscript"/>
              </w:rPr>
              <w:t>a</w:t>
            </w:r>
          </w:p>
        </w:tc>
        <w:tc>
          <w:tcPr>
            <w:tcW w:w="1227" w:type="dxa"/>
            <w:vAlign w:val="center"/>
          </w:tcPr>
          <w:p w14:paraId="5F6BC4AD" w14:textId="0D215B5C" w:rsidR="00276A1B" w:rsidRPr="00082D31" w:rsidRDefault="00276A1B">
            <w:pPr>
              <w:pStyle w:val="COMTabletext"/>
              <w:keepNext w:val="0"/>
              <w:jc w:val="center"/>
              <w:rPr>
                <w:rFonts w:cs="Calibri"/>
                <w:color w:val="000000"/>
                <w:szCs w:val="20"/>
              </w:rPr>
            </w:pPr>
            <w:r w:rsidRPr="00082D31">
              <w:rPr>
                <w:rFonts w:cs="Calibri"/>
                <w:color w:val="000000"/>
                <w:szCs w:val="20"/>
              </w:rPr>
              <w:t>$</w:t>
            </w:r>
            <w:r w:rsidR="003D0BC2" w:rsidRPr="003D0BC2">
              <w:rPr>
                <w:rFonts w:cs="Calibri"/>
                <w:color w:val="000000"/>
                <w:sz w:val="2"/>
                <w:szCs w:val="20"/>
                <w:highlight w:val="black"/>
              </w:rPr>
              <w:t>redacted content</w:t>
            </w:r>
          </w:p>
        </w:tc>
        <w:tc>
          <w:tcPr>
            <w:tcW w:w="1228" w:type="dxa"/>
            <w:vAlign w:val="center"/>
          </w:tcPr>
          <w:p w14:paraId="44650062" w14:textId="77777777" w:rsidR="00276A1B" w:rsidRPr="00082D31" w:rsidRDefault="00276A1B">
            <w:pPr>
              <w:pStyle w:val="COMTabletext"/>
              <w:keepNext w:val="0"/>
              <w:jc w:val="center"/>
              <w:rPr>
                <w:rFonts w:cs="Calibri"/>
                <w:color w:val="000000"/>
                <w:szCs w:val="20"/>
              </w:rPr>
            </w:pPr>
            <w:r w:rsidRPr="00082D31">
              <w:rPr>
                <w:rFonts w:cs="Calibri"/>
                <w:color w:val="000000"/>
                <w:szCs w:val="20"/>
              </w:rPr>
              <w:t>1.0806</w:t>
            </w:r>
          </w:p>
        </w:tc>
        <w:tc>
          <w:tcPr>
            <w:tcW w:w="1228" w:type="dxa"/>
            <w:vAlign w:val="center"/>
          </w:tcPr>
          <w:p w14:paraId="71CC79C7" w14:textId="361FED88" w:rsidR="00276A1B" w:rsidRPr="00BE78B4" w:rsidRDefault="00276A1B">
            <w:pPr>
              <w:pStyle w:val="COMTabletext"/>
              <w:keepNext w:val="0"/>
              <w:jc w:val="center"/>
              <w:rPr>
                <w:rFonts w:cs="Calibri"/>
                <w:color w:val="000000"/>
                <w:szCs w:val="20"/>
                <w:vertAlign w:val="superscript"/>
              </w:rPr>
            </w:pPr>
            <w:r w:rsidRPr="00082D31">
              <w:rPr>
                <w:rFonts w:cs="Calibri"/>
                <w:color w:val="000000"/>
                <w:szCs w:val="20"/>
              </w:rPr>
              <w:t>$</w:t>
            </w:r>
            <w:r w:rsidR="003D0BC2" w:rsidRPr="003D0BC2">
              <w:rPr>
                <w:rFonts w:cs="Calibri"/>
                <w:color w:val="000000"/>
                <w:sz w:val="2"/>
                <w:szCs w:val="20"/>
                <w:highlight w:val="black"/>
              </w:rPr>
              <w:t>redacted content</w:t>
            </w:r>
            <w:r w:rsidR="00BE78B4">
              <w:rPr>
                <w:rFonts w:cs="Calibri"/>
                <w:color w:val="000000"/>
                <w:szCs w:val="20"/>
                <w:vertAlign w:val="superscript"/>
              </w:rPr>
              <w:t>1</w:t>
            </w:r>
          </w:p>
        </w:tc>
        <w:tc>
          <w:tcPr>
            <w:tcW w:w="1228" w:type="dxa"/>
            <w:vAlign w:val="center"/>
          </w:tcPr>
          <w:p w14:paraId="4C68C0C0" w14:textId="4576CEC7" w:rsidR="00276A1B" w:rsidRPr="00082D31" w:rsidRDefault="00276A1B">
            <w:pPr>
              <w:pStyle w:val="COMTabletext"/>
              <w:keepNext w:val="0"/>
              <w:jc w:val="center"/>
              <w:rPr>
                <w:rFonts w:cs="Calibri"/>
                <w:color w:val="000000"/>
                <w:szCs w:val="20"/>
              </w:rPr>
            </w:pPr>
            <w:r w:rsidRPr="00082D31">
              <w:rPr>
                <w:rFonts w:cs="Calibri"/>
                <w:color w:val="000000"/>
                <w:szCs w:val="20"/>
              </w:rPr>
              <w:t>+</w:t>
            </w:r>
            <w:r w:rsidR="003D0BC2" w:rsidRPr="003D0BC2">
              <w:rPr>
                <w:rFonts w:cs="Calibri"/>
                <w:color w:val="000000"/>
                <w:sz w:val="2"/>
                <w:szCs w:val="20"/>
                <w:highlight w:val="black"/>
              </w:rPr>
              <w:t>redacted content</w:t>
            </w:r>
            <w:r w:rsidRPr="00082D31">
              <w:rPr>
                <w:rFonts w:cs="Calibri"/>
                <w:color w:val="000000"/>
                <w:szCs w:val="20"/>
              </w:rPr>
              <w:t>%</w:t>
            </w:r>
          </w:p>
        </w:tc>
      </w:tr>
      <w:tr w:rsidR="005A01F1" w:rsidRPr="004D57C8" w14:paraId="20C54417" w14:textId="77777777">
        <w:trPr>
          <w:trHeight w:val="137"/>
        </w:trPr>
        <w:tc>
          <w:tcPr>
            <w:tcW w:w="9017" w:type="dxa"/>
            <w:gridSpan w:val="5"/>
          </w:tcPr>
          <w:p w14:paraId="29AE5A27" w14:textId="53FDA847" w:rsidR="005A01F1" w:rsidRPr="002751F2" w:rsidRDefault="005A01F1" w:rsidP="00854586">
            <w:pPr>
              <w:pStyle w:val="COMTabletext"/>
              <w:keepNext w:val="0"/>
              <w:rPr>
                <w:rFonts w:cs="Calibri"/>
                <w:szCs w:val="20"/>
              </w:rPr>
            </w:pPr>
            <w:r w:rsidRPr="002751F2">
              <w:rPr>
                <w:b/>
                <w:bCs w:val="0"/>
              </w:rPr>
              <w:t>ESC revised base case</w:t>
            </w:r>
          </w:p>
        </w:tc>
      </w:tr>
      <w:tr w:rsidR="004D57C8" w:rsidRPr="004D57C8" w14:paraId="68090E12" w14:textId="77777777">
        <w:trPr>
          <w:trHeight w:val="64"/>
        </w:trPr>
        <w:tc>
          <w:tcPr>
            <w:tcW w:w="4106" w:type="dxa"/>
          </w:tcPr>
          <w:p w14:paraId="402CAA9B" w14:textId="1FD849A0" w:rsidR="002255B3" w:rsidRPr="002751F2" w:rsidRDefault="002255B3" w:rsidP="006572E3">
            <w:pPr>
              <w:pStyle w:val="COMTabletext"/>
            </w:pPr>
            <w:r w:rsidRPr="002751F2">
              <w:t>5 year time horizon; exponential function used to extrapolate tarlatamab OS; health state utilities 0.72 for progression-free, 0.70 for progressed disease</w:t>
            </w:r>
          </w:p>
        </w:tc>
        <w:tc>
          <w:tcPr>
            <w:tcW w:w="1227" w:type="dxa"/>
            <w:vAlign w:val="center"/>
          </w:tcPr>
          <w:p w14:paraId="0C99C6CA" w14:textId="43BFC0C6" w:rsidR="002255B3" w:rsidRPr="002751F2" w:rsidRDefault="002255B3" w:rsidP="002255B3">
            <w:pPr>
              <w:pStyle w:val="COMTabletext"/>
              <w:keepNext w:val="0"/>
              <w:jc w:val="center"/>
              <w:rPr>
                <w:rFonts w:cs="Calibri"/>
                <w:szCs w:val="20"/>
              </w:rPr>
            </w:pPr>
            <w:r w:rsidRPr="002751F2">
              <w:t>$</w:t>
            </w:r>
            <w:r w:rsidR="003D0BC2" w:rsidRPr="003D0BC2">
              <w:rPr>
                <w:sz w:val="2"/>
                <w:highlight w:val="black"/>
              </w:rPr>
              <w:t>redacted content</w:t>
            </w:r>
          </w:p>
        </w:tc>
        <w:tc>
          <w:tcPr>
            <w:tcW w:w="1228" w:type="dxa"/>
            <w:vAlign w:val="center"/>
          </w:tcPr>
          <w:p w14:paraId="026BFBFE" w14:textId="55143AF6" w:rsidR="002255B3" w:rsidRPr="002751F2" w:rsidRDefault="002255B3" w:rsidP="002255B3">
            <w:pPr>
              <w:pStyle w:val="COMTabletext"/>
              <w:keepNext w:val="0"/>
              <w:jc w:val="center"/>
              <w:rPr>
                <w:rFonts w:cs="Calibri"/>
                <w:szCs w:val="20"/>
              </w:rPr>
            </w:pPr>
            <w:r w:rsidRPr="002751F2">
              <w:t>0.4454</w:t>
            </w:r>
          </w:p>
        </w:tc>
        <w:tc>
          <w:tcPr>
            <w:tcW w:w="1228" w:type="dxa"/>
            <w:vAlign w:val="center"/>
          </w:tcPr>
          <w:p w14:paraId="03AEF321" w14:textId="4B57EBDC" w:rsidR="002255B3" w:rsidRPr="00FF31AA" w:rsidRDefault="002255B3" w:rsidP="002255B3">
            <w:pPr>
              <w:pStyle w:val="COMTabletext"/>
              <w:keepNext w:val="0"/>
              <w:jc w:val="center"/>
              <w:rPr>
                <w:rFonts w:cs="Calibri"/>
                <w:szCs w:val="20"/>
                <w:vertAlign w:val="superscript"/>
              </w:rPr>
            </w:pPr>
            <w:r w:rsidRPr="002751F2">
              <w:t>$</w:t>
            </w:r>
            <w:r w:rsidR="003D0BC2" w:rsidRPr="003D0BC2">
              <w:rPr>
                <w:sz w:val="2"/>
                <w:highlight w:val="black"/>
              </w:rPr>
              <w:t>redacted content</w:t>
            </w:r>
            <w:r w:rsidR="00FF31AA">
              <w:rPr>
                <w:vertAlign w:val="superscript"/>
              </w:rPr>
              <w:t>3</w:t>
            </w:r>
          </w:p>
        </w:tc>
        <w:tc>
          <w:tcPr>
            <w:tcW w:w="1228" w:type="dxa"/>
            <w:vAlign w:val="center"/>
          </w:tcPr>
          <w:p w14:paraId="69B1E0C6" w14:textId="2D55BAC6" w:rsidR="002255B3" w:rsidRPr="002751F2" w:rsidRDefault="002255B3" w:rsidP="002255B3">
            <w:pPr>
              <w:pStyle w:val="COMTabletext"/>
              <w:keepNext w:val="0"/>
              <w:jc w:val="center"/>
              <w:rPr>
                <w:rFonts w:cs="Calibri"/>
                <w:szCs w:val="20"/>
              </w:rPr>
            </w:pPr>
            <w:r w:rsidRPr="002751F2">
              <w:t>+</w:t>
            </w:r>
            <w:r w:rsidR="003D0BC2" w:rsidRPr="003D0BC2">
              <w:rPr>
                <w:sz w:val="2"/>
                <w:highlight w:val="black"/>
              </w:rPr>
              <w:t>redacted content</w:t>
            </w:r>
            <w:r w:rsidRPr="002751F2">
              <w:t>%</w:t>
            </w:r>
          </w:p>
        </w:tc>
      </w:tr>
    </w:tbl>
    <w:p w14:paraId="680EF806" w14:textId="77777777" w:rsidR="00276A1B" w:rsidRDefault="00276A1B" w:rsidP="00276A1B">
      <w:pPr>
        <w:pStyle w:val="COMTablefooter"/>
      </w:pPr>
      <w:r w:rsidRPr="0098262F">
        <w:t>Source: Table</w:t>
      </w:r>
      <w:r>
        <w:t xml:space="preserve"> 3.10.2-1, p131 of the submission; ‘Tarlatamab 2L CE Model v0.1’ model spreadsheet </w:t>
      </w:r>
      <w:r w:rsidRPr="00BF6BAA">
        <w:t>provided with the submission.</w:t>
      </w:r>
    </w:p>
    <w:p w14:paraId="59329AEA" w14:textId="5E191DE4" w:rsidR="008F4F39" w:rsidRDefault="00276A1B" w:rsidP="008F4F39">
      <w:pPr>
        <w:pStyle w:val="COMTablefooter"/>
      </w:pPr>
      <w:r w:rsidRPr="00276A1B">
        <w:rPr>
          <w:rFonts w:eastAsia="Calibri"/>
          <w:iCs/>
          <w:szCs w:val="20"/>
        </w:rPr>
        <w:t>Abbreviations</w:t>
      </w:r>
      <w:r>
        <w:rPr>
          <w:rFonts w:eastAsia="Calibri"/>
          <w:iCs/>
          <w:szCs w:val="20"/>
        </w:rPr>
        <w:t>:</w:t>
      </w:r>
      <w:r w:rsidR="008215FB" w:rsidRPr="00276A1B">
        <w:rPr>
          <w:rFonts w:eastAsia="Calibri"/>
          <w:iCs/>
          <w:szCs w:val="20"/>
        </w:rPr>
        <w:t xml:space="preserve"> </w:t>
      </w:r>
      <w:r w:rsidR="008F4F39">
        <w:t>EMP, ex-manufacturer price; ICER, incremental cost effectiveness ratio; ITT, intention to treat; PFS, progression-free survival; QALY, quality adjusted life year; SOC, standard of care; TTD, time to treatment discontinuation.</w:t>
      </w:r>
    </w:p>
    <w:p w14:paraId="2E8EB8D1" w14:textId="201B1040" w:rsidR="006323AE" w:rsidRPr="006323AE" w:rsidRDefault="006323AE" w:rsidP="008F4F39">
      <w:pPr>
        <w:pStyle w:val="COMTablefooter"/>
      </w:pPr>
      <w:r>
        <w:rPr>
          <w:vertAlign w:val="superscript"/>
        </w:rPr>
        <w:t>a</w:t>
      </w:r>
      <w:r>
        <w:t xml:space="preserve"> </w:t>
      </w:r>
      <w:r w:rsidR="00082D31">
        <w:t xml:space="preserve">Conducted during the </w:t>
      </w:r>
      <w:r w:rsidR="00DD308A">
        <w:t>evaluation</w:t>
      </w:r>
      <w:r w:rsidR="00082D31">
        <w:t>.</w:t>
      </w:r>
    </w:p>
    <w:p w14:paraId="36A0BDE9" w14:textId="7A5F430F" w:rsidR="008F4F39" w:rsidRPr="00E60D53" w:rsidRDefault="006323AE" w:rsidP="008F4F39">
      <w:pPr>
        <w:pStyle w:val="COMTablefooter"/>
      </w:pPr>
      <w:r>
        <w:rPr>
          <w:vertAlign w:val="superscript"/>
        </w:rPr>
        <w:t>b</w:t>
      </w:r>
      <w:r w:rsidR="008F4F39">
        <w:rPr>
          <w:vertAlign w:val="superscript"/>
        </w:rPr>
        <w:t xml:space="preserve"> </w:t>
      </w:r>
      <w:r w:rsidR="008F4F39">
        <w:t>The DeLLphi-304 ITT SOC scenario analysis was based on the extrapolated TTD and adverse event incidence of the topotecan subgroup rather than the ITT SOC arm of the DeLLphi-304 trial.</w:t>
      </w:r>
    </w:p>
    <w:p w14:paraId="164EDE64" w14:textId="5C1E96C2" w:rsidR="00D61D0D" w:rsidRDefault="006323AE" w:rsidP="009A353B">
      <w:pPr>
        <w:pStyle w:val="COMTablefooter"/>
        <w:spacing w:after="0"/>
      </w:pPr>
      <w:r>
        <w:rPr>
          <w:vertAlign w:val="superscript"/>
        </w:rPr>
        <w:t>c</w:t>
      </w:r>
      <w:r w:rsidR="00064817">
        <w:rPr>
          <w:vertAlign w:val="superscript"/>
        </w:rPr>
        <w:t xml:space="preserve"> </w:t>
      </w:r>
      <w:r w:rsidR="00064817" w:rsidRPr="003F76C8">
        <w:t>The model implemented a Markov-like approach to ensuring time to treatment discontinuation did not exceed progression-free survival, which multiplied the proportion of patients on treatment in the previous cycle by the risk of treatment discontinuation in the current cycle, capped by progression-free survival.</w:t>
      </w:r>
    </w:p>
    <w:p w14:paraId="5F2A237A" w14:textId="77777777" w:rsidR="009A353B" w:rsidRPr="009A353B" w:rsidRDefault="009A353B" w:rsidP="009A353B">
      <w:pPr>
        <w:jc w:val="left"/>
        <w:rPr>
          <w:rFonts w:ascii="Arial Narrow" w:hAnsi="Arial Narrow" w:cstheme="minorHAnsi"/>
          <w:bCs/>
          <w:i/>
          <w:iCs/>
          <w:sz w:val="18"/>
          <w:szCs w:val="18"/>
        </w:rPr>
      </w:pPr>
      <w:r w:rsidRPr="009A353B">
        <w:rPr>
          <w:rFonts w:ascii="Arial Narrow" w:hAnsi="Arial Narrow" w:cstheme="minorHAnsi"/>
          <w:bCs/>
          <w:i/>
          <w:iCs/>
          <w:sz w:val="18"/>
          <w:szCs w:val="18"/>
        </w:rPr>
        <w:t xml:space="preserve">The redacted values correspond to the following ranges: </w:t>
      </w:r>
    </w:p>
    <w:p w14:paraId="6E9FE7EB" w14:textId="7EDCC739" w:rsidR="009A353B" w:rsidRPr="009A353B" w:rsidRDefault="009A353B" w:rsidP="009A353B">
      <w:pPr>
        <w:jc w:val="left"/>
        <w:rPr>
          <w:rFonts w:ascii="Arial Narrow" w:hAnsi="Arial Narrow"/>
          <w:i/>
          <w:sz w:val="18"/>
          <w:szCs w:val="18"/>
        </w:rPr>
      </w:pPr>
      <w:r w:rsidRPr="009A353B">
        <w:rPr>
          <w:rFonts w:ascii="Arial Narrow" w:hAnsi="Arial Narrow"/>
          <w:i/>
          <w:sz w:val="18"/>
          <w:szCs w:val="18"/>
          <w:vertAlign w:val="superscript"/>
        </w:rPr>
        <w:t>1</w:t>
      </w:r>
      <w:r w:rsidRPr="009A353B">
        <w:rPr>
          <w:rFonts w:ascii="Arial Narrow" w:hAnsi="Arial Narrow"/>
          <w:i/>
          <w:sz w:val="18"/>
          <w:szCs w:val="18"/>
        </w:rPr>
        <w:t xml:space="preserve"> </w:t>
      </w:r>
      <w:r w:rsidR="00BE78B4" w:rsidRPr="00BE78B4">
        <w:rPr>
          <w:rFonts w:ascii="Arial Narrow" w:hAnsi="Arial Narrow"/>
          <w:i/>
          <w:sz w:val="18"/>
          <w:szCs w:val="18"/>
        </w:rPr>
        <w:t>$355,000 to &lt; $455,000</w:t>
      </w:r>
    </w:p>
    <w:p w14:paraId="07911218" w14:textId="39DE878A" w:rsidR="009A353B" w:rsidRPr="009A353B" w:rsidRDefault="009A353B" w:rsidP="009A353B">
      <w:pPr>
        <w:jc w:val="left"/>
        <w:rPr>
          <w:rFonts w:ascii="Arial Narrow" w:hAnsi="Arial Narrow"/>
          <w:i/>
          <w:sz w:val="18"/>
          <w:szCs w:val="18"/>
        </w:rPr>
      </w:pPr>
      <w:r w:rsidRPr="009A353B">
        <w:rPr>
          <w:rFonts w:ascii="Arial Narrow" w:hAnsi="Arial Narrow"/>
          <w:i/>
          <w:sz w:val="18"/>
          <w:szCs w:val="18"/>
          <w:vertAlign w:val="superscript"/>
        </w:rPr>
        <w:t>2</w:t>
      </w:r>
      <w:r w:rsidRPr="009A353B">
        <w:rPr>
          <w:rFonts w:ascii="Arial Narrow" w:hAnsi="Arial Narrow"/>
          <w:i/>
          <w:sz w:val="18"/>
          <w:szCs w:val="18"/>
        </w:rPr>
        <w:t xml:space="preserve"> </w:t>
      </w:r>
      <w:r w:rsidR="005A04AD" w:rsidRPr="005A04AD">
        <w:rPr>
          <w:rFonts w:ascii="Arial Narrow" w:hAnsi="Arial Narrow"/>
          <w:i/>
          <w:sz w:val="18"/>
          <w:szCs w:val="18"/>
        </w:rPr>
        <w:t>$655,000 to &lt; $755,000</w:t>
      </w:r>
    </w:p>
    <w:p w14:paraId="636FCF99" w14:textId="38C0C1F8" w:rsidR="009A353B" w:rsidRPr="009A353B" w:rsidRDefault="009A353B" w:rsidP="009A353B">
      <w:pPr>
        <w:jc w:val="left"/>
        <w:rPr>
          <w:rFonts w:ascii="Arial Narrow" w:hAnsi="Arial Narrow"/>
          <w:i/>
          <w:sz w:val="18"/>
          <w:szCs w:val="18"/>
        </w:rPr>
      </w:pPr>
      <w:r w:rsidRPr="009A353B">
        <w:rPr>
          <w:rFonts w:ascii="Arial Narrow" w:hAnsi="Arial Narrow"/>
          <w:i/>
          <w:sz w:val="18"/>
          <w:szCs w:val="18"/>
          <w:vertAlign w:val="superscript"/>
        </w:rPr>
        <w:t>3</w:t>
      </w:r>
      <w:r w:rsidRPr="009A353B">
        <w:rPr>
          <w:rFonts w:ascii="Arial Narrow" w:hAnsi="Arial Narrow"/>
          <w:i/>
          <w:sz w:val="18"/>
          <w:szCs w:val="18"/>
        </w:rPr>
        <w:t xml:space="preserve"> </w:t>
      </w:r>
      <w:r w:rsidR="00FF31AA" w:rsidRPr="00FF31AA">
        <w:rPr>
          <w:rFonts w:ascii="Arial Narrow" w:hAnsi="Arial Narrow"/>
          <w:i/>
          <w:sz w:val="18"/>
          <w:szCs w:val="18"/>
        </w:rPr>
        <w:t>$755,000 to &lt; $855,000</w:t>
      </w:r>
    </w:p>
    <w:p w14:paraId="537C1937" w14:textId="646EA832" w:rsidR="009A353B" w:rsidRPr="009A353B" w:rsidRDefault="009A353B" w:rsidP="009A353B">
      <w:pPr>
        <w:jc w:val="left"/>
        <w:rPr>
          <w:rFonts w:ascii="Arial Narrow" w:hAnsi="Arial Narrow"/>
          <w:i/>
          <w:sz w:val="18"/>
          <w:szCs w:val="18"/>
        </w:rPr>
      </w:pPr>
      <w:r w:rsidRPr="009A353B">
        <w:rPr>
          <w:rFonts w:ascii="Arial Narrow" w:hAnsi="Arial Narrow"/>
          <w:i/>
          <w:sz w:val="18"/>
          <w:szCs w:val="18"/>
          <w:vertAlign w:val="superscript"/>
        </w:rPr>
        <w:t>4</w:t>
      </w:r>
      <w:r w:rsidRPr="009A353B">
        <w:rPr>
          <w:rFonts w:ascii="Arial Narrow" w:hAnsi="Arial Narrow"/>
          <w:i/>
          <w:sz w:val="18"/>
          <w:szCs w:val="18"/>
        </w:rPr>
        <w:t xml:space="preserve"> </w:t>
      </w:r>
      <w:r w:rsidR="00304C0E" w:rsidRPr="00304C0E">
        <w:rPr>
          <w:rFonts w:ascii="Arial Narrow" w:hAnsi="Arial Narrow"/>
          <w:i/>
          <w:sz w:val="18"/>
          <w:szCs w:val="18"/>
        </w:rPr>
        <w:t>$255,000 to &lt; $355,000</w:t>
      </w:r>
    </w:p>
    <w:p w14:paraId="4041E9B6" w14:textId="53B17670" w:rsidR="009A353B" w:rsidRDefault="009A353B" w:rsidP="009A238D">
      <w:pPr>
        <w:jc w:val="left"/>
        <w:rPr>
          <w:rFonts w:ascii="Arial Narrow" w:hAnsi="Arial Narrow"/>
          <w:i/>
          <w:sz w:val="18"/>
          <w:szCs w:val="18"/>
        </w:rPr>
      </w:pPr>
      <w:r w:rsidRPr="009A353B">
        <w:rPr>
          <w:rFonts w:ascii="Arial Narrow" w:hAnsi="Arial Narrow"/>
          <w:i/>
          <w:sz w:val="18"/>
          <w:szCs w:val="18"/>
          <w:vertAlign w:val="superscript"/>
        </w:rPr>
        <w:t>5</w:t>
      </w:r>
      <w:r w:rsidRPr="009A353B">
        <w:rPr>
          <w:rFonts w:ascii="Arial Narrow" w:hAnsi="Arial Narrow"/>
          <w:i/>
          <w:sz w:val="18"/>
          <w:szCs w:val="18"/>
        </w:rPr>
        <w:t xml:space="preserve"> </w:t>
      </w:r>
      <w:r w:rsidR="001154CA" w:rsidRPr="001154CA">
        <w:rPr>
          <w:rFonts w:ascii="Arial Narrow" w:hAnsi="Arial Narrow"/>
          <w:i/>
          <w:sz w:val="18"/>
          <w:szCs w:val="18"/>
        </w:rPr>
        <w:t>$455,000 to &lt; $555,000</w:t>
      </w:r>
    </w:p>
    <w:p w14:paraId="20733CB0" w14:textId="77777777" w:rsidR="009A238D" w:rsidRPr="009A238D" w:rsidRDefault="009A238D" w:rsidP="009A238D">
      <w:pPr>
        <w:jc w:val="left"/>
        <w:rPr>
          <w:rFonts w:ascii="Arial Narrow" w:hAnsi="Arial Narrow"/>
          <w:i/>
          <w:sz w:val="18"/>
          <w:szCs w:val="18"/>
        </w:rPr>
      </w:pPr>
    </w:p>
    <w:p w14:paraId="60B798CC" w14:textId="04D3C198" w:rsidR="00D61D0D" w:rsidRPr="00744F75" w:rsidRDefault="00D61D0D" w:rsidP="00D61D0D">
      <w:pPr>
        <w:pStyle w:val="COMESnumberedpara"/>
        <w:rPr>
          <w:rFonts w:eastAsia="Times New Roman"/>
          <w:szCs w:val="24"/>
        </w:rPr>
      </w:pPr>
      <w:bookmarkStart w:id="66" w:name="_Ref226894072"/>
      <w:r w:rsidRPr="00744F75">
        <w:lastRenderedPageBreak/>
        <w:t>The ESC</w:t>
      </w:r>
      <w:r w:rsidR="00424963">
        <w:t xml:space="preserve"> considered that the base case ICER was high and uncertain and </w:t>
      </w:r>
      <w:r w:rsidR="00424963" w:rsidRPr="00424963">
        <w:t>considered that the projections of the model were overly optimistic, as observed by the lack of convergence of the overall survival curves</w:t>
      </w:r>
      <w:r w:rsidR="002B710A">
        <w:t xml:space="preserve"> </w:t>
      </w:r>
      <w:r w:rsidR="00424963" w:rsidRPr="00424963">
        <w:t>at ten years.</w:t>
      </w:r>
      <w:r w:rsidR="00424963">
        <w:t xml:space="preserve"> The ESC</w:t>
      </w:r>
      <w:r w:rsidRPr="00744F75">
        <w:t xml:space="preserve"> suggested a revised base case was required to address key uncertainties and unsupported assumptions and included:</w:t>
      </w:r>
      <w:bookmarkEnd w:id="66"/>
      <w:r w:rsidRPr="00744F75">
        <w:t xml:space="preserve"> </w:t>
      </w:r>
    </w:p>
    <w:p w14:paraId="7E6DACDD" w14:textId="0CF36AC1" w:rsidR="00D61D0D" w:rsidRPr="00744F75" w:rsidRDefault="00D61D0D" w:rsidP="008239C5">
      <w:pPr>
        <w:pStyle w:val="COMESnumberedpara"/>
        <w:numPr>
          <w:ilvl w:val="0"/>
          <w:numId w:val="12"/>
        </w:numPr>
        <w:ind w:left="1701"/>
        <w:rPr>
          <w:rFonts w:eastAsia="Times New Roman"/>
          <w:szCs w:val="24"/>
        </w:rPr>
      </w:pPr>
      <w:r w:rsidRPr="00744F75">
        <w:t>a time horizon of 5 years</w:t>
      </w:r>
      <w:r w:rsidR="001E3EF6" w:rsidRPr="00744F75">
        <w:t>;</w:t>
      </w:r>
      <w:r w:rsidRPr="00744F75">
        <w:t xml:space="preserve"> </w:t>
      </w:r>
    </w:p>
    <w:p w14:paraId="508D838F" w14:textId="638D6C81" w:rsidR="00D61D0D" w:rsidRPr="00744F75" w:rsidRDefault="00D61D0D" w:rsidP="008239C5">
      <w:pPr>
        <w:pStyle w:val="COMESnumberedpara"/>
        <w:numPr>
          <w:ilvl w:val="0"/>
          <w:numId w:val="12"/>
        </w:numPr>
        <w:ind w:left="1701"/>
        <w:rPr>
          <w:rFonts w:eastAsia="Times New Roman"/>
          <w:szCs w:val="24"/>
        </w:rPr>
      </w:pPr>
      <w:r w:rsidRPr="00744F75">
        <w:t>the exponential (best fitting) extrapolation for OS for the tarlatamab arm</w:t>
      </w:r>
      <w:r w:rsidR="001E3EF6" w:rsidRPr="00744F75">
        <w:t>; and</w:t>
      </w:r>
    </w:p>
    <w:p w14:paraId="5FFCE6BB" w14:textId="77777777" w:rsidR="00D61D0D" w:rsidRPr="00744F75" w:rsidRDefault="00D61D0D" w:rsidP="008239C5">
      <w:pPr>
        <w:pStyle w:val="COMESnumberedpara"/>
        <w:numPr>
          <w:ilvl w:val="0"/>
          <w:numId w:val="12"/>
        </w:numPr>
        <w:ind w:left="1701"/>
        <w:rPr>
          <w:rFonts w:eastAsia="Times New Roman"/>
          <w:szCs w:val="24"/>
        </w:rPr>
      </w:pPr>
      <w:r w:rsidRPr="00744F75">
        <w:t xml:space="preserve">alternative utility values of 0.72 for the progression free and 0.70 for progressed disease. </w:t>
      </w:r>
    </w:p>
    <w:p w14:paraId="262BC27D" w14:textId="6D66E700" w:rsidR="00E30122" w:rsidRPr="00BF49A3" w:rsidRDefault="00D61D0D" w:rsidP="00574E23">
      <w:pPr>
        <w:pStyle w:val="COMESnumberedpara"/>
        <w:numPr>
          <w:ilvl w:val="0"/>
          <w:numId w:val="0"/>
        </w:numPr>
        <w:ind w:left="709"/>
      </w:pPr>
      <w:r w:rsidRPr="00744F75">
        <w:t xml:space="preserve">The ESC noted that these changes increased the ICER to </w:t>
      </w:r>
      <w:r w:rsidR="00A80317" w:rsidRPr="00A80317">
        <w:t>$755,000 to &lt; $855,000</w:t>
      </w:r>
      <w:r w:rsidRPr="00744F75">
        <w:t>/QALY gained (+</w:t>
      </w:r>
      <w:r w:rsidR="003D0BC2" w:rsidRPr="003D0BC2">
        <w:rPr>
          <w:sz w:val="2"/>
          <w:highlight w:val="black"/>
        </w:rPr>
        <w:t>redacted content</w:t>
      </w:r>
      <w:r w:rsidRPr="00744F75">
        <w:t>%)</w:t>
      </w:r>
      <w:r w:rsidR="00665F1B" w:rsidRPr="00744F75">
        <w:t xml:space="preserve"> and resulted in a life years gained of 0.6</w:t>
      </w:r>
      <w:r w:rsidR="00A52BAD">
        <w:t>6 (undiscounted)</w:t>
      </w:r>
      <w:r w:rsidRPr="00744F75">
        <w:t>.</w:t>
      </w:r>
      <w:r w:rsidR="00F14DD4" w:rsidRPr="00744F75">
        <w:t xml:space="preserve"> </w:t>
      </w:r>
      <w:r w:rsidR="00233ADF" w:rsidRPr="00744F75">
        <w:t>T</w:t>
      </w:r>
      <w:r w:rsidR="00F14DD4" w:rsidRPr="00744F75">
        <w:t>he ESC recalled it previously considered that it may not be clinically plausible for the health states to have such similar utilities (para 6.49</w:t>
      </w:r>
      <w:r w:rsidR="005A6991" w:rsidRPr="00744F75">
        <w:t>,</w:t>
      </w:r>
      <w:r w:rsidR="00F14DD4" w:rsidRPr="00744F75">
        <w:t xml:space="preserve"> atezolizumab PSD, July 2019 PBAC </w:t>
      </w:r>
      <w:r w:rsidR="005A6991" w:rsidRPr="00744F75">
        <w:t>M</w:t>
      </w:r>
      <w:r w:rsidR="00F14DD4" w:rsidRPr="00744F75">
        <w:t>eeting)</w:t>
      </w:r>
      <w:r w:rsidR="00233ADF" w:rsidRPr="00744F75">
        <w:t xml:space="preserve">, however considered </w:t>
      </w:r>
      <w:r w:rsidR="00094B9F" w:rsidRPr="00744F75">
        <w:t xml:space="preserve">utility values of 0.72 for the progression free and 0.70 for progressed disease </w:t>
      </w:r>
      <w:r w:rsidR="00233ADF" w:rsidRPr="00744F75">
        <w:t>to be more reliable than those applied to the base case analysis</w:t>
      </w:r>
      <w:r w:rsidR="00F14DD4" w:rsidRPr="00744F75">
        <w:t>.</w:t>
      </w:r>
      <w:r w:rsidR="00650244" w:rsidRPr="00744F75">
        <w:t xml:space="preserve"> The ESC considered that </w:t>
      </w:r>
      <w:r w:rsidR="00CA5460" w:rsidRPr="00744F75">
        <w:t>alternatively the values</w:t>
      </w:r>
      <w:r w:rsidR="002B710A">
        <w:t xml:space="preserve"> </w:t>
      </w:r>
      <w:r w:rsidR="00CA5460" w:rsidRPr="00744F75">
        <w:t>of 0.72 (progression free) and 0.685 (</w:t>
      </w:r>
      <w:r w:rsidR="00614658" w:rsidRPr="00744F75">
        <w:t>progressed disease) could also be considered.</w:t>
      </w:r>
    </w:p>
    <w:p w14:paraId="472842D7" w14:textId="3DCB303D" w:rsidR="00C25D9C" w:rsidRPr="0098262F" w:rsidRDefault="00C25D9C" w:rsidP="00E30122">
      <w:pPr>
        <w:pStyle w:val="COMESSubsectionheading"/>
      </w:pPr>
      <w:bookmarkStart w:id="67" w:name="_Toc22897646"/>
      <w:bookmarkStart w:id="68" w:name="_Toc219878286"/>
      <w:r w:rsidRPr="0098262F">
        <w:t>Drug cost/patient</w:t>
      </w:r>
      <w:bookmarkEnd w:id="67"/>
      <w:bookmarkEnd w:id="68"/>
    </w:p>
    <w:bookmarkStart w:id="69" w:name="_Ref188023020"/>
    <w:bookmarkStart w:id="70" w:name="_Ref104805102"/>
    <w:p w14:paraId="2244F3E2" w14:textId="14433E5A" w:rsidR="00E020DD" w:rsidRPr="00744F75" w:rsidRDefault="00E020DD" w:rsidP="00DA2482">
      <w:pPr>
        <w:pStyle w:val="COMESnumberedpara"/>
      </w:pPr>
      <w:r w:rsidRPr="00744F75">
        <w:fldChar w:fldCharType="begin"/>
      </w:r>
      <w:r w:rsidRPr="00744F75">
        <w:instrText xml:space="preserve"> REF _Ref216729534 \h </w:instrText>
      </w:r>
      <w:r w:rsidR="00777A18" w:rsidRPr="00744F75">
        <w:instrText xml:space="preserve"> \* MERGEFORMAT </w:instrText>
      </w:r>
      <w:r w:rsidRPr="00744F75">
        <w:fldChar w:fldCharType="separate"/>
      </w:r>
      <w:r w:rsidR="00E26586" w:rsidRPr="00777A18">
        <w:t xml:space="preserve">Table </w:t>
      </w:r>
      <w:r w:rsidR="00E26586">
        <w:rPr>
          <w:noProof/>
        </w:rPr>
        <w:t>14</w:t>
      </w:r>
      <w:r w:rsidRPr="00744F75">
        <w:fldChar w:fldCharType="end"/>
      </w:r>
      <w:r w:rsidRPr="00744F75">
        <w:t xml:space="preserve"> presents a comparison of drug costs for tarlatamab and SOC included in the economic model and financial estimates.</w:t>
      </w:r>
      <w:r w:rsidR="00133844" w:rsidRPr="00744F75">
        <w:t xml:space="preserve"> </w:t>
      </w:r>
      <w:r w:rsidR="001A7EE8" w:rsidRPr="00744F75">
        <w:t xml:space="preserve">The financials </w:t>
      </w:r>
      <w:r w:rsidR="002F31E7">
        <w:t xml:space="preserve">of the submission </w:t>
      </w:r>
      <w:r w:rsidR="001A7EE8" w:rsidRPr="00744F75">
        <w:t>assumed a tarlatamab cost per patient per course of $</w:t>
      </w:r>
      <w:r w:rsidR="003D0BC2" w:rsidRPr="003D0BC2">
        <w:rPr>
          <w:sz w:val="2"/>
          <w:highlight w:val="black"/>
        </w:rPr>
        <w:t>redacted content</w:t>
      </w:r>
      <w:r w:rsidR="001A7EE8" w:rsidRPr="00744F75">
        <w:t xml:space="preserve"> for third and subsequent line use</w:t>
      </w:r>
      <w:r w:rsidR="00DF6079" w:rsidRPr="00744F75">
        <w:t xml:space="preserve"> (based on a mean duration of treatment of 5.93 months). </w:t>
      </w:r>
      <w:r w:rsidR="00133844" w:rsidRPr="00744F75">
        <w:t>Third-line tarlatamab treatment was not modelled in the economic evaluation.</w:t>
      </w:r>
      <w:r w:rsidR="002F31E7">
        <w:t xml:space="preserve"> The Pre-PBAC Response</w:t>
      </w:r>
      <w:r w:rsidR="003D0BC2">
        <w:t xml:space="preserve"> </w:t>
      </w:r>
      <w:r w:rsidR="002F31E7">
        <w:t xml:space="preserve">proposed a revised price for tarlatamab (paragraph </w:t>
      </w:r>
      <w:r w:rsidR="002F31E7">
        <w:fldChar w:fldCharType="begin"/>
      </w:r>
      <w:r w:rsidR="002F31E7">
        <w:instrText xml:space="preserve"> REF _Ref226643887 \r \h </w:instrText>
      </w:r>
      <w:r w:rsidR="002F31E7">
        <w:fldChar w:fldCharType="separate"/>
      </w:r>
      <w:r w:rsidR="00D23029">
        <w:t>3.2</w:t>
      </w:r>
      <w:r w:rsidR="002F31E7">
        <w:fldChar w:fldCharType="end"/>
      </w:r>
      <w:r w:rsidR="002F31E7">
        <w:t>)</w:t>
      </w:r>
      <w:r w:rsidR="00D27B38">
        <w:t>. Revised costs per patient per course estimates according to the price proposed in the Pre-PBAC Response is shown below.</w:t>
      </w:r>
    </w:p>
    <w:p w14:paraId="79E6DDCD" w14:textId="7AD99284" w:rsidR="00E020DD" w:rsidRPr="00777A18" w:rsidRDefault="00E020DD" w:rsidP="003D0BC2">
      <w:pPr>
        <w:pStyle w:val="Caption"/>
        <w:keepLines/>
      </w:pPr>
      <w:bookmarkStart w:id="71" w:name="_Ref216729534"/>
      <w:r w:rsidRPr="00777A18">
        <w:lastRenderedPageBreak/>
        <w:t xml:space="preserve">Table </w:t>
      </w:r>
      <w:r>
        <w:fldChar w:fldCharType="begin"/>
      </w:r>
      <w:r>
        <w:instrText>SEQ Table \* ARABIC</w:instrText>
      </w:r>
      <w:r>
        <w:fldChar w:fldCharType="separate"/>
      </w:r>
      <w:r w:rsidR="00E26586">
        <w:rPr>
          <w:noProof/>
        </w:rPr>
        <w:t>14</w:t>
      </w:r>
      <w:r>
        <w:fldChar w:fldCharType="end"/>
      </w:r>
      <w:bookmarkEnd w:id="69"/>
      <w:bookmarkEnd w:id="71"/>
      <w:r w:rsidRPr="00777A18">
        <w:t>: Drug cost per patient per year for tarlatamab and SOC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Drug cost per patient per year for tarlatamab and SOC"/>
      </w:tblPr>
      <w:tblGrid>
        <w:gridCol w:w="1554"/>
        <w:gridCol w:w="1125"/>
        <w:gridCol w:w="1268"/>
        <w:gridCol w:w="1270"/>
        <w:gridCol w:w="1268"/>
        <w:gridCol w:w="1268"/>
        <w:gridCol w:w="1264"/>
      </w:tblGrid>
      <w:tr w:rsidR="00E020DD" w:rsidRPr="00777A18" w14:paraId="4BA0E30A" w14:textId="77777777" w:rsidTr="002F31E7">
        <w:trPr>
          <w:cantSplit/>
          <w:tblHeader/>
          <w:jc w:val="center"/>
        </w:trPr>
        <w:tc>
          <w:tcPr>
            <w:tcW w:w="862" w:type="pct"/>
            <w:vMerge w:val="restart"/>
            <w:vAlign w:val="center"/>
          </w:tcPr>
          <w:p w14:paraId="28D7F876" w14:textId="77777777" w:rsidR="00E020DD" w:rsidRPr="00777A18" w:rsidRDefault="00E020DD" w:rsidP="003D0BC2">
            <w:pPr>
              <w:pStyle w:val="In-tableHeading"/>
              <w:jc w:val="center"/>
            </w:pPr>
          </w:p>
        </w:tc>
        <w:tc>
          <w:tcPr>
            <w:tcW w:w="2031" w:type="pct"/>
            <w:gridSpan w:val="3"/>
            <w:vAlign w:val="center"/>
          </w:tcPr>
          <w:p w14:paraId="00638B6E" w14:textId="77777777" w:rsidR="00E020DD" w:rsidRPr="00777A18" w:rsidRDefault="00E020DD" w:rsidP="003D0BC2">
            <w:pPr>
              <w:pStyle w:val="In-tableHeading"/>
              <w:jc w:val="center"/>
            </w:pPr>
            <w:r w:rsidRPr="00777A18">
              <w:t>Tarlatamab</w:t>
            </w:r>
          </w:p>
        </w:tc>
        <w:tc>
          <w:tcPr>
            <w:tcW w:w="2107" w:type="pct"/>
            <w:gridSpan w:val="3"/>
            <w:vAlign w:val="center"/>
          </w:tcPr>
          <w:p w14:paraId="05E8B628" w14:textId="77777777" w:rsidR="00E020DD" w:rsidRPr="00777A18" w:rsidRDefault="00E020DD" w:rsidP="003D0BC2">
            <w:pPr>
              <w:pStyle w:val="In-tableHeading"/>
              <w:jc w:val="center"/>
            </w:pPr>
            <w:r w:rsidRPr="00777A18">
              <w:t>SOC</w:t>
            </w:r>
          </w:p>
        </w:tc>
      </w:tr>
      <w:tr w:rsidR="00E020DD" w:rsidRPr="00777A18" w14:paraId="24E1A107" w14:textId="77777777" w:rsidTr="002F31E7">
        <w:trPr>
          <w:cantSplit/>
          <w:tblHeader/>
          <w:jc w:val="center"/>
        </w:trPr>
        <w:tc>
          <w:tcPr>
            <w:tcW w:w="862" w:type="pct"/>
            <w:vMerge/>
            <w:vAlign w:val="center"/>
          </w:tcPr>
          <w:p w14:paraId="7632DBEB" w14:textId="77777777" w:rsidR="00E020DD" w:rsidRPr="00777A18" w:rsidRDefault="00E020DD" w:rsidP="003D0BC2">
            <w:pPr>
              <w:pStyle w:val="In-tableHeading"/>
              <w:jc w:val="center"/>
            </w:pPr>
          </w:p>
        </w:tc>
        <w:tc>
          <w:tcPr>
            <w:tcW w:w="624" w:type="pct"/>
            <w:vAlign w:val="center"/>
          </w:tcPr>
          <w:p w14:paraId="182BC5E7" w14:textId="182F4071" w:rsidR="00E020DD" w:rsidRPr="00777A18" w:rsidRDefault="005E5B0C" w:rsidP="003D0BC2">
            <w:pPr>
              <w:pStyle w:val="In-tableHeading"/>
              <w:jc w:val="center"/>
            </w:pPr>
            <w:r w:rsidRPr="00777A18">
              <w:t>Clinical study</w:t>
            </w:r>
          </w:p>
        </w:tc>
        <w:tc>
          <w:tcPr>
            <w:tcW w:w="703" w:type="pct"/>
            <w:vAlign w:val="center"/>
          </w:tcPr>
          <w:p w14:paraId="6253E863" w14:textId="77777777" w:rsidR="00E020DD" w:rsidRPr="00777A18" w:rsidRDefault="00E020DD" w:rsidP="003D0BC2">
            <w:pPr>
              <w:pStyle w:val="In-tableHeading"/>
              <w:jc w:val="center"/>
            </w:pPr>
            <w:r w:rsidRPr="00777A18">
              <w:t>Model</w:t>
            </w:r>
          </w:p>
        </w:tc>
        <w:tc>
          <w:tcPr>
            <w:tcW w:w="704" w:type="pct"/>
            <w:vAlign w:val="center"/>
          </w:tcPr>
          <w:p w14:paraId="48070404" w14:textId="77777777" w:rsidR="00E020DD" w:rsidRPr="00777A18" w:rsidRDefault="00E020DD" w:rsidP="003D0BC2">
            <w:pPr>
              <w:pStyle w:val="In-tableHeading"/>
              <w:jc w:val="center"/>
            </w:pPr>
            <w:r w:rsidRPr="00777A18">
              <w:t>Financial estimates</w:t>
            </w:r>
          </w:p>
        </w:tc>
        <w:tc>
          <w:tcPr>
            <w:tcW w:w="703" w:type="pct"/>
            <w:vAlign w:val="center"/>
          </w:tcPr>
          <w:p w14:paraId="5031F66D" w14:textId="3297580D" w:rsidR="00E020DD" w:rsidRPr="00777A18" w:rsidRDefault="00A27016" w:rsidP="003D0BC2">
            <w:pPr>
              <w:pStyle w:val="In-tableHeading"/>
              <w:jc w:val="center"/>
            </w:pPr>
            <w:r w:rsidRPr="00777A18">
              <w:t>Clinical study</w:t>
            </w:r>
          </w:p>
        </w:tc>
        <w:tc>
          <w:tcPr>
            <w:tcW w:w="703" w:type="pct"/>
            <w:vAlign w:val="center"/>
          </w:tcPr>
          <w:p w14:paraId="27C79FCC" w14:textId="77777777" w:rsidR="00E020DD" w:rsidRPr="00777A18" w:rsidRDefault="00E020DD" w:rsidP="003D0BC2">
            <w:pPr>
              <w:pStyle w:val="In-tableHeading"/>
              <w:jc w:val="center"/>
              <w:rPr>
                <w:vertAlign w:val="superscript"/>
              </w:rPr>
            </w:pPr>
            <w:r w:rsidRPr="00777A18">
              <w:t>Model</w:t>
            </w:r>
          </w:p>
        </w:tc>
        <w:tc>
          <w:tcPr>
            <w:tcW w:w="701" w:type="pct"/>
          </w:tcPr>
          <w:p w14:paraId="304A13AD" w14:textId="77777777" w:rsidR="00E020DD" w:rsidRPr="00777A18" w:rsidRDefault="00E020DD" w:rsidP="003D0BC2">
            <w:pPr>
              <w:pStyle w:val="In-tableHeading"/>
              <w:jc w:val="center"/>
            </w:pPr>
            <w:r w:rsidRPr="00777A18">
              <w:t xml:space="preserve">Financial </w:t>
            </w:r>
            <w:r w:rsidRPr="00777A18">
              <w:br/>
              <w:t>estimates</w:t>
            </w:r>
          </w:p>
        </w:tc>
      </w:tr>
      <w:tr w:rsidR="00133844" w:rsidRPr="00777A18" w14:paraId="2761CC48" w14:textId="77777777" w:rsidTr="00CB12F6">
        <w:trPr>
          <w:cantSplit/>
          <w:jc w:val="center"/>
        </w:trPr>
        <w:tc>
          <w:tcPr>
            <w:tcW w:w="5000" w:type="pct"/>
            <w:gridSpan w:val="7"/>
            <w:vAlign w:val="center"/>
          </w:tcPr>
          <w:p w14:paraId="7FB394D6" w14:textId="740377F3" w:rsidR="00133844" w:rsidRPr="00777A18" w:rsidRDefault="00133844" w:rsidP="003D0BC2">
            <w:pPr>
              <w:pStyle w:val="TableText"/>
              <w:keepNext/>
              <w:keepLines/>
              <w:spacing w:before="0" w:after="0" w:line="240" w:lineRule="auto"/>
              <w:rPr>
                <w:b/>
                <w:bCs/>
                <w:lang w:val="en-US"/>
              </w:rPr>
            </w:pPr>
            <w:r w:rsidRPr="00777A18">
              <w:rPr>
                <w:b/>
                <w:bCs/>
                <w:lang w:val="en-US"/>
              </w:rPr>
              <w:t>Second-line</w:t>
            </w:r>
            <w:r w:rsidR="005E5B0C" w:rsidRPr="00777A18">
              <w:rPr>
                <w:b/>
                <w:bCs/>
                <w:lang w:val="en-US"/>
              </w:rPr>
              <w:t xml:space="preserve"> (informed by the DeLLphi-304 trial)</w:t>
            </w:r>
          </w:p>
        </w:tc>
      </w:tr>
      <w:tr w:rsidR="007937D5" w:rsidRPr="00777A18" w14:paraId="3E2986DB" w14:textId="77777777" w:rsidTr="002F31E7">
        <w:trPr>
          <w:cantSplit/>
          <w:jc w:val="center"/>
        </w:trPr>
        <w:tc>
          <w:tcPr>
            <w:tcW w:w="862" w:type="pct"/>
            <w:vAlign w:val="center"/>
          </w:tcPr>
          <w:p w14:paraId="626EA826" w14:textId="4D9F5BDE" w:rsidR="007937D5" w:rsidRPr="00777A18" w:rsidRDefault="007937D5" w:rsidP="003D0BC2">
            <w:pPr>
              <w:pStyle w:val="TableText"/>
              <w:keepNext/>
              <w:keepLines/>
              <w:spacing w:before="0" w:after="0" w:line="240" w:lineRule="auto"/>
              <w:rPr>
                <w:lang w:val="en-US"/>
              </w:rPr>
            </w:pPr>
            <w:r w:rsidRPr="00777A18">
              <w:rPr>
                <w:lang w:val="en-US"/>
              </w:rPr>
              <w:t>Mean duration of treatment</w:t>
            </w:r>
          </w:p>
        </w:tc>
        <w:tc>
          <w:tcPr>
            <w:tcW w:w="624" w:type="pct"/>
            <w:vAlign w:val="center"/>
          </w:tcPr>
          <w:p w14:paraId="4A35B463" w14:textId="15251157" w:rsidR="007937D5" w:rsidRPr="00777A18" w:rsidRDefault="007937D5" w:rsidP="003D0BC2">
            <w:pPr>
              <w:pStyle w:val="TableText"/>
              <w:keepNext/>
              <w:keepLines/>
              <w:spacing w:before="0" w:after="0" w:line="240" w:lineRule="auto"/>
              <w:jc w:val="center"/>
              <w:rPr>
                <w:bCs/>
                <w:lang w:val="en-US"/>
              </w:rPr>
            </w:pPr>
            <w:r w:rsidRPr="00777A18">
              <w:rPr>
                <w:bCs/>
                <w:lang w:val="en-US"/>
              </w:rPr>
              <w:t>6.18 months</w:t>
            </w:r>
            <w:r w:rsidR="00D17B07" w:rsidRPr="00777A18">
              <w:rPr>
                <w:bCs/>
                <w:vertAlign w:val="superscript"/>
                <w:lang w:val="en-US"/>
              </w:rPr>
              <w:t>a</w:t>
            </w:r>
          </w:p>
        </w:tc>
        <w:tc>
          <w:tcPr>
            <w:tcW w:w="703" w:type="pct"/>
            <w:vAlign w:val="center"/>
          </w:tcPr>
          <w:p w14:paraId="09561A1A" w14:textId="66E90296" w:rsidR="007937D5" w:rsidRPr="00777A18" w:rsidRDefault="007937D5" w:rsidP="003D0BC2">
            <w:pPr>
              <w:pStyle w:val="TableText"/>
              <w:keepNext/>
              <w:keepLines/>
              <w:spacing w:before="0" w:after="0" w:line="240" w:lineRule="auto"/>
              <w:jc w:val="center"/>
              <w:rPr>
                <w:bCs/>
                <w:lang w:val="en-US"/>
              </w:rPr>
            </w:pPr>
            <w:r w:rsidRPr="00777A18">
              <w:rPr>
                <w:bCs/>
                <w:lang w:val="en-US"/>
              </w:rPr>
              <w:t>8.85 months</w:t>
            </w:r>
            <w:r w:rsidR="00FE064E" w:rsidRPr="00777A18">
              <w:rPr>
                <w:bCs/>
                <w:vertAlign w:val="superscript"/>
                <w:lang w:val="en-US"/>
              </w:rPr>
              <w:t>b</w:t>
            </w:r>
          </w:p>
        </w:tc>
        <w:tc>
          <w:tcPr>
            <w:tcW w:w="704" w:type="pct"/>
            <w:vAlign w:val="center"/>
          </w:tcPr>
          <w:p w14:paraId="47340CA5" w14:textId="04BB11BB" w:rsidR="007937D5" w:rsidRPr="00777A18" w:rsidRDefault="00C37198" w:rsidP="003D0BC2">
            <w:pPr>
              <w:pStyle w:val="TableText"/>
              <w:keepNext/>
              <w:keepLines/>
              <w:spacing w:before="0" w:after="0" w:line="240" w:lineRule="auto"/>
              <w:jc w:val="center"/>
              <w:rPr>
                <w:bCs/>
                <w:lang w:val="en-US"/>
              </w:rPr>
            </w:pPr>
            <w:r w:rsidRPr="00777A18">
              <w:rPr>
                <w:bCs/>
                <w:lang w:val="en-US"/>
              </w:rPr>
              <w:t>9.34 months</w:t>
            </w:r>
            <w:r w:rsidR="002F71F5" w:rsidRPr="00777A18">
              <w:rPr>
                <w:bCs/>
                <w:vertAlign w:val="superscript"/>
                <w:lang w:val="en-US"/>
              </w:rPr>
              <w:t>c</w:t>
            </w:r>
          </w:p>
        </w:tc>
        <w:tc>
          <w:tcPr>
            <w:tcW w:w="703" w:type="pct"/>
            <w:vAlign w:val="center"/>
          </w:tcPr>
          <w:p w14:paraId="32D5EE6F" w14:textId="4A16E223" w:rsidR="007937D5" w:rsidRPr="00777A18" w:rsidRDefault="007937D5" w:rsidP="003D0BC2">
            <w:pPr>
              <w:pStyle w:val="TableText"/>
              <w:keepNext/>
              <w:keepLines/>
              <w:spacing w:before="0" w:after="0" w:line="240" w:lineRule="auto"/>
              <w:jc w:val="center"/>
              <w:rPr>
                <w:bCs/>
                <w:lang w:val="en-US"/>
              </w:rPr>
            </w:pPr>
            <w:r w:rsidRPr="00777A18">
              <w:rPr>
                <w:bCs/>
                <w:lang w:val="en-US"/>
              </w:rPr>
              <w:t>3.51 months</w:t>
            </w:r>
            <w:r w:rsidR="00D17B07" w:rsidRPr="00777A18">
              <w:rPr>
                <w:bCs/>
                <w:vertAlign w:val="superscript"/>
                <w:lang w:val="en-US"/>
              </w:rPr>
              <w:t>a</w:t>
            </w:r>
          </w:p>
        </w:tc>
        <w:tc>
          <w:tcPr>
            <w:tcW w:w="703" w:type="pct"/>
            <w:vAlign w:val="center"/>
          </w:tcPr>
          <w:p w14:paraId="5428DFA8" w14:textId="0AB60A70" w:rsidR="007937D5" w:rsidRPr="00777A18" w:rsidRDefault="007937D5" w:rsidP="003D0BC2">
            <w:pPr>
              <w:pStyle w:val="TableText"/>
              <w:keepNext/>
              <w:keepLines/>
              <w:spacing w:before="0" w:after="0" w:line="240" w:lineRule="auto"/>
              <w:jc w:val="center"/>
              <w:rPr>
                <w:bCs/>
                <w:lang w:val="en-US"/>
              </w:rPr>
            </w:pPr>
            <w:r w:rsidRPr="00777A18">
              <w:rPr>
                <w:bCs/>
                <w:lang w:val="en-US"/>
              </w:rPr>
              <w:t>4.04 months</w:t>
            </w:r>
            <w:r w:rsidR="002F71F5" w:rsidRPr="00777A18">
              <w:rPr>
                <w:bCs/>
                <w:vertAlign w:val="superscript"/>
                <w:lang w:val="en-US"/>
              </w:rPr>
              <w:t>b</w:t>
            </w:r>
          </w:p>
        </w:tc>
        <w:tc>
          <w:tcPr>
            <w:tcW w:w="701" w:type="pct"/>
            <w:vAlign w:val="center"/>
          </w:tcPr>
          <w:p w14:paraId="3F1906E0" w14:textId="3D45EE4F" w:rsidR="007937D5" w:rsidRPr="00777A18" w:rsidRDefault="0055657F" w:rsidP="003D0BC2">
            <w:pPr>
              <w:pStyle w:val="TableText"/>
              <w:keepNext/>
              <w:keepLines/>
              <w:spacing w:before="0" w:after="0" w:line="240" w:lineRule="auto"/>
              <w:jc w:val="center"/>
              <w:rPr>
                <w:bCs/>
                <w:lang w:val="en-US"/>
              </w:rPr>
            </w:pPr>
            <w:r w:rsidRPr="00777A18">
              <w:rPr>
                <w:bCs/>
                <w:lang w:val="en-US"/>
              </w:rPr>
              <w:t>4.16 months</w:t>
            </w:r>
            <w:r w:rsidR="00DB59CC" w:rsidRPr="00777A18">
              <w:rPr>
                <w:bCs/>
                <w:vertAlign w:val="superscript"/>
                <w:lang w:val="en-US"/>
              </w:rPr>
              <w:t>d</w:t>
            </w:r>
          </w:p>
        </w:tc>
      </w:tr>
      <w:tr w:rsidR="007937D5" w:rsidRPr="00777A18" w14:paraId="2223D8C1" w14:textId="77777777" w:rsidTr="002F31E7">
        <w:trPr>
          <w:cantSplit/>
          <w:jc w:val="center"/>
        </w:trPr>
        <w:tc>
          <w:tcPr>
            <w:tcW w:w="862" w:type="pct"/>
            <w:vAlign w:val="center"/>
          </w:tcPr>
          <w:p w14:paraId="6DE6A76B" w14:textId="0B3FF559" w:rsidR="007937D5" w:rsidRPr="00777A18" w:rsidRDefault="007937D5" w:rsidP="003D0BC2">
            <w:pPr>
              <w:pStyle w:val="TableText"/>
              <w:keepNext/>
              <w:keepLines/>
              <w:spacing w:before="0" w:after="0" w:line="240" w:lineRule="auto"/>
              <w:rPr>
                <w:lang w:val="en-US"/>
              </w:rPr>
            </w:pPr>
            <w:r w:rsidRPr="00777A18">
              <w:rPr>
                <w:lang w:val="en-US"/>
              </w:rPr>
              <w:t>Cost/patient</w:t>
            </w:r>
            <w:r w:rsidR="002C21D1" w:rsidRPr="00777A18">
              <w:rPr>
                <w:lang w:val="en-US"/>
              </w:rPr>
              <w:t>/</w:t>
            </w:r>
            <w:r w:rsidR="00765DF4" w:rsidRPr="00777A18">
              <w:rPr>
                <w:lang w:val="en-US"/>
              </w:rPr>
              <w:t xml:space="preserve"> </w:t>
            </w:r>
            <w:r w:rsidR="002C21D1" w:rsidRPr="00777A18">
              <w:rPr>
                <w:lang w:val="en-US"/>
              </w:rPr>
              <w:t>course</w:t>
            </w:r>
            <w:r w:rsidRPr="00777A18">
              <w:rPr>
                <w:lang w:val="en-US"/>
              </w:rPr>
              <w:t xml:space="preserve"> </w:t>
            </w:r>
            <w:r w:rsidR="002F31E7">
              <w:rPr>
                <w:lang w:val="en-US"/>
              </w:rPr>
              <w:t>(submission)</w:t>
            </w:r>
          </w:p>
        </w:tc>
        <w:tc>
          <w:tcPr>
            <w:tcW w:w="624" w:type="pct"/>
            <w:vAlign w:val="center"/>
          </w:tcPr>
          <w:p w14:paraId="44B195BA" w14:textId="32A819E8" w:rsidR="007937D5" w:rsidRPr="00777A18" w:rsidRDefault="007937D5" w:rsidP="003D0BC2">
            <w:pPr>
              <w:pStyle w:val="TableText"/>
              <w:keepNext/>
              <w:keepLines/>
              <w:spacing w:before="0" w:after="0" w:line="240" w:lineRule="auto"/>
              <w:jc w:val="center"/>
              <w:rPr>
                <w:lang w:val="en-US"/>
              </w:rPr>
            </w:pPr>
            <w:r w:rsidRPr="00777A18">
              <w:rPr>
                <w:lang w:val="en-US"/>
              </w:rPr>
              <w:t>-</w:t>
            </w:r>
          </w:p>
        </w:tc>
        <w:tc>
          <w:tcPr>
            <w:tcW w:w="703" w:type="pct"/>
            <w:vAlign w:val="center"/>
          </w:tcPr>
          <w:p w14:paraId="25EFD048" w14:textId="70A76A72" w:rsidR="007937D5" w:rsidRPr="00777A18" w:rsidRDefault="007937D5" w:rsidP="003D0BC2">
            <w:pPr>
              <w:pStyle w:val="TableText"/>
              <w:keepNext/>
              <w:keepLines/>
              <w:spacing w:before="0" w:after="0" w:line="240" w:lineRule="auto"/>
              <w:jc w:val="center"/>
              <w:rPr>
                <w:i/>
                <w:iCs/>
                <w:lang w:val="en-US"/>
              </w:rPr>
            </w:pPr>
            <w:r w:rsidRPr="00777A18">
              <w:rPr>
                <w:lang w:val="en-US"/>
              </w:rPr>
              <w:t>$</w:t>
            </w:r>
            <w:r w:rsidR="003D0BC2" w:rsidRPr="003D0BC2">
              <w:rPr>
                <w:sz w:val="2"/>
                <w:highlight w:val="black"/>
                <w:lang w:val="en-US"/>
              </w:rPr>
              <w:t xml:space="preserve">redacted </w:t>
            </w:r>
            <w:proofErr w:type="spellStart"/>
            <w:r w:rsidR="003D0BC2" w:rsidRPr="003D0BC2">
              <w:rPr>
                <w:sz w:val="2"/>
                <w:highlight w:val="black"/>
                <w:lang w:val="en-US"/>
              </w:rPr>
              <w:t>content</w:t>
            </w:r>
            <w:r w:rsidR="00B77310" w:rsidRPr="00777A18">
              <w:rPr>
                <w:vertAlign w:val="superscript"/>
                <w:lang w:val="en-US"/>
              </w:rPr>
              <w:t>e</w:t>
            </w:r>
            <w:proofErr w:type="spellEnd"/>
          </w:p>
        </w:tc>
        <w:tc>
          <w:tcPr>
            <w:tcW w:w="704" w:type="pct"/>
            <w:vAlign w:val="center"/>
          </w:tcPr>
          <w:p w14:paraId="12E59EEB" w14:textId="0AB42A76" w:rsidR="007937D5" w:rsidRPr="000F61C3" w:rsidRDefault="00B3625C" w:rsidP="003D0BC2">
            <w:pPr>
              <w:pStyle w:val="TableText"/>
              <w:keepNext/>
              <w:keepLines/>
              <w:spacing w:before="0" w:after="0" w:line="240" w:lineRule="auto"/>
              <w:jc w:val="center"/>
              <w:rPr>
                <w:vertAlign w:val="superscript"/>
                <w:lang w:val="en-US"/>
              </w:rPr>
            </w:pPr>
            <w:r w:rsidRPr="00777A18">
              <w:rPr>
                <w:lang w:val="en-US"/>
              </w:rPr>
              <w:t>$</w:t>
            </w:r>
            <w:r w:rsidR="003D0BC2" w:rsidRPr="003D0BC2">
              <w:rPr>
                <w:sz w:val="2"/>
                <w:highlight w:val="black"/>
                <w:lang w:val="en-US"/>
              </w:rPr>
              <w:t xml:space="preserve">redacted </w:t>
            </w:r>
            <w:proofErr w:type="spellStart"/>
            <w:r w:rsidR="003D0BC2" w:rsidRPr="003D0BC2">
              <w:rPr>
                <w:sz w:val="2"/>
                <w:highlight w:val="black"/>
                <w:lang w:val="en-US"/>
              </w:rPr>
              <w:t>content</w:t>
            </w:r>
            <w:r w:rsidR="000F61C3">
              <w:rPr>
                <w:vertAlign w:val="superscript"/>
                <w:lang w:val="en-US"/>
              </w:rPr>
              <w:t>f</w:t>
            </w:r>
            <w:proofErr w:type="spellEnd"/>
          </w:p>
        </w:tc>
        <w:tc>
          <w:tcPr>
            <w:tcW w:w="703" w:type="pct"/>
            <w:vAlign w:val="center"/>
          </w:tcPr>
          <w:p w14:paraId="0E0E4829" w14:textId="75F69585" w:rsidR="007937D5" w:rsidRPr="00777A18" w:rsidRDefault="007937D5" w:rsidP="003D0BC2">
            <w:pPr>
              <w:pStyle w:val="TableText"/>
              <w:keepNext/>
              <w:keepLines/>
              <w:spacing w:before="0" w:after="0" w:line="240" w:lineRule="auto"/>
              <w:jc w:val="center"/>
              <w:rPr>
                <w:lang w:val="en-US"/>
              </w:rPr>
            </w:pPr>
            <w:r w:rsidRPr="00777A18">
              <w:rPr>
                <w:lang w:val="en-US"/>
              </w:rPr>
              <w:t>-</w:t>
            </w:r>
          </w:p>
        </w:tc>
        <w:tc>
          <w:tcPr>
            <w:tcW w:w="703" w:type="pct"/>
            <w:vAlign w:val="center"/>
          </w:tcPr>
          <w:p w14:paraId="1BE50052" w14:textId="15609D4E" w:rsidR="007937D5" w:rsidRPr="00777A18" w:rsidRDefault="00BB3257" w:rsidP="003D0BC2">
            <w:pPr>
              <w:pStyle w:val="TableText"/>
              <w:keepNext/>
              <w:keepLines/>
              <w:spacing w:before="0" w:after="0" w:line="240" w:lineRule="auto"/>
              <w:jc w:val="center"/>
              <w:rPr>
                <w:lang w:val="en-US"/>
              </w:rPr>
            </w:pPr>
            <w:r w:rsidRPr="00777A18">
              <w:rPr>
                <w:lang w:val="en-US"/>
              </w:rPr>
              <w:t>Topotecan</w:t>
            </w:r>
            <w:r w:rsidR="007937D5" w:rsidRPr="00777A18">
              <w:rPr>
                <w:lang w:val="en-US"/>
              </w:rPr>
              <w:t>: $7,097</w:t>
            </w:r>
            <w:r w:rsidR="007F215C" w:rsidRPr="00777A18">
              <w:rPr>
                <w:vertAlign w:val="superscript"/>
                <w:lang w:val="en-US"/>
              </w:rPr>
              <w:t>e</w:t>
            </w:r>
          </w:p>
        </w:tc>
        <w:tc>
          <w:tcPr>
            <w:tcW w:w="701" w:type="pct"/>
            <w:vAlign w:val="center"/>
          </w:tcPr>
          <w:p w14:paraId="3B4A080E" w14:textId="5091612D" w:rsidR="007937D5" w:rsidRPr="00777A18" w:rsidRDefault="006A52B3" w:rsidP="003D0BC2">
            <w:pPr>
              <w:pStyle w:val="TableText"/>
              <w:keepNext/>
              <w:keepLines/>
              <w:spacing w:before="0" w:after="0" w:line="240" w:lineRule="auto"/>
              <w:jc w:val="center"/>
              <w:rPr>
                <w:lang w:val="en-US"/>
              </w:rPr>
            </w:pPr>
            <w:r w:rsidRPr="00777A18">
              <w:rPr>
                <w:lang w:val="en-US"/>
              </w:rPr>
              <w:t>$1,736</w:t>
            </w:r>
            <w:r w:rsidR="00091672" w:rsidRPr="00777A18">
              <w:rPr>
                <w:vertAlign w:val="superscript"/>
                <w:lang w:val="en-US"/>
              </w:rPr>
              <w:t>e</w:t>
            </w:r>
          </w:p>
        </w:tc>
      </w:tr>
      <w:tr w:rsidR="00483405" w:rsidRPr="00777A18" w14:paraId="73ED34FF" w14:textId="77777777" w:rsidTr="002F31E7">
        <w:trPr>
          <w:cantSplit/>
          <w:jc w:val="center"/>
        </w:trPr>
        <w:tc>
          <w:tcPr>
            <w:tcW w:w="862" w:type="pct"/>
            <w:vAlign w:val="center"/>
          </w:tcPr>
          <w:p w14:paraId="441AD8FB" w14:textId="77777777" w:rsidR="00483405" w:rsidRDefault="00483405" w:rsidP="003D0BC2">
            <w:pPr>
              <w:pStyle w:val="TableText"/>
              <w:keepNext/>
              <w:keepLines/>
              <w:spacing w:before="0" w:after="0" w:line="240" w:lineRule="auto"/>
              <w:rPr>
                <w:lang w:val="en-US"/>
              </w:rPr>
            </w:pPr>
            <w:r>
              <w:rPr>
                <w:lang w:val="en-US"/>
              </w:rPr>
              <w:t>Cost/patient/course</w:t>
            </w:r>
          </w:p>
          <w:p w14:paraId="0EC6ED84" w14:textId="538377A1" w:rsidR="00483405" w:rsidRPr="00777A18" w:rsidRDefault="00483405" w:rsidP="003D0BC2">
            <w:pPr>
              <w:pStyle w:val="TableText"/>
              <w:keepNext/>
              <w:keepLines/>
              <w:spacing w:before="0" w:after="0" w:line="240" w:lineRule="auto"/>
              <w:rPr>
                <w:lang w:val="en-US"/>
              </w:rPr>
            </w:pPr>
            <w:r>
              <w:rPr>
                <w:lang w:val="en-US"/>
              </w:rPr>
              <w:t>(Pre-PBAC Response)</w:t>
            </w:r>
          </w:p>
        </w:tc>
        <w:tc>
          <w:tcPr>
            <w:tcW w:w="624" w:type="pct"/>
            <w:vAlign w:val="center"/>
          </w:tcPr>
          <w:p w14:paraId="00928838" w14:textId="5DE6E212" w:rsidR="00483405" w:rsidRPr="00777A18" w:rsidRDefault="00483405" w:rsidP="003D0BC2">
            <w:pPr>
              <w:pStyle w:val="TableText"/>
              <w:keepNext/>
              <w:keepLines/>
              <w:spacing w:before="0" w:after="0" w:line="240" w:lineRule="auto"/>
              <w:jc w:val="center"/>
              <w:rPr>
                <w:lang w:val="en-US"/>
              </w:rPr>
            </w:pPr>
            <w:r>
              <w:rPr>
                <w:lang w:val="en-US"/>
              </w:rPr>
              <w:t>-</w:t>
            </w:r>
          </w:p>
        </w:tc>
        <w:tc>
          <w:tcPr>
            <w:tcW w:w="703" w:type="pct"/>
            <w:vAlign w:val="center"/>
          </w:tcPr>
          <w:p w14:paraId="108086B7" w14:textId="3A9099D6" w:rsidR="00483405" w:rsidRPr="00777A18" w:rsidRDefault="001B13CF" w:rsidP="003D0BC2">
            <w:pPr>
              <w:pStyle w:val="TableText"/>
              <w:keepNext/>
              <w:keepLines/>
              <w:spacing w:before="0" w:after="0" w:line="240" w:lineRule="auto"/>
              <w:jc w:val="center"/>
              <w:rPr>
                <w:lang w:val="en-US"/>
              </w:rPr>
            </w:pPr>
            <w:r>
              <w:rPr>
                <w:lang w:val="en-US"/>
              </w:rPr>
              <w:t>$</w:t>
            </w:r>
            <w:r w:rsidR="003D0BC2" w:rsidRPr="003D0BC2">
              <w:rPr>
                <w:sz w:val="2"/>
                <w:highlight w:val="black"/>
                <w:lang w:val="en-US"/>
              </w:rPr>
              <w:t>redacted content</w:t>
            </w:r>
          </w:p>
        </w:tc>
        <w:tc>
          <w:tcPr>
            <w:tcW w:w="704" w:type="pct"/>
            <w:vAlign w:val="center"/>
          </w:tcPr>
          <w:p w14:paraId="2DBCE111" w14:textId="08358CEB" w:rsidR="00483405" w:rsidRPr="00102414" w:rsidRDefault="00102414" w:rsidP="003D0BC2">
            <w:pPr>
              <w:pStyle w:val="TableText"/>
              <w:keepNext/>
              <w:keepLines/>
              <w:spacing w:before="0" w:after="0" w:line="240" w:lineRule="auto"/>
              <w:jc w:val="center"/>
              <w:rPr>
                <w:vertAlign w:val="superscript"/>
                <w:lang w:val="en-US"/>
              </w:rPr>
            </w:pPr>
            <w:r>
              <w:rPr>
                <w:lang w:val="en-US"/>
              </w:rPr>
              <w:t>$</w:t>
            </w:r>
            <w:r w:rsidR="003D0BC2" w:rsidRPr="003D0BC2">
              <w:rPr>
                <w:sz w:val="2"/>
                <w:highlight w:val="black"/>
                <w:lang w:val="en-US"/>
              </w:rPr>
              <w:t xml:space="preserve">redacted </w:t>
            </w:r>
            <w:proofErr w:type="spellStart"/>
            <w:r w:rsidR="003D0BC2" w:rsidRPr="003D0BC2">
              <w:rPr>
                <w:sz w:val="2"/>
                <w:highlight w:val="black"/>
                <w:lang w:val="en-US"/>
              </w:rPr>
              <w:t>content</w:t>
            </w:r>
            <w:r>
              <w:rPr>
                <w:vertAlign w:val="superscript"/>
                <w:lang w:val="en-US"/>
              </w:rPr>
              <w:t>g</w:t>
            </w:r>
            <w:proofErr w:type="spellEnd"/>
          </w:p>
        </w:tc>
        <w:tc>
          <w:tcPr>
            <w:tcW w:w="703" w:type="pct"/>
            <w:vAlign w:val="center"/>
          </w:tcPr>
          <w:p w14:paraId="42130C33" w14:textId="52C96E4B" w:rsidR="00483405" w:rsidRPr="00777A18" w:rsidRDefault="00483405" w:rsidP="003D0BC2">
            <w:pPr>
              <w:pStyle w:val="TableText"/>
              <w:keepNext/>
              <w:keepLines/>
              <w:spacing w:before="0" w:after="0" w:line="240" w:lineRule="auto"/>
              <w:jc w:val="center"/>
              <w:rPr>
                <w:lang w:val="en-US"/>
              </w:rPr>
            </w:pPr>
            <w:r>
              <w:rPr>
                <w:lang w:val="en-US"/>
              </w:rPr>
              <w:t>-</w:t>
            </w:r>
          </w:p>
        </w:tc>
        <w:tc>
          <w:tcPr>
            <w:tcW w:w="703" w:type="pct"/>
            <w:vAlign w:val="center"/>
          </w:tcPr>
          <w:p w14:paraId="6FC7D981" w14:textId="49CC030C" w:rsidR="00483405" w:rsidRPr="00777A18" w:rsidRDefault="00483405" w:rsidP="003D0BC2">
            <w:pPr>
              <w:pStyle w:val="TableText"/>
              <w:keepNext/>
              <w:keepLines/>
              <w:spacing w:before="0" w:after="0" w:line="240" w:lineRule="auto"/>
              <w:jc w:val="center"/>
              <w:rPr>
                <w:lang w:val="en-US"/>
              </w:rPr>
            </w:pPr>
            <w:r w:rsidRPr="00777A18">
              <w:rPr>
                <w:lang w:val="en-US"/>
              </w:rPr>
              <w:t>Topotecan: $7,097</w:t>
            </w:r>
            <w:r w:rsidRPr="00777A18">
              <w:rPr>
                <w:vertAlign w:val="superscript"/>
                <w:lang w:val="en-US"/>
              </w:rPr>
              <w:t>e</w:t>
            </w:r>
          </w:p>
        </w:tc>
        <w:tc>
          <w:tcPr>
            <w:tcW w:w="701" w:type="pct"/>
            <w:vAlign w:val="center"/>
          </w:tcPr>
          <w:p w14:paraId="60F00B45" w14:textId="329DBBC7" w:rsidR="00483405" w:rsidRPr="00777A18" w:rsidRDefault="00483405" w:rsidP="003D0BC2">
            <w:pPr>
              <w:pStyle w:val="TableText"/>
              <w:keepNext/>
              <w:keepLines/>
              <w:spacing w:before="0" w:after="0" w:line="240" w:lineRule="auto"/>
              <w:jc w:val="center"/>
              <w:rPr>
                <w:lang w:val="en-US"/>
              </w:rPr>
            </w:pPr>
            <w:r w:rsidRPr="00777A18">
              <w:rPr>
                <w:lang w:val="en-US"/>
              </w:rPr>
              <w:t>$1,736</w:t>
            </w:r>
            <w:r w:rsidRPr="00777A18">
              <w:rPr>
                <w:vertAlign w:val="superscript"/>
                <w:lang w:val="en-US"/>
              </w:rPr>
              <w:t>e</w:t>
            </w:r>
          </w:p>
        </w:tc>
      </w:tr>
    </w:tbl>
    <w:p w14:paraId="165F5665" w14:textId="3A485263" w:rsidR="00967022" w:rsidRPr="00777A18" w:rsidRDefault="00E020DD" w:rsidP="003D0BC2">
      <w:pPr>
        <w:pStyle w:val="COMTablefooter"/>
        <w:keepNext/>
        <w:keepLines/>
      </w:pPr>
      <w:r w:rsidRPr="00777A18">
        <w:t xml:space="preserve">Source: </w:t>
      </w:r>
      <w:bookmarkEnd w:id="70"/>
      <w:r w:rsidR="00D12E7B" w:rsidRPr="00777A18">
        <w:t>‘Tarlatamab 2L CE Model v0.1’ model spreadsheet and</w:t>
      </w:r>
      <w:r w:rsidR="00DA24E4" w:rsidRPr="00777A18">
        <w:t xml:space="preserve"> ‘Tarlatamab 2L ES SCLC financial workbook’</w:t>
      </w:r>
      <w:r w:rsidR="00D12E7B" w:rsidRPr="00777A18">
        <w:t xml:space="preserve"> provided with the submission</w:t>
      </w:r>
    </w:p>
    <w:p w14:paraId="3DE4F613" w14:textId="5E30D2F5" w:rsidR="00676AA2" w:rsidRPr="00777A18" w:rsidRDefault="00676AA2" w:rsidP="003D0BC2">
      <w:pPr>
        <w:pStyle w:val="COMTablefooter"/>
        <w:keepNext/>
      </w:pPr>
      <w:r w:rsidRPr="00777A18">
        <w:t xml:space="preserve">Abbreviations: </w:t>
      </w:r>
      <w:r w:rsidR="00736DCA" w:rsidRPr="00777A18">
        <w:t xml:space="preserve">AEMP, approved ex-manufacturer price; </w:t>
      </w:r>
      <w:r w:rsidR="00C33FFD" w:rsidRPr="00777A18">
        <w:t xml:space="preserve">CAV, cyclophosphamide + doxorubicin + vincristine; </w:t>
      </w:r>
      <w:r w:rsidR="00736DCA" w:rsidRPr="00777A18">
        <w:t xml:space="preserve">DPMA, dispensed price for maximum quantity; </w:t>
      </w:r>
      <w:r w:rsidR="001E197F" w:rsidRPr="00777A18">
        <w:t xml:space="preserve">PFS, progression-free survival; </w:t>
      </w:r>
      <w:r w:rsidRPr="00777A18">
        <w:t>SOC, standard of care.</w:t>
      </w:r>
    </w:p>
    <w:p w14:paraId="5226FFF3" w14:textId="759EF212" w:rsidR="00D17B07" w:rsidRPr="00777A18" w:rsidRDefault="00FE114F" w:rsidP="003D0BC2">
      <w:pPr>
        <w:pStyle w:val="COMTablefooter"/>
        <w:keepNext/>
      </w:pPr>
      <w:r w:rsidRPr="00777A18">
        <w:rPr>
          <w:vertAlign w:val="superscript"/>
        </w:rPr>
        <w:t xml:space="preserve">a </w:t>
      </w:r>
      <w:r w:rsidR="00D17B07" w:rsidRPr="00777A18">
        <w:t>Based on the DeLLphi-304 April 2025 data cut.</w:t>
      </w:r>
    </w:p>
    <w:p w14:paraId="00F41B01" w14:textId="7C9E99D5" w:rsidR="00DE0F20" w:rsidRPr="00777A18" w:rsidRDefault="00FE064E" w:rsidP="003D0BC2">
      <w:pPr>
        <w:pStyle w:val="COMTablefooter"/>
        <w:keepNext/>
      </w:pPr>
      <w:r w:rsidRPr="00777A18">
        <w:rPr>
          <w:vertAlign w:val="superscript"/>
        </w:rPr>
        <w:t xml:space="preserve">b </w:t>
      </w:r>
      <w:r w:rsidRPr="00777A18">
        <w:t xml:space="preserve">Modelled treatment duration based on </w:t>
      </w:r>
      <w:r w:rsidR="009F2EBA" w:rsidRPr="00777A18">
        <w:t xml:space="preserve">the </w:t>
      </w:r>
      <w:r w:rsidRPr="00777A18">
        <w:t>extrapolated time to discontinuation curve from the DeLLphi-304 trial</w:t>
      </w:r>
      <w:r w:rsidR="001E197F" w:rsidRPr="00777A18">
        <w:t>, with capping at PFS</w:t>
      </w:r>
      <w:r w:rsidR="00DF5ED7" w:rsidRPr="00777A18">
        <w:t xml:space="preserve"> for the tarlatamab arm</w:t>
      </w:r>
      <w:r w:rsidRPr="00777A18">
        <w:t>.</w:t>
      </w:r>
    </w:p>
    <w:p w14:paraId="6AD509B3" w14:textId="1496EAE2" w:rsidR="00917339" w:rsidRPr="00082D31" w:rsidRDefault="00917339" w:rsidP="003D0BC2">
      <w:pPr>
        <w:pStyle w:val="COMTablefooter"/>
        <w:keepNext/>
      </w:pPr>
      <w:r w:rsidRPr="00082D31">
        <w:rPr>
          <w:vertAlign w:val="superscript"/>
        </w:rPr>
        <w:t xml:space="preserve">c </w:t>
      </w:r>
      <w:r w:rsidR="00A4783D" w:rsidRPr="0013382E">
        <w:t>This 2L estimate could not be verified during the evaluation</w:t>
      </w:r>
      <w:r w:rsidR="00A4783D">
        <w:t xml:space="preserve">. </w:t>
      </w:r>
      <w:r w:rsidRPr="00082D31">
        <w:t xml:space="preserve">Claimed to be based on the </w:t>
      </w:r>
      <w:r w:rsidR="004367A5" w:rsidRPr="00082D31">
        <w:t xml:space="preserve">second-line </w:t>
      </w:r>
      <w:r w:rsidR="00DB59CC" w:rsidRPr="00082D31">
        <w:t xml:space="preserve">tarlatamab </w:t>
      </w:r>
      <w:r w:rsidRPr="00082D31">
        <w:t xml:space="preserve">modelled treatment duration in error (modelled treatment duration was </w:t>
      </w:r>
      <w:r w:rsidR="00DB59CC" w:rsidRPr="00082D31">
        <w:t>8.85 months).</w:t>
      </w:r>
      <w:r w:rsidR="00102414">
        <w:t xml:space="preserve"> The Pre-PBAC Response assumed a mean duration of treatment of </w:t>
      </w:r>
      <w:r w:rsidR="001F3E6D">
        <w:t>8.85</w:t>
      </w:r>
      <w:r w:rsidR="00D27B38">
        <w:t xml:space="preserve"> months. </w:t>
      </w:r>
    </w:p>
    <w:p w14:paraId="6684920C" w14:textId="4D7230B4" w:rsidR="00DB59CC" w:rsidRPr="00082D31" w:rsidRDefault="00DB59CC" w:rsidP="003D0BC2">
      <w:pPr>
        <w:pStyle w:val="COMTablefooter"/>
        <w:keepNext/>
      </w:pPr>
      <w:r w:rsidRPr="00082D31">
        <w:rPr>
          <w:vertAlign w:val="superscript"/>
        </w:rPr>
        <w:t xml:space="preserve">d </w:t>
      </w:r>
      <w:r w:rsidRPr="00082D31">
        <w:t xml:space="preserve">Claimed to be based on the </w:t>
      </w:r>
      <w:r w:rsidR="004367A5" w:rsidRPr="00082D31">
        <w:t>topotecan</w:t>
      </w:r>
      <w:r w:rsidRPr="00082D31">
        <w:t xml:space="preserve"> modelled treatment duration in error (modelled treatment duration was </w:t>
      </w:r>
      <w:r w:rsidR="004367A5" w:rsidRPr="00082D31">
        <w:t>4.04</w:t>
      </w:r>
      <w:r w:rsidRPr="00082D31">
        <w:t xml:space="preserve"> months).</w:t>
      </w:r>
    </w:p>
    <w:p w14:paraId="0579FF1C" w14:textId="1E1A8420" w:rsidR="00FE114F" w:rsidRDefault="00B77310" w:rsidP="003D0BC2">
      <w:pPr>
        <w:pStyle w:val="COMTablefooter"/>
        <w:keepNext/>
      </w:pPr>
      <w:r w:rsidRPr="00082D31">
        <w:rPr>
          <w:vertAlign w:val="superscript"/>
        </w:rPr>
        <w:t>e</w:t>
      </w:r>
      <w:r w:rsidR="000756BE" w:rsidRPr="00082D31">
        <w:rPr>
          <w:vertAlign w:val="superscript"/>
        </w:rPr>
        <w:t xml:space="preserve"> </w:t>
      </w:r>
      <w:r w:rsidR="00091672" w:rsidRPr="00082D31">
        <w:t xml:space="preserve">Costing errors identified during the evaluation were not corrected </w:t>
      </w:r>
      <w:r w:rsidR="00E07619" w:rsidRPr="00082D31">
        <w:t>due to the minimal impact.</w:t>
      </w:r>
    </w:p>
    <w:p w14:paraId="3B14D837" w14:textId="4EEF249C" w:rsidR="000F61C3" w:rsidRDefault="000F61C3" w:rsidP="003D0BC2">
      <w:pPr>
        <w:pStyle w:val="COMTablefooter"/>
        <w:keepNext/>
      </w:pPr>
      <w:r>
        <w:rPr>
          <w:vertAlign w:val="superscript"/>
        </w:rPr>
        <w:t>f</w:t>
      </w:r>
      <w:r>
        <w:t xml:space="preserve"> Calculated as 1 script x weighted DPMQ 1 mg vial ($</w:t>
      </w:r>
      <w:r w:rsidR="003D0BC2" w:rsidRPr="003D0BC2">
        <w:rPr>
          <w:sz w:val="2"/>
          <w:highlight w:val="black"/>
        </w:rPr>
        <w:t>redacted content</w:t>
      </w:r>
      <w:r>
        <w:t>) + 19.83 scripts x weighted</w:t>
      </w:r>
      <w:r w:rsidR="00102414">
        <w:t xml:space="preserve"> DPMQ</w:t>
      </w:r>
      <w:r>
        <w:t xml:space="preserve"> 10 mg vial ($</w:t>
      </w:r>
      <w:r w:rsidR="003D0BC2" w:rsidRPr="003D0BC2">
        <w:rPr>
          <w:sz w:val="2"/>
          <w:highlight w:val="black"/>
        </w:rPr>
        <w:t>redacted content</w:t>
      </w:r>
      <w:r>
        <w:t>)</w:t>
      </w:r>
    </w:p>
    <w:p w14:paraId="4A9D44FD" w14:textId="41873D5B" w:rsidR="00102414" w:rsidRPr="00102414" w:rsidRDefault="00102414" w:rsidP="003D0BC2">
      <w:pPr>
        <w:pStyle w:val="COMTablefooter"/>
        <w:keepNext/>
      </w:pPr>
      <w:r>
        <w:rPr>
          <w:vertAlign w:val="superscript"/>
        </w:rPr>
        <w:t>g</w:t>
      </w:r>
      <w:r>
        <w:t xml:space="preserve"> Calculated as 1 script x weighted DPMQ 1 mg vial ($</w:t>
      </w:r>
      <w:r w:rsidR="003D0BC2" w:rsidRPr="003D0BC2">
        <w:rPr>
          <w:sz w:val="2"/>
          <w:highlight w:val="black"/>
        </w:rPr>
        <w:t>redacted content</w:t>
      </w:r>
      <w:r>
        <w:t>) + 18.87 scripts x weighted DPMQ 10 mg vial ($</w:t>
      </w:r>
      <w:r w:rsidR="003D0BC2" w:rsidRPr="003D0BC2">
        <w:rPr>
          <w:sz w:val="2"/>
          <w:highlight w:val="black"/>
        </w:rPr>
        <w:t>redacted content</w:t>
      </w:r>
      <w:r>
        <w:t>)</w:t>
      </w:r>
    </w:p>
    <w:p w14:paraId="268768EF" w14:textId="3626F292" w:rsidR="00B60939" w:rsidRPr="0098262F" w:rsidRDefault="00B60939" w:rsidP="00E30122">
      <w:pPr>
        <w:pStyle w:val="COMESSubsectionheading"/>
      </w:pPr>
      <w:bookmarkStart w:id="72" w:name="_Toc22897647"/>
      <w:bookmarkStart w:id="73" w:name="_Toc219878287"/>
      <w:r w:rsidRPr="0098262F">
        <w:t>Estimated PBS usage &amp; financial implications</w:t>
      </w:r>
      <w:bookmarkEnd w:id="72"/>
      <w:bookmarkEnd w:id="73"/>
    </w:p>
    <w:p w14:paraId="2F19D7D9" w14:textId="3C067228" w:rsidR="0099789C" w:rsidRPr="008747E0" w:rsidRDefault="0099789C" w:rsidP="0099789C">
      <w:pPr>
        <w:pStyle w:val="COMESnumberedpara"/>
      </w:pPr>
      <w:r w:rsidRPr="008747E0">
        <w:t>This submission w</w:t>
      </w:r>
      <w:r w:rsidR="002359FA">
        <w:t>as</w:t>
      </w:r>
      <w:r w:rsidRPr="008747E0">
        <w:t xml:space="preserve"> not considered by DUSC. </w:t>
      </w:r>
    </w:p>
    <w:p w14:paraId="0D7A62E5" w14:textId="2C48DEB0" w:rsidR="0099789C" w:rsidRPr="00742762" w:rsidRDefault="0099789C" w:rsidP="0099789C">
      <w:pPr>
        <w:pStyle w:val="COMESnumberedpara"/>
        <w:rPr>
          <w:color w:val="0066FF"/>
        </w:rPr>
      </w:pPr>
      <w:r w:rsidRPr="00B27715">
        <w:t xml:space="preserve">The submission used an epidemiological approach to estimate the utilisation and financial impacts of listing tarlatamab for the treatment of patients with ES-SCLC with disease progression on or after platinum-based chemotherapy. The </w:t>
      </w:r>
      <w:r>
        <w:t xml:space="preserve">submission </w:t>
      </w:r>
      <w:r w:rsidRPr="00B27715">
        <w:t>us</w:t>
      </w:r>
      <w:r>
        <w:t>ed</w:t>
      </w:r>
      <w:r w:rsidRPr="00B27715">
        <w:t xml:space="preserve"> the same approach considered by the DUSC for the withdrawn tarlatamab (third-line) submission intended for the March 2025 PBAC </w:t>
      </w:r>
      <w:r w:rsidR="002359FA" w:rsidRPr="00B27715">
        <w:t>meeting and</w:t>
      </w:r>
      <w:r w:rsidRPr="00B27715">
        <w:t xml:space="preserve"> based on assumptions previously considered by the PBAC in the durvalumab (November 2020 PBAC meeting) and atezolizumab (July 2019 and November 2019 PBAC meetings) submissions. </w:t>
      </w:r>
    </w:p>
    <w:p w14:paraId="2B30B479" w14:textId="5E2587C7" w:rsidR="0099789C" w:rsidRPr="00B27715" w:rsidRDefault="009146B4" w:rsidP="0099789C">
      <w:pPr>
        <w:pStyle w:val="COMESnumberedpara"/>
        <w:rPr>
          <w:color w:val="0066FF"/>
        </w:rPr>
      </w:pPr>
      <w:r>
        <w:fldChar w:fldCharType="begin"/>
      </w:r>
      <w:r>
        <w:instrText xml:space="preserve"> REF _Ref219720656 \h </w:instrText>
      </w:r>
      <w:r>
        <w:fldChar w:fldCharType="separate"/>
      </w:r>
      <w:r w:rsidR="00E26586" w:rsidRPr="0098262F">
        <w:t xml:space="preserve">Table </w:t>
      </w:r>
      <w:r w:rsidR="00E26586">
        <w:rPr>
          <w:noProof/>
        </w:rPr>
        <w:t>15</w:t>
      </w:r>
      <w:r>
        <w:fldChar w:fldCharType="end"/>
      </w:r>
      <w:r>
        <w:t xml:space="preserve"> </w:t>
      </w:r>
      <w:r w:rsidR="0099789C">
        <w:t>presents the key inputs relied on in the financial estimates.</w:t>
      </w:r>
    </w:p>
    <w:p w14:paraId="0688522A" w14:textId="08773171" w:rsidR="0099789C" w:rsidRDefault="0099789C" w:rsidP="000A69B4">
      <w:pPr>
        <w:pStyle w:val="COMTableFigurecaption"/>
        <w:keepLines/>
      </w:pPr>
      <w:bookmarkStart w:id="74" w:name="_Ref219720656"/>
      <w:r w:rsidRPr="0098262F">
        <w:lastRenderedPageBreak/>
        <w:t xml:space="preserve">Table </w:t>
      </w:r>
      <w:r>
        <w:fldChar w:fldCharType="begin"/>
      </w:r>
      <w:r>
        <w:instrText>SEQ Table \* ARABIC</w:instrText>
      </w:r>
      <w:r>
        <w:fldChar w:fldCharType="separate"/>
      </w:r>
      <w:r w:rsidR="00E26586">
        <w:rPr>
          <w:noProof/>
        </w:rPr>
        <w:t>15</w:t>
      </w:r>
      <w:r>
        <w:fldChar w:fldCharType="end"/>
      </w:r>
      <w:bookmarkEnd w:id="74"/>
      <w:r w:rsidRPr="0098262F">
        <w:t>: Key inputs for financial estimates</w:t>
      </w:r>
    </w:p>
    <w:tbl>
      <w:tblPr>
        <w:tblStyle w:val="TableGrid"/>
        <w:tblW w:w="5000" w:type="pct"/>
        <w:tblCellMar>
          <w:left w:w="28" w:type="dxa"/>
          <w:right w:w="28" w:type="dxa"/>
        </w:tblCellMar>
        <w:tblLook w:val="04A0" w:firstRow="1" w:lastRow="0" w:firstColumn="1" w:lastColumn="0" w:noHBand="0" w:noVBand="1"/>
        <w:tblCaption w:val="Table 15: Key inputs for financial estimates"/>
      </w:tblPr>
      <w:tblGrid>
        <w:gridCol w:w="1696"/>
        <w:gridCol w:w="3969"/>
        <w:gridCol w:w="3352"/>
      </w:tblGrid>
      <w:tr w:rsidR="0099789C" w14:paraId="1D5C7B17" w14:textId="77777777">
        <w:trPr>
          <w:tblHeader/>
        </w:trPr>
        <w:tc>
          <w:tcPr>
            <w:tcW w:w="1696" w:type="dxa"/>
            <w:vAlign w:val="center"/>
          </w:tcPr>
          <w:p w14:paraId="36C4BE52" w14:textId="77777777" w:rsidR="0099789C" w:rsidRPr="0013382E" w:rsidRDefault="0099789C" w:rsidP="000A69B4">
            <w:pPr>
              <w:pStyle w:val="COMTableheadingrow"/>
            </w:pPr>
            <w:r w:rsidRPr="0013382E">
              <w:t>Parameter</w:t>
            </w:r>
          </w:p>
        </w:tc>
        <w:tc>
          <w:tcPr>
            <w:tcW w:w="3969" w:type="dxa"/>
            <w:vAlign w:val="center"/>
          </w:tcPr>
          <w:p w14:paraId="34C617F2" w14:textId="77777777" w:rsidR="0099789C" w:rsidRPr="0013382E" w:rsidRDefault="0099789C" w:rsidP="000A69B4">
            <w:pPr>
              <w:pStyle w:val="COMTableheadingrow"/>
              <w:jc w:val="center"/>
            </w:pPr>
            <w:r w:rsidRPr="0013382E">
              <w:t>Value applied and source</w:t>
            </w:r>
          </w:p>
        </w:tc>
        <w:tc>
          <w:tcPr>
            <w:tcW w:w="3352" w:type="dxa"/>
            <w:vAlign w:val="center"/>
          </w:tcPr>
          <w:p w14:paraId="2E9175AF" w14:textId="77777777" w:rsidR="0099789C" w:rsidRPr="0013382E" w:rsidRDefault="0099789C" w:rsidP="000A69B4">
            <w:pPr>
              <w:pStyle w:val="COMTableheadingrow"/>
              <w:jc w:val="center"/>
            </w:pPr>
            <w:r w:rsidRPr="0013382E">
              <w:t>Comment</w:t>
            </w:r>
          </w:p>
        </w:tc>
      </w:tr>
      <w:tr w:rsidR="00053D67" w14:paraId="4A86A476" w14:textId="77777777" w:rsidTr="00505235">
        <w:tc>
          <w:tcPr>
            <w:tcW w:w="1696" w:type="dxa"/>
            <w:vAlign w:val="center"/>
          </w:tcPr>
          <w:p w14:paraId="7FEAE3E3" w14:textId="77777777" w:rsidR="00053D67" w:rsidRPr="0013382E" w:rsidRDefault="00053D67" w:rsidP="000A69B4">
            <w:pPr>
              <w:pStyle w:val="COMTableheadingrow"/>
              <w:jc w:val="left"/>
              <w:rPr>
                <w:b w:val="0"/>
                <w:bCs w:val="0"/>
              </w:rPr>
            </w:pPr>
            <w:r w:rsidRPr="0013382E">
              <w:rPr>
                <w:b w:val="0"/>
              </w:rPr>
              <w:t>Incidence of lung cancer in Australia</w:t>
            </w:r>
          </w:p>
        </w:tc>
        <w:tc>
          <w:tcPr>
            <w:tcW w:w="3969" w:type="dxa"/>
          </w:tcPr>
          <w:p w14:paraId="7135870E" w14:textId="77777777" w:rsidR="00053D67" w:rsidRPr="0013382E" w:rsidRDefault="00053D67" w:rsidP="00505235">
            <w:pPr>
              <w:pStyle w:val="COMTableheadingrow"/>
              <w:jc w:val="left"/>
              <w:rPr>
                <w:b w:val="0"/>
                <w:bCs w:val="0"/>
              </w:rPr>
            </w:pPr>
            <w:r w:rsidRPr="0013382E">
              <w:rPr>
                <w:b w:val="0"/>
              </w:rPr>
              <w:t>16,092 in Year 1 (2026), increasing to 17,933 in Year 6 (2031); based on AIHW Cancer Data in Australia 2024.</w:t>
            </w:r>
          </w:p>
        </w:tc>
        <w:tc>
          <w:tcPr>
            <w:tcW w:w="3352" w:type="dxa"/>
          </w:tcPr>
          <w:p w14:paraId="2D8B0D36" w14:textId="28590425" w:rsidR="00053D67" w:rsidRPr="0013382E" w:rsidRDefault="001F3E6D" w:rsidP="00505235">
            <w:pPr>
              <w:pStyle w:val="COMTableheadingrow"/>
              <w:jc w:val="left"/>
              <w:rPr>
                <w:b w:val="0"/>
                <w:bCs w:val="0"/>
              </w:rPr>
            </w:pPr>
            <w:r>
              <w:rPr>
                <w:b w:val="0"/>
              </w:rPr>
              <w:t xml:space="preserve">The </w:t>
            </w:r>
            <w:r w:rsidR="00053D67" w:rsidRPr="0013382E">
              <w:rPr>
                <w:b w:val="0"/>
              </w:rPr>
              <w:t>DUSC previously considered this source to be reasonable (Table 1, Tarlatamab DUSC Advice, March 2025 PBAC meeting).</w:t>
            </w:r>
            <w:r w:rsidR="00053D67" w:rsidRPr="0013382E">
              <w:t xml:space="preserve"> </w:t>
            </w:r>
            <w:r w:rsidR="00053D67" w:rsidRPr="0013382E">
              <w:rPr>
                <w:b w:val="0"/>
                <w:bCs w:val="0"/>
              </w:rPr>
              <w:t>Updated estimates from the AIHW Cancer Data in Australia 2025 report slightly smaller numbers of expected lung cancer incidence over the same period (15,650 – 17,332).</w:t>
            </w:r>
          </w:p>
        </w:tc>
      </w:tr>
      <w:tr w:rsidR="0099789C" w14:paraId="15B73DB3" w14:textId="77777777" w:rsidTr="00505235">
        <w:tc>
          <w:tcPr>
            <w:tcW w:w="1696" w:type="dxa"/>
            <w:vAlign w:val="center"/>
          </w:tcPr>
          <w:p w14:paraId="2A602686" w14:textId="010AD8C5" w:rsidR="0099789C" w:rsidRPr="0013382E" w:rsidRDefault="00086012" w:rsidP="000A69B4">
            <w:pPr>
              <w:pStyle w:val="COMTableheadingrow"/>
              <w:jc w:val="left"/>
              <w:rPr>
                <w:b w:val="0"/>
                <w:bCs w:val="0"/>
              </w:rPr>
            </w:pPr>
            <w:r w:rsidRPr="0013382E">
              <w:rPr>
                <w:b w:val="0"/>
              </w:rPr>
              <w:t>P</w:t>
            </w:r>
            <w:r>
              <w:rPr>
                <w:b w:val="0"/>
              </w:rPr>
              <w:t>ercentage</w:t>
            </w:r>
            <w:r w:rsidRPr="0013382E">
              <w:rPr>
                <w:b w:val="0"/>
              </w:rPr>
              <w:t xml:space="preserve"> </w:t>
            </w:r>
            <w:r w:rsidR="0099789C" w:rsidRPr="0013382E">
              <w:rPr>
                <w:b w:val="0"/>
              </w:rPr>
              <w:t xml:space="preserve">of lung cancer that is SCLC </w:t>
            </w:r>
          </w:p>
        </w:tc>
        <w:tc>
          <w:tcPr>
            <w:tcW w:w="3969" w:type="dxa"/>
          </w:tcPr>
          <w:p w14:paraId="45B2AC7C" w14:textId="4E83F48A" w:rsidR="0099789C" w:rsidRPr="0013382E" w:rsidRDefault="0099789C" w:rsidP="00505235">
            <w:pPr>
              <w:pStyle w:val="COMTableheadingrow"/>
              <w:jc w:val="left"/>
              <w:rPr>
                <w:b w:val="0"/>
                <w:bCs w:val="0"/>
              </w:rPr>
            </w:pPr>
            <w:r w:rsidRPr="0013382E">
              <w:rPr>
                <w:b w:val="0"/>
              </w:rPr>
              <w:t xml:space="preserve">11.75%; based on AIHW 2011 data, assuming a constant </w:t>
            </w:r>
            <w:r w:rsidR="00086012">
              <w:rPr>
                <w:b w:val="0"/>
              </w:rPr>
              <w:t>percentage</w:t>
            </w:r>
            <w:r w:rsidR="00086012" w:rsidRPr="0013382E">
              <w:rPr>
                <w:b w:val="0"/>
              </w:rPr>
              <w:t xml:space="preserve"> </w:t>
            </w:r>
            <w:r w:rsidRPr="0013382E">
              <w:rPr>
                <w:b w:val="0"/>
              </w:rPr>
              <w:t>over time (reported in the July 2019 atezolizumab and November 2020 durvalumab PSDs).</w:t>
            </w:r>
          </w:p>
        </w:tc>
        <w:tc>
          <w:tcPr>
            <w:tcW w:w="3352" w:type="dxa"/>
            <w:vMerge w:val="restart"/>
          </w:tcPr>
          <w:p w14:paraId="728FE7A9" w14:textId="1AE62E62" w:rsidR="0099789C" w:rsidRPr="0013382E" w:rsidRDefault="00D27B38" w:rsidP="00505235">
            <w:pPr>
              <w:pStyle w:val="COMTableheadingrow"/>
              <w:jc w:val="left"/>
              <w:rPr>
                <w:b w:val="0"/>
                <w:bCs w:val="0"/>
              </w:rPr>
            </w:pPr>
            <w:r>
              <w:rPr>
                <w:b w:val="0"/>
              </w:rPr>
              <w:t xml:space="preserve">The </w:t>
            </w:r>
            <w:r w:rsidR="0099789C" w:rsidRPr="0013382E">
              <w:rPr>
                <w:b w:val="0"/>
              </w:rPr>
              <w:t>DUSC previously considered these estimates to be reasonable (Table 1, Tarlatamab DUSC Advice, March 2025 PBAC meeting).</w:t>
            </w:r>
          </w:p>
        </w:tc>
      </w:tr>
      <w:tr w:rsidR="0099789C" w14:paraId="40803062" w14:textId="77777777" w:rsidTr="00505235">
        <w:tc>
          <w:tcPr>
            <w:tcW w:w="1696" w:type="dxa"/>
            <w:vAlign w:val="center"/>
          </w:tcPr>
          <w:p w14:paraId="31C6C6E2" w14:textId="37493497" w:rsidR="0099789C" w:rsidRPr="0013382E" w:rsidRDefault="00086012" w:rsidP="000A69B4">
            <w:pPr>
              <w:pStyle w:val="COMTabletext"/>
              <w:rPr>
                <w:b/>
                <w:bCs w:val="0"/>
              </w:rPr>
            </w:pPr>
            <w:r w:rsidRPr="00086012">
              <w:t>Percentage</w:t>
            </w:r>
            <w:r w:rsidRPr="0013382E">
              <w:t xml:space="preserve"> </w:t>
            </w:r>
            <w:r w:rsidR="0099789C" w:rsidRPr="0013382E">
              <w:t>of SCLC that is ES-SCLC</w:t>
            </w:r>
          </w:p>
        </w:tc>
        <w:tc>
          <w:tcPr>
            <w:tcW w:w="3969" w:type="dxa"/>
          </w:tcPr>
          <w:p w14:paraId="31C89130" w14:textId="77777777" w:rsidR="0099789C" w:rsidRPr="0013382E" w:rsidRDefault="0099789C" w:rsidP="00505235">
            <w:pPr>
              <w:pStyle w:val="COMTableheadingrow"/>
              <w:jc w:val="left"/>
              <w:rPr>
                <w:b w:val="0"/>
                <w:bCs w:val="0"/>
              </w:rPr>
            </w:pPr>
            <w:r w:rsidRPr="0013382E">
              <w:rPr>
                <w:b w:val="0"/>
              </w:rPr>
              <w:t>92.75%; based on estimates included in the July 2019 atezolizumab and November 2020 durvalumab PSDs (ES-SCLC represents 71.3% of SCLC; 74.75% of LS-SCLC patients, representing 28.7% of SCLC, will progress to ES-SCLC).</w:t>
            </w:r>
          </w:p>
        </w:tc>
        <w:tc>
          <w:tcPr>
            <w:tcW w:w="3352" w:type="dxa"/>
            <w:vMerge/>
          </w:tcPr>
          <w:p w14:paraId="7676A40B" w14:textId="77777777" w:rsidR="0099789C" w:rsidRPr="0013382E" w:rsidRDefault="0099789C" w:rsidP="00505235">
            <w:pPr>
              <w:pStyle w:val="COMTableheadingrow"/>
              <w:jc w:val="left"/>
              <w:rPr>
                <w:b w:val="0"/>
                <w:bCs w:val="0"/>
              </w:rPr>
            </w:pPr>
          </w:p>
        </w:tc>
      </w:tr>
      <w:tr w:rsidR="0099789C" w14:paraId="24002200" w14:textId="77777777" w:rsidTr="00505235">
        <w:tc>
          <w:tcPr>
            <w:tcW w:w="1696" w:type="dxa"/>
            <w:vAlign w:val="center"/>
          </w:tcPr>
          <w:p w14:paraId="10CCF925" w14:textId="0E735242" w:rsidR="0099789C" w:rsidRPr="0013382E" w:rsidRDefault="00086012" w:rsidP="00675FF5">
            <w:pPr>
              <w:pStyle w:val="COMTabletext"/>
              <w:keepNext w:val="0"/>
              <w:keepLines w:val="0"/>
              <w:rPr>
                <w:b/>
                <w:bCs w:val="0"/>
              </w:rPr>
            </w:pPr>
            <w:r w:rsidRPr="00086012">
              <w:t>Percentage</w:t>
            </w:r>
            <w:r w:rsidRPr="0013382E">
              <w:t xml:space="preserve"> </w:t>
            </w:r>
            <w:r w:rsidR="0099789C" w:rsidRPr="0013382E">
              <w:t>of ES-SCLC patients receiving 1st line therapy</w:t>
            </w:r>
          </w:p>
        </w:tc>
        <w:tc>
          <w:tcPr>
            <w:tcW w:w="3969" w:type="dxa"/>
          </w:tcPr>
          <w:p w14:paraId="227EB63E" w14:textId="77777777" w:rsidR="0099789C" w:rsidRPr="0013382E" w:rsidRDefault="0099789C" w:rsidP="00505235">
            <w:pPr>
              <w:pStyle w:val="COMTableheadingrow"/>
              <w:keepNext w:val="0"/>
              <w:keepLines w:val="0"/>
              <w:jc w:val="left"/>
              <w:rPr>
                <w:b w:val="0"/>
                <w:bCs w:val="0"/>
              </w:rPr>
            </w:pPr>
            <w:r w:rsidRPr="0013382E">
              <w:rPr>
                <w:b w:val="0"/>
              </w:rPr>
              <w:t>85%; based on estimates derived from Australian retrospective studies (Ngo 2021: 79%; Huang 2023: 89%).</w:t>
            </w:r>
          </w:p>
        </w:tc>
        <w:tc>
          <w:tcPr>
            <w:tcW w:w="3352" w:type="dxa"/>
            <w:vMerge/>
          </w:tcPr>
          <w:p w14:paraId="72222C08" w14:textId="77777777" w:rsidR="0099789C" w:rsidRPr="0013382E" w:rsidRDefault="0099789C" w:rsidP="00505235">
            <w:pPr>
              <w:pStyle w:val="COMTableheadingrow"/>
              <w:keepNext w:val="0"/>
              <w:keepLines w:val="0"/>
              <w:jc w:val="left"/>
              <w:rPr>
                <w:b w:val="0"/>
                <w:bCs w:val="0"/>
              </w:rPr>
            </w:pPr>
          </w:p>
        </w:tc>
      </w:tr>
      <w:tr w:rsidR="0099789C" w14:paraId="7C7B06F2" w14:textId="77777777" w:rsidTr="00505235">
        <w:tc>
          <w:tcPr>
            <w:tcW w:w="1696" w:type="dxa"/>
            <w:vAlign w:val="center"/>
          </w:tcPr>
          <w:p w14:paraId="34250D7A" w14:textId="67716636" w:rsidR="0099789C" w:rsidRPr="0013382E" w:rsidRDefault="00086012" w:rsidP="00675FF5">
            <w:pPr>
              <w:pStyle w:val="COMTableheadingrow"/>
              <w:keepNext w:val="0"/>
              <w:keepLines w:val="0"/>
              <w:jc w:val="left"/>
              <w:rPr>
                <w:b w:val="0"/>
              </w:rPr>
            </w:pPr>
            <w:r w:rsidRPr="0013382E">
              <w:rPr>
                <w:b w:val="0"/>
              </w:rPr>
              <w:t>P</w:t>
            </w:r>
            <w:r>
              <w:rPr>
                <w:b w:val="0"/>
              </w:rPr>
              <w:t>ercentage</w:t>
            </w:r>
            <w:r w:rsidRPr="0013382E">
              <w:rPr>
                <w:b w:val="0"/>
              </w:rPr>
              <w:t xml:space="preserve"> </w:t>
            </w:r>
            <w:r w:rsidR="0099789C" w:rsidRPr="0013382E">
              <w:rPr>
                <w:b w:val="0"/>
              </w:rPr>
              <w:t xml:space="preserve">of </w:t>
            </w:r>
          </w:p>
          <w:p w14:paraId="0C82D2FF" w14:textId="77777777" w:rsidR="0099789C" w:rsidRPr="0013382E" w:rsidRDefault="0099789C" w:rsidP="00675FF5">
            <w:pPr>
              <w:pStyle w:val="COMTableheadingrow"/>
              <w:keepNext w:val="0"/>
              <w:keepLines w:val="0"/>
              <w:jc w:val="left"/>
              <w:rPr>
                <w:b w:val="0"/>
                <w:bCs w:val="0"/>
              </w:rPr>
            </w:pPr>
            <w:r w:rsidRPr="0013382E">
              <w:rPr>
                <w:b w:val="0"/>
              </w:rPr>
              <w:t>ES-SCLC 1L patients receiving 2L therapy</w:t>
            </w:r>
          </w:p>
        </w:tc>
        <w:tc>
          <w:tcPr>
            <w:tcW w:w="3969" w:type="dxa"/>
          </w:tcPr>
          <w:p w14:paraId="11E533AB" w14:textId="1AAB5C97" w:rsidR="0099789C" w:rsidRPr="0013382E" w:rsidRDefault="0099789C" w:rsidP="00505235">
            <w:pPr>
              <w:pStyle w:val="COMTableheadingrow"/>
              <w:keepNext w:val="0"/>
              <w:keepLines w:val="0"/>
              <w:jc w:val="left"/>
              <w:rPr>
                <w:b w:val="0"/>
                <w:bCs w:val="0"/>
              </w:rPr>
            </w:pPr>
            <w:r w:rsidRPr="00512E71">
              <w:rPr>
                <w:b w:val="0"/>
              </w:rPr>
              <w:t>45%</w:t>
            </w:r>
            <w:r w:rsidR="00963667" w:rsidRPr="0013382E">
              <w:rPr>
                <w:b w:val="0"/>
                <w:vertAlign w:val="superscript"/>
              </w:rPr>
              <w:t>a</w:t>
            </w:r>
            <w:r w:rsidRPr="0013382E">
              <w:rPr>
                <w:b w:val="0"/>
              </w:rPr>
              <w:t xml:space="preserve">; based on the </w:t>
            </w:r>
            <w:r w:rsidR="00086012">
              <w:rPr>
                <w:b w:val="0"/>
              </w:rPr>
              <w:t>percentage</w:t>
            </w:r>
            <w:r w:rsidR="00086012" w:rsidRPr="0013382E">
              <w:rPr>
                <w:b w:val="0"/>
              </w:rPr>
              <w:t xml:space="preserve"> </w:t>
            </w:r>
            <w:r w:rsidRPr="0013382E">
              <w:rPr>
                <w:b w:val="0"/>
              </w:rPr>
              <w:t xml:space="preserve">of 1L ES-SCLC patients progressing to 2L therapy, reported by Huang 2023 (37%), with a 25% relative increase in the </w:t>
            </w:r>
            <w:r w:rsidR="00086012">
              <w:rPr>
                <w:b w:val="0"/>
              </w:rPr>
              <w:t>percentage</w:t>
            </w:r>
            <w:r w:rsidR="00086012" w:rsidRPr="0013382E">
              <w:rPr>
                <w:b w:val="0"/>
              </w:rPr>
              <w:t xml:space="preserve"> </w:t>
            </w:r>
            <w:r w:rsidRPr="0013382E">
              <w:rPr>
                <w:b w:val="0"/>
              </w:rPr>
              <w:t>of patients receiving 2L therapy due to tarlatamab’s superior efficacy, consistent with the sponsor’s advisory board advice.</w:t>
            </w:r>
          </w:p>
        </w:tc>
        <w:tc>
          <w:tcPr>
            <w:tcW w:w="3352" w:type="dxa"/>
          </w:tcPr>
          <w:p w14:paraId="20FBCEFC" w14:textId="23343CBF" w:rsidR="0099789C" w:rsidRPr="00215461" w:rsidRDefault="0099789C" w:rsidP="00505235">
            <w:pPr>
              <w:pStyle w:val="COMTableheadingrow"/>
              <w:keepNext w:val="0"/>
              <w:keepLines w:val="0"/>
              <w:spacing w:after="60"/>
              <w:jc w:val="left"/>
              <w:rPr>
                <w:b w:val="0"/>
              </w:rPr>
            </w:pPr>
            <w:r w:rsidRPr="00215461">
              <w:rPr>
                <w:b w:val="0"/>
              </w:rPr>
              <w:t>The</w:t>
            </w:r>
            <w:r w:rsidR="007C6DB6" w:rsidRPr="00215461">
              <w:rPr>
                <w:b w:val="0"/>
              </w:rPr>
              <w:t xml:space="preserve"> ESC noted that the</w:t>
            </w:r>
            <w:r w:rsidRPr="00215461">
              <w:rPr>
                <w:b w:val="0"/>
              </w:rPr>
              <w:t xml:space="preserve"> estimate from Huang 2023</w:t>
            </w:r>
            <w:r w:rsidR="007C6DB6" w:rsidRPr="00215461">
              <w:rPr>
                <w:b w:val="0"/>
              </w:rPr>
              <w:t xml:space="preserve"> </w:t>
            </w:r>
            <w:r w:rsidRPr="00215461">
              <w:rPr>
                <w:b w:val="0"/>
              </w:rPr>
              <w:t>could not be verified</w:t>
            </w:r>
            <w:r w:rsidR="008C2D7B" w:rsidRPr="00215461">
              <w:rPr>
                <w:b w:val="0"/>
              </w:rPr>
              <w:t xml:space="preserve"> during the evaluation</w:t>
            </w:r>
            <w:r w:rsidRPr="00215461">
              <w:rPr>
                <w:b w:val="0"/>
              </w:rPr>
              <w:t>. Ngo</w:t>
            </w:r>
            <w:r w:rsidR="008C2D7B" w:rsidRPr="00215461">
              <w:rPr>
                <w:b w:val="0"/>
              </w:rPr>
              <w:t xml:space="preserve"> </w:t>
            </w:r>
            <w:r w:rsidRPr="00215461">
              <w:rPr>
                <w:b w:val="0"/>
              </w:rPr>
              <w:t>2021 reported 29% of patients with SCLC received 2L therapy.</w:t>
            </w:r>
            <w:r w:rsidR="007C6DB6" w:rsidRPr="00215461">
              <w:rPr>
                <w:b w:val="0"/>
              </w:rPr>
              <w:t xml:space="preserve"> </w:t>
            </w:r>
          </w:p>
          <w:p w14:paraId="4268C0A1" w14:textId="77777777" w:rsidR="00302253" w:rsidRPr="00215461" w:rsidRDefault="00302253" w:rsidP="00505235">
            <w:pPr>
              <w:pStyle w:val="COMTabletext"/>
            </w:pPr>
          </w:p>
          <w:p w14:paraId="56AA9CA3" w14:textId="12696DEC" w:rsidR="0099789C" w:rsidRDefault="00277221" w:rsidP="00505235">
            <w:pPr>
              <w:pStyle w:val="COMTableheadingrow"/>
              <w:keepNext w:val="0"/>
              <w:keepLines w:val="0"/>
              <w:jc w:val="left"/>
              <w:rPr>
                <w:b w:val="0"/>
              </w:rPr>
            </w:pPr>
            <w:r w:rsidRPr="00215461">
              <w:rPr>
                <w:b w:val="0"/>
              </w:rPr>
              <w:t>The 25% relative increase in the proportion of patients receiving 2L therapy could not be verified</w:t>
            </w:r>
            <w:r w:rsidR="00BF270B" w:rsidRPr="00215461">
              <w:rPr>
                <w:b w:val="0"/>
              </w:rPr>
              <w:t xml:space="preserve"> during the evaluation</w:t>
            </w:r>
            <w:r w:rsidRPr="00215461">
              <w:rPr>
                <w:b w:val="0"/>
              </w:rPr>
              <w:t>. The advisory board advice was not provided.</w:t>
            </w:r>
            <w:r w:rsidR="008B484D" w:rsidRPr="00215461">
              <w:rPr>
                <w:b w:val="0"/>
              </w:rPr>
              <w:t xml:space="preserve"> </w:t>
            </w:r>
          </w:p>
          <w:p w14:paraId="43DA084A" w14:textId="77777777" w:rsidR="00086012" w:rsidRDefault="00086012" w:rsidP="00086012">
            <w:pPr>
              <w:pStyle w:val="COMTabletext"/>
            </w:pPr>
          </w:p>
          <w:p w14:paraId="2331E1E1" w14:textId="25EFD92C" w:rsidR="00086012" w:rsidRPr="00086012" w:rsidRDefault="00086012" w:rsidP="00086012">
            <w:pPr>
              <w:pStyle w:val="COMTabletext"/>
            </w:pPr>
            <w:r>
              <w:t>The Pre-PBAC Response applied a percentage of 40%; stated to be based on the estimate from Huang 2023 (37%) and a 10% relative increase</w:t>
            </w:r>
            <w:r w:rsidR="00D322C0">
              <w:t xml:space="preserve"> (rounded down)</w:t>
            </w:r>
            <w:r>
              <w:t>.</w:t>
            </w:r>
            <w:r w:rsidR="00CE235F">
              <w:t xml:space="preserve"> </w:t>
            </w:r>
          </w:p>
          <w:p w14:paraId="7740654C" w14:textId="3F8F43F9" w:rsidR="00302253" w:rsidRPr="00215461" w:rsidRDefault="00302253" w:rsidP="00505235">
            <w:pPr>
              <w:pStyle w:val="COMTabletext"/>
            </w:pPr>
          </w:p>
        </w:tc>
      </w:tr>
      <w:tr w:rsidR="0099789C" w14:paraId="329E9ED1" w14:textId="77777777" w:rsidTr="00505235">
        <w:tc>
          <w:tcPr>
            <w:tcW w:w="1696" w:type="dxa"/>
            <w:vAlign w:val="center"/>
          </w:tcPr>
          <w:p w14:paraId="16C67950" w14:textId="127DE859" w:rsidR="0099789C" w:rsidRPr="0013382E" w:rsidRDefault="00512E71" w:rsidP="00675FF5">
            <w:pPr>
              <w:pStyle w:val="COMTableheadingrow"/>
              <w:keepNext w:val="0"/>
              <w:keepLines w:val="0"/>
              <w:jc w:val="left"/>
              <w:rPr>
                <w:b w:val="0"/>
              </w:rPr>
            </w:pPr>
            <w:r>
              <w:rPr>
                <w:b w:val="0"/>
              </w:rPr>
              <w:t>Percentage</w:t>
            </w:r>
            <w:r w:rsidRPr="0013382E">
              <w:rPr>
                <w:b w:val="0"/>
              </w:rPr>
              <w:t xml:space="preserve"> </w:t>
            </w:r>
            <w:r w:rsidR="0099789C" w:rsidRPr="0013382E">
              <w:rPr>
                <w:b w:val="0"/>
              </w:rPr>
              <w:t>of ES-SCLC 2L patients receiving 3L therapy</w:t>
            </w:r>
          </w:p>
        </w:tc>
        <w:tc>
          <w:tcPr>
            <w:tcW w:w="3969" w:type="dxa"/>
          </w:tcPr>
          <w:p w14:paraId="4EB0E1CD" w14:textId="6665E998" w:rsidR="0099789C" w:rsidRPr="0013382E" w:rsidRDefault="0099789C" w:rsidP="00505235">
            <w:pPr>
              <w:pStyle w:val="COMTableheadingrow"/>
              <w:keepNext w:val="0"/>
              <w:keepLines w:val="0"/>
              <w:spacing w:after="60"/>
              <w:jc w:val="left"/>
              <w:rPr>
                <w:b w:val="0"/>
                <w:bCs w:val="0"/>
              </w:rPr>
            </w:pPr>
            <w:r w:rsidRPr="00512E71">
              <w:rPr>
                <w:b w:val="0"/>
              </w:rPr>
              <w:t>38%;</w:t>
            </w:r>
            <w:r w:rsidRPr="0013382E">
              <w:rPr>
                <w:b w:val="0"/>
              </w:rPr>
              <w:t xml:space="preserve"> based on the </w:t>
            </w:r>
            <w:r w:rsidR="00512E71">
              <w:rPr>
                <w:b w:val="0"/>
              </w:rPr>
              <w:t>percentage</w:t>
            </w:r>
            <w:r w:rsidR="00512E71" w:rsidRPr="0013382E">
              <w:rPr>
                <w:b w:val="0"/>
              </w:rPr>
              <w:t xml:space="preserve"> </w:t>
            </w:r>
            <w:r w:rsidRPr="0013382E">
              <w:rPr>
                <w:b w:val="0"/>
              </w:rPr>
              <w:t xml:space="preserve">of 1L patients estimated to receive 3L therapy in the withdrawn tarlatamab submission (17.5%, derived from a survey of Australian experts who estimated that 58% of 1L patients would receive 2L, and 24% of 2L patients would receive 3L, with a 25% relative increase in the </w:t>
            </w:r>
            <w:r w:rsidR="00512E71">
              <w:rPr>
                <w:b w:val="0"/>
              </w:rPr>
              <w:t>percentage</w:t>
            </w:r>
            <w:r w:rsidR="00512E71" w:rsidRPr="0013382E">
              <w:rPr>
                <w:b w:val="0"/>
              </w:rPr>
              <w:t xml:space="preserve"> </w:t>
            </w:r>
            <w:r w:rsidR="001D7A3A" w:rsidRPr="0013382E">
              <w:rPr>
                <w:b w:val="0"/>
              </w:rPr>
              <w:t xml:space="preserve">of 1L patients who would proceed to 3L therapy. </w:t>
            </w:r>
            <w:r w:rsidRPr="0013382E">
              <w:rPr>
                <w:b w:val="0"/>
                <w:bCs w:val="0"/>
              </w:rPr>
              <w:t xml:space="preserve">Applied to the </w:t>
            </w:r>
            <w:r w:rsidR="00512E71">
              <w:rPr>
                <w:b w:val="0"/>
                <w:bCs w:val="0"/>
              </w:rPr>
              <w:t>percentage</w:t>
            </w:r>
            <w:r w:rsidR="00512E71" w:rsidRPr="0013382E">
              <w:rPr>
                <w:b w:val="0"/>
                <w:bCs w:val="0"/>
              </w:rPr>
              <w:t xml:space="preserve"> </w:t>
            </w:r>
            <w:r w:rsidRPr="0013382E">
              <w:rPr>
                <w:b w:val="0"/>
                <w:bCs w:val="0"/>
              </w:rPr>
              <w:t>of patients not receiving 2L tarlatamab).</w:t>
            </w:r>
          </w:p>
        </w:tc>
        <w:tc>
          <w:tcPr>
            <w:tcW w:w="3352" w:type="dxa"/>
          </w:tcPr>
          <w:p w14:paraId="52AFE766" w14:textId="3513E0D3" w:rsidR="0099789C" w:rsidRDefault="008B484D" w:rsidP="00505235">
            <w:pPr>
              <w:pStyle w:val="COMTableheadingrow"/>
              <w:keepNext w:val="0"/>
              <w:keepLines w:val="0"/>
              <w:jc w:val="left"/>
              <w:rPr>
                <w:b w:val="0"/>
              </w:rPr>
            </w:pPr>
            <w:r w:rsidRPr="00215461">
              <w:rPr>
                <w:b w:val="0"/>
              </w:rPr>
              <w:t xml:space="preserve">The ESC noted that the </w:t>
            </w:r>
            <w:r w:rsidR="0099789C" w:rsidRPr="00215461">
              <w:rPr>
                <w:b w:val="0"/>
              </w:rPr>
              <w:t>DUSC previously considered the estimate of 17.5% of 1L patients receiving 3L therapy, the basis of this calculation, to be reasonable.</w:t>
            </w:r>
            <w:r w:rsidR="002B710A">
              <w:rPr>
                <w:b w:val="0"/>
              </w:rPr>
              <w:t xml:space="preserve"> </w:t>
            </w:r>
            <w:r w:rsidRPr="00215461">
              <w:rPr>
                <w:b w:val="0"/>
              </w:rPr>
              <w:t xml:space="preserve">The ESC considered that assuming 38% </w:t>
            </w:r>
            <w:r w:rsidR="00D748B1" w:rsidRPr="00215461">
              <w:rPr>
                <w:b w:val="0"/>
              </w:rPr>
              <w:t>was likely an overestimate.</w:t>
            </w:r>
          </w:p>
          <w:p w14:paraId="31D4325A" w14:textId="77777777" w:rsidR="00086012" w:rsidRDefault="00086012" w:rsidP="00086012">
            <w:pPr>
              <w:pStyle w:val="COMTabletext"/>
            </w:pPr>
          </w:p>
          <w:p w14:paraId="72D3638A" w14:textId="0B464024" w:rsidR="00086012" w:rsidRPr="00086012" w:rsidRDefault="00086012" w:rsidP="00086012">
            <w:pPr>
              <w:pStyle w:val="COMTabletext"/>
            </w:pPr>
            <w:r>
              <w:t>The Pre-PBAC Response stated that th</w:t>
            </w:r>
            <w:r w:rsidR="009B4E85">
              <w:t>e relative increase of 25% was reduced to 10%. However, the workbook provided with the Response applied 38% (assumed to include a 25% relative increase</w:t>
            </w:r>
            <w:r w:rsidR="00512E71">
              <w:t>; calculations for estimate w</w:t>
            </w:r>
            <w:r w:rsidR="00DB28F9">
              <w:t>as</w:t>
            </w:r>
            <w:r w:rsidR="00512E71">
              <w:t xml:space="preserve"> not provided</w:t>
            </w:r>
            <w:r w:rsidR="009B4E85">
              <w:t>).</w:t>
            </w:r>
          </w:p>
        </w:tc>
      </w:tr>
      <w:tr w:rsidR="0099789C" w14:paraId="6D75B2CE" w14:textId="77777777" w:rsidTr="00505235">
        <w:tc>
          <w:tcPr>
            <w:tcW w:w="1696" w:type="dxa"/>
            <w:vAlign w:val="center"/>
          </w:tcPr>
          <w:p w14:paraId="0A3F912B" w14:textId="77777777" w:rsidR="0099789C" w:rsidRPr="0013382E" w:rsidRDefault="0099789C" w:rsidP="00675FF5">
            <w:pPr>
              <w:pStyle w:val="COMTableheadingrow"/>
              <w:keepNext w:val="0"/>
              <w:keepLines w:val="0"/>
              <w:jc w:val="left"/>
              <w:rPr>
                <w:b w:val="0"/>
              </w:rPr>
            </w:pPr>
            <w:r w:rsidRPr="0013382E">
              <w:rPr>
                <w:b w:val="0"/>
              </w:rPr>
              <w:t>Uptake in the 2L and 3L settings</w:t>
            </w:r>
          </w:p>
        </w:tc>
        <w:tc>
          <w:tcPr>
            <w:tcW w:w="3969" w:type="dxa"/>
          </w:tcPr>
          <w:p w14:paraId="43B0DEE9" w14:textId="05C79BA4" w:rsidR="0099789C" w:rsidRPr="0013382E" w:rsidRDefault="003D0BC2" w:rsidP="00505235">
            <w:pPr>
              <w:pStyle w:val="COMTableheadingrow"/>
              <w:keepNext w:val="0"/>
              <w:keepLines w:val="0"/>
              <w:jc w:val="left"/>
              <w:rPr>
                <w:b w:val="0"/>
              </w:rPr>
            </w:pPr>
            <w:r w:rsidRPr="003D0BC2">
              <w:rPr>
                <w:b w:val="0"/>
                <w:sz w:val="2"/>
                <w:highlight w:val="black"/>
              </w:rPr>
              <w:t>redacted content</w:t>
            </w:r>
            <w:r w:rsidR="0099789C" w:rsidRPr="00512E71">
              <w:rPr>
                <w:b w:val="0"/>
              </w:rPr>
              <w:t xml:space="preserve">% in Year 1, increasing to </w:t>
            </w:r>
            <w:r w:rsidRPr="003D0BC2">
              <w:rPr>
                <w:b w:val="0"/>
                <w:sz w:val="2"/>
                <w:highlight w:val="black"/>
              </w:rPr>
              <w:t>redacted content</w:t>
            </w:r>
            <w:r w:rsidR="0099789C" w:rsidRPr="00512E71">
              <w:rPr>
                <w:b w:val="0"/>
              </w:rPr>
              <w:t>% in Years 3-6; assumed.</w:t>
            </w:r>
            <w:r w:rsidR="0099789C" w:rsidRPr="0013382E">
              <w:rPr>
                <w:b w:val="0"/>
              </w:rPr>
              <w:t xml:space="preserve"> </w:t>
            </w:r>
          </w:p>
        </w:tc>
        <w:tc>
          <w:tcPr>
            <w:tcW w:w="3352" w:type="dxa"/>
          </w:tcPr>
          <w:p w14:paraId="736464A3" w14:textId="2DADC386" w:rsidR="0099789C" w:rsidRPr="00215461" w:rsidRDefault="0099789C" w:rsidP="00505235">
            <w:pPr>
              <w:pStyle w:val="COMTableheadingrow"/>
              <w:keepNext w:val="0"/>
              <w:keepLines w:val="0"/>
              <w:jc w:val="left"/>
              <w:rPr>
                <w:b w:val="0"/>
              </w:rPr>
            </w:pPr>
            <w:r w:rsidRPr="00215461">
              <w:rPr>
                <w:b w:val="0"/>
              </w:rPr>
              <w:t xml:space="preserve">The </w:t>
            </w:r>
            <w:r w:rsidR="0072787B" w:rsidRPr="00215461">
              <w:rPr>
                <w:b w:val="0"/>
              </w:rPr>
              <w:t>evaluation considered that the</w:t>
            </w:r>
            <w:r w:rsidR="00B457BB" w:rsidRPr="00215461">
              <w:rPr>
                <w:b w:val="0"/>
              </w:rPr>
              <w:t xml:space="preserve"> </w:t>
            </w:r>
            <w:r w:rsidRPr="00215461">
              <w:rPr>
                <w:b w:val="0"/>
              </w:rPr>
              <w:t xml:space="preserve">uptake of tarlatamab is assumed, and highly uncertain. </w:t>
            </w:r>
          </w:p>
        </w:tc>
      </w:tr>
      <w:tr w:rsidR="0099789C" w14:paraId="0FE354F3" w14:textId="77777777" w:rsidTr="00505235">
        <w:tc>
          <w:tcPr>
            <w:tcW w:w="1696" w:type="dxa"/>
            <w:vAlign w:val="center"/>
          </w:tcPr>
          <w:p w14:paraId="575970C3" w14:textId="0E029AFD" w:rsidR="0099789C" w:rsidRPr="0013382E" w:rsidRDefault="0099789C" w:rsidP="00675FF5">
            <w:pPr>
              <w:pStyle w:val="COMTableheadingrow"/>
              <w:keepNext w:val="0"/>
              <w:keepLines w:val="0"/>
              <w:jc w:val="left"/>
              <w:rPr>
                <w:b w:val="0"/>
                <w:bCs w:val="0"/>
              </w:rPr>
            </w:pPr>
            <w:r w:rsidRPr="0013382E">
              <w:rPr>
                <w:b w:val="0"/>
                <w:bCs w:val="0"/>
              </w:rPr>
              <w:lastRenderedPageBreak/>
              <w:t>Tarlatamab treatment duration</w:t>
            </w:r>
            <w:r w:rsidR="009816FC">
              <w:rPr>
                <w:b w:val="0"/>
                <w:bCs w:val="0"/>
              </w:rPr>
              <w:t xml:space="preserve"> (10 mg)</w:t>
            </w:r>
          </w:p>
        </w:tc>
        <w:tc>
          <w:tcPr>
            <w:tcW w:w="3969" w:type="dxa"/>
          </w:tcPr>
          <w:p w14:paraId="1D47C049" w14:textId="77777777" w:rsidR="0099789C" w:rsidRDefault="0099789C" w:rsidP="00505235">
            <w:pPr>
              <w:pStyle w:val="COMTableheadingrow"/>
              <w:keepNext w:val="0"/>
              <w:keepLines w:val="0"/>
              <w:spacing w:after="60"/>
              <w:jc w:val="left"/>
              <w:rPr>
                <w:b w:val="0"/>
                <w:bCs w:val="0"/>
              </w:rPr>
            </w:pPr>
            <w:r w:rsidRPr="0013382E">
              <w:rPr>
                <w:b w:val="0"/>
                <w:bCs w:val="0"/>
              </w:rPr>
              <w:t>2L: 9.34 months; based on the mean 2L treatment duration estimated in the economic model, derived from the extrapolated TTD curve for the tarlatamab arm of the DeLLphi-304 trial.</w:t>
            </w:r>
          </w:p>
          <w:p w14:paraId="4B4D9A8C" w14:textId="77777777" w:rsidR="006277C1" w:rsidRPr="006277C1" w:rsidRDefault="006277C1" w:rsidP="00505235">
            <w:pPr>
              <w:pStyle w:val="COMTabletext"/>
            </w:pPr>
          </w:p>
          <w:p w14:paraId="64A86305" w14:textId="1D70C676" w:rsidR="0099789C" w:rsidRPr="00DE15D0" w:rsidRDefault="0099789C" w:rsidP="00505235">
            <w:pPr>
              <w:pStyle w:val="COMTabletext"/>
              <w:keepNext w:val="0"/>
              <w:keepLines w:val="0"/>
              <w:rPr>
                <w:i/>
                <w:iCs/>
              </w:rPr>
            </w:pPr>
            <w:r w:rsidRPr="0013382E">
              <w:t>3L: 5.93 months; based on the mean 3L treatment duration estimated in the economic model presented in the withdrawn 3L tarlatamab submission, based on the extrapolated TTD curve from the DeLLphi-301 study, censored for post-progression treatment</w:t>
            </w:r>
            <w:r w:rsidR="003924C4" w:rsidRPr="0013382E">
              <w:t xml:space="preserve"> removing the last remaining 10% of patients.</w:t>
            </w:r>
            <w:r w:rsidR="00DE15D0">
              <w:t xml:space="preserve"> </w:t>
            </w:r>
          </w:p>
        </w:tc>
        <w:tc>
          <w:tcPr>
            <w:tcW w:w="3352" w:type="dxa"/>
          </w:tcPr>
          <w:p w14:paraId="545A5EE1" w14:textId="3E78F662" w:rsidR="00A3314A" w:rsidRPr="00215461" w:rsidRDefault="0099789C" w:rsidP="00505235">
            <w:pPr>
              <w:pStyle w:val="COMTableheadingrow"/>
              <w:keepNext w:val="0"/>
              <w:keepLines w:val="0"/>
              <w:jc w:val="left"/>
              <w:rPr>
                <w:b w:val="0"/>
                <w:bCs w:val="0"/>
              </w:rPr>
            </w:pPr>
            <w:r w:rsidRPr="00215461">
              <w:rPr>
                <w:b w:val="0"/>
                <w:bCs w:val="0"/>
              </w:rPr>
              <w:t>Th</w:t>
            </w:r>
            <w:r w:rsidR="00A3314A" w:rsidRPr="00215461">
              <w:rPr>
                <w:b w:val="0"/>
                <w:bCs w:val="0"/>
              </w:rPr>
              <w:t>e ESC noted that the</w:t>
            </w:r>
            <w:r w:rsidRPr="00215461">
              <w:rPr>
                <w:b w:val="0"/>
                <w:bCs w:val="0"/>
              </w:rPr>
              <w:t xml:space="preserve"> 2L estimate could not be verified during the evaluation (mean treatment duration from the economic model was 8.85 months). </w:t>
            </w:r>
            <w:r w:rsidR="009816FC">
              <w:rPr>
                <w:b w:val="0"/>
                <w:bCs w:val="0"/>
              </w:rPr>
              <w:t>The Pre-PBAC Response updated the financial estimates with an estimate of 8.85 months.</w:t>
            </w:r>
          </w:p>
          <w:p w14:paraId="1089C243" w14:textId="77777777" w:rsidR="00A3314A" w:rsidRDefault="00A3314A" w:rsidP="00505235">
            <w:pPr>
              <w:pStyle w:val="COMTableheadingrow"/>
              <w:keepNext w:val="0"/>
              <w:keepLines w:val="0"/>
              <w:jc w:val="left"/>
              <w:rPr>
                <w:b w:val="0"/>
                <w:bCs w:val="0"/>
              </w:rPr>
            </w:pPr>
          </w:p>
          <w:p w14:paraId="734C1DB1" w14:textId="2002CAA5" w:rsidR="0099789C" w:rsidRDefault="0099789C" w:rsidP="00505235">
            <w:pPr>
              <w:pStyle w:val="COMTableheadingrow"/>
              <w:keepNext w:val="0"/>
              <w:keepLines w:val="0"/>
              <w:jc w:val="left"/>
              <w:rPr>
                <w:b w:val="0"/>
                <w:bCs w:val="0"/>
              </w:rPr>
            </w:pPr>
            <w:r w:rsidRPr="0013382E">
              <w:rPr>
                <w:b w:val="0"/>
                <w:bCs w:val="0"/>
              </w:rPr>
              <w:t>It is uncertain whether the duration of therapy derived from the DeLLphi-304 trial will be realised in the Australian clinical setting. The TTD curve used in the model base case included use of tarlatamab post-progression, with TTD capped at PFS</w:t>
            </w:r>
            <w:r w:rsidR="00FD561E">
              <w:rPr>
                <w:b w:val="0"/>
                <w:bCs w:val="0"/>
              </w:rPr>
              <w:t xml:space="preserve">. </w:t>
            </w:r>
          </w:p>
          <w:p w14:paraId="2C8BF283" w14:textId="4190ED49" w:rsidR="00DE15D0" w:rsidRPr="00215461" w:rsidRDefault="00FD561E" w:rsidP="00505235">
            <w:pPr>
              <w:pStyle w:val="COMTabletext"/>
            </w:pPr>
            <w:r w:rsidRPr="00215461">
              <w:t>For 3L, t</w:t>
            </w:r>
            <w:r w:rsidR="00DE15D0" w:rsidRPr="00215461">
              <w:t xml:space="preserve">he ESC noted </w:t>
            </w:r>
            <w:r w:rsidR="00C223C5" w:rsidRPr="00215461">
              <w:t xml:space="preserve">that </w:t>
            </w:r>
            <w:r w:rsidR="00DE15D0" w:rsidRPr="00215461">
              <w:t xml:space="preserve">removing the last remaining 10% of patients </w:t>
            </w:r>
            <w:r w:rsidRPr="00215461">
              <w:t xml:space="preserve">from </w:t>
            </w:r>
            <w:r w:rsidR="00207578" w:rsidRPr="00215461">
              <w:t xml:space="preserve">the </w:t>
            </w:r>
            <w:r w:rsidR="00820CD7" w:rsidRPr="00215461">
              <w:t>entire</w:t>
            </w:r>
            <w:r w:rsidR="006A5A32" w:rsidRPr="00215461">
              <w:t xml:space="preserve"> TTD curve </w:t>
            </w:r>
            <w:r w:rsidR="00DE15D0" w:rsidRPr="00215461">
              <w:t>was</w:t>
            </w:r>
            <w:r w:rsidR="005C17A0" w:rsidRPr="00215461">
              <w:t xml:space="preserve"> not appropriate</w:t>
            </w:r>
            <w:r w:rsidR="009816FC">
              <w:t xml:space="preserve">. As a </w:t>
            </w:r>
            <w:proofErr w:type="gramStart"/>
            <w:r w:rsidR="009816FC">
              <w:t>result</w:t>
            </w:r>
            <w:proofErr w:type="gramEnd"/>
            <w:r w:rsidR="009816FC">
              <w:t xml:space="preserve"> the TTD for 3L was likely underestimated.</w:t>
            </w:r>
          </w:p>
        </w:tc>
      </w:tr>
      <w:tr w:rsidR="0099789C" w14:paraId="0FC22E03" w14:textId="77777777" w:rsidTr="00505235">
        <w:tc>
          <w:tcPr>
            <w:tcW w:w="1696" w:type="dxa"/>
            <w:vAlign w:val="center"/>
          </w:tcPr>
          <w:p w14:paraId="1F3E9B16" w14:textId="77777777" w:rsidR="0099789C" w:rsidRPr="0013382E" w:rsidRDefault="0099789C" w:rsidP="00675FF5">
            <w:pPr>
              <w:pStyle w:val="COMTableheadingrow"/>
              <w:keepNext w:val="0"/>
              <w:keepLines w:val="0"/>
              <w:jc w:val="left"/>
              <w:rPr>
                <w:b w:val="0"/>
                <w:bCs w:val="0"/>
              </w:rPr>
            </w:pPr>
            <w:r w:rsidRPr="0013382E">
              <w:rPr>
                <w:b w:val="0"/>
                <w:bCs w:val="0"/>
              </w:rPr>
              <w:t>SOC treatment duration</w:t>
            </w:r>
          </w:p>
        </w:tc>
        <w:tc>
          <w:tcPr>
            <w:tcW w:w="3969" w:type="dxa"/>
          </w:tcPr>
          <w:p w14:paraId="3FD0664C" w14:textId="77777777" w:rsidR="0099789C" w:rsidRDefault="0099789C" w:rsidP="00505235">
            <w:pPr>
              <w:pStyle w:val="COMTabletext"/>
              <w:keepNext w:val="0"/>
              <w:keepLines w:val="0"/>
              <w:widowControl w:val="0"/>
              <w:spacing w:after="60"/>
            </w:pPr>
            <w:r w:rsidRPr="0013382E">
              <w:t>2L: 4.16 months; based on the mean 2L treatment duration estimated in the economic model, derived from the extrapolated TTD curve for the topotecan SOC subgroup of the DeLLphi-304 trial.</w:t>
            </w:r>
          </w:p>
          <w:p w14:paraId="6D72851A" w14:textId="77777777" w:rsidR="006277C1" w:rsidRPr="0013382E" w:rsidRDefault="006277C1" w:rsidP="00505235">
            <w:pPr>
              <w:pStyle w:val="COMTabletext"/>
              <w:keepNext w:val="0"/>
              <w:keepLines w:val="0"/>
              <w:widowControl w:val="0"/>
              <w:spacing w:after="60"/>
            </w:pPr>
          </w:p>
          <w:p w14:paraId="38F13A24" w14:textId="77777777" w:rsidR="0099789C" w:rsidRPr="0013382E" w:rsidRDefault="0099789C" w:rsidP="00505235">
            <w:pPr>
              <w:pStyle w:val="COMTabletext"/>
              <w:keepNext w:val="0"/>
              <w:keepLines w:val="0"/>
              <w:widowControl w:val="0"/>
            </w:pPr>
            <w:r w:rsidRPr="0013382E">
              <w:t>3L: 1.80 months; based on the mean 3L treatment duration estimated in the economic model presented in the withdrawn 3L tarlatamab submission, based on the extrapolated TTD curve from the CAS SOC cohort, removing the last remaining 10% of patients.</w:t>
            </w:r>
          </w:p>
        </w:tc>
        <w:tc>
          <w:tcPr>
            <w:tcW w:w="3352" w:type="dxa"/>
          </w:tcPr>
          <w:p w14:paraId="19504A53" w14:textId="77777777" w:rsidR="0099789C" w:rsidRPr="0013382E" w:rsidRDefault="0099789C" w:rsidP="00505235">
            <w:pPr>
              <w:pStyle w:val="COMTableheadingrow"/>
              <w:keepNext w:val="0"/>
              <w:keepLines w:val="0"/>
              <w:spacing w:after="60"/>
              <w:jc w:val="left"/>
              <w:rPr>
                <w:b w:val="0"/>
                <w:bCs w:val="0"/>
              </w:rPr>
            </w:pPr>
            <w:r w:rsidRPr="0013382E">
              <w:rPr>
                <w:b w:val="0"/>
                <w:bCs w:val="0"/>
              </w:rPr>
              <w:t>The 2L estimate could not be verified during the evaluation (mean treatment duration from the economic model was 4.04 months). It is uncertain whether the duration of therapy derived from the topotecan post hoc subgroup from the DeLLphi-304 trial will be realised in the Australian clinical setting.</w:t>
            </w:r>
          </w:p>
          <w:p w14:paraId="092A0DA7" w14:textId="77777777" w:rsidR="0099789C" w:rsidRDefault="0099789C" w:rsidP="00505235">
            <w:pPr>
              <w:pStyle w:val="COMTabletext"/>
              <w:keepNext w:val="0"/>
              <w:keepLines w:val="0"/>
            </w:pPr>
            <w:r w:rsidRPr="0013382E">
              <w:t>DUSC previously considered the 3L estimate to be reasonable (Table 1, Tarlatamab DUSC Advice, March 2025 PBAC meeting).</w:t>
            </w:r>
          </w:p>
          <w:p w14:paraId="3840246D" w14:textId="69042E42" w:rsidR="007771C4" w:rsidRPr="00215461" w:rsidRDefault="004636EC" w:rsidP="00505235">
            <w:pPr>
              <w:pStyle w:val="COMTabletext"/>
              <w:keepNext w:val="0"/>
              <w:keepLines w:val="0"/>
            </w:pPr>
            <w:r w:rsidRPr="00215461">
              <w:t>For 3L, t</w:t>
            </w:r>
            <w:r w:rsidR="007771C4" w:rsidRPr="00215461">
              <w:t>he ESC noted that removing the last remaining 10% of patients from the entire TTD curve was not appropriate.</w:t>
            </w:r>
            <w:r w:rsidR="000A7A38">
              <w:t xml:space="preserve"> As a </w:t>
            </w:r>
            <w:proofErr w:type="gramStart"/>
            <w:r w:rsidR="000A7A38">
              <w:t>result</w:t>
            </w:r>
            <w:proofErr w:type="gramEnd"/>
            <w:r w:rsidR="000A7A38">
              <w:t xml:space="preserve"> the TTD for 3L was likely underestimated.</w:t>
            </w:r>
          </w:p>
        </w:tc>
      </w:tr>
      <w:tr w:rsidR="0099789C" w14:paraId="01A1A432" w14:textId="77777777" w:rsidTr="00505235">
        <w:tc>
          <w:tcPr>
            <w:tcW w:w="1696" w:type="dxa"/>
            <w:vAlign w:val="center"/>
          </w:tcPr>
          <w:p w14:paraId="276BD659" w14:textId="77777777" w:rsidR="0099789C" w:rsidRPr="0013382E" w:rsidRDefault="0099789C" w:rsidP="00675FF5">
            <w:pPr>
              <w:pStyle w:val="COMTableheadingrow"/>
              <w:keepNext w:val="0"/>
              <w:keepLines w:val="0"/>
              <w:jc w:val="left"/>
              <w:rPr>
                <w:b w:val="0"/>
                <w:bCs w:val="0"/>
              </w:rPr>
            </w:pPr>
            <w:bookmarkStart w:id="75" w:name="_Hlk216772532"/>
            <w:r w:rsidRPr="0013382E">
              <w:rPr>
                <w:b w:val="0"/>
              </w:rPr>
              <w:t>Distribution of SOC therapies</w:t>
            </w:r>
          </w:p>
        </w:tc>
        <w:tc>
          <w:tcPr>
            <w:tcW w:w="3969" w:type="dxa"/>
          </w:tcPr>
          <w:p w14:paraId="6F0AE314" w14:textId="77777777" w:rsidR="0099789C" w:rsidRDefault="0099789C" w:rsidP="00505235">
            <w:pPr>
              <w:pStyle w:val="COMTabletext"/>
              <w:keepNext w:val="0"/>
              <w:keepLines w:val="0"/>
              <w:spacing w:after="60"/>
            </w:pPr>
            <w:r w:rsidRPr="0013382E">
              <w:t>2L: topotecan 30%, carboplatin+etoposide 40%, CAV 30%; assumed. Adjusted to account for 20% of patients who would otherwise not be treated if tarlatamab was not available.</w:t>
            </w:r>
          </w:p>
          <w:p w14:paraId="1CB4F370" w14:textId="77777777" w:rsidR="006277C1" w:rsidRPr="0013382E" w:rsidRDefault="006277C1" w:rsidP="00505235">
            <w:pPr>
              <w:pStyle w:val="COMTabletext"/>
              <w:keepNext w:val="0"/>
              <w:keepLines w:val="0"/>
              <w:spacing w:after="60"/>
            </w:pPr>
          </w:p>
          <w:p w14:paraId="0FB672CD" w14:textId="77777777" w:rsidR="0099789C" w:rsidRPr="0013382E" w:rsidRDefault="0099789C" w:rsidP="00505235">
            <w:pPr>
              <w:pStyle w:val="COMTabletext"/>
              <w:keepNext w:val="0"/>
              <w:keepLines w:val="0"/>
              <w:rPr>
                <w:b/>
                <w:bCs w:val="0"/>
              </w:rPr>
            </w:pPr>
            <w:r w:rsidRPr="0013382E">
              <w:t>3L: topotecan 42%, carboplatin + etoposide 21%, CAV 37%; based on the proportion of use in the CAS 2023 study. Adjusted to account for 20% of patients who would otherwise not be treated if tarlatamab was not available.</w:t>
            </w:r>
          </w:p>
        </w:tc>
        <w:tc>
          <w:tcPr>
            <w:tcW w:w="3352" w:type="dxa"/>
          </w:tcPr>
          <w:p w14:paraId="655ED1C0" w14:textId="77777777" w:rsidR="0099789C" w:rsidRPr="0013382E" w:rsidRDefault="0099789C" w:rsidP="00505235">
            <w:pPr>
              <w:pStyle w:val="COMTableheadingrow"/>
              <w:keepNext w:val="0"/>
              <w:keepLines w:val="0"/>
              <w:jc w:val="left"/>
              <w:rPr>
                <w:b w:val="0"/>
                <w:bCs w:val="0"/>
              </w:rPr>
            </w:pPr>
            <w:r w:rsidRPr="0013382E">
              <w:rPr>
                <w:b w:val="0"/>
                <w:bCs w:val="0"/>
              </w:rPr>
              <w:t>The estimated distribution of 2L SOC therapy use and additional proportion of patients who would be treated if tarlatamab is listed were assumed and highly uncertain.</w:t>
            </w:r>
          </w:p>
        </w:tc>
      </w:tr>
    </w:tbl>
    <w:bookmarkEnd w:id="75"/>
    <w:p w14:paraId="3124C5CA" w14:textId="77777777" w:rsidR="0099789C" w:rsidRDefault="0099789C" w:rsidP="0099789C">
      <w:pPr>
        <w:pStyle w:val="COMTablefooter"/>
      </w:pPr>
      <w:r w:rsidRPr="0098262F">
        <w:t xml:space="preserve">Source: </w:t>
      </w:r>
      <w:r>
        <w:t>Table 4.1.1-1, p135 of the submission.</w:t>
      </w:r>
    </w:p>
    <w:p w14:paraId="6AC4B5FD" w14:textId="72FCC7CB" w:rsidR="0099789C" w:rsidRDefault="001B47FD" w:rsidP="0099789C">
      <w:pPr>
        <w:pStyle w:val="COMTablefooter"/>
      </w:pPr>
      <w:r>
        <w:t>Abbreviations</w:t>
      </w:r>
      <w:r w:rsidR="0099789C">
        <w:t xml:space="preserve">: 1L, first-line; 2L, second-line; 3L, third-line; AIHW, Australian Institute of Health and Welfare; </w:t>
      </w:r>
      <w:r w:rsidR="00D256E7">
        <w:t xml:space="preserve">CAS, </w:t>
      </w:r>
      <w:r w:rsidR="00D256E7" w:rsidRPr="00726F37">
        <w:t>Cancer Analysis System</w:t>
      </w:r>
      <w:r w:rsidR="00D256E7">
        <w:t xml:space="preserve">; </w:t>
      </w:r>
      <w:r w:rsidR="0099789C" w:rsidRPr="006A3BEC">
        <w:t>CAV, cyclophosphamide</w:t>
      </w:r>
      <w:r w:rsidR="0099789C">
        <w:t xml:space="preserve"> +</w:t>
      </w:r>
      <w:r w:rsidR="0099789C" w:rsidRPr="006A3BEC">
        <w:t xml:space="preserve"> </w:t>
      </w:r>
      <w:r w:rsidR="0099789C">
        <w:t>doxorubicin +</w:t>
      </w:r>
      <w:r w:rsidR="0099789C" w:rsidRPr="006A3BEC">
        <w:t xml:space="preserve"> vincristine; </w:t>
      </w:r>
      <w:r w:rsidR="0099789C">
        <w:t>DUSC, Drug Utilisation Sub Committee; ES-SCLC, extensive-stage small</w:t>
      </w:r>
      <w:r w:rsidR="00821FF1">
        <w:t xml:space="preserve"> </w:t>
      </w:r>
      <w:r w:rsidR="0099789C">
        <w:t>cell lung cancer; LS-SCLC, limited-stage small</w:t>
      </w:r>
      <w:r w:rsidR="00970880">
        <w:t xml:space="preserve"> </w:t>
      </w:r>
      <w:r w:rsidR="0099789C">
        <w:t>cell lung cancer; PBAC, Pharmaceutical Benefits Advisory Committee; PFS, progression-free survival; PSD, Public Summary Document; SCLC, small</w:t>
      </w:r>
      <w:r w:rsidR="00970880">
        <w:t xml:space="preserve"> </w:t>
      </w:r>
      <w:r w:rsidR="0099789C">
        <w:t>cell lung cancer; SOC, standard of care; TTD, time to treatment discontinuation.</w:t>
      </w:r>
    </w:p>
    <w:p w14:paraId="24CB1479" w14:textId="54FD5567" w:rsidR="0099789C" w:rsidRPr="009C383F" w:rsidRDefault="00963667" w:rsidP="0099789C">
      <w:pPr>
        <w:pStyle w:val="COMTablefooter"/>
      </w:pPr>
      <w:proofErr w:type="spellStart"/>
      <w:r>
        <w:rPr>
          <w:vertAlign w:val="superscript"/>
        </w:rPr>
        <w:t>a</w:t>
      </w:r>
      <w:proofErr w:type="spellEnd"/>
      <w:r w:rsidR="0099789C">
        <w:rPr>
          <w:vertAlign w:val="superscript"/>
        </w:rPr>
        <w:t xml:space="preserve"> </w:t>
      </w:r>
      <w:r w:rsidR="0099789C" w:rsidRPr="00082D31">
        <w:t>It was noted during the evaluation that 37%×1.25=46.25%. The value used in the submission (45%) may be the result of rounding. This impacted the calculation for SOC substitution by tarlatamab in the 2L setting [37%÷46.25%=80%].</w:t>
      </w:r>
    </w:p>
    <w:p w14:paraId="7B3FC83B" w14:textId="7B0B8807" w:rsidR="00A25AB9" w:rsidRPr="00C521FA" w:rsidRDefault="00A25AB9" w:rsidP="00C521FA">
      <w:pPr>
        <w:pStyle w:val="COMESnumberedpara"/>
        <w:rPr>
          <w:rFonts w:ascii="Calibri" w:hAnsi="Calibri" w:cs="Calibri"/>
        </w:rPr>
      </w:pPr>
      <w:r w:rsidRPr="00986275">
        <w:t xml:space="preserve">The ESC noted that the estimated net costs to the PBS/RPBS of listing tarlatamab were uncertain, based on the assumption that the availability of tarlatamab would increase the proportion of ES-SCLC patients initiating second-line and third-line therapy by </w:t>
      </w:r>
      <w:r w:rsidRPr="00986275">
        <w:lastRenderedPageBreak/>
        <w:t>25%, highly uncertain, uptake rates (</w:t>
      </w:r>
      <w:r w:rsidR="003D0BC2" w:rsidRPr="003D0BC2">
        <w:rPr>
          <w:sz w:val="2"/>
          <w:highlight w:val="black"/>
        </w:rPr>
        <w:t>redacted content</w:t>
      </w:r>
      <w:r w:rsidRPr="00986275">
        <w:t xml:space="preserve">% to </w:t>
      </w:r>
      <w:r w:rsidR="003D0BC2" w:rsidRPr="003D0BC2">
        <w:rPr>
          <w:sz w:val="2"/>
          <w:highlight w:val="black"/>
        </w:rPr>
        <w:t>redacted content</w:t>
      </w:r>
      <w:r w:rsidRPr="00986275">
        <w:t>%), and estimates of average duration of therapy and relative dose intensity that could not be verified during the evaluation. The ESC considered that the projected increase in patients initiating second- and third-line therapy following the introduction of tarlatamab to be highly uncertain. Given the relatively poor fitness of the patient group, it is possible that no increase would occur. However, the ESC considered that there may be a small percentage, possibly an additional 10%, of patients that may initiate tarlatamab, who otherwise would have chosen not to receive additional chemotherapy.</w:t>
      </w:r>
      <w:r w:rsidR="007D1531">
        <w:t xml:space="preserve"> The Pre-PBAC Response </w:t>
      </w:r>
      <w:r w:rsidR="0068529F">
        <w:t xml:space="preserve">reduced the </w:t>
      </w:r>
      <w:r w:rsidR="0068529F">
        <w:rPr>
          <w:rFonts w:ascii="Calibri" w:hAnsi="Calibri" w:cs="Calibri"/>
        </w:rPr>
        <w:t>p</w:t>
      </w:r>
      <w:r w:rsidR="0068529F" w:rsidRPr="0035041E">
        <w:rPr>
          <w:rFonts w:ascii="Calibri" w:hAnsi="Calibri" w:cs="Calibri"/>
        </w:rPr>
        <w:t xml:space="preserve">rojected increase in </w:t>
      </w:r>
      <w:r w:rsidR="00316B71">
        <w:rPr>
          <w:rFonts w:ascii="Calibri" w:hAnsi="Calibri" w:cs="Calibri"/>
        </w:rPr>
        <w:t xml:space="preserve">the </w:t>
      </w:r>
      <w:r w:rsidR="0068529F" w:rsidRPr="0035041E">
        <w:rPr>
          <w:rFonts w:ascii="Calibri" w:hAnsi="Calibri" w:cs="Calibri"/>
        </w:rPr>
        <w:t xml:space="preserve">percentage of patients initiating </w:t>
      </w:r>
      <w:r w:rsidR="0068529F">
        <w:rPr>
          <w:rFonts w:ascii="Calibri" w:hAnsi="Calibri" w:cs="Calibri"/>
        </w:rPr>
        <w:t>second-line</w:t>
      </w:r>
      <w:r w:rsidR="0068529F" w:rsidRPr="0035041E">
        <w:rPr>
          <w:rFonts w:ascii="Calibri" w:hAnsi="Calibri" w:cs="Calibri"/>
        </w:rPr>
        <w:t xml:space="preserve"> therapy following the introduction of tarlatamab from 25% to 10</w:t>
      </w:r>
      <w:r w:rsidR="0068529F">
        <w:rPr>
          <w:rFonts w:ascii="Calibri" w:hAnsi="Calibri" w:cs="Calibri"/>
        </w:rPr>
        <w:t xml:space="preserve">%. </w:t>
      </w:r>
      <w:r w:rsidR="00C521FA">
        <w:rPr>
          <w:rFonts w:ascii="Calibri" w:hAnsi="Calibri" w:cs="Calibri"/>
        </w:rPr>
        <w:t>The Pre-PBAC Response also r</w:t>
      </w:r>
      <w:r w:rsidR="00C521FA" w:rsidRPr="00C521FA">
        <w:rPr>
          <w:rFonts w:ascii="Calibri" w:hAnsi="Calibri" w:cs="Calibri"/>
        </w:rPr>
        <w:t xml:space="preserve">evised </w:t>
      </w:r>
      <w:r w:rsidR="00C521FA">
        <w:rPr>
          <w:rFonts w:ascii="Calibri" w:hAnsi="Calibri" w:cs="Calibri"/>
        </w:rPr>
        <w:t>second-line</w:t>
      </w:r>
      <w:r w:rsidR="00C521FA" w:rsidRPr="00C521FA">
        <w:rPr>
          <w:rFonts w:ascii="Calibri" w:hAnsi="Calibri" w:cs="Calibri"/>
        </w:rPr>
        <w:t xml:space="preserve"> treatment duration from 9.53 to 8.85 months consistent with the economic model.</w:t>
      </w:r>
    </w:p>
    <w:p w14:paraId="53575FB6" w14:textId="5E3AE1E3" w:rsidR="00A25AB9" w:rsidRDefault="00A25AB9" w:rsidP="00A25AB9">
      <w:pPr>
        <w:pStyle w:val="COMESnumberedpara"/>
      </w:pPr>
      <w:bookmarkStart w:id="76" w:name="_Ref226894066"/>
      <w:r w:rsidRPr="00986275">
        <w:t>In addition, the ESC noted that there is a high risk</w:t>
      </w:r>
      <w:r w:rsidRPr="0013382E">
        <w:t xml:space="preserve"> of use outside the proposed restriction, including the treatment of patients with LS-SCLC (included in the proposed TGA indication), and continuing treatment of patients after disease progression (which occurred in 40% of patients with disease progression in the key DeLLphi-304 trial).</w:t>
      </w:r>
      <w:r>
        <w:t xml:space="preserve"> </w:t>
      </w:r>
      <w:r w:rsidRPr="00986275">
        <w:t>The PSCR noted that an advisory board indicated that there is a clear delineation between LS and ES SCLC and noted the current lack of tarlatamab data in the LS-SCLC setting. Consequently, the advisory board were of the view that there would be limited risk of use outside a PBS restriction which specifies ES-SCLC. However, the PSCR acknowledged there was a risk of use beyond progression. The PSCR considered that continuation of treatment beyond progression is expected to be limited to select patients with ongoing clinical benefit, most commonly in the setting of isolated or oligoprogression amenable to local therapy. The PSCR noted that the proposed treatment duration used in the financial analysis reflects treatment until progression and noted the sponsor was willing to adopt a risk sharing arrangement to manage the risk of treatment beyond that projected in the financial estimates.</w:t>
      </w:r>
      <w:bookmarkEnd w:id="76"/>
    </w:p>
    <w:p w14:paraId="1DDD225A" w14:textId="204CD25B" w:rsidR="0099789C" w:rsidRPr="0013382E" w:rsidRDefault="00970880" w:rsidP="0013382E">
      <w:pPr>
        <w:pStyle w:val="COMESnumberedpara"/>
        <w:spacing w:before="160"/>
      </w:pPr>
      <w:r w:rsidRPr="0013382E">
        <w:fldChar w:fldCharType="begin"/>
      </w:r>
      <w:r w:rsidRPr="0013382E">
        <w:instrText xml:space="preserve"> REF _Ref216789458 \h </w:instrText>
      </w:r>
      <w:r w:rsidR="0013382E" w:rsidRPr="0013382E">
        <w:instrText xml:space="preserve"> \* MERGEFORMAT </w:instrText>
      </w:r>
      <w:r w:rsidRPr="0013382E">
        <w:fldChar w:fldCharType="separate"/>
      </w:r>
      <w:r w:rsidR="00E26586" w:rsidRPr="0098262F">
        <w:t xml:space="preserve">Table </w:t>
      </w:r>
      <w:r w:rsidR="00E26586">
        <w:rPr>
          <w:noProof/>
        </w:rPr>
        <w:t>16</w:t>
      </w:r>
      <w:r w:rsidRPr="0013382E">
        <w:fldChar w:fldCharType="end"/>
      </w:r>
      <w:r w:rsidRPr="0013382E">
        <w:t xml:space="preserve"> </w:t>
      </w:r>
      <w:r w:rsidR="0099789C" w:rsidRPr="0013382E">
        <w:t>summarises the estimated use and financial implications of listing tarlatamab on the PBS/RPBS. Although the submission proposed grandfathering provisions in the request</w:t>
      </w:r>
      <w:r w:rsidR="00E13114">
        <w:t>ed</w:t>
      </w:r>
      <w:r w:rsidR="0099789C" w:rsidRPr="0013382E">
        <w:t xml:space="preserve"> restriction, the submission did not include grandfathered patients in utilisation estimates.</w:t>
      </w:r>
      <w:r w:rsidR="00E320D9">
        <w:t xml:space="preserve"> The Pre-PBAC Response proposed a </w:t>
      </w:r>
      <w:r w:rsidR="00B01AA5">
        <w:t xml:space="preserve">revised price for tarlatamab </w:t>
      </w:r>
      <w:r w:rsidR="00307237">
        <w:t xml:space="preserve">(paragraph </w:t>
      </w:r>
      <w:r w:rsidR="00307237">
        <w:fldChar w:fldCharType="begin"/>
      </w:r>
      <w:r w:rsidR="00307237">
        <w:instrText xml:space="preserve"> REF _Ref226643887 \r \h </w:instrText>
      </w:r>
      <w:r w:rsidR="00307237">
        <w:fldChar w:fldCharType="separate"/>
      </w:r>
      <w:r w:rsidR="00E26586">
        <w:t>3.2</w:t>
      </w:r>
      <w:r w:rsidR="00307237">
        <w:fldChar w:fldCharType="end"/>
      </w:r>
      <w:r w:rsidR="00307237">
        <w:t>)</w:t>
      </w:r>
      <w:r w:rsidR="003951B2">
        <w:t xml:space="preserve">. </w:t>
      </w:r>
      <w:r w:rsidR="00307237">
        <w:t xml:space="preserve">The </w:t>
      </w:r>
      <w:r w:rsidR="002134C4">
        <w:t>updated financial estimates, based on the Pre-PBAC Response</w:t>
      </w:r>
      <w:r w:rsidR="005844A8">
        <w:t>,</w:t>
      </w:r>
      <w:r w:rsidR="002134C4">
        <w:t xml:space="preserve"> are shown in </w:t>
      </w:r>
      <w:r w:rsidR="002134C4" w:rsidRPr="0013382E">
        <w:fldChar w:fldCharType="begin"/>
      </w:r>
      <w:r w:rsidR="002134C4" w:rsidRPr="0013382E">
        <w:instrText xml:space="preserve"> REF _Ref216789458 \h  \* MERGEFORMAT </w:instrText>
      </w:r>
      <w:r w:rsidR="002134C4" w:rsidRPr="0013382E">
        <w:fldChar w:fldCharType="separate"/>
      </w:r>
      <w:r w:rsidR="00E26586" w:rsidRPr="0098262F">
        <w:t xml:space="preserve">Table </w:t>
      </w:r>
      <w:r w:rsidR="00E26586">
        <w:rPr>
          <w:noProof/>
        </w:rPr>
        <w:t>16</w:t>
      </w:r>
      <w:r w:rsidR="002134C4" w:rsidRPr="0013382E">
        <w:fldChar w:fldCharType="end"/>
      </w:r>
      <w:r w:rsidR="002134C4">
        <w:t xml:space="preserve">. </w:t>
      </w:r>
    </w:p>
    <w:p w14:paraId="477B999B" w14:textId="01B46C2B" w:rsidR="0099789C" w:rsidRDefault="0099789C" w:rsidP="0013382E">
      <w:pPr>
        <w:pStyle w:val="COMTableFigurecaption"/>
        <w:spacing w:before="160"/>
      </w:pPr>
      <w:bookmarkStart w:id="77" w:name="_Ref216789458"/>
      <w:r w:rsidRPr="0098262F">
        <w:lastRenderedPageBreak/>
        <w:t xml:space="preserve">Table </w:t>
      </w:r>
      <w:r>
        <w:fldChar w:fldCharType="begin"/>
      </w:r>
      <w:r>
        <w:instrText>SEQ Table \* ARABIC</w:instrText>
      </w:r>
      <w:r>
        <w:fldChar w:fldCharType="separate"/>
      </w:r>
      <w:r w:rsidR="00E26586">
        <w:rPr>
          <w:noProof/>
        </w:rPr>
        <w:t>16</w:t>
      </w:r>
      <w:r>
        <w:fldChar w:fldCharType="end"/>
      </w:r>
      <w:bookmarkEnd w:id="77"/>
      <w:r w:rsidRPr="0098262F">
        <w:t>: Estimated use and financial implications</w:t>
      </w:r>
    </w:p>
    <w:tbl>
      <w:tblPr>
        <w:tblStyle w:val="TableGrid"/>
        <w:tblW w:w="5000" w:type="pct"/>
        <w:tblLayout w:type="fixed"/>
        <w:tblCellMar>
          <w:left w:w="28" w:type="dxa"/>
          <w:right w:w="28" w:type="dxa"/>
        </w:tblCellMar>
        <w:tblLook w:val="04A0" w:firstRow="1" w:lastRow="0" w:firstColumn="1" w:lastColumn="0" w:noHBand="0" w:noVBand="1"/>
        <w:tblCaption w:val="Table 16: Estimated use and financial implications"/>
      </w:tblPr>
      <w:tblGrid>
        <w:gridCol w:w="2547"/>
        <w:gridCol w:w="1079"/>
        <w:gridCol w:w="1079"/>
        <w:gridCol w:w="1078"/>
        <w:gridCol w:w="1078"/>
        <w:gridCol w:w="1078"/>
        <w:gridCol w:w="1078"/>
      </w:tblGrid>
      <w:tr w:rsidR="0099789C" w:rsidRPr="004D7BAB" w14:paraId="633713CA" w14:textId="77777777">
        <w:tc>
          <w:tcPr>
            <w:tcW w:w="1412" w:type="pct"/>
            <w:tcBorders>
              <w:bottom w:val="single" w:sz="4" w:space="0" w:color="auto"/>
            </w:tcBorders>
          </w:tcPr>
          <w:p w14:paraId="6BC0B103" w14:textId="77777777" w:rsidR="0099789C" w:rsidRPr="004D7BAB" w:rsidRDefault="0099789C">
            <w:pPr>
              <w:pStyle w:val="COMTabletext"/>
            </w:pPr>
          </w:p>
        </w:tc>
        <w:tc>
          <w:tcPr>
            <w:tcW w:w="598" w:type="pct"/>
            <w:tcBorders>
              <w:bottom w:val="single" w:sz="4" w:space="0" w:color="auto"/>
            </w:tcBorders>
            <w:vAlign w:val="center"/>
          </w:tcPr>
          <w:p w14:paraId="5A53BAE5" w14:textId="77777777" w:rsidR="0099789C" w:rsidRPr="00776065" w:rsidRDefault="0099789C">
            <w:pPr>
              <w:pStyle w:val="COMTabletext"/>
              <w:jc w:val="center"/>
              <w:rPr>
                <w:b/>
                <w:bCs w:val="0"/>
              </w:rPr>
            </w:pPr>
            <w:r w:rsidRPr="00776065">
              <w:rPr>
                <w:b/>
                <w:bCs w:val="0"/>
              </w:rPr>
              <w:t>Year 1</w:t>
            </w:r>
          </w:p>
        </w:tc>
        <w:tc>
          <w:tcPr>
            <w:tcW w:w="598" w:type="pct"/>
            <w:tcBorders>
              <w:bottom w:val="single" w:sz="4" w:space="0" w:color="auto"/>
            </w:tcBorders>
            <w:vAlign w:val="center"/>
          </w:tcPr>
          <w:p w14:paraId="5935D84E" w14:textId="77777777" w:rsidR="0099789C" w:rsidRPr="00776065" w:rsidRDefault="0099789C">
            <w:pPr>
              <w:pStyle w:val="COMTabletext"/>
              <w:jc w:val="center"/>
              <w:rPr>
                <w:b/>
                <w:bCs w:val="0"/>
              </w:rPr>
            </w:pPr>
            <w:r w:rsidRPr="00776065">
              <w:rPr>
                <w:b/>
                <w:bCs w:val="0"/>
              </w:rPr>
              <w:t>Year 2</w:t>
            </w:r>
          </w:p>
        </w:tc>
        <w:tc>
          <w:tcPr>
            <w:tcW w:w="598" w:type="pct"/>
            <w:tcBorders>
              <w:bottom w:val="single" w:sz="4" w:space="0" w:color="auto"/>
            </w:tcBorders>
            <w:vAlign w:val="center"/>
          </w:tcPr>
          <w:p w14:paraId="01B7FE82" w14:textId="77777777" w:rsidR="0099789C" w:rsidRPr="00776065" w:rsidRDefault="0099789C">
            <w:pPr>
              <w:pStyle w:val="COMTabletext"/>
              <w:jc w:val="center"/>
              <w:rPr>
                <w:b/>
                <w:bCs w:val="0"/>
              </w:rPr>
            </w:pPr>
            <w:r w:rsidRPr="00776065">
              <w:rPr>
                <w:b/>
                <w:bCs w:val="0"/>
              </w:rPr>
              <w:t>Year 3</w:t>
            </w:r>
          </w:p>
        </w:tc>
        <w:tc>
          <w:tcPr>
            <w:tcW w:w="598" w:type="pct"/>
            <w:tcBorders>
              <w:bottom w:val="single" w:sz="4" w:space="0" w:color="auto"/>
            </w:tcBorders>
            <w:vAlign w:val="center"/>
          </w:tcPr>
          <w:p w14:paraId="0AAB705C" w14:textId="77777777" w:rsidR="0099789C" w:rsidRPr="00776065" w:rsidRDefault="0099789C">
            <w:pPr>
              <w:pStyle w:val="COMTabletext"/>
              <w:jc w:val="center"/>
              <w:rPr>
                <w:b/>
                <w:bCs w:val="0"/>
              </w:rPr>
            </w:pPr>
            <w:r w:rsidRPr="00776065">
              <w:rPr>
                <w:b/>
                <w:bCs w:val="0"/>
              </w:rPr>
              <w:t>Year 4</w:t>
            </w:r>
          </w:p>
        </w:tc>
        <w:tc>
          <w:tcPr>
            <w:tcW w:w="598" w:type="pct"/>
            <w:tcBorders>
              <w:bottom w:val="single" w:sz="4" w:space="0" w:color="auto"/>
            </w:tcBorders>
            <w:vAlign w:val="center"/>
          </w:tcPr>
          <w:p w14:paraId="6E023690" w14:textId="77777777" w:rsidR="0099789C" w:rsidRPr="00776065" w:rsidRDefault="0099789C">
            <w:pPr>
              <w:pStyle w:val="COMTabletext"/>
              <w:jc w:val="center"/>
              <w:rPr>
                <w:b/>
                <w:bCs w:val="0"/>
              </w:rPr>
            </w:pPr>
            <w:r w:rsidRPr="00776065">
              <w:rPr>
                <w:b/>
                <w:bCs w:val="0"/>
              </w:rPr>
              <w:t>Year 5</w:t>
            </w:r>
          </w:p>
        </w:tc>
        <w:tc>
          <w:tcPr>
            <w:tcW w:w="598" w:type="pct"/>
            <w:tcBorders>
              <w:bottom w:val="single" w:sz="4" w:space="0" w:color="auto"/>
            </w:tcBorders>
            <w:vAlign w:val="center"/>
          </w:tcPr>
          <w:p w14:paraId="65F42B89" w14:textId="77777777" w:rsidR="0099789C" w:rsidRPr="00776065" w:rsidRDefault="0099789C">
            <w:pPr>
              <w:pStyle w:val="COMTabletext"/>
              <w:jc w:val="center"/>
              <w:rPr>
                <w:b/>
                <w:bCs w:val="0"/>
              </w:rPr>
            </w:pPr>
            <w:r w:rsidRPr="00776065">
              <w:rPr>
                <w:b/>
                <w:bCs w:val="0"/>
              </w:rPr>
              <w:t>Year 6</w:t>
            </w:r>
          </w:p>
        </w:tc>
      </w:tr>
      <w:tr w:rsidR="0099789C" w:rsidRPr="004D7BAB" w14:paraId="1E45175F" w14:textId="77777777">
        <w:tc>
          <w:tcPr>
            <w:tcW w:w="5000" w:type="pct"/>
            <w:gridSpan w:val="7"/>
            <w:tcBorders>
              <w:bottom w:val="single" w:sz="4" w:space="0" w:color="auto"/>
            </w:tcBorders>
            <w:vAlign w:val="center"/>
          </w:tcPr>
          <w:p w14:paraId="52FF113C" w14:textId="77777777" w:rsidR="0099789C" w:rsidRPr="00776065" w:rsidRDefault="0099789C">
            <w:pPr>
              <w:pStyle w:val="COMTabletext"/>
              <w:rPr>
                <w:b/>
                <w:bCs w:val="0"/>
              </w:rPr>
            </w:pPr>
            <w:r w:rsidRPr="00776065">
              <w:rPr>
                <w:b/>
                <w:bCs w:val="0"/>
              </w:rPr>
              <w:t>Estimated extent of use</w:t>
            </w:r>
          </w:p>
        </w:tc>
      </w:tr>
      <w:tr w:rsidR="00A97AB5" w:rsidRPr="004D7BAB" w14:paraId="0C68929B" w14:textId="77777777">
        <w:tc>
          <w:tcPr>
            <w:tcW w:w="1412" w:type="pct"/>
            <w:tcBorders>
              <w:bottom w:val="single" w:sz="4" w:space="0" w:color="auto"/>
            </w:tcBorders>
          </w:tcPr>
          <w:p w14:paraId="1654B61C" w14:textId="3DE723A5" w:rsidR="00A97AB5" w:rsidRPr="00215461" w:rsidRDefault="008858FB" w:rsidP="001F2E87">
            <w:pPr>
              <w:pStyle w:val="COMTabletext"/>
            </w:pPr>
            <w:r w:rsidRPr="00215461">
              <w:t>Incident p</w:t>
            </w:r>
            <w:r w:rsidR="00A97AB5" w:rsidRPr="00215461">
              <w:t>atients with SCLC</w:t>
            </w:r>
          </w:p>
        </w:tc>
        <w:tc>
          <w:tcPr>
            <w:tcW w:w="598" w:type="pct"/>
            <w:tcBorders>
              <w:bottom w:val="single" w:sz="4" w:space="0" w:color="auto"/>
            </w:tcBorders>
            <w:vAlign w:val="center"/>
          </w:tcPr>
          <w:p w14:paraId="4ADB10FC" w14:textId="1AD82847" w:rsidR="00A97AB5" w:rsidRPr="00D03D33" w:rsidRDefault="003D0BC2" w:rsidP="001F2E87">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bottom w:val="single" w:sz="4" w:space="0" w:color="auto"/>
            </w:tcBorders>
            <w:vAlign w:val="center"/>
          </w:tcPr>
          <w:p w14:paraId="512771F5" w14:textId="6B1FC736" w:rsidR="00A97AB5" w:rsidRPr="00D03D33" w:rsidRDefault="003D0BC2" w:rsidP="001F2E87">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bottom w:val="single" w:sz="4" w:space="0" w:color="auto"/>
            </w:tcBorders>
            <w:vAlign w:val="center"/>
          </w:tcPr>
          <w:p w14:paraId="714B98BF" w14:textId="19B156FE" w:rsidR="00A97AB5" w:rsidRPr="00D03D33" w:rsidRDefault="003D0BC2" w:rsidP="001F2E87">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bottom w:val="single" w:sz="4" w:space="0" w:color="auto"/>
            </w:tcBorders>
            <w:vAlign w:val="center"/>
          </w:tcPr>
          <w:p w14:paraId="7C2FC1EE" w14:textId="4B1E33B4" w:rsidR="00A97AB5" w:rsidRPr="00D03D33" w:rsidRDefault="003D0BC2" w:rsidP="001F2E87">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bottom w:val="single" w:sz="4" w:space="0" w:color="auto"/>
            </w:tcBorders>
            <w:vAlign w:val="center"/>
          </w:tcPr>
          <w:p w14:paraId="4F2FD30D" w14:textId="342587A7" w:rsidR="00A97AB5" w:rsidRPr="00D03D33" w:rsidRDefault="003D0BC2" w:rsidP="001F2E87">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bottom w:val="single" w:sz="4" w:space="0" w:color="auto"/>
            </w:tcBorders>
            <w:vAlign w:val="center"/>
          </w:tcPr>
          <w:p w14:paraId="78C082D8" w14:textId="72DDB315" w:rsidR="00A97AB5" w:rsidRPr="00D03D33" w:rsidRDefault="003D0BC2" w:rsidP="001F2E87">
            <w:pPr>
              <w:pStyle w:val="COMTabletext"/>
              <w:jc w:val="center"/>
              <w:rPr>
                <w:vertAlign w:val="superscript"/>
              </w:rPr>
            </w:pPr>
            <w:r w:rsidRPr="003D0BC2">
              <w:rPr>
                <w:sz w:val="2"/>
                <w:highlight w:val="black"/>
              </w:rPr>
              <w:t>redacted content</w:t>
            </w:r>
            <w:r w:rsidR="00D03D33">
              <w:rPr>
                <w:vertAlign w:val="superscript"/>
              </w:rPr>
              <w:t>1</w:t>
            </w:r>
          </w:p>
        </w:tc>
      </w:tr>
      <w:tr w:rsidR="001F2E87" w:rsidRPr="004D7BAB" w14:paraId="57BFA064" w14:textId="77777777">
        <w:tc>
          <w:tcPr>
            <w:tcW w:w="1412" w:type="pct"/>
            <w:tcBorders>
              <w:bottom w:val="single" w:sz="4" w:space="0" w:color="auto"/>
            </w:tcBorders>
          </w:tcPr>
          <w:p w14:paraId="5B9E528E" w14:textId="4D77A705" w:rsidR="001F2E87" w:rsidRPr="004439FB" w:rsidRDefault="001F2E87" w:rsidP="001F2E87">
            <w:pPr>
              <w:pStyle w:val="COMTabletext"/>
            </w:pPr>
            <w:r>
              <w:t>P</w:t>
            </w:r>
            <w:r w:rsidRPr="004439FB">
              <w:t>atients treated</w:t>
            </w:r>
            <w:r>
              <w:t xml:space="preserve"> with</w:t>
            </w:r>
            <w:r w:rsidRPr="004439FB">
              <w:t xml:space="preserve"> </w:t>
            </w:r>
            <w:r>
              <w:t>2L</w:t>
            </w:r>
            <w:r w:rsidRPr="004439FB">
              <w:t xml:space="preserve"> tarlatamab</w:t>
            </w:r>
          </w:p>
        </w:tc>
        <w:tc>
          <w:tcPr>
            <w:tcW w:w="598" w:type="pct"/>
            <w:tcBorders>
              <w:bottom w:val="single" w:sz="4" w:space="0" w:color="auto"/>
            </w:tcBorders>
            <w:vAlign w:val="center"/>
          </w:tcPr>
          <w:p w14:paraId="63D1F085" w14:textId="3D1777DA" w:rsidR="001F2E87" w:rsidRPr="00D03D33" w:rsidRDefault="003D0BC2" w:rsidP="001F2E87">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bottom w:val="single" w:sz="4" w:space="0" w:color="auto"/>
            </w:tcBorders>
            <w:vAlign w:val="center"/>
          </w:tcPr>
          <w:p w14:paraId="0804FD7B" w14:textId="4E86177C" w:rsidR="001F2E87" w:rsidRPr="00D03D33" w:rsidRDefault="003D0BC2" w:rsidP="001F2E87">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bottom w:val="single" w:sz="4" w:space="0" w:color="auto"/>
            </w:tcBorders>
            <w:vAlign w:val="center"/>
          </w:tcPr>
          <w:p w14:paraId="427CFF05" w14:textId="7189A01B" w:rsidR="001F2E87" w:rsidRPr="00D03D33" w:rsidRDefault="003D0BC2" w:rsidP="001F2E87">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bottom w:val="single" w:sz="4" w:space="0" w:color="auto"/>
            </w:tcBorders>
            <w:vAlign w:val="center"/>
          </w:tcPr>
          <w:p w14:paraId="50504A84" w14:textId="158BFF91" w:rsidR="001F2E87" w:rsidRPr="00D03D33" w:rsidRDefault="003D0BC2" w:rsidP="001F2E87">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bottom w:val="single" w:sz="4" w:space="0" w:color="auto"/>
            </w:tcBorders>
            <w:vAlign w:val="center"/>
          </w:tcPr>
          <w:p w14:paraId="334792C7" w14:textId="19000363" w:rsidR="001F2E87" w:rsidRPr="00D03D33" w:rsidRDefault="003D0BC2" w:rsidP="001F2E87">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bottom w:val="single" w:sz="4" w:space="0" w:color="auto"/>
            </w:tcBorders>
            <w:vAlign w:val="center"/>
          </w:tcPr>
          <w:p w14:paraId="5BD6BA8D" w14:textId="6D06A5B1" w:rsidR="001F2E87" w:rsidRPr="00D03D33" w:rsidRDefault="003D0BC2" w:rsidP="001F2E87">
            <w:pPr>
              <w:pStyle w:val="COMTabletext"/>
              <w:jc w:val="center"/>
              <w:rPr>
                <w:vertAlign w:val="superscript"/>
              </w:rPr>
            </w:pPr>
            <w:r w:rsidRPr="003D0BC2">
              <w:rPr>
                <w:sz w:val="2"/>
                <w:highlight w:val="black"/>
              </w:rPr>
              <w:t>redacted content</w:t>
            </w:r>
            <w:r w:rsidR="00D03D33">
              <w:rPr>
                <w:vertAlign w:val="superscript"/>
              </w:rPr>
              <w:t>1</w:t>
            </w:r>
          </w:p>
        </w:tc>
      </w:tr>
      <w:tr w:rsidR="001F2E87" w:rsidRPr="004D7BAB" w14:paraId="4ACDB26A" w14:textId="77777777" w:rsidTr="001F2E87">
        <w:tc>
          <w:tcPr>
            <w:tcW w:w="1412" w:type="pct"/>
            <w:tcBorders>
              <w:bottom w:val="single" w:sz="4" w:space="0" w:color="auto"/>
            </w:tcBorders>
          </w:tcPr>
          <w:p w14:paraId="73A211AE" w14:textId="67C6ACE7" w:rsidR="001F2E87" w:rsidRDefault="001F2E87" w:rsidP="001F2E87">
            <w:pPr>
              <w:pStyle w:val="COMTabletext"/>
            </w:pPr>
            <w:r>
              <w:t>P</w:t>
            </w:r>
            <w:r w:rsidRPr="004439FB">
              <w:t xml:space="preserve">atients treated </w:t>
            </w:r>
            <w:r>
              <w:t>with 3L</w:t>
            </w:r>
            <w:r w:rsidRPr="004439FB">
              <w:t xml:space="preserve"> tarlatamab</w:t>
            </w:r>
          </w:p>
        </w:tc>
        <w:tc>
          <w:tcPr>
            <w:tcW w:w="598" w:type="pct"/>
            <w:tcBorders>
              <w:bottom w:val="single" w:sz="4" w:space="0" w:color="auto"/>
            </w:tcBorders>
            <w:vAlign w:val="center"/>
          </w:tcPr>
          <w:p w14:paraId="2B8D3EEB" w14:textId="70BF2055" w:rsidR="001F2E87" w:rsidRPr="006B0B2A" w:rsidRDefault="003D0BC2" w:rsidP="001F2E87">
            <w:pPr>
              <w:pStyle w:val="COMTabletext"/>
              <w:jc w:val="center"/>
              <w:rPr>
                <w:vertAlign w:val="superscript"/>
              </w:rPr>
            </w:pPr>
            <w:r w:rsidRPr="003D0BC2">
              <w:rPr>
                <w:sz w:val="2"/>
                <w:highlight w:val="black"/>
              </w:rPr>
              <w:t>redacted content</w:t>
            </w:r>
            <w:r w:rsidR="006B0B2A">
              <w:rPr>
                <w:vertAlign w:val="superscript"/>
              </w:rPr>
              <w:t>2</w:t>
            </w:r>
          </w:p>
        </w:tc>
        <w:tc>
          <w:tcPr>
            <w:tcW w:w="598" w:type="pct"/>
            <w:tcBorders>
              <w:bottom w:val="single" w:sz="4" w:space="0" w:color="auto"/>
            </w:tcBorders>
            <w:vAlign w:val="center"/>
          </w:tcPr>
          <w:p w14:paraId="64B376D7" w14:textId="4510ECFF" w:rsidR="001F2E87" w:rsidRPr="006B0B2A" w:rsidRDefault="003D0BC2" w:rsidP="001F2E87">
            <w:pPr>
              <w:pStyle w:val="COMTabletext"/>
              <w:jc w:val="center"/>
              <w:rPr>
                <w:vertAlign w:val="superscript"/>
              </w:rPr>
            </w:pPr>
            <w:r w:rsidRPr="003D0BC2">
              <w:rPr>
                <w:sz w:val="2"/>
                <w:highlight w:val="black"/>
              </w:rPr>
              <w:t>redacted content</w:t>
            </w:r>
            <w:r w:rsidR="006B0B2A">
              <w:rPr>
                <w:vertAlign w:val="superscript"/>
              </w:rPr>
              <w:t>2</w:t>
            </w:r>
          </w:p>
        </w:tc>
        <w:tc>
          <w:tcPr>
            <w:tcW w:w="598" w:type="pct"/>
            <w:tcBorders>
              <w:bottom w:val="single" w:sz="4" w:space="0" w:color="auto"/>
            </w:tcBorders>
            <w:vAlign w:val="center"/>
          </w:tcPr>
          <w:p w14:paraId="53E2FC28" w14:textId="5C43C4FE" w:rsidR="001F2E87" w:rsidRPr="006B0B2A" w:rsidRDefault="003D0BC2" w:rsidP="001F2E87">
            <w:pPr>
              <w:pStyle w:val="COMTabletext"/>
              <w:jc w:val="center"/>
              <w:rPr>
                <w:vertAlign w:val="superscript"/>
              </w:rPr>
            </w:pPr>
            <w:r w:rsidRPr="003D0BC2">
              <w:rPr>
                <w:sz w:val="2"/>
                <w:highlight w:val="black"/>
              </w:rPr>
              <w:t>redacted content</w:t>
            </w:r>
            <w:r w:rsidR="006B0B2A">
              <w:rPr>
                <w:vertAlign w:val="superscript"/>
              </w:rPr>
              <w:t>2</w:t>
            </w:r>
          </w:p>
        </w:tc>
        <w:tc>
          <w:tcPr>
            <w:tcW w:w="598" w:type="pct"/>
            <w:tcBorders>
              <w:bottom w:val="single" w:sz="4" w:space="0" w:color="auto"/>
            </w:tcBorders>
            <w:vAlign w:val="center"/>
          </w:tcPr>
          <w:p w14:paraId="45F07381" w14:textId="42CA3276" w:rsidR="001F2E87" w:rsidRPr="006B0B2A" w:rsidRDefault="003D0BC2" w:rsidP="001F2E87">
            <w:pPr>
              <w:pStyle w:val="COMTabletext"/>
              <w:jc w:val="center"/>
              <w:rPr>
                <w:vertAlign w:val="superscript"/>
              </w:rPr>
            </w:pPr>
            <w:r w:rsidRPr="003D0BC2">
              <w:rPr>
                <w:sz w:val="2"/>
                <w:highlight w:val="black"/>
              </w:rPr>
              <w:t>redacted content</w:t>
            </w:r>
            <w:r w:rsidR="006B0B2A">
              <w:rPr>
                <w:vertAlign w:val="superscript"/>
              </w:rPr>
              <w:t>2</w:t>
            </w:r>
          </w:p>
        </w:tc>
        <w:tc>
          <w:tcPr>
            <w:tcW w:w="598" w:type="pct"/>
            <w:tcBorders>
              <w:bottom w:val="single" w:sz="4" w:space="0" w:color="auto"/>
            </w:tcBorders>
            <w:vAlign w:val="center"/>
          </w:tcPr>
          <w:p w14:paraId="348C0810" w14:textId="04B888CF" w:rsidR="001F2E87" w:rsidRPr="006B0B2A" w:rsidRDefault="003D0BC2" w:rsidP="001F2E87">
            <w:pPr>
              <w:pStyle w:val="COMTabletext"/>
              <w:jc w:val="center"/>
              <w:rPr>
                <w:vertAlign w:val="superscript"/>
              </w:rPr>
            </w:pPr>
            <w:r w:rsidRPr="003D0BC2">
              <w:rPr>
                <w:sz w:val="2"/>
                <w:highlight w:val="black"/>
              </w:rPr>
              <w:t>redacted content</w:t>
            </w:r>
            <w:r w:rsidR="006B0B2A">
              <w:rPr>
                <w:vertAlign w:val="superscript"/>
              </w:rPr>
              <w:t>2</w:t>
            </w:r>
          </w:p>
        </w:tc>
        <w:tc>
          <w:tcPr>
            <w:tcW w:w="598" w:type="pct"/>
            <w:tcBorders>
              <w:bottom w:val="single" w:sz="4" w:space="0" w:color="auto"/>
            </w:tcBorders>
            <w:vAlign w:val="center"/>
          </w:tcPr>
          <w:p w14:paraId="7B1E0C60" w14:textId="5DE03E55" w:rsidR="001F2E87" w:rsidRPr="006B0B2A" w:rsidRDefault="003D0BC2" w:rsidP="001F2E87">
            <w:pPr>
              <w:pStyle w:val="COMTabletext"/>
              <w:jc w:val="center"/>
              <w:rPr>
                <w:vertAlign w:val="superscript"/>
              </w:rPr>
            </w:pPr>
            <w:r w:rsidRPr="003D0BC2">
              <w:rPr>
                <w:sz w:val="2"/>
                <w:highlight w:val="black"/>
              </w:rPr>
              <w:t>redacted content</w:t>
            </w:r>
            <w:r w:rsidR="006B0B2A">
              <w:rPr>
                <w:vertAlign w:val="superscript"/>
              </w:rPr>
              <w:t>2</w:t>
            </w:r>
          </w:p>
        </w:tc>
      </w:tr>
      <w:tr w:rsidR="0099789C" w:rsidRPr="004D7BAB" w14:paraId="0D1DD650" w14:textId="77777777">
        <w:tc>
          <w:tcPr>
            <w:tcW w:w="1412" w:type="pct"/>
            <w:tcBorders>
              <w:top w:val="single" w:sz="4" w:space="0" w:color="auto"/>
            </w:tcBorders>
          </w:tcPr>
          <w:p w14:paraId="6D790F1E" w14:textId="77777777" w:rsidR="0099789C" w:rsidRPr="007076EA" w:rsidRDefault="0099789C">
            <w:pPr>
              <w:pStyle w:val="COMTabletext"/>
            </w:pPr>
            <w:r>
              <w:t xml:space="preserve">Total </w:t>
            </w:r>
            <w:r w:rsidRPr="00335AAD">
              <w:t>tarlatamab 1 mg scripts</w:t>
            </w:r>
            <w:r w:rsidRPr="002B17F9">
              <w:rPr>
                <w:vertAlign w:val="superscript"/>
              </w:rPr>
              <w:t>a</w:t>
            </w:r>
          </w:p>
        </w:tc>
        <w:tc>
          <w:tcPr>
            <w:tcW w:w="598" w:type="pct"/>
            <w:tcBorders>
              <w:top w:val="single" w:sz="4" w:space="0" w:color="auto"/>
            </w:tcBorders>
          </w:tcPr>
          <w:p w14:paraId="5845D63A" w14:textId="46EFF519" w:rsidR="0099789C" w:rsidRPr="00D03D33" w:rsidRDefault="003D0BC2">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top w:val="single" w:sz="4" w:space="0" w:color="auto"/>
            </w:tcBorders>
          </w:tcPr>
          <w:p w14:paraId="0A38514E" w14:textId="0D51B5ED" w:rsidR="0099789C" w:rsidRPr="00D03D33" w:rsidRDefault="003D0BC2">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top w:val="single" w:sz="4" w:space="0" w:color="auto"/>
            </w:tcBorders>
          </w:tcPr>
          <w:p w14:paraId="2D93D5D5" w14:textId="765F73A8" w:rsidR="0099789C" w:rsidRPr="00D03D33" w:rsidRDefault="003D0BC2">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top w:val="single" w:sz="4" w:space="0" w:color="auto"/>
            </w:tcBorders>
          </w:tcPr>
          <w:p w14:paraId="1B7F2492" w14:textId="5943AA7D" w:rsidR="0099789C" w:rsidRPr="00D03D33" w:rsidRDefault="003D0BC2">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top w:val="single" w:sz="4" w:space="0" w:color="auto"/>
            </w:tcBorders>
          </w:tcPr>
          <w:p w14:paraId="77AAC6DC" w14:textId="0A0D38DC" w:rsidR="0099789C" w:rsidRPr="00D03D33" w:rsidRDefault="003D0BC2">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top w:val="single" w:sz="4" w:space="0" w:color="auto"/>
            </w:tcBorders>
          </w:tcPr>
          <w:p w14:paraId="6D9BCD3F" w14:textId="320D435F" w:rsidR="0099789C" w:rsidRPr="00D03D33" w:rsidRDefault="003D0BC2">
            <w:pPr>
              <w:pStyle w:val="COMTabletext"/>
              <w:jc w:val="center"/>
              <w:rPr>
                <w:vertAlign w:val="superscript"/>
              </w:rPr>
            </w:pPr>
            <w:r w:rsidRPr="003D0BC2">
              <w:rPr>
                <w:sz w:val="2"/>
                <w:highlight w:val="black"/>
              </w:rPr>
              <w:t>redacted content</w:t>
            </w:r>
            <w:r w:rsidR="00D03D33">
              <w:rPr>
                <w:vertAlign w:val="superscript"/>
              </w:rPr>
              <w:t>1</w:t>
            </w:r>
          </w:p>
        </w:tc>
      </w:tr>
      <w:tr w:rsidR="0099789C" w:rsidRPr="004D7BAB" w14:paraId="792C2306" w14:textId="77777777">
        <w:tc>
          <w:tcPr>
            <w:tcW w:w="1412" w:type="pct"/>
            <w:tcBorders>
              <w:top w:val="single" w:sz="4" w:space="0" w:color="auto"/>
            </w:tcBorders>
          </w:tcPr>
          <w:p w14:paraId="4CB3683E" w14:textId="77777777" w:rsidR="0099789C" w:rsidRPr="007076EA" w:rsidRDefault="0099789C">
            <w:pPr>
              <w:pStyle w:val="COMTabletext"/>
            </w:pPr>
            <w:r>
              <w:t xml:space="preserve">Total </w:t>
            </w:r>
            <w:r w:rsidRPr="00335AAD">
              <w:t>tarlatamab 10 mg scripts</w:t>
            </w:r>
            <w:r w:rsidRPr="002B17F9">
              <w:rPr>
                <w:vertAlign w:val="superscript"/>
              </w:rPr>
              <w:t>b</w:t>
            </w:r>
          </w:p>
        </w:tc>
        <w:tc>
          <w:tcPr>
            <w:tcW w:w="598" w:type="pct"/>
            <w:tcBorders>
              <w:top w:val="single" w:sz="4" w:space="0" w:color="auto"/>
            </w:tcBorders>
          </w:tcPr>
          <w:p w14:paraId="19B300AC" w14:textId="0D74C31A" w:rsidR="0099789C" w:rsidRPr="00605546" w:rsidRDefault="003D0BC2">
            <w:pPr>
              <w:pStyle w:val="COMTabletext"/>
              <w:jc w:val="center"/>
              <w:rPr>
                <w:vertAlign w:val="superscript"/>
              </w:rPr>
            </w:pPr>
            <w:r w:rsidRPr="003D0BC2">
              <w:rPr>
                <w:sz w:val="2"/>
                <w:highlight w:val="black"/>
              </w:rPr>
              <w:t>redacted content</w:t>
            </w:r>
            <w:r w:rsidR="00605546">
              <w:rPr>
                <w:vertAlign w:val="superscript"/>
              </w:rPr>
              <w:t>3</w:t>
            </w:r>
          </w:p>
        </w:tc>
        <w:tc>
          <w:tcPr>
            <w:tcW w:w="598" w:type="pct"/>
            <w:tcBorders>
              <w:top w:val="single" w:sz="4" w:space="0" w:color="auto"/>
            </w:tcBorders>
          </w:tcPr>
          <w:p w14:paraId="032D7A6A" w14:textId="2AF8050D" w:rsidR="0099789C" w:rsidRPr="00605546" w:rsidRDefault="003D0BC2">
            <w:pPr>
              <w:pStyle w:val="COMTabletext"/>
              <w:jc w:val="center"/>
              <w:rPr>
                <w:vertAlign w:val="superscript"/>
              </w:rPr>
            </w:pPr>
            <w:r w:rsidRPr="003D0BC2">
              <w:rPr>
                <w:sz w:val="2"/>
                <w:highlight w:val="black"/>
              </w:rPr>
              <w:t>redacted content</w:t>
            </w:r>
            <w:r w:rsidR="00605546">
              <w:rPr>
                <w:vertAlign w:val="superscript"/>
              </w:rPr>
              <w:t>3</w:t>
            </w:r>
          </w:p>
        </w:tc>
        <w:tc>
          <w:tcPr>
            <w:tcW w:w="598" w:type="pct"/>
            <w:tcBorders>
              <w:top w:val="single" w:sz="4" w:space="0" w:color="auto"/>
            </w:tcBorders>
          </w:tcPr>
          <w:p w14:paraId="02BDE344" w14:textId="32EFE93D" w:rsidR="0099789C" w:rsidRPr="00605546" w:rsidRDefault="003D0BC2">
            <w:pPr>
              <w:pStyle w:val="COMTabletext"/>
              <w:jc w:val="center"/>
              <w:rPr>
                <w:vertAlign w:val="superscript"/>
              </w:rPr>
            </w:pPr>
            <w:r w:rsidRPr="003D0BC2">
              <w:rPr>
                <w:sz w:val="2"/>
                <w:highlight w:val="black"/>
              </w:rPr>
              <w:t>redacted content</w:t>
            </w:r>
            <w:r w:rsidR="00605546">
              <w:rPr>
                <w:vertAlign w:val="superscript"/>
              </w:rPr>
              <w:t>3</w:t>
            </w:r>
          </w:p>
        </w:tc>
        <w:tc>
          <w:tcPr>
            <w:tcW w:w="598" w:type="pct"/>
            <w:tcBorders>
              <w:top w:val="single" w:sz="4" w:space="0" w:color="auto"/>
            </w:tcBorders>
          </w:tcPr>
          <w:p w14:paraId="49C4685E" w14:textId="28F33641" w:rsidR="0099789C" w:rsidRPr="00605546" w:rsidRDefault="003D0BC2">
            <w:pPr>
              <w:pStyle w:val="COMTabletext"/>
              <w:jc w:val="center"/>
              <w:rPr>
                <w:vertAlign w:val="superscript"/>
              </w:rPr>
            </w:pPr>
            <w:r w:rsidRPr="003D0BC2">
              <w:rPr>
                <w:sz w:val="2"/>
                <w:highlight w:val="black"/>
              </w:rPr>
              <w:t>redacted content</w:t>
            </w:r>
            <w:r w:rsidR="00605546">
              <w:rPr>
                <w:vertAlign w:val="superscript"/>
              </w:rPr>
              <w:t>3</w:t>
            </w:r>
          </w:p>
        </w:tc>
        <w:tc>
          <w:tcPr>
            <w:tcW w:w="598" w:type="pct"/>
            <w:tcBorders>
              <w:top w:val="single" w:sz="4" w:space="0" w:color="auto"/>
            </w:tcBorders>
          </w:tcPr>
          <w:p w14:paraId="0EE4C59F" w14:textId="485A854F" w:rsidR="0099789C" w:rsidRPr="00605546" w:rsidRDefault="003D0BC2">
            <w:pPr>
              <w:pStyle w:val="COMTabletext"/>
              <w:jc w:val="center"/>
              <w:rPr>
                <w:vertAlign w:val="superscript"/>
              </w:rPr>
            </w:pPr>
            <w:r w:rsidRPr="003D0BC2">
              <w:rPr>
                <w:sz w:val="2"/>
                <w:highlight w:val="black"/>
              </w:rPr>
              <w:t>redacted content</w:t>
            </w:r>
            <w:r w:rsidR="00605546">
              <w:rPr>
                <w:vertAlign w:val="superscript"/>
              </w:rPr>
              <w:t>3</w:t>
            </w:r>
          </w:p>
        </w:tc>
        <w:tc>
          <w:tcPr>
            <w:tcW w:w="598" w:type="pct"/>
            <w:tcBorders>
              <w:top w:val="single" w:sz="4" w:space="0" w:color="auto"/>
            </w:tcBorders>
          </w:tcPr>
          <w:p w14:paraId="797E3109" w14:textId="7D0C6AD3" w:rsidR="0099789C" w:rsidRPr="00605546" w:rsidRDefault="003D0BC2">
            <w:pPr>
              <w:pStyle w:val="COMTabletext"/>
              <w:jc w:val="center"/>
              <w:rPr>
                <w:vertAlign w:val="superscript"/>
              </w:rPr>
            </w:pPr>
            <w:r w:rsidRPr="003D0BC2">
              <w:rPr>
                <w:sz w:val="2"/>
                <w:highlight w:val="black"/>
              </w:rPr>
              <w:t>redacted content</w:t>
            </w:r>
            <w:r w:rsidR="00605546">
              <w:rPr>
                <w:vertAlign w:val="superscript"/>
              </w:rPr>
              <w:t>3</w:t>
            </w:r>
          </w:p>
        </w:tc>
      </w:tr>
      <w:tr w:rsidR="00B747B3" w:rsidRPr="004D7BAB" w14:paraId="47180CB2" w14:textId="77777777">
        <w:tc>
          <w:tcPr>
            <w:tcW w:w="5000" w:type="pct"/>
            <w:gridSpan w:val="7"/>
            <w:vAlign w:val="center"/>
          </w:tcPr>
          <w:p w14:paraId="0519BA98" w14:textId="45D910B7" w:rsidR="00B747B3" w:rsidRPr="00776065" w:rsidRDefault="00B747B3">
            <w:pPr>
              <w:pStyle w:val="COMTabletext"/>
              <w:rPr>
                <w:b/>
                <w:bCs w:val="0"/>
              </w:rPr>
            </w:pPr>
            <w:r>
              <w:rPr>
                <w:b/>
                <w:bCs w:val="0"/>
              </w:rPr>
              <w:t>Submission:</w:t>
            </w:r>
          </w:p>
        </w:tc>
      </w:tr>
      <w:tr w:rsidR="0099789C" w:rsidRPr="004D7BAB" w14:paraId="5288EFDA" w14:textId="77777777">
        <w:tc>
          <w:tcPr>
            <w:tcW w:w="5000" w:type="pct"/>
            <w:gridSpan w:val="7"/>
            <w:vAlign w:val="center"/>
          </w:tcPr>
          <w:p w14:paraId="2D4887A7" w14:textId="6AED2FB1" w:rsidR="0099789C" w:rsidRPr="00776065" w:rsidRDefault="0099789C">
            <w:pPr>
              <w:pStyle w:val="COMTabletext"/>
              <w:rPr>
                <w:b/>
                <w:bCs w:val="0"/>
              </w:rPr>
            </w:pPr>
            <w:r w:rsidRPr="00776065">
              <w:rPr>
                <w:b/>
                <w:bCs w:val="0"/>
              </w:rPr>
              <w:t xml:space="preserve">Estimated </w:t>
            </w:r>
            <w:r>
              <w:rPr>
                <w:b/>
                <w:bCs w:val="0"/>
              </w:rPr>
              <w:t>financial implications</w:t>
            </w:r>
            <w:r w:rsidRPr="00776065">
              <w:rPr>
                <w:b/>
                <w:bCs w:val="0"/>
              </w:rPr>
              <w:t xml:space="preserve"> of tarlatamab</w:t>
            </w:r>
            <w:r w:rsidR="0099494E">
              <w:rPr>
                <w:b/>
                <w:bCs w:val="0"/>
              </w:rPr>
              <w:t xml:space="preserve"> </w:t>
            </w:r>
          </w:p>
        </w:tc>
      </w:tr>
      <w:tr w:rsidR="0099789C" w:rsidRPr="004D7BAB" w14:paraId="69E923F9" w14:textId="77777777">
        <w:tc>
          <w:tcPr>
            <w:tcW w:w="1412" w:type="pct"/>
          </w:tcPr>
          <w:p w14:paraId="6A666465" w14:textId="77777777" w:rsidR="0099789C" w:rsidRPr="00561E6C" w:rsidRDefault="0099789C">
            <w:pPr>
              <w:pStyle w:val="COMTabletext"/>
            </w:pPr>
            <w:r>
              <w:t>Cost to PBS/RPBS less copay.</w:t>
            </w:r>
          </w:p>
        </w:tc>
        <w:tc>
          <w:tcPr>
            <w:tcW w:w="598" w:type="pct"/>
            <w:vAlign w:val="center"/>
          </w:tcPr>
          <w:p w14:paraId="75266D9A" w14:textId="092B9F7C" w:rsidR="0099789C" w:rsidRPr="005C2F20" w:rsidRDefault="0099789C">
            <w:pPr>
              <w:pStyle w:val="COMTabletext"/>
              <w:jc w:val="center"/>
              <w:rPr>
                <w:vertAlign w:val="superscript"/>
              </w:rPr>
            </w:pPr>
            <w:r w:rsidRPr="00561E6C">
              <w:t>$</w:t>
            </w:r>
            <w:r w:rsidR="003D0BC2" w:rsidRPr="003D0BC2">
              <w:rPr>
                <w:sz w:val="2"/>
                <w:highlight w:val="black"/>
              </w:rPr>
              <w:t>redacted content</w:t>
            </w:r>
            <w:r w:rsidR="005C2F20">
              <w:rPr>
                <w:vertAlign w:val="superscript"/>
              </w:rPr>
              <w:t>4</w:t>
            </w:r>
          </w:p>
        </w:tc>
        <w:tc>
          <w:tcPr>
            <w:tcW w:w="598" w:type="pct"/>
            <w:vAlign w:val="center"/>
          </w:tcPr>
          <w:p w14:paraId="5E4790E6" w14:textId="22160DC3" w:rsidR="0099789C" w:rsidRPr="005C2F20" w:rsidRDefault="0099789C">
            <w:pPr>
              <w:pStyle w:val="COMTabletext"/>
              <w:jc w:val="center"/>
              <w:rPr>
                <w:vertAlign w:val="superscript"/>
              </w:rPr>
            </w:pPr>
            <w:r w:rsidRPr="00561E6C">
              <w:t>$</w:t>
            </w:r>
            <w:r w:rsidR="003D0BC2" w:rsidRPr="003D0BC2">
              <w:rPr>
                <w:sz w:val="2"/>
                <w:highlight w:val="black"/>
              </w:rPr>
              <w:t>redacted content</w:t>
            </w:r>
            <w:r w:rsidR="005C2F20">
              <w:rPr>
                <w:vertAlign w:val="superscript"/>
              </w:rPr>
              <w:t>4</w:t>
            </w:r>
          </w:p>
        </w:tc>
        <w:tc>
          <w:tcPr>
            <w:tcW w:w="598" w:type="pct"/>
            <w:vAlign w:val="center"/>
          </w:tcPr>
          <w:p w14:paraId="7A8EAD61" w14:textId="7019C809" w:rsidR="0099789C" w:rsidRPr="00902BD1" w:rsidRDefault="0099789C">
            <w:pPr>
              <w:pStyle w:val="COMTabletext"/>
              <w:jc w:val="center"/>
              <w:rPr>
                <w:vertAlign w:val="superscript"/>
              </w:rPr>
            </w:pPr>
            <w:r w:rsidRPr="00561E6C">
              <w:t>$</w:t>
            </w:r>
            <w:r w:rsidR="003D0BC2" w:rsidRPr="003D0BC2">
              <w:rPr>
                <w:sz w:val="2"/>
                <w:highlight w:val="black"/>
              </w:rPr>
              <w:t>redacted content</w:t>
            </w:r>
            <w:r w:rsidR="00902BD1">
              <w:rPr>
                <w:vertAlign w:val="superscript"/>
              </w:rPr>
              <w:t>5</w:t>
            </w:r>
          </w:p>
        </w:tc>
        <w:tc>
          <w:tcPr>
            <w:tcW w:w="598" w:type="pct"/>
            <w:vAlign w:val="center"/>
          </w:tcPr>
          <w:p w14:paraId="4E9E5CAC" w14:textId="53240B4A" w:rsidR="0099789C" w:rsidRPr="00902BD1" w:rsidRDefault="0099789C">
            <w:pPr>
              <w:pStyle w:val="COMTabletext"/>
              <w:jc w:val="center"/>
              <w:rPr>
                <w:vertAlign w:val="superscript"/>
              </w:rPr>
            </w:pPr>
            <w:r w:rsidRPr="00561E6C">
              <w:t>$</w:t>
            </w:r>
            <w:r w:rsidR="003D0BC2" w:rsidRPr="003D0BC2">
              <w:rPr>
                <w:sz w:val="2"/>
                <w:highlight w:val="black"/>
              </w:rPr>
              <w:t>redacted content</w:t>
            </w:r>
            <w:r w:rsidR="00902BD1">
              <w:rPr>
                <w:vertAlign w:val="superscript"/>
              </w:rPr>
              <w:t>5</w:t>
            </w:r>
          </w:p>
        </w:tc>
        <w:tc>
          <w:tcPr>
            <w:tcW w:w="598" w:type="pct"/>
            <w:vAlign w:val="center"/>
          </w:tcPr>
          <w:p w14:paraId="2C5604D5" w14:textId="1B0B652E" w:rsidR="0099789C" w:rsidRPr="00902BD1" w:rsidRDefault="0099789C">
            <w:pPr>
              <w:pStyle w:val="COMTabletext"/>
              <w:jc w:val="center"/>
              <w:rPr>
                <w:vertAlign w:val="superscript"/>
              </w:rPr>
            </w:pPr>
            <w:r w:rsidRPr="00561E6C">
              <w:t>$</w:t>
            </w:r>
            <w:r w:rsidR="003D0BC2" w:rsidRPr="003D0BC2">
              <w:rPr>
                <w:sz w:val="2"/>
                <w:highlight w:val="black"/>
              </w:rPr>
              <w:t>redacted content</w:t>
            </w:r>
            <w:r w:rsidR="00902BD1">
              <w:rPr>
                <w:vertAlign w:val="superscript"/>
              </w:rPr>
              <w:t>5</w:t>
            </w:r>
          </w:p>
        </w:tc>
        <w:tc>
          <w:tcPr>
            <w:tcW w:w="598" w:type="pct"/>
            <w:vAlign w:val="center"/>
          </w:tcPr>
          <w:p w14:paraId="7B042AC1" w14:textId="5CFA48F1" w:rsidR="0099789C" w:rsidRPr="00902BD1" w:rsidRDefault="0099789C">
            <w:pPr>
              <w:pStyle w:val="COMTabletext"/>
              <w:jc w:val="center"/>
              <w:rPr>
                <w:vertAlign w:val="superscript"/>
              </w:rPr>
            </w:pPr>
            <w:r w:rsidRPr="00561E6C">
              <w:t>$</w:t>
            </w:r>
            <w:r w:rsidR="003D0BC2" w:rsidRPr="003D0BC2">
              <w:rPr>
                <w:sz w:val="2"/>
                <w:highlight w:val="black"/>
              </w:rPr>
              <w:t>redacted content</w:t>
            </w:r>
            <w:r w:rsidR="00902BD1">
              <w:rPr>
                <w:vertAlign w:val="superscript"/>
              </w:rPr>
              <w:t>5</w:t>
            </w:r>
          </w:p>
        </w:tc>
      </w:tr>
      <w:tr w:rsidR="00B747B3" w:rsidRPr="004D7BAB" w14:paraId="755FE300" w14:textId="77777777" w:rsidTr="00B747B3">
        <w:tc>
          <w:tcPr>
            <w:tcW w:w="5000" w:type="pct"/>
            <w:gridSpan w:val="7"/>
          </w:tcPr>
          <w:p w14:paraId="597EED3B" w14:textId="10D4C492" w:rsidR="00B747B3" w:rsidRPr="00CE2177" w:rsidRDefault="00830B42" w:rsidP="00B747B3">
            <w:pPr>
              <w:pStyle w:val="COMTabletext"/>
            </w:pPr>
            <w:r w:rsidRPr="00776065">
              <w:rPr>
                <w:b/>
                <w:bCs w:val="0"/>
              </w:rPr>
              <w:t xml:space="preserve">Estimated </w:t>
            </w:r>
            <w:r>
              <w:rPr>
                <w:b/>
                <w:bCs w:val="0"/>
              </w:rPr>
              <w:t>financial implications</w:t>
            </w:r>
            <w:r w:rsidRPr="00776065">
              <w:rPr>
                <w:b/>
                <w:bCs w:val="0"/>
              </w:rPr>
              <w:t xml:space="preserve"> of </w:t>
            </w:r>
            <w:r>
              <w:rPr>
                <w:b/>
                <w:bCs w:val="0"/>
              </w:rPr>
              <w:t>SOC</w:t>
            </w:r>
          </w:p>
        </w:tc>
      </w:tr>
      <w:tr w:rsidR="0099789C" w:rsidRPr="004D7BAB" w14:paraId="0D83FEB1" w14:textId="77777777">
        <w:tc>
          <w:tcPr>
            <w:tcW w:w="1412" w:type="pct"/>
          </w:tcPr>
          <w:p w14:paraId="33D09918" w14:textId="77777777" w:rsidR="0099789C" w:rsidRPr="008F1F20" w:rsidRDefault="0099789C">
            <w:pPr>
              <w:pStyle w:val="COMTabletext"/>
              <w:rPr>
                <w:b/>
                <w:bCs w:val="0"/>
              </w:rPr>
            </w:pPr>
            <w:r>
              <w:t>Cost to PBS/RPBS less copay.</w:t>
            </w:r>
          </w:p>
        </w:tc>
        <w:tc>
          <w:tcPr>
            <w:tcW w:w="598" w:type="pct"/>
            <w:vAlign w:val="center"/>
          </w:tcPr>
          <w:p w14:paraId="648DED1B" w14:textId="40CCAA68" w:rsidR="0099789C" w:rsidRPr="00CB2378" w:rsidRDefault="0099789C">
            <w:pPr>
              <w:pStyle w:val="COMTabletext"/>
              <w:jc w:val="center"/>
              <w:rPr>
                <w:b/>
                <w:bCs w:val="0"/>
                <w:vertAlign w:val="superscript"/>
              </w:rPr>
            </w:pPr>
            <w:r w:rsidRPr="00CE2177">
              <w:t>-$</w:t>
            </w:r>
            <w:r w:rsidR="003D0BC2" w:rsidRPr="003D0BC2">
              <w:rPr>
                <w:sz w:val="2"/>
                <w:highlight w:val="black"/>
              </w:rPr>
              <w:t>redacted content</w:t>
            </w:r>
            <w:r w:rsidR="00CB2378">
              <w:rPr>
                <w:vertAlign w:val="superscript"/>
              </w:rPr>
              <w:t>6</w:t>
            </w:r>
          </w:p>
        </w:tc>
        <w:tc>
          <w:tcPr>
            <w:tcW w:w="598" w:type="pct"/>
            <w:vAlign w:val="center"/>
          </w:tcPr>
          <w:p w14:paraId="33CE1846" w14:textId="7A54F2E4" w:rsidR="0099789C" w:rsidRPr="00CB2378" w:rsidRDefault="0099789C">
            <w:pPr>
              <w:pStyle w:val="COMTabletext"/>
              <w:jc w:val="center"/>
              <w:rPr>
                <w:b/>
                <w:bCs w:val="0"/>
                <w:vertAlign w:val="superscript"/>
              </w:rPr>
            </w:pPr>
            <w:r w:rsidRPr="00CE2177">
              <w:t>-$</w:t>
            </w:r>
            <w:r w:rsidR="003D0BC2" w:rsidRPr="003D0BC2">
              <w:rPr>
                <w:sz w:val="2"/>
                <w:highlight w:val="black"/>
              </w:rPr>
              <w:t>redacted content</w:t>
            </w:r>
            <w:r w:rsidR="00CB2378">
              <w:rPr>
                <w:vertAlign w:val="superscript"/>
              </w:rPr>
              <w:t>6</w:t>
            </w:r>
          </w:p>
        </w:tc>
        <w:tc>
          <w:tcPr>
            <w:tcW w:w="598" w:type="pct"/>
            <w:vAlign w:val="center"/>
          </w:tcPr>
          <w:p w14:paraId="04860BC0" w14:textId="4CA6C8F6" w:rsidR="0099789C" w:rsidRPr="00CB2378" w:rsidRDefault="0099789C">
            <w:pPr>
              <w:pStyle w:val="COMTabletext"/>
              <w:jc w:val="center"/>
              <w:rPr>
                <w:b/>
                <w:bCs w:val="0"/>
                <w:vertAlign w:val="superscript"/>
              </w:rPr>
            </w:pPr>
            <w:r w:rsidRPr="00CE2177">
              <w:t>-$</w:t>
            </w:r>
            <w:r w:rsidR="003D0BC2" w:rsidRPr="003D0BC2">
              <w:rPr>
                <w:sz w:val="2"/>
                <w:highlight w:val="black"/>
              </w:rPr>
              <w:t>redacted content</w:t>
            </w:r>
            <w:r w:rsidR="00CB2378">
              <w:rPr>
                <w:vertAlign w:val="superscript"/>
              </w:rPr>
              <w:t>6</w:t>
            </w:r>
          </w:p>
        </w:tc>
        <w:tc>
          <w:tcPr>
            <w:tcW w:w="598" w:type="pct"/>
            <w:vAlign w:val="center"/>
          </w:tcPr>
          <w:p w14:paraId="257D81D2" w14:textId="661FE377" w:rsidR="0099789C" w:rsidRPr="00CB2378" w:rsidRDefault="0099789C">
            <w:pPr>
              <w:pStyle w:val="COMTabletext"/>
              <w:jc w:val="center"/>
              <w:rPr>
                <w:b/>
                <w:bCs w:val="0"/>
                <w:vertAlign w:val="superscript"/>
              </w:rPr>
            </w:pPr>
            <w:r w:rsidRPr="00CE2177">
              <w:t>-$</w:t>
            </w:r>
            <w:r w:rsidR="003D0BC2" w:rsidRPr="003D0BC2">
              <w:rPr>
                <w:sz w:val="2"/>
                <w:highlight w:val="black"/>
              </w:rPr>
              <w:t>redacted content</w:t>
            </w:r>
            <w:r w:rsidR="00CB2378">
              <w:rPr>
                <w:vertAlign w:val="superscript"/>
              </w:rPr>
              <w:t>6</w:t>
            </w:r>
          </w:p>
        </w:tc>
        <w:tc>
          <w:tcPr>
            <w:tcW w:w="598" w:type="pct"/>
            <w:vAlign w:val="center"/>
          </w:tcPr>
          <w:p w14:paraId="5AEA0A30" w14:textId="1F41737D" w:rsidR="0099789C" w:rsidRPr="00CB2378" w:rsidRDefault="0099789C">
            <w:pPr>
              <w:pStyle w:val="COMTabletext"/>
              <w:jc w:val="center"/>
              <w:rPr>
                <w:b/>
                <w:bCs w:val="0"/>
                <w:vertAlign w:val="superscript"/>
              </w:rPr>
            </w:pPr>
            <w:r w:rsidRPr="00CE2177">
              <w:t>-$</w:t>
            </w:r>
            <w:r w:rsidR="003D0BC2" w:rsidRPr="003D0BC2">
              <w:rPr>
                <w:sz w:val="2"/>
                <w:highlight w:val="black"/>
              </w:rPr>
              <w:t>redacted content</w:t>
            </w:r>
            <w:r w:rsidR="00CB2378">
              <w:rPr>
                <w:vertAlign w:val="superscript"/>
              </w:rPr>
              <w:t>6</w:t>
            </w:r>
          </w:p>
        </w:tc>
        <w:tc>
          <w:tcPr>
            <w:tcW w:w="598" w:type="pct"/>
            <w:vAlign w:val="center"/>
          </w:tcPr>
          <w:p w14:paraId="5F95B66B" w14:textId="4E56DC2A" w:rsidR="0099789C" w:rsidRPr="00CB2378" w:rsidRDefault="0099789C">
            <w:pPr>
              <w:pStyle w:val="COMTabletext"/>
              <w:jc w:val="center"/>
              <w:rPr>
                <w:b/>
                <w:bCs w:val="0"/>
                <w:vertAlign w:val="superscript"/>
              </w:rPr>
            </w:pPr>
            <w:r w:rsidRPr="00CE2177">
              <w:t>-$</w:t>
            </w:r>
            <w:r w:rsidR="003D0BC2" w:rsidRPr="003D0BC2">
              <w:rPr>
                <w:sz w:val="2"/>
                <w:highlight w:val="black"/>
              </w:rPr>
              <w:t>redacted content</w:t>
            </w:r>
            <w:r w:rsidR="00CB2378">
              <w:rPr>
                <w:vertAlign w:val="superscript"/>
              </w:rPr>
              <w:t>6</w:t>
            </w:r>
          </w:p>
        </w:tc>
      </w:tr>
      <w:tr w:rsidR="0099789C" w:rsidRPr="004D7BAB" w14:paraId="5B5C4EB9" w14:textId="77777777">
        <w:tc>
          <w:tcPr>
            <w:tcW w:w="5000" w:type="pct"/>
            <w:gridSpan w:val="7"/>
          </w:tcPr>
          <w:p w14:paraId="1BCE7B49" w14:textId="77777777" w:rsidR="0099789C" w:rsidRPr="002B17F9" w:rsidRDefault="0099789C">
            <w:pPr>
              <w:pStyle w:val="COMTabletext"/>
              <w:rPr>
                <w:b/>
                <w:bCs w:val="0"/>
              </w:rPr>
            </w:pPr>
            <w:r w:rsidRPr="002B17F9">
              <w:rPr>
                <w:b/>
                <w:bCs w:val="0"/>
              </w:rPr>
              <w:t>Net financial implications</w:t>
            </w:r>
          </w:p>
        </w:tc>
      </w:tr>
      <w:tr w:rsidR="0099789C" w:rsidRPr="004D7BAB" w14:paraId="1819F452" w14:textId="77777777">
        <w:tc>
          <w:tcPr>
            <w:tcW w:w="1412" w:type="pct"/>
            <w:vAlign w:val="center"/>
          </w:tcPr>
          <w:p w14:paraId="7F44F9AD" w14:textId="77777777" w:rsidR="0099789C" w:rsidRPr="008F1F20" w:rsidRDefault="0099789C">
            <w:pPr>
              <w:pStyle w:val="COMTabletext"/>
              <w:rPr>
                <w:b/>
                <w:bCs w:val="0"/>
              </w:rPr>
            </w:pPr>
            <w:r w:rsidRPr="00471739">
              <w:t>Net cost to PBS/RPBS</w:t>
            </w:r>
          </w:p>
        </w:tc>
        <w:tc>
          <w:tcPr>
            <w:tcW w:w="598" w:type="pct"/>
            <w:vAlign w:val="center"/>
          </w:tcPr>
          <w:p w14:paraId="142B6653" w14:textId="0F277D80" w:rsidR="0099789C" w:rsidRPr="005C2F20" w:rsidRDefault="0099789C">
            <w:pPr>
              <w:pStyle w:val="COMTabletext"/>
              <w:jc w:val="center"/>
              <w:rPr>
                <w:b/>
                <w:bCs w:val="0"/>
                <w:vertAlign w:val="superscript"/>
              </w:rPr>
            </w:pPr>
            <w:r w:rsidRPr="000660B7">
              <w:rPr>
                <w:b/>
                <w:bCs w:val="0"/>
              </w:rPr>
              <w:t>$</w:t>
            </w:r>
            <w:r w:rsidR="003D0BC2" w:rsidRPr="003D0BC2">
              <w:rPr>
                <w:b/>
                <w:bCs w:val="0"/>
                <w:sz w:val="2"/>
                <w:highlight w:val="black"/>
              </w:rPr>
              <w:t>redacted content</w:t>
            </w:r>
            <w:r w:rsidR="005C2F20">
              <w:rPr>
                <w:b/>
                <w:bCs w:val="0"/>
                <w:vertAlign w:val="superscript"/>
              </w:rPr>
              <w:t>4</w:t>
            </w:r>
          </w:p>
        </w:tc>
        <w:tc>
          <w:tcPr>
            <w:tcW w:w="598" w:type="pct"/>
            <w:vAlign w:val="center"/>
          </w:tcPr>
          <w:p w14:paraId="60013705" w14:textId="0029B980" w:rsidR="0099789C" w:rsidRPr="005C2F20" w:rsidRDefault="0099789C">
            <w:pPr>
              <w:pStyle w:val="COMTabletext"/>
              <w:jc w:val="center"/>
              <w:rPr>
                <w:b/>
                <w:bCs w:val="0"/>
                <w:vertAlign w:val="superscript"/>
              </w:rPr>
            </w:pPr>
            <w:r w:rsidRPr="000660B7">
              <w:rPr>
                <w:b/>
                <w:bCs w:val="0"/>
              </w:rPr>
              <w:t>$</w:t>
            </w:r>
            <w:r w:rsidR="003D0BC2" w:rsidRPr="003D0BC2">
              <w:rPr>
                <w:b/>
                <w:bCs w:val="0"/>
                <w:sz w:val="2"/>
                <w:highlight w:val="black"/>
              </w:rPr>
              <w:t>redacted content</w:t>
            </w:r>
            <w:r w:rsidR="005C2F20">
              <w:rPr>
                <w:b/>
                <w:bCs w:val="0"/>
                <w:vertAlign w:val="superscript"/>
              </w:rPr>
              <w:t>4</w:t>
            </w:r>
          </w:p>
        </w:tc>
        <w:tc>
          <w:tcPr>
            <w:tcW w:w="598" w:type="pct"/>
            <w:vAlign w:val="center"/>
          </w:tcPr>
          <w:p w14:paraId="29A8B5DA" w14:textId="235F6AB5" w:rsidR="0099789C" w:rsidRPr="00902BD1" w:rsidRDefault="0099789C">
            <w:pPr>
              <w:pStyle w:val="COMTabletext"/>
              <w:jc w:val="center"/>
              <w:rPr>
                <w:b/>
                <w:bCs w:val="0"/>
                <w:vertAlign w:val="superscript"/>
              </w:rPr>
            </w:pPr>
            <w:r w:rsidRPr="000660B7">
              <w:rPr>
                <w:b/>
                <w:bCs w:val="0"/>
              </w:rPr>
              <w:t>$</w:t>
            </w:r>
            <w:r w:rsidR="003D0BC2" w:rsidRPr="003D0BC2">
              <w:rPr>
                <w:b/>
                <w:bCs w:val="0"/>
                <w:sz w:val="2"/>
                <w:highlight w:val="black"/>
              </w:rPr>
              <w:t>redacted content</w:t>
            </w:r>
            <w:r w:rsidR="00902BD1">
              <w:rPr>
                <w:b/>
                <w:bCs w:val="0"/>
                <w:vertAlign w:val="superscript"/>
              </w:rPr>
              <w:t>5</w:t>
            </w:r>
          </w:p>
        </w:tc>
        <w:tc>
          <w:tcPr>
            <w:tcW w:w="598" w:type="pct"/>
            <w:vAlign w:val="center"/>
          </w:tcPr>
          <w:p w14:paraId="48552969" w14:textId="31952CE1" w:rsidR="0099789C" w:rsidRPr="00902BD1" w:rsidRDefault="0099789C">
            <w:pPr>
              <w:pStyle w:val="COMTabletext"/>
              <w:jc w:val="center"/>
              <w:rPr>
                <w:b/>
                <w:bCs w:val="0"/>
                <w:vertAlign w:val="superscript"/>
              </w:rPr>
            </w:pPr>
            <w:r w:rsidRPr="000660B7">
              <w:rPr>
                <w:b/>
                <w:bCs w:val="0"/>
              </w:rPr>
              <w:t>$</w:t>
            </w:r>
            <w:r w:rsidR="003D0BC2" w:rsidRPr="003D0BC2">
              <w:rPr>
                <w:b/>
                <w:bCs w:val="0"/>
                <w:sz w:val="2"/>
                <w:highlight w:val="black"/>
              </w:rPr>
              <w:t>redacted content</w:t>
            </w:r>
            <w:r w:rsidR="00902BD1">
              <w:rPr>
                <w:b/>
                <w:bCs w:val="0"/>
                <w:vertAlign w:val="superscript"/>
              </w:rPr>
              <w:t>5</w:t>
            </w:r>
          </w:p>
        </w:tc>
        <w:tc>
          <w:tcPr>
            <w:tcW w:w="598" w:type="pct"/>
            <w:vAlign w:val="center"/>
          </w:tcPr>
          <w:p w14:paraId="06228A59" w14:textId="4685CB94" w:rsidR="0099789C" w:rsidRPr="00902BD1" w:rsidRDefault="0099789C">
            <w:pPr>
              <w:pStyle w:val="COMTabletext"/>
              <w:jc w:val="center"/>
              <w:rPr>
                <w:b/>
                <w:bCs w:val="0"/>
                <w:vertAlign w:val="superscript"/>
              </w:rPr>
            </w:pPr>
            <w:r w:rsidRPr="000660B7">
              <w:rPr>
                <w:b/>
                <w:bCs w:val="0"/>
              </w:rPr>
              <w:t>$</w:t>
            </w:r>
            <w:r w:rsidR="003D0BC2" w:rsidRPr="003D0BC2">
              <w:rPr>
                <w:b/>
                <w:bCs w:val="0"/>
                <w:sz w:val="2"/>
                <w:highlight w:val="black"/>
              </w:rPr>
              <w:t>redacted content</w:t>
            </w:r>
            <w:r w:rsidR="00902BD1">
              <w:rPr>
                <w:b/>
                <w:bCs w:val="0"/>
                <w:vertAlign w:val="superscript"/>
              </w:rPr>
              <w:t>5</w:t>
            </w:r>
          </w:p>
        </w:tc>
        <w:tc>
          <w:tcPr>
            <w:tcW w:w="598" w:type="pct"/>
            <w:vAlign w:val="center"/>
          </w:tcPr>
          <w:p w14:paraId="76222CB4" w14:textId="442C417B" w:rsidR="0099789C" w:rsidRPr="00902BD1" w:rsidRDefault="0099789C">
            <w:pPr>
              <w:pStyle w:val="COMTabletext"/>
              <w:jc w:val="center"/>
              <w:rPr>
                <w:b/>
                <w:bCs w:val="0"/>
                <w:vertAlign w:val="superscript"/>
              </w:rPr>
            </w:pPr>
            <w:r w:rsidRPr="000660B7">
              <w:rPr>
                <w:b/>
                <w:bCs w:val="0"/>
              </w:rPr>
              <w:t>$</w:t>
            </w:r>
            <w:r w:rsidR="003D0BC2" w:rsidRPr="003D0BC2">
              <w:rPr>
                <w:b/>
                <w:bCs w:val="0"/>
                <w:sz w:val="2"/>
                <w:highlight w:val="black"/>
              </w:rPr>
              <w:t>redacted content</w:t>
            </w:r>
            <w:r w:rsidR="00902BD1">
              <w:rPr>
                <w:b/>
                <w:bCs w:val="0"/>
                <w:vertAlign w:val="superscript"/>
              </w:rPr>
              <w:t>5</w:t>
            </w:r>
          </w:p>
        </w:tc>
      </w:tr>
      <w:tr w:rsidR="0099789C" w:rsidRPr="00986363" w14:paraId="3F629BC4" w14:textId="77777777">
        <w:tc>
          <w:tcPr>
            <w:tcW w:w="1412" w:type="pct"/>
          </w:tcPr>
          <w:p w14:paraId="36BEBC3D" w14:textId="77777777" w:rsidR="0099789C" w:rsidRPr="00986363" w:rsidRDefault="0099789C">
            <w:pPr>
              <w:pStyle w:val="COMTabletext"/>
            </w:pPr>
            <w:r w:rsidRPr="00986363">
              <w:t>Total cost to MBS</w:t>
            </w:r>
            <w:r>
              <w:rPr>
                <w:vertAlign w:val="superscript"/>
              </w:rPr>
              <w:t>c</w:t>
            </w:r>
          </w:p>
        </w:tc>
        <w:tc>
          <w:tcPr>
            <w:tcW w:w="598" w:type="pct"/>
            <w:vAlign w:val="center"/>
          </w:tcPr>
          <w:p w14:paraId="4E4850D1" w14:textId="4D2C08DE" w:rsidR="0099789C" w:rsidRPr="002D0A8C" w:rsidRDefault="0099789C">
            <w:pPr>
              <w:pStyle w:val="COMTabletext"/>
              <w:jc w:val="center"/>
              <w:rPr>
                <w:vertAlign w:val="superscript"/>
              </w:rPr>
            </w:pPr>
            <w:r w:rsidRPr="00986363">
              <w:t>$</w:t>
            </w:r>
            <w:r w:rsidR="003D0BC2" w:rsidRPr="003D0BC2">
              <w:rPr>
                <w:sz w:val="2"/>
                <w:highlight w:val="black"/>
              </w:rPr>
              <w:t>redacted content</w:t>
            </w:r>
            <w:r w:rsidR="002D0A8C">
              <w:rPr>
                <w:vertAlign w:val="superscript"/>
              </w:rPr>
              <w:t>7</w:t>
            </w:r>
          </w:p>
        </w:tc>
        <w:tc>
          <w:tcPr>
            <w:tcW w:w="598" w:type="pct"/>
            <w:vAlign w:val="center"/>
          </w:tcPr>
          <w:p w14:paraId="475147E7" w14:textId="64953DAB" w:rsidR="0099789C" w:rsidRPr="002D0A8C" w:rsidRDefault="0099789C">
            <w:pPr>
              <w:pStyle w:val="COMTabletext"/>
              <w:jc w:val="center"/>
              <w:rPr>
                <w:vertAlign w:val="superscript"/>
              </w:rPr>
            </w:pPr>
            <w:r w:rsidRPr="00986363">
              <w:t>$</w:t>
            </w:r>
            <w:r w:rsidR="003D0BC2" w:rsidRPr="003D0BC2">
              <w:rPr>
                <w:sz w:val="2"/>
                <w:highlight w:val="black"/>
              </w:rPr>
              <w:t>redacted content</w:t>
            </w:r>
            <w:r w:rsidR="002D0A8C">
              <w:rPr>
                <w:vertAlign w:val="superscript"/>
              </w:rPr>
              <w:t>7</w:t>
            </w:r>
          </w:p>
        </w:tc>
        <w:tc>
          <w:tcPr>
            <w:tcW w:w="598" w:type="pct"/>
            <w:vAlign w:val="center"/>
          </w:tcPr>
          <w:p w14:paraId="14404AED" w14:textId="5920BFFC" w:rsidR="0099789C" w:rsidRPr="002D0A8C" w:rsidRDefault="0099789C">
            <w:pPr>
              <w:pStyle w:val="COMTabletext"/>
              <w:jc w:val="center"/>
              <w:rPr>
                <w:vertAlign w:val="superscript"/>
              </w:rPr>
            </w:pPr>
            <w:r w:rsidRPr="00986363">
              <w:t>$</w:t>
            </w:r>
            <w:r w:rsidR="003D0BC2" w:rsidRPr="003D0BC2">
              <w:rPr>
                <w:sz w:val="2"/>
                <w:highlight w:val="black"/>
              </w:rPr>
              <w:t>redacted content</w:t>
            </w:r>
            <w:r w:rsidR="002D0A8C">
              <w:rPr>
                <w:vertAlign w:val="superscript"/>
              </w:rPr>
              <w:t>7</w:t>
            </w:r>
          </w:p>
        </w:tc>
        <w:tc>
          <w:tcPr>
            <w:tcW w:w="598" w:type="pct"/>
            <w:vAlign w:val="center"/>
          </w:tcPr>
          <w:p w14:paraId="0187300E" w14:textId="2B37889A" w:rsidR="0099789C" w:rsidRPr="002D0A8C" w:rsidRDefault="0099789C">
            <w:pPr>
              <w:pStyle w:val="COMTabletext"/>
              <w:jc w:val="center"/>
              <w:rPr>
                <w:vertAlign w:val="superscript"/>
              </w:rPr>
            </w:pPr>
            <w:r w:rsidRPr="00986363">
              <w:t>$</w:t>
            </w:r>
            <w:r w:rsidR="003D0BC2" w:rsidRPr="003D0BC2">
              <w:rPr>
                <w:sz w:val="2"/>
                <w:highlight w:val="black"/>
              </w:rPr>
              <w:t>redacted content</w:t>
            </w:r>
            <w:r w:rsidR="002D0A8C">
              <w:rPr>
                <w:vertAlign w:val="superscript"/>
              </w:rPr>
              <w:t>7</w:t>
            </w:r>
          </w:p>
        </w:tc>
        <w:tc>
          <w:tcPr>
            <w:tcW w:w="598" w:type="pct"/>
            <w:vAlign w:val="center"/>
          </w:tcPr>
          <w:p w14:paraId="3A4B4747" w14:textId="2DD8C633" w:rsidR="0099789C" w:rsidRPr="002D0A8C" w:rsidRDefault="0099789C">
            <w:pPr>
              <w:pStyle w:val="COMTabletext"/>
              <w:jc w:val="center"/>
              <w:rPr>
                <w:vertAlign w:val="superscript"/>
              </w:rPr>
            </w:pPr>
            <w:r w:rsidRPr="00986363">
              <w:t>$</w:t>
            </w:r>
            <w:r w:rsidR="003D0BC2" w:rsidRPr="003D0BC2">
              <w:rPr>
                <w:sz w:val="2"/>
                <w:highlight w:val="black"/>
              </w:rPr>
              <w:t>redacted content</w:t>
            </w:r>
            <w:r w:rsidR="002D0A8C">
              <w:rPr>
                <w:vertAlign w:val="superscript"/>
              </w:rPr>
              <w:t>7</w:t>
            </w:r>
          </w:p>
        </w:tc>
        <w:tc>
          <w:tcPr>
            <w:tcW w:w="598" w:type="pct"/>
            <w:vAlign w:val="center"/>
          </w:tcPr>
          <w:p w14:paraId="74FA3F7D" w14:textId="3D57BE34" w:rsidR="0099789C" w:rsidRPr="002D0A8C" w:rsidRDefault="0099789C">
            <w:pPr>
              <w:pStyle w:val="COMTabletext"/>
              <w:jc w:val="center"/>
              <w:rPr>
                <w:vertAlign w:val="superscript"/>
              </w:rPr>
            </w:pPr>
            <w:r w:rsidRPr="00986363">
              <w:t>$</w:t>
            </w:r>
            <w:r w:rsidR="003D0BC2" w:rsidRPr="003D0BC2">
              <w:rPr>
                <w:sz w:val="2"/>
                <w:highlight w:val="black"/>
              </w:rPr>
              <w:t>redacted content</w:t>
            </w:r>
            <w:r w:rsidR="002D0A8C">
              <w:rPr>
                <w:vertAlign w:val="superscript"/>
              </w:rPr>
              <w:t>7</w:t>
            </w:r>
          </w:p>
        </w:tc>
      </w:tr>
      <w:tr w:rsidR="0099789C" w:rsidRPr="004D7BAB" w14:paraId="38F018DD" w14:textId="77777777">
        <w:tc>
          <w:tcPr>
            <w:tcW w:w="1412" w:type="pct"/>
            <w:vAlign w:val="center"/>
          </w:tcPr>
          <w:p w14:paraId="44FE83B2" w14:textId="77777777" w:rsidR="0099789C" w:rsidRPr="008F1F20" w:rsidRDefault="0099789C">
            <w:pPr>
              <w:pStyle w:val="COMTabletext"/>
              <w:keepLines w:val="0"/>
              <w:rPr>
                <w:b/>
                <w:bCs w:val="0"/>
              </w:rPr>
            </w:pPr>
            <w:r w:rsidRPr="00C92650">
              <w:rPr>
                <w:rFonts w:eastAsia="Times New Roman" w:cstheme="minorHAnsi"/>
                <w:b/>
                <w:szCs w:val="20"/>
              </w:rPr>
              <w:t>Net cost to PBS/RPBS/MBS</w:t>
            </w:r>
          </w:p>
        </w:tc>
        <w:tc>
          <w:tcPr>
            <w:tcW w:w="598" w:type="pct"/>
            <w:vAlign w:val="center"/>
          </w:tcPr>
          <w:p w14:paraId="730F272B" w14:textId="34A09FD0" w:rsidR="0099789C" w:rsidRPr="005C2F20" w:rsidRDefault="0099789C">
            <w:pPr>
              <w:pStyle w:val="COMTabletext"/>
              <w:jc w:val="center"/>
              <w:rPr>
                <w:b/>
                <w:bCs w:val="0"/>
                <w:vertAlign w:val="superscript"/>
              </w:rPr>
            </w:pPr>
            <w:r w:rsidRPr="00272DD3">
              <w:rPr>
                <w:b/>
                <w:bCs w:val="0"/>
              </w:rPr>
              <w:t>$</w:t>
            </w:r>
            <w:r w:rsidR="003D0BC2" w:rsidRPr="003D0BC2">
              <w:rPr>
                <w:b/>
                <w:bCs w:val="0"/>
                <w:sz w:val="2"/>
                <w:highlight w:val="black"/>
              </w:rPr>
              <w:t>redacted content</w:t>
            </w:r>
            <w:r w:rsidR="005C2F20">
              <w:rPr>
                <w:b/>
                <w:bCs w:val="0"/>
                <w:vertAlign w:val="superscript"/>
              </w:rPr>
              <w:t>4</w:t>
            </w:r>
          </w:p>
        </w:tc>
        <w:tc>
          <w:tcPr>
            <w:tcW w:w="598" w:type="pct"/>
            <w:vAlign w:val="center"/>
          </w:tcPr>
          <w:p w14:paraId="275E7EDB" w14:textId="0C2C9F86" w:rsidR="0099789C" w:rsidRPr="005C2F20" w:rsidRDefault="0099789C">
            <w:pPr>
              <w:pStyle w:val="COMTabletext"/>
              <w:jc w:val="center"/>
              <w:rPr>
                <w:b/>
                <w:bCs w:val="0"/>
                <w:vertAlign w:val="superscript"/>
              </w:rPr>
            </w:pPr>
            <w:r w:rsidRPr="00272DD3">
              <w:rPr>
                <w:b/>
                <w:bCs w:val="0"/>
              </w:rPr>
              <w:t>$</w:t>
            </w:r>
            <w:r w:rsidR="003D0BC2" w:rsidRPr="003D0BC2">
              <w:rPr>
                <w:b/>
                <w:bCs w:val="0"/>
                <w:sz w:val="2"/>
                <w:highlight w:val="black"/>
              </w:rPr>
              <w:t>redacted content</w:t>
            </w:r>
            <w:r w:rsidR="005C2F20">
              <w:rPr>
                <w:b/>
                <w:bCs w:val="0"/>
                <w:vertAlign w:val="superscript"/>
              </w:rPr>
              <w:t>4</w:t>
            </w:r>
          </w:p>
        </w:tc>
        <w:tc>
          <w:tcPr>
            <w:tcW w:w="598" w:type="pct"/>
            <w:vAlign w:val="center"/>
          </w:tcPr>
          <w:p w14:paraId="6F355020" w14:textId="7550CC9D" w:rsidR="0099789C" w:rsidRPr="00902BD1" w:rsidRDefault="0099789C">
            <w:pPr>
              <w:pStyle w:val="COMTabletext"/>
              <w:jc w:val="center"/>
              <w:rPr>
                <w:b/>
                <w:bCs w:val="0"/>
                <w:vertAlign w:val="superscript"/>
              </w:rPr>
            </w:pPr>
            <w:r w:rsidRPr="00272DD3">
              <w:rPr>
                <w:b/>
                <w:bCs w:val="0"/>
              </w:rPr>
              <w:t>$</w:t>
            </w:r>
            <w:r w:rsidR="003D0BC2" w:rsidRPr="003D0BC2">
              <w:rPr>
                <w:b/>
                <w:bCs w:val="0"/>
                <w:sz w:val="2"/>
                <w:highlight w:val="black"/>
              </w:rPr>
              <w:t>redacted content</w:t>
            </w:r>
            <w:r w:rsidR="00902BD1">
              <w:rPr>
                <w:b/>
                <w:bCs w:val="0"/>
                <w:vertAlign w:val="superscript"/>
              </w:rPr>
              <w:t>5</w:t>
            </w:r>
          </w:p>
        </w:tc>
        <w:tc>
          <w:tcPr>
            <w:tcW w:w="598" w:type="pct"/>
            <w:vAlign w:val="center"/>
          </w:tcPr>
          <w:p w14:paraId="6B4FE125" w14:textId="59857783" w:rsidR="0099789C" w:rsidRPr="00902BD1" w:rsidRDefault="0099789C">
            <w:pPr>
              <w:pStyle w:val="COMTabletext"/>
              <w:jc w:val="center"/>
              <w:rPr>
                <w:b/>
                <w:bCs w:val="0"/>
                <w:vertAlign w:val="superscript"/>
              </w:rPr>
            </w:pPr>
            <w:r w:rsidRPr="00272DD3">
              <w:rPr>
                <w:b/>
                <w:bCs w:val="0"/>
              </w:rPr>
              <w:t>$</w:t>
            </w:r>
            <w:r w:rsidR="003D0BC2" w:rsidRPr="003D0BC2">
              <w:rPr>
                <w:b/>
                <w:bCs w:val="0"/>
                <w:sz w:val="2"/>
                <w:highlight w:val="black"/>
              </w:rPr>
              <w:t>redacted content</w:t>
            </w:r>
            <w:r w:rsidR="00902BD1">
              <w:rPr>
                <w:b/>
                <w:bCs w:val="0"/>
                <w:vertAlign w:val="superscript"/>
              </w:rPr>
              <w:t>5</w:t>
            </w:r>
          </w:p>
        </w:tc>
        <w:tc>
          <w:tcPr>
            <w:tcW w:w="598" w:type="pct"/>
            <w:vAlign w:val="center"/>
          </w:tcPr>
          <w:p w14:paraId="727D3CA7" w14:textId="63B1CD0E" w:rsidR="0099789C" w:rsidRPr="00902BD1" w:rsidRDefault="0099789C">
            <w:pPr>
              <w:pStyle w:val="COMTabletext"/>
              <w:jc w:val="center"/>
              <w:rPr>
                <w:b/>
                <w:bCs w:val="0"/>
                <w:vertAlign w:val="superscript"/>
              </w:rPr>
            </w:pPr>
            <w:r w:rsidRPr="00272DD3">
              <w:rPr>
                <w:b/>
                <w:bCs w:val="0"/>
              </w:rPr>
              <w:t>$</w:t>
            </w:r>
            <w:r w:rsidR="003D0BC2" w:rsidRPr="003D0BC2">
              <w:rPr>
                <w:b/>
                <w:bCs w:val="0"/>
                <w:sz w:val="2"/>
                <w:highlight w:val="black"/>
              </w:rPr>
              <w:t>redacted content</w:t>
            </w:r>
            <w:r w:rsidR="00902BD1">
              <w:rPr>
                <w:b/>
                <w:bCs w:val="0"/>
                <w:vertAlign w:val="superscript"/>
              </w:rPr>
              <w:t>5</w:t>
            </w:r>
          </w:p>
        </w:tc>
        <w:tc>
          <w:tcPr>
            <w:tcW w:w="598" w:type="pct"/>
            <w:vAlign w:val="center"/>
          </w:tcPr>
          <w:p w14:paraId="498CC861" w14:textId="267A2964" w:rsidR="0099789C" w:rsidRPr="00902BD1" w:rsidRDefault="0099789C">
            <w:pPr>
              <w:pStyle w:val="COMTabletext"/>
              <w:jc w:val="center"/>
              <w:rPr>
                <w:b/>
                <w:bCs w:val="0"/>
                <w:vertAlign w:val="superscript"/>
              </w:rPr>
            </w:pPr>
            <w:r w:rsidRPr="00272DD3">
              <w:rPr>
                <w:b/>
                <w:bCs w:val="0"/>
              </w:rPr>
              <w:t>$</w:t>
            </w:r>
            <w:r w:rsidR="003D0BC2" w:rsidRPr="003D0BC2">
              <w:rPr>
                <w:b/>
                <w:bCs w:val="0"/>
                <w:sz w:val="2"/>
                <w:highlight w:val="black"/>
              </w:rPr>
              <w:t>redacted content</w:t>
            </w:r>
            <w:r w:rsidR="00902BD1">
              <w:rPr>
                <w:b/>
                <w:bCs w:val="0"/>
                <w:vertAlign w:val="superscript"/>
              </w:rPr>
              <w:t>5</w:t>
            </w:r>
          </w:p>
        </w:tc>
      </w:tr>
      <w:tr w:rsidR="00B747B3" w:rsidRPr="00776065" w14:paraId="1A4A3312" w14:textId="77777777" w:rsidTr="0073106A">
        <w:tc>
          <w:tcPr>
            <w:tcW w:w="5000" w:type="pct"/>
            <w:gridSpan w:val="7"/>
            <w:vAlign w:val="center"/>
          </w:tcPr>
          <w:p w14:paraId="21321B33" w14:textId="22DD0170" w:rsidR="00B747B3" w:rsidRPr="00776065" w:rsidRDefault="00B747B3" w:rsidP="0073106A">
            <w:pPr>
              <w:pStyle w:val="COMTabletext"/>
              <w:rPr>
                <w:b/>
                <w:bCs w:val="0"/>
              </w:rPr>
            </w:pPr>
            <w:r>
              <w:rPr>
                <w:b/>
                <w:bCs w:val="0"/>
              </w:rPr>
              <w:t>Pre-PBAC Response:</w:t>
            </w:r>
          </w:p>
        </w:tc>
      </w:tr>
      <w:tr w:rsidR="00BA3FE2" w:rsidRPr="00776065" w14:paraId="65D3A005" w14:textId="77777777" w:rsidTr="0073106A">
        <w:tc>
          <w:tcPr>
            <w:tcW w:w="5000" w:type="pct"/>
            <w:gridSpan w:val="7"/>
            <w:vAlign w:val="center"/>
          </w:tcPr>
          <w:p w14:paraId="3E7D3E81" w14:textId="5928726D" w:rsidR="00BA3FE2" w:rsidRPr="00776065" w:rsidRDefault="00BA3FE2" w:rsidP="0073106A">
            <w:pPr>
              <w:pStyle w:val="COMTabletext"/>
              <w:rPr>
                <w:b/>
                <w:bCs w:val="0"/>
              </w:rPr>
            </w:pPr>
            <w:r w:rsidRPr="00776065">
              <w:rPr>
                <w:b/>
                <w:bCs w:val="0"/>
              </w:rPr>
              <w:t>Estimated extent of use</w:t>
            </w:r>
          </w:p>
        </w:tc>
      </w:tr>
      <w:tr w:rsidR="00BA3FE2" w:rsidRPr="004D7BAB" w14:paraId="132383FD" w14:textId="77777777" w:rsidTr="007669D0">
        <w:tc>
          <w:tcPr>
            <w:tcW w:w="1412" w:type="pct"/>
            <w:tcBorders>
              <w:bottom w:val="single" w:sz="4" w:space="0" w:color="auto"/>
            </w:tcBorders>
          </w:tcPr>
          <w:p w14:paraId="3F192D34" w14:textId="77777777" w:rsidR="00BA3FE2" w:rsidRPr="004439FB" w:rsidRDefault="00BA3FE2" w:rsidP="007669D0">
            <w:pPr>
              <w:pStyle w:val="COMTabletext"/>
            </w:pPr>
            <w:r>
              <w:t>P</w:t>
            </w:r>
            <w:r w:rsidRPr="004439FB">
              <w:t>atients treated</w:t>
            </w:r>
            <w:r>
              <w:t xml:space="preserve"> with</w:t>
            </w:r>
            <w:r w:rsidRPr="004439FB">
              <w:t xml:space="preserve"> </w:t>
            </w:r>
            <w:r>
              <w:t>2L</w:t>
            </w:r>
            <w:r w:rsidRPr="004439FB">
              <w:t xml:space="preserve"> tarlatamab</w:t>
            </w:r>
          </w:p>
        </w:tc>
        <w:tc>
          <w:tcPr>
            <w:tcW w:w="598" w:type="pct"/>
            <w:tcBorders>
              <w:bottom w:val="single" w:sz="4" w:space="0" w:color="auto"/>
            </w:tcBorders>
            <w:vAlign w:val="center"/>
          </w:tcPr>
          <w:p w14:paraId="43E7FFE7" w14:textId="10771113" w:rsidR="00BA3FE2" w:rsidRPr="006B0B2A" w:rsidRDefault="003D0BC2" w:rsidP="007669D0">
            <w:pPr>
              <w:pStyle w:val="COMTabletext"/>
              <w:jc w:val="center"/>
              <w:rPr>
                <w:vertAlign w:val="superscript"/>
              </w:rPr>
            </w:pPr>
            <w:r w:rsidRPr="003D0BC2">
              <w:rPr>
                <w:sz w:val="2"/>
                <w:highlight w:val="black"/>
              </w:rPr>
              <w:t>redacted content</w:t>
            </w:r>
            <w:r w:rsidR="006B0B2A">
              <w:rPr>
                <w:vertAlign w:val="superscript"/>
              </w:rPr>
              <w:t>2</w:t>
            </w:r>
          </w:p>
        </w:tc>
        <w:tc>
          <w:tcPr>
            <w:tcW w:w="598" w:type="pct"/>
            <w:tcBorders>
              <w:bottom w:val="single" w:sz="4" w:space="0" w:color="auto"/>
            </w:tcBorders>
            <w:vAlign w:val="center"/>
          </w:tcPr>
          <w:p w14:paraId="36511CDB" w14:textId="45C2EB2E" w:rsidR="00BA3FE2" w:rsidRPr="00D03D33" w:rsidRDefault="003D0BC2" w:rsidP="007669D0">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bottom w:val="single" w:sz="4" w:space="0" w:color="auto"/>
            </w:tcBorders>
            <w:vAlign w:val="center"/>
          </w:tcPr>
          <w:p w14:paraId="60CCD287" w14:textId="64CE9C14" w:rsidR="00BA3FE2" w:rsidRPr="00D03D33" w:rsidRDefault="003D0BC2" w:rsidP="007669D0">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bottom w:val="single" w:sz="4" w:space="0" w:color="auto"/>
            </w:tcBorders>
            <w:vAlign w:val="center"/>
          </w:tcPr>
          <w:p w14:paraId="2CB55E22" w14:textId="60A9093C" w:rsidR="00BA3FE2" w:rsidRPr="00D03D33" w:rsidRDefault="003D0BC2" w:rsidP="007669D0">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bottom w:val="single" w:sz="4" w:space="0" w:color="auto"/>
            </w:tcBorders>
            <w:vAlign w:val="center"/>
          </w:tcPr>
          <w:p w14:paraId="44E91711" w14:textId="17A62787" w:rsidR="00BA3FE2" w:rsidRPr="00D03D33" w:rsidRDefault="003D0BC2" w:rsidP="007669D0">
            <w:pPr>
              <w:pStyle w:val="COMTabletext"/>
              <w:jc w:val="center"/>
              <w:rPr>
                <w:vertAlign w:val="superscript"/>
              </w:rPr>
            </w:pPr>
            <w:r w:rsidRPr="003D0BC2">
              <w:rPr>
                <w:sz w:val="2"/>
                <w:highlight w:val="black"/>
              </w:rPr>
              <w:t>redacted content</w:t>
            </w:r>
            <w:r w:rsidR="00D03D33">
              <w:rPr>
                <w:vertAlign w:val="superscript"/>
              </w:rPr>
              <w:t>1</w:t>
            </w:r>
          </w:p>
        </w:tc>
        <w:tc>
          <w:tcPr>
            <w:tcW w:w="598" w:type="pct"/>
            <w:tcBorders>
              <w:bottom w:val="single" w:sz="4" w:space="0" w:color="auto"/>
            </w:tcBorders>
            <w:vAlign w:val="center"/>
          </w:tcPr>
          <w:p w14:paraId="3D26C36A" w14:textId="2FCA480F" w:rsidR="00BA3FE2" w:rsidRPr="00D03D33" w:rsidRDefault="003D0BC2" w:rsidP="007669D0">
            <w:pPr>
              <w:pStyle w:val="COMTabletext"/>
              <w:jc w:val="center"/>
              <w:rPr>
                <w:vertAlign w:val="superscript"/>
              </w:rPr>
            </w:pPr>
            <w:r w:rsidRPr="003D0BC2">
              <w:rPr>
                <w:sz w:val="2"/>
                <w:highlight w:val="black"/>
              </w:rPr>
              <w:t>redacted content</w:t>
            </w:r>
            <w:r w:rsidR="00D03D33">
              <w:rPr>
                <w:vertAlign w:val="superscript"/>
              </w:rPr>
              <w:t>1</w:t>
            </w:r>
          </w:p>
        </w:tc>
      </w:tr>
      <w:tr w:rsidR="00BA3FE2" w:rsidRPr="004D7BAB" w14:paraId="043D6A29" w14:textId="77777777" w:rsidTr="007669D0">
        <w:tc>
          <w:tcPr>
            <w:tcW w:w="1412" w:type="pct"/>
            <w:tcBorders>
              <w:bottom w:val="single" w:sz="4" w:space="0" w:color="auto"/>
            </w:tcBorders>
          </w:tcPr>
          <w:p w14:paraId="548B4984" w14:textId="77777777" w:rsidR="00BA3FE2" w:rsidRDefault="00BA3FE2" w:rsidP="007669D0">
            <w:pPr>
              <w:pStyle w:val="COMTabletext"/>
            </w:pPr>
            <w:r>
              <w:t>P</w:t>
            </w:r>
            <w:r w:rsidRPr="004439FB">
              <w:t xml:space="preserve">atients treated </w:t>
            </w:r>
            <w:r>
              <w:t>with 3L</w:t>
            </w:r>
            <w:r w:rsidRPr="004439FB">
              <w:t xml:space="preserve"> tarlatamab</w:t>
            </w:r>
          </w:p>
        </w:tc>
        <w:tc>
          <w:tcPr>
            <w:tcW w:w="598" w:type="pct"/>
            <w:tcBorders>
              <w:bottom w:val="single" w:sz="4" w:space="0" w:color="auto"/>
            </w:tcBorders>
            <w:vAlign w:val="center"/>
          </w:tcPr>
          <w:p w14:paraId="7E90272A" w14:textId="3DEEF77A" w:rsidR="00BA3FE2" w:rsidRPr="006B0B2A" w:rsidRDefault="003D0BC2" w:rsidP="007669D0">
            <w:pPr>
              <w:pStyle w:val="COMTabletext"/>
              <w:jc w:val="center"/>
              <w:rPr>
                <w:vertAlign w:val="superscript"/>
              </w:rPr>
            </w:pPr>
            <w:r w:rsidRPr="003D0BC2">
              <w:rPr>
                <w:sz w:val="2"/>
                <w:highlight w:val="black"/>
              </w:rPr>
              <w:t>redacted content</w:t>
            </w:r>
            <w:r w:rsidR="006B0B2A">
              <w:rPr>
                <w:vertAlign w:val="superscript"/>
              </w:rPr>
              <w:t>2</w:t>
            </w:r>
          </w:p>
        </w:tc>
        <w:tc>
          <w:tcPr>
            <w:tcW w:w="598" w:type="pct"/>
            <w:tcBorders>
              <w:bottom w:val="single" w:sz="4" w:space="0" w:color="auto"/>
            </w:tcBorders>
            <w:vAlign w:val="center"/>
          </w:tcPr>
          <w:p w14:paraId="7B3B6AC5" w14:textId="674463C7" w:rsidR="00BA3FE2" w:rsidRPr="006B0B2A" w:rsidRDefault="003D0BC2" w:rsidP="007669D0">
            <w:pPr>
              <w:pStyle w:val="COMTabletext"/>
              <w:jc w:val="center"/>
              <w:rPr>
                <w:vertAlign w:val="superscript"/>
              </w:rPr>
            </w:pPr>
            <w:r w:rsidRPr="003D0BC2">
              <w:rPr>
                <w:sz w:val="2"/>
                <w:highlight w:val="black"/>
              </w:rPr>
              <w:t>redacted content</w:t>
            </w:r>
            <w:r w:rsidR="006B0B2A">
              <w:rPr>
                <w:vertAlign w:val="superscript"/>
              </w:rPr>
              <w:t>2</w:t>
            </w:r>
          </w:p>
        </w:tc>
        <w:tc>
          <w:tcPr>
            <w:tcW w:w="598" w:type="pct"/>
            <w:tcBorders>
              <w:bottom w:val="single" w:sz="4" w:space="0" w:color="auto"/>
            </w:tcBorders>
            <w:vAlign w:val="center"/>
          </w:tcPr>
          <w:p w14:paraId="317BF2CA" w14:textId="3E44DCA0" w:rsidR="00BA3FE2" w:rsidRPr="006B0B2A" w:rsidRDefault="003D0BC2" w:rsidP="007669D0">
            <w:pPr>
              <w:pStyle w:val="COMTabletext"/>
              <w:jc w:val="center"/>
              <w:rPr>
                <w:vertAlign w:val="superscript"/>
              </w:rPr>
            </w:pPr>
            <w:r w:rsidRPr="003D0BC2">
              <w:rPr>
                <w:sz w:val="2"/>
                <w:highlight w:val="black"/>
              </w:rPr>
              <w:t>redacted content</w:t>
            </w:r>
            <w:r w:rsidR="006B0B2A">
              <w:rPr>
                <w:vertAlign w:val="superscript"/>
              </w:rPr>
              <w:t>2</w:t>
            </w:r>
          </w:p>
        </w:tc>
        <w:tc>
          <w:tcPr>
            <w:tcW w:w="598" w:type="pct"/>
            <w:tcBorders>
              <w:bottom w:val="single" w:sz="4" w:space="0" w:color="auto"/>
            </w:tcBorders>
            <w:vAlign w:val="center"/>
          </w:tcPr>
          <w:p w14:paraId="7B1E0685" w14:textId="4F4FA228" w:rsidR="00BA3FE2" w:rsidRPr="006B0B2A" w:rsidRDefault="003D0BC2" w:rsidP="007669D0">
            <w:pPr>
              <w:pStyle w:val="COMTabletext"/>
              <w:jc w:val="center"/>
              <w:rPr>
                <w:vertAlign w:val="superscript"/>
              </w:rPr>
            </w:pPr>
            <w:r w:rsidRPr="003D0BC2">
              <w:rPr>
                <w:sz w:val="2"/>
                <w:highlight w:val="black"/>
              </w:rPr>
              <w:t>redacted content</w:t>
            </w:r>
            <w:r w:rsidR="006B0B2A">
              <w:rPr>
                <w:vertAlign w:val="superscript"/>
              </w:rPr>
              <w:t>2</w:t>
            </w:r>
          </w:p>
        </w:tc>
        <w:tc>
          <w:tcPr>
            <w:tcW w:w="598" w:type="pct"/>
            <w:tcBorders>
              <w:bottom w:val="single" w:sz="4" w:space="0" w:color="auto"/>
            </w:tcBorders>
            <w:vAlign w:val="center"/>
          </w:tcPr>
          <w:p w14:paraId="49ED2609" w14:textId="2E1A960B" w:rsidR="00BA3FE2" w:rsidRPr="006B0B2A" w:rsidRDefault="003D0BC2" w:rsidP="007669D0">
            <w:pPr>
              <w:pStyle w:val="COMTabletext"/>
              <w:jc w:val="center"/>
              <w:rPr>
                <w:vertAlign w:val="superscript"/>
              </w:rPr>
            </w:pPr>
            <w:r w:rsidRPr="003D0BC2">
              <w:rPr>
                <w:sz w:val="2"/>
                <w:highlight w:val="black"/>
              </w:rPr>
              <w:t>redacted content</w:t>
            </w:r>
            <w:r w:rsidR="006B0B2A">
              <w:rPr>
                <w:vertAlign w:val="superscript"/>
              </w:rPr>
              <w:t>2</w:t>
            </w:r>
          </w:p>
        </w:tc>
        <w:tc>
          <w:tcPr>
            <w:tcW w:w="598" w:type="pct"/>
            <w:tcBorders>
              <w:bottom w:val="single" w:sz="4" w:space="0" w:color="auto"/>
            </w:tcBorders>
            <w:vAlign w:val="center"/>
          </w:tcPr>
          <w:p w14:paraId="29D8FBB7" w14:textId="51C6A4FC" w:rsidR="00BA3FE2" w:rsidRPr="006B0B2A" w:rsidRDefault="003D0BC2" w:rsidP="007669D0">
            <w:pPr>
              <w:pStyle w:val="COMTabletext"/>
              <w:jc w:val="center"/>
              <w:rPr>
                <w:vertAlign w:val="superscript"/>
              </w:rPr>
            </w:pPr>
            <w:r w:rsidRPr="003D0BC2">
              <w:rPr>
                <w:sz w:val="2"/>
                <w:highlight w:val="black"/>
              </w:rPr>
              <w:t>redacted content</w:t>
            </w:r>
            <w:r w:rsidR="006B0B2A">
              <w:rPr>
                <w:vertAlign w:val="superscript"/>
              </w:rPr>
              <w:t>2</w:t>
            </w:r>
          </w:p>
        </w:tc>
      </w:tr>
      <w:tr w:rsidR="0099494E" w:rsidRPr="00776065" w14:paraId="06E28D0F" w14:textId="77777777" w:rsidTr="0073106A">
        <w:tc>
          <w:tcPr>
            <w:tcW w:w="5000" w:type="pct"/>
            <w:gridSpan w:val="7"/>
            <w:vAlign w:val="center"/>
          </w:tcPr>
          <w:p w14:paraId="13F3B139" w14:textId="60CA6D12" w:rsidR="0099494E" w:rsidRPr="00776065" w:rsidRDefault="0099494E" w:rsidP="0073106A">
            <w:pPr>
              <w:pStyle w:val="COMTabletext"/>
              <w:rPr>
                <w:b/>
                <w:bCs w:val="0"/>
              </w:rPr>
            </w:pPr>
            <w:r w:rsidRPr="00776065">
              <w:rPr>
                <w:b/>
                <w:bCs w:val="0"/>
              </w:rPr>
              <w:t xml:space="preserve">Estimated </w:t>
            </w:r>
            <w:r>
              <w:rPr>
                <w:b/>
                <w:bCs w:val="0"/>
              </w:rPr>
              <w:t>financial implications</w:t>
            </w:r>
            <w:r w:rsidRPr="00776065">
              <w:rPr>
                <w:b/>
                <w:bCs w:val="0"/>
              </w:rPr>
              <w:t xml:space="preserve"> of tarlatamab</w:t>
            </w:r>
            <w:r>
              <w:rPr>
                <w:b/>
                <w:bCs w:val="0"/>
              </w:rPr>
              <w:t xml:space="preserve"> </w:t>
            </w:r>
          </w:p>
        </w:tc>
      </w:tr>
      <w:tr w:rsidR="002605A0" w:rsidRPr="004D7BAB" w14:paraId="3C6C777B" w14:textId="77777777" w:rsidTr="0099494E">
        <w:tc>
          <w:tcPr>
            <w:tcW w:w="1412" w:type="pct"/>
          </w:tcPr>
          <w:p w14:paraId="4557C14F" w14:textId="5361FD9B" w:rsidR="002605A0" w:rsidRPr="00C92650" w:rsidRDefault="002605A0" w:rsidP="002605A0">
            <w:pPr>
              <w:pStyle w:val="COMTabletext"/>
              <w:keepLines w:val="0"/>
              <w:rPr>
                <w:rFonts w:eastAsia="Times New Roman" w:cstheme="minorHAnsi"/>
                <w:b/>
                <w:szCs w:val="20"/>
              </w:rPr>
            </w:pPr>
            <w:r>
              <w:t>Cost to PBS/RPBS less copay.</w:t>
            </w:r>
          </w:p>
        </w:tc>
        <w:tc>
          <w:tcPr>
            <w:tcW w:w="598" w:type="pct"/>
            <w:vAlign w:val="center"/>
          </w:tcPr>
          <w:p w14:paraId="529FCBF7" w14:textId="08C98E60" w:rsidR="002605A0" w:rsidRPr="003D0BC2" w:rsidRDefault="002605A0" w:rsidP="003D0BC2">
            <w:pPr>
              <w:pStyle w:val="COMTabletext"/>
              <w:jc w:val="center"/>
            </w:pPr>
            <w:r w:rsidRPr="008D39F0">
              <w:t>$</w:t>
            </w:r>
            <w:r w:rsidR="003D0BC2" w:rsidRPr="003D0BC2">
              <w:rPr>
                <w:sz w:val="2"/>
                <w:highlight w:val="black"/>
              </w:rPr>
              <w:t>redacted content</w:t>
            </w:r>
            <w:r w:rsidR="007342CE">
              <w:rPr>
                <w:vertAlign w:val="superscript"/>
              </w:rPr>
              <w:t>8</w:t>
            </w:r>
          </w:p>
        </w:tc>
        <w:tc>
          <w:tcPr>
            <w:tcW w:w="598" w:type="pct"/>
            <w:vAlign w:val="center"/>
          </w:tcPr>
          <w:p w14:paraId="57609B85" w14:textId="3767B45E" w:rsidR="002605A0" w:rsidRPr="003D0BC2" w:rsidRDefault="002605A0" w:rsidP="003D0BC2">
            <w:pPr>
              <w:pStyle w:val="COMTabletext"/>
              <w:jc w:val="center"/>
              <w:rPr>
                <w:sz w:val="2"/>
              </w:rPr>
            </w:pPr>
            <w:r w:rsidRPr="008D39F0">
              <w:t>$</w:t>
            </w:r>
            <w:r w:rsidR="003D0BC2" w:rsidRPr="003D0BC2">
              <w:rPr>
                <w:sz w:val="2"/>
                <w:highlight w:val="black"/>
              </w:rPr>
              <w:t>redacted content</w:t>
            </w:r>
            <w:r w:rsidR="003D0C92">
              <w:rPr>
                <w:vertAlign w:val="superscript"/>
              </w:rPr>
              <w:t>9</w:t>
            </w:r>
          </w:p>
        </w:tc>
        <w:tc>
          <w:tcPr>
            <w:tcW w:w="598" w:type="pct"/>
            <w:vAlign w:val="center"/>
          </w:tcPr>
          <w:p w14:paraId="303B2086" w14:textId="207F5C88" w:rsidR="003D0C92" w:rsidRPr="003D0BC2" w:rsidRDefault="002605A0" w:rsidP="003D0BC2">
            <w:pPr>
              <w:pStyle w:val="COMTabletext"/>
              <w:jc w:val="center"/>
            </w:pPr>
            <w:r w:rsidRPr="008D39F0">
              <w:t>$</w:t>
            </w:r>
            <w:r w:rsidR="003D0BC2" w:rsidRPr="003D0BC2">
              <w:rPr>
                <w:sz w:val="2"/>
                <w:highlight w:val="black"/>
              </w:rPr>
              <w:t>redacted content</w:t>
            </w:r>
            <w:r w:rsidR="003D0C92">
              <w:rPr>
                <w:vertAlign w:val="superscript"/>
              </w:rPr>
              <w:t>9</w:t>
            </w:r>
          </w:p>
        </w:tc>
        <w:tc>
          <w:tcPr>
            <w:tcW w:w="598" w:type="pct"/>
            <w:vAlign w:val="center"/>
          </w:tcPr>
          <w:p w14:paraId="675B7B09" w14:textId="510D93D7" w:rsidR="003D0C92" w:rsidRPr="003D0BC2" w:rsidRDefault="002605A0" w:rsidP="003D0BC2">
            <w:pPr>
              <w:pStyle w:val="COMTabletext"/>
              <w:jc w:val="center"/>
            </w:pPr>
            <w:r w:rsidRPr="008D39F0">
              <w:t>$</w:t>
            </w:r>
            <w:r w:rsidR="003D0BC2" w:rsidRPr="003D0BC2">
              <w:rPr>
                <w:sz w:val="2"/>
                <w:highlight w:val="black"/>
              </w:rPr>
              <w:t>redacted content</w:t>
            </w:r>
            <w:r w:rsidR="003D0C92">
              <w:rPr>
                <w:vertAlign w:val="superscript"/>
              </w:rPr>
              <w:t>9</w:t>
            </w:r>
          </w:p>
        </w:tc>
        <w:tc>
          <w:tcPr>
            <w:tcW w:w="598" w:type="pct"/>
            <w:vAlign w:val="center"/>
          </w:tcPr>
          <w:p w14:paraId="3B8BF79D" w14:textId="10ED6F0F" w:rsidR="003D0C92" w:rsidRPr="003D0BC2" w:rsidRDefault="002605A0" w:rsidP="003D0BC2">
            <w:pPr>
              <w:pStyle w:val="COMTabletext"/>
              <w:jc w:val="center"/>
            </w:pPr>
            <w:r w:rsidRPr="008D39F0">
              <w:t>$</w:t>
            </w:r>
            <w:r w:rsidR="003D0BC2" w:rsidRPr="003D0BC2">
              <w:rPr>
                <w:sz w:val="2"/>
                <w:highlight w:val="black"/>
              </w:rPr>
              <w:t>redacted content</w:t>
            </w:r>
            <w:r w:rsidR="003D0C92">
              <w:rPr>
                <w:vertAlign w:val="superscript"/>
              </w:rPr>
              <w:t>9</w:t>
            </w:r>
          </w:p>
        </w:tc>
        <w:tc>
          <w:tcPr>
            <w:tcW w:w="598" w:type="pct"/>
            <w:vAlign w:val="center"/>
          </w:tcPr>
          <w:p w14:paraId="03A718BB" w14:textId="7FCA3EA7" w:rsidR="003D0C92" w:rsidRPr="003D0BC2" w:rsidRDefault="002605A0" w:rsidP="003D0BC2">
            <w:pPr>
              <w:pStyle w:val="COMTabletext"/>
              <w:jc w:val="center"/>
            </w:pPr>
            <w:r w:rsidRPr="008D39F0">
              <w:t>$</w:t>
            </w:r>
            <w:r w:rsidR="003D0BC2" w:rsidRPr="003D0BC2">
              <w:rPr>
                <w:sz w:val="2"/>
                <w:highlight w:val="black"/>
              </w:rPr>
              <w:t>redacted content</w:t>
            </w:r>
            <w:r w:rsidR="003D0C92">
              <w:rPr>
                <w:vertAlign w:val="superscript"/>
              </w:rPr>
              <w:t>9</w:t>
            </w:r>
          </w:p>
        </w:tc>
      </w:tr>
      <w:tr w:rsidR="00B747B3" w:rsidRPr="004D7BAB" w14:paraId="0B51D892" w14:textId="77777777" w:rsidTr="00B747B3">
        <w:tc>
          <w:tcPr>
            <w:tcW w:w="5000" w:type="pct"/>
            <w:gridSpan w:val="7"/>
          </w:tcPr>
          <w:p w14:paraId="43C22D54" w14:textId="375F0C12" w:rsidR="00B747B3" w:rsidRPr="00272DD3" w:rsidRDefault="00830B42" w:rsidP="00B747B3">
            <w:pPr>
              <w:pStyle w:val="COMTabletext"/>
              <w:rPr>
                <w:b/>
                <w:bCs w:val="0"/>
              </w:rPr>
            </w:pPr>
            <w:r w:rsidRPr="00776065">
              <w:rPr>
                <w:b/>
                <w:bCs w:val="0"/>
              </w:rPr>
              <w:t xml:space="preserve">Estimated </w:t>
            </w:r>
            <w:r>
              <w:rPr>
                <w:b/>
                <w:bCs w:val="0"/>
              </w:rPr>
              <w:t>financial implications</w:t>
            </w:r>
            <w:r w:rsidRPr="00776065">
              <w:rPr>
                <w:b/>
                <w:bCs w:val="0"/>
              </w:rPr>
              <w:t xml:space="preserve"> of </w:t>
            </w:r>
            <w:r>
              <w:rPr>
                <w:b/>
                <w:bCs w:val="0"/>
              </w:rPr>
              <w:t>SOC</w:t>
            </w:r>
          </w:p>
        </w:tc>
      </w:tr>
      <w:tr w:rsidR="002605A0" w:rsidRPr="004D7BAB" w14:paraId="433B06C3" w14:textId="77777777" w:rsidTr="0099494E">
        <w:tc>
          <w:tcPr>
            <w:tcW w:w="1412" w:type="pct"/>
          </w:tcPr>
          <w:p w14:paraId="5E5C3BE8" w14:textId="714B0BC2" w:rsidR="002605A0" w:rsidRPr="00C92650" w:rsidRDefault="002605A0" w:rsidP="002605A0">
            <w:pPr>
              <w:pStyle w:val="COMTabletext"/>
              <w:keepLines w:val="0"/>
              <w:rPr>
                <w:rFonts w:eastAsia="Times New Roman" w:cstheme="minorHAnsi"/>
                <w:b/>
                <w:szCs w:val="20"/>
              </w:rPr>
            </w:pPr>
            <w:r>
              <w:t>Cost to PBS/RPBS less copay.</w:t>
            </w:r>
          </w:p>
        </w:tc>
        <w:tc>
          <w:tcPr>
            <w:tcW w:w="598" w:type="pct"/>
            <w:vAlign w:val="center"/>
          </w:tcPr>
          <w:p w14:paraId="13731045" w14:textId="05F5DF40" w:rsidR="002605A0" w:rsidRPr="00CB2378" w:rsidRDefault="002605A0" w:rsidP="002605A0">
            <w:pPr>
              <w:pStyle w:val="COMTabletext"/>
              <w:jc w:val="center"/>
              <w:rPr>
                <w:vertAlign w:val="superscript"/>
              </w:rPr>
            </w:pPr>
            <w:r w:rsidRPr="008D39F0">
              <w:t>-$</w:t>
            </w:r>
            <w:r w:rsidR="003D0BC2" w:rsidRPr="003D0BC2">
              <w:rPr>
                <w:sz w:val="2"/>
                <w:highlight w:val="black"/>
              </w:rPr>
              <w:t>redacted content</w:t>
            </w:r>
            <w:r w:rsidR="00CB2378">
              <w:rPr>
                <w:vertAlign w:val="superscript"/>
              </w:rPr>
              <w:t>6</w:t>
            </w:r>
          </w:p>
        </w:tc>
        <w:tc>
          <w:tcPr>
            <w:tcW w:w="598" w:type="pct"/>
            <w:vAlign w:val="center"/>
          </w:tcPr>
          <w:p w14:paraId="4043EA81" w14:textId="57E6937B" w:rsidR="002605A0" w:rsidRPr="00CB2378" w:rsidRDefault="002605A0" w:rsidP="002605A0">
            <w:pPr>
              <w:pStyle w:val="COMTabletext"/>
              <w:jc w:val="center"/>
              <w:rPr>
                <w:vertAlign w:val="superscript"/>
              </w:rPr>
            </w:pPr>
            <w:r w:rsidRPr="008D39F0">
              <w:t>-$</w:t>
            </w:r>
            <w:r w:rsidR="003D0BC2" w:rsidRPr="003D0BC2">
              <w:rPr>
                <w:sz w:val="2"/>
                <w:highlight w:val="black"/>
              </w:rPr>
              <w:t>redacted content</w:t>
            </w:r>
            <w:r w:rsidR="00CB2378">
              <w:rPr>
                <w:vertAlign w:val="superscript"/>
              </w:rPr>
              <w:t>6</w:t>
            </w:r>
          </w:p>
        </w:tc>
        <w:tc>
          <w:tcPr>
            <w:tcW w:w="598" w:type="pct"/>
            <w:vAlign w:val="center"/>
          </w:tcPr>
          <w:p w14:paraId="08881CA0" w14:textId="063733EC" w:rsidR="002605A0" w:rsidRPr="00CB2378" w:rsidRDefault="002605A0" w:rsidP="002605A0">
            <w:pPr>
              <w:pStyle w:val="COMTabletext"/>
              <w:jc w:val="center"/>
              <w:rPr>
                <w:vertAlign w:val="superscript"/>
              </w:rPr>
            </w:pPr>
            <w:r w:rsidRPr="008D39F0">
              <w:t>-$</w:t>
            </w:r>
            <w:r w:rsidR="003D0BC2" w:rsidRPr="003D0BC2">
              <w:rPr>
                <w:sz w:val="2"/>
                <w:highlight w:val="black"/>
              </w:rPr>
              <w:t>redacted content</w:t>
            </w:r>
            <w:r w:rsidR="00CB2378">
              <w:rPr>
                <w:vertAlign w:val="superscript"/>
              </w:rPr>
              <w:t>6</w:t>
            </w:r>
          </w:p>
        </w:tc>
        <w:tc>
          <w:tcPr>
            <w:tcW w:w="598" w:type="pct"/>
            <w:vAlign w:val="center"/>
          </w:tcPr>
          <w:p w14:paraId="68BEDDB8" w14:textId="4FCC81BC" w:rsidR="002605A0" w:rsidRPr="00CB2378" w:rsidRDefault="002605A0" w:rsidP="002605A0">
            <w:pPr>
              <w:pStyle w:val="COMTabletext"/>
              <w:jc w:val="center"/>
              <w:rPr>
                <w:vertAlign w:val="superscript"/>
              </w:rPr>
            </w:pPr>
            <w:r w:rsidRPr="008D39F0">
              <w:t>-$</w:t>
            </w:r>
            <w:r w:rsidR="003D0BC2" w:rsidRPr="003D0BC2">
              <w:rPr>
                <w:sz w:val="2"/>
                <w:highlight w:val="black"/>
              </w:rPr>
              <w:t>redacted content</w:t>
            </w:r>
            <w:r w:rsidR="00CB2378">
              <w:rPr>
                <w:vertAlign w:val="superscript"/>
              </w:rPr>
              <w:t>6</w:t>
            </w:r>
          </w:p>
        </w:tc>
        <w:tc>
          <w:tcPr>
            <w:tcW w:w="598" w:type="pct"/>
            <w:vAlign w:val="center"/>
          </w:tcPr>
          <w:p w14:paraId="7D4CD380" w14:textId="7063D621" w:rsidR="002605A0" w:rsidRPr="00CB2378" w:rsidRDefault="002605A0" w:rsidP="002605A0">
            <w:pPr>
              <w:pStyle w:val="COMTabletext"/>
              <w:jc w:val="center"/>
              <w:rPr>
                <w:vertAlign w:val="superscript"/>
              </w:rPr>
            </w:pPr>
            <w:r w:rsidRPr="008D39F0">
              <w:t>-$</w:t>
            </w:r>
            <w:r w:rsidR="003D0BC2" w:rsidRPr="003D0BC2">
              <w:rPr>
                <w:sz w:val="2"/>
                <w:highlight w:val="black"/>
              </w:rPr>
              <w:t>redacted content</w:t>
            </w:r>
            <w:r w:rsidR="00CB2378">
              <w:rPr>
                <w:vertAlign w:val="superscript"/>
              </w:rPr>
              <w:t>6</w:t>
            </w:r>
          </w:p>
        </w:tc>
        <w:tc>
          <w:tcPr>
            <w:tcW w:w="598" w:type="pct"/>
            <w:vAlign w:val="center"/>
          </w:tcPr>
          <w:p w14:paraId="075AD8C7" w14:textId="337F4C3F" w:rsidR="002605A0" w:rsidRPr="00CB2378" w:rsidRDefault="002605A0" w:rsidP="002605A0">
            <w:pPr>
              <w:pStyle w:val="COMTabletext"/>
              <w:jc w:val="center"/>
              <w:rPr>
                <w:vertAlign w:val="superscript"/>
              </w:rPr>
            </w:pPr>
            <w:r w:rsidRPr="008D39F0">
              <w:t>-$</w:t>
            </w:r>
            <w:r w:rsidR="003D0BC2" w:rsidRPr="003D0BC2">
              <w:rPr>
                <w:sz w:val="2"/>
                <w:highlight w:val="black"/>
              </w:rPr>
              <w:t>redacted content</w:t>
            </w:r>
            <w:r w:rsidR="00CB2378">
              <w:rPr>
                <w:vertAlign w:val="superscript"/>
              </w:rPr>
              <w:t>6</w:t>
            </w:r>
          </w:p>
        </w:tc>
      </w:tr>
      <w:tr w:rsidR="0099494E" w:rsidRPr="004D7BAB" w14:paraId="6ACE4583" w14:textId="77777777" w:rsidTr="0099494E">
        <w:tc>
          <w:tcPr>
            <w:tcW w:w="5000" w:type="pct"/>
            <w:gridSpan w:val="7"/>
          </w:tcPr>
          <w:p w14:paraId="5E43D1A3" w14:textId="69EE85EF" w:rsidR="0099494E" w:rsidRPr="00272DD3" w:rsidRDefault="0099494E" w:rsidP="0099494E">
            <w:pPr>
              <w:pStyle w:val="COMTabletext"/>
              <w:rPr>
                <w:b/>
                <w:bCs w:val="0"/>
              </w:rPr>
            </w:pPr>
            <w:r w:rsidRPr="002B17F9">
              <w:rPr>
                <w:b/>
                <w:bCs w:val="0"/>
              </w:rPr>
              <w:t>Net financial implications</w:t>
            </w:r>
          </w:p>
        </w:tc>
      </w:tr>
      <w:tr w:rsidR="008D39F0" w:rsidRPr="004D7BAB" w14:paraId="5C1B4AED" w14:textId="77777777">
        <w:tc>
          <w:tcPr>
            <w:tcW w:w="1412" w:type="pct"/>
            <w:vAlign w:val="center"/>
          </w:tcPr>
          <w:p w14:paraId="1F807CA9" w14:textId="7E951DC1" w:rsidR="008D39F0" w:rsidRPr="00C92650" w:rsidRDefault="008D39F0" w:rsidP="008D39F0">
            <w:pPr>
              <w:pStyle w:val="COMTabletext"/>
              <w:keepLines w:val="0"/>
              <w:rPr>
                <w:rFonts w:eastAsia="Times New Roman" w:cstheme="minorHAnsi"/>
                <w:b/>
                <w:szCs w:val="20"/>
              </w:rPr>
            </w:pPr>
            <w:r w:rsidRPr="00471739">
              <w:t>Net cost to PBS/RPBS</w:t>
            </w:r>
          </w:p>
        </w:tc>
        <w:tc>
          <w:tcPr>
            <w:tcW w:w="598" w:type="pct"/>
            <w:vAlign w:val="center"/>
          </w:tcPr>
          <w:p w14:paraId="1F3B1066" w14:textId="48F37542" w:rsidR="008D39F0" w:rsidRPr="002404D4" w:rsidRDefault="008D39F0" w:rsidP="002404D4">
            <w:pPr>
              <w:pStyle w:val="COMTabletext"/>
              <w:jc w:val="center"/>
              <w:rPr>
                <w:b/>
                <w:bCs w:val="0"/>
              </w:rPr>
            </w:pPr>
            <w:r w:rsidRPr="008D39F0">
              <w:rPr>
                <w:b/>
                <w:bCs w:val="0"/>
              </w:rPr>
              <w:t>$</w:t>
            </w:r>
            <w:r w:rsidR="003D0BC2" w:rsidRPr="003D0BC2">
              <w:rPr>
                <w:b/>
                <w:bCs w:val="0"/>
                <w:sz w:val="2"/>
                <w:highlight w:val="black"/>
              </w:rPr>
              <w:t>redacted content</w:t>
            </w:r>
            <w:r w:rsidR="00D232AB">
              <w:rPr>
                <w:b/>
                <w:bCs w:val="0"/>
                <w:vertAlign w:val="superscript"/>
              </w:rPr>
              <w:t>8</w:t>
            </w:r>
          </w:p>
        </w:tc>
        <w:tc>
          <w:tcPr>
            <w:tcW w:w="598" w:type="pct"/>
            <w:vAlign w:val="center"/>
          </w:tcPr>
          <w:p w14:paraId="37F0EAF4" w14:textId="18CD726A" w:rsidR="008D39F0" w:rsidRPr="00365D3F" w:rsidRDefault="008D39F0" w:rsidP="008D39F0">
            <w:pPr>
              <w:pStyle w:val="COMTabletext"/>
              <w:jc w:val="center"/>
              <w:rPr>
                <w:b/>
                <w:bCs w:val="0"/>
                <w:vertAlign w:val="superscript"/>
              </w:rPr>
            </w:pPr>
            <w:r w:rsidRPr="008D39F0">
              <w:rPr>
                <w:b/>
                <w:bCs w:val="0"/>
              </w:rPr>
              <w:t>$</w:t>
            </w:r>
            <w:r w:rsidR="003D0BC2" w:rsidRPr="003D0BC2">
              <w:rPr>
                <w:b/>
                <w:bCs w:val="0"/>
                <w:sz w:val="2"/>
                <w:highlight w:val="black"/>
              </w:rPr>
              <w:t>redacted content</w:t>
            </w:r>
            <w:r w:rsidR="00365D3F">
              <w:rPr>
                <w:b/>
                <w:bCs w:val="0"/>
                <w:vertAlign w:val="superscript"/>
              </w:rPr>
              <w:t>9</w:t>
            </w:r>
          </w:p>
        </w:tc>
        <w:tc>
          <w:tcPr>
            <w:tcW w:w="598" w:type="pct"/>
            <w:vAlign w:val="center"/>
          </w:tcPr>
          <w:p w14:paraId="30725A93" w14:textId="25F1D134" w:rsidR="00365D3F" w:rsidRPr="002404D4" w:rsidRDefault="008D39F0" w:rsidP="002404D4">
            <w:pPr>
              <w:pStyle w:val="COMTabletext"/>
              <w:jc w:val="center"/>
              <w:rPr>
                <w:b/>
                <w:bCs w:val="0"/>
              </w:rPr>
            </w:pPr>
            <w:r w:rsidRPr="008D39F0">
              <w:rPr>
                <w:b/>
                <w:bCs w:val="0"/>
              </w:rPr>
              <w:t>$</w:t>
            </w:r>
            <w:r w:rsidR="003D0BC2" w:rsidRPr="003D0BC2">
              <w:rPr>
                <w:b/>
                <w:bCs w:val="0"/>
                <w:sz w:val="2"/>
                <w:highlight w:val="black"/>
              </w:rPr>
              <w:t>redacted content</w:t>
            </w:r>
            <w:r w:rsidR="00365D3F">
              <w:rPr>
                <w:b/>
                <w:bCs w:val="0"/>
                <w:vertAlign w:val="superscript"/>
              </w:rPr>
              <w:t>9</w:t>
            </w:r>
          </w:p>
        </w:tc>
        <w:tc>
          <w:tcPr>
            <w:tcW w:w="598" w:type="pct"/>
            <w:vAlign w:val="center"/>
          </w:tcPr>
          <w:p w14:paraId="2E097B44" w14:textId="206A400A" w:rsidR="008D39F0" w:rsidRPr="00365D3F" w:rsidRDefault="008D39F0" w:rsidP="008D39F0">
            <w:pPr>
              <w:pStyle w:val="COMTabletext"/>
              <w:jc w:val="center"/>
              <w:rPr>
                <w:b/>
                <w:bCs w:val="0"/>
                <w:vertAlign w:val="superscript"/>
              </w:rPr>
            </w:pPr>
            <w:r w:rsidRPr="008D39F0">
              <w:rPr>
                <w:b/>
                <w:bCs w:val="0"/>
              </w:rPr>
              <w:t>$</w:t>
            </w:r>
            <w:r w:rsidR="003D0BC2" w:rsidRPr="003D0BC2">
              <w:rPr>
                <w:b/>
                <w:bCs w:val="0"/>
                <w:sz w:val="2"/>
                <w:highlight w:val="black"/>
              </w:rPr>
              <w:t>redacted content</w:t>
            </w:r>
            <w:r w:rsidR="00365D3F">
              <w:rPr>
                <w:b/>
                <w:bCs w:val="0"/>
                <w:vertAlign w:val="superscript"/>
              </w:rPr>
              <w:t>9</w:t>
            </w:r>
          </w:p>
        </w:tc>
        <w:tc>
          <w:tcPr>
            <w:tcW w:w="598" w:type="pct"/>
            <w:vAlign w:val="center"/>
          </w:tcPr>
          <w:p w14:paraId="3CCAAC94" w14:textId="3465B212" w:rsidR="008D39F0" w:rsidRPr="00365D3F" w:rsidRDefault="008D39F0" w:rsidP="008D39F0">
            <w:pPr>
              <w:pStyle w:val="COMTabletext"/>
              <w:jc w:val="center"/>
              <w:rPr>
                <w:b/>
                <w:bCs w:val="0"/>
                <w:vertAlign w:val="superscript"/>
              </w:rPr>
            </w:pPr>
            <w:r w:rsidRPr="008D39F0">
              <w:rPr>
                <w:b/>
                <w:bCs w:val="0"/>
              </w:rPr>
              <w:t>$</w:t>
            </w:r>
            <w:r w:rsidR="003D0BC2" w:rsidRPr="003D0BC2">
              <w:rPr>
                <w:b/>
                <w:bCs w:val="0"/>
                <w:sz w:val="2"/>
                <w:highlight w:val="black"/>
              </w:rPr>
              <w:t>redacted content</w:t>
            </w:r>
            <w:r w:rsidR="00365D3F">
              <w:rPr>
                <w:b/>
                <w:bCs w:val="0"/>
                <w:vertAlign w:val="superscript"/>
              </w:rPr>
              <w:t>9</w:t>
            </w:r>
          </w:p>
        </w:tc>
        <w:tc>
          <w:tcPr>
            <w:tcW w:w="598" w:type="pct"/>
            <w:vAlign w:val="center"/>
          </w:tcPr>
          <w:p w14:paraId="464B918B" w14:textId="43D1E429" w:rsidR="008D39F0" w:rsidRPr="00365D3F" w:rsidRDefault="008D39F0" w:rsidP="008D39F0">
            <w:pPr>
              <w:pStyle w:val="COMTabletext"/>
              <w:jc w:val="center"/>
              <w:rPr>
                <w:b/>
                <w:bCs w:val="0"/>
                <w:vertAlign w:val="superscript"/>
              </w:rPr>
            </w:pPr>
            <w:r w:rsidRPr="008D39F0">
              <w:rPr>
                <w:b/>
                <w:bCs w:val="0"/>
              </w:rPr>
              <w:t>$</w:t>
            </w:r>
            <w:r w:rsidR="003D0BC2" w:rsidRPr="003D0BC2">
              <w:rPr>
                <w:b/>
                <w:bCs w:val="0"/>
                <w:sz w:val="2"/>
                <w:highlight w:val="black"/>
              </w:rPr>
              <w:t>redacted content</w:t>
            </w:r>
            <w:r w:rsidR="00365D3F">
              <w:rPr>
                <w:b/>
                <w:bCs w:val="0"/>
                <w:vertAlign w:val="superscript"/>
              </w:rPr>
              <w:t>9</w:t>
            </w:r>
          </w:p>
        </w:tc>
      </w:tr>
      <w:tr w:rsidR="00A61536" w:rsidRPr="004D7BAB" w14:paraId="427DDC09" w14:textId="77777777" w:rsidTr="0099494E">
        <w:tc>
          <w:tcPr>
            <w:tcW w:w="1412" w:type="pct"/>
          </w:tcPr>
          <w:p w14:paraId="42685278" w14:textId="39A35F96" w:rsidR="00A61536" w:rsidRPr="00C92650" w:rsidRDefault="00A61536" w:rsidP="00A61536">
            <w:pPr>
              <w:pStyle w:val="COMTabletext"/>
              <w:keepLines w:val="0"/>
              <w:rPr>
                <w:rFonts w:eastAsia="Times New Roman" w:cstheme="minorHAnsi"/>
                <w:b/>
                <w:szCs w:val="20"/>
              </w:rPr>
            </w:pPr>
            <w:r w:rsidRPr="00986363">
              <w:t>Total cost to MBS</w:t>
            </w:r>
            <w:r>
              <w:rPr>
                <w:vertAlign w:val="superscript"/>
              </w:rPr>
              <w:t>c</w:t>
            </w:r>
          </w:p>
        </w:tc>
        <w:tc>
          <w:tcPr>
            <w:tcW w:w="598" w:type="pct"/>
            <w:vAlign w:val="center"/>
          </w:tcPr>
          <w:p w14:paraId="373093D2" w14:textId="15CED1DB" w:rsidR="00A61536" w:rsidRPr="002D0A8C" w:rsidRDefault="00A61536" w:rsidP="00A61536">
            <w:pPr>
              <w:pStyle w:val="COMTabletext"/>
              <w:jc w:val="center"/>
              <w:rPr>
                <w:vertAlign w:val="superscript"/>
              </w:rPr>
            </w:pPr>
            <w:r w:rsidRPr="007C7442">
              <w:t>$</w:t>
            </w:r>
            <w:r w:rsidR="003D0BC2" w:rsidRPr="003D0BC2">
              <w:rPr>
                <w:sz w:val="2"/>
                <w:highlight w:val="black"/>
              </w:rPr>
              <w:t>redacted content</w:t>
            </w:r>
            <w:r w:rsidR="002D0A8C">
              <w:rPr>
                <w:vertAlign w:val="superscript"/>
              </w:rPr>
              <w:t>7</w:t>
            </w:r>
          </w:p>
        </w:tc>
        <w:tc>
          <w:tcPr>
            <w:tcW w:w="598" w:type="pct"/>
            <w:vAlign w:val="center"/>
          </w:tcPr>
          <w:p w14:paraId="5DA3AB0A" w14:textId="7E93CBF1" w:rsidR="00A61536" w:rsidRPr="002D0A8C" w:rsidRDefault="00A61536" w:rsidP="00A61536">
            <w:pPr>
              <w:pStyle w:val="COMTabletext"/>
              <w:jc w:val="center"/>
              <w:rPr>
                <w:vertAlign w:val="superscript"/>
              </w:rPr>
            </w:pPr>
            <w:r w:rsidRPr="007C7442">
              <w:t>$</w:t>
            </w:r>
            <w:r w:rsidR="003D0BC2" w:rsidRPr="003D0BC2">
              <w:rPr>
                <w:sz w:val="2"/>
                <w:highlight w:val="black"/>
              </w:rPr>
              <w:t>redacted content</w:t>
            </w:r>
            <w:r w:rsidR="002D0A8C">
              <w:rPr>
                <w:vertAlign w:val="superscript"/>
              </w:rPr>
              <w:t>7</w:t>
            </w:r>
          </w:p>
        </w:tc>
        <w:tc>
          <w:tcPr>
            <w:tcW w:w="598" w:type="pct"/>
            <w:vAlign w:val="center"/>
          </w:tcPr>
          <w:p w14:paraId="6AE590F9" w14:textId="39D9CE34" w:rsidR="00A61536" w:rsidRPr="002D0A8C" w:rsidRDefault="00A61536" w:rsidP="00A61536">
            <w:pPr>
              <w:pStyle w:val="COMTabletext"/>
              <w:jc w:val="center"/>
              <w:rPr>
                <w:vertAlign w:val="superscript"/>
              </w:rPr>
            </w:pPr>
            <w:r w:rsidRPr="007C7442">
              <w:t>$</w:t>
            </w:r>
            <w:r w:rsidR="003D0BC2" w:rsidRPr="003D0BC2">
              <w:rPr>
                <w:sz w:val="2"/>
                <w:highlight w:val="black"/>
              </w:rPr>
              <w:t>redacted content</w:t>
            </w:r>
            <w:r w:rsidR="002D0A8C">
              <w:rPr>
                <w:vertAlign w:val="superscript"/>
              </w:rPr>
              <w:t>7</w:t>
            </w:r>
          </w:p>
        </w:tc>
        <w:tc>
          <w:tcPr>
            <w:tcW w:w="598" w:type="pct"/>
            <w:vAlign w:val="center"/>
          </w:tcPr>
          <w:p w14:paraId="03F78158" w14:textId="6C80D075" w:rsidR="00A61536" w:rsidRPr="002D0A8C" w:rsidRDefault="00A61536" w:rsidP="00A61536">
            <w:pPr>
              <w:pStyle w:val="COMTabletext"/>
              <w:jc w:val="center"/>
              <w:rPr>
                <w:vertAlign w:val="superscript"/>
              </w:rPr>
            </w:pPr>
            <w:r w:rsidRPr="007C7442">
              <w:t>$</w:t>
            </w:r>
            <w:r w:rsidR="003D0BC2" w:rsidRPr="003D0BC2">
              <w:rPr>
                <w:sz w:val="2"/>
                <w:highlight w:val="black"/>
              </w:rPr>
              <w:t>redacted content</w:t>
            </w:r>
            <w:r w:rsidR="002D0A8C">
              <w:rPr>
                <w:vertAlign w:val="superscript"/>
              </w:rPr>
              <w:t>7</w:t>
            </w:r>
          </w:p>
        </w:tc>
        <w:tc>
          <w:tcPr>
            <w:tcW w:w="598" w:type="pct"/>
            <w:vAlign w:val="center"/>
          </w:tcPr>
          <w:p w14:paraId="4929BB33" w14:textId="7650FE73" w:rsidR="00A61536" w:rsidRPr="002D0A8C" w:rsidRDefault="00A61536" w:rsidP="00A61536">
            <w:pPr>
              <w:pStyle w:val="COMTabletext"/>
              <w:jc w:val="center"/>
              <w:rPr>
                <w:vertAlign w:val="superscript"/>
              </w:rPr>
            </w:pPr>
            <w:r w:rsidRPr="007C7442">
              <w:t>$</w:t>
            </w:r>
            <w:r w:rsidR="003D0BC2" w:rsidRPr="003D0BC2">
              <w:rPr>
                <w:sz w:val="2"/>
                <w:highlight w:val="black"/>
              </w:rPr>
              <w:t>redacted content</w:t>
            </w:r>
            <w:r w:rsidR="002D0A8C">
              <w:rPr>
                <w:vertAlign w:val="superscript"/>
              </w:rPr>
              <w:t>7</w:t>
            </w:r>
          </w:p>
        </w:tc>
        <w:tc>
          <w:tcPr>
            <w:tcW w:w="598" w:type="pct"/>
            <w:vAlign w:val="center"/>
          </w:tcPr>
          <w:p w14:paraId="60FF7023" w14:textId="2297C82E" w:rsidR="00A61536" w:rsidRPr="002D0A8C" w:rsidRDefault="00A61536" w:rsidP="00A61536">
            <w:pPr>
              <w:pStyle w:val="COMTabletext"/>
              <w:jc w:val="center"/>
              <w:rPr>
                <w:vertAlign w:val="superscript"/>
              </w:rPr>
            </w:pPr>
            <w:r w:rsidRPr="007C7442">
              <w:t>$</w:t>
            </w:r>
            <w:r w:rsidR="003D0BC2" w:rsidRPr="003D0BC2">
              <w:rPr>
                <w:sz w:val="2"/>
                <w:highlight w:val="black"/>
              </w:rPr>
              <w:t>redacted content</w:t>
            </w:r>
            <w:r w:rsidR="002D0A8C">
              <w:rPr>
                <w:vertAlign w:val="superscript"/>
              </w:rPr>
              <w:t>7</w:t>
            </w:r>
          </w:p>
        </w:tc>
      </w:tr>
      <w:tr w:rsidR="00550354" w:rsidRPr="004D7BAB" w14:paraId="722FB6D8" w14:textId="77777777">
        <w:tc>
          <w:tcPr>
            <w:tcW w:w="1412" w:type="pct"/>
            <w:vAlign w:val="center"/>
          </w:tcPr>
          <w:p w14:paraId="7AECC9B6" w14:textId="4B96DBAD" w:rsidR="00550354" w:rsidRPr="00C92650" w:rsidRDefault="00550354" w:rsidP="00550354">
            <w:pPr>
              <w:pStyle w:val="COMTabletext"/>
              <w:keepLines w:val="0"/>
              <w:rPr>
                <w:rFonts w:eastAsia="Times New Roman" w:cstheme="minorHAnsi"/>
                <w:b/>
                <w:szCs w:val="20"/>
              </w:rPr>
            </w:pPr>
            <w:r w:rsidRPr="00C92650">
              <w:rPr>
                <w:rFonts w:eastAsia="Times New Roman" w:cstheme="minorHAnsi"/>
                <w:b/>
                <w:szCs w:val="20"/>
              </w:rPr>
              <w:t>Net cost to PBS/RPBS/MBS</w:t>
            </w:r>
          </w:p>
        </w:tc>
        <w:tc>
          <w:tcPr>
            <w:tcW w:w="598" w:type="pct"/>
            <w:vAlign w:val="center"/>
          </w:tcPr>
          <w:p w14:paraId="69034E9D" w14:textId="5C5D77CB" w:rsidR="00550354" w:rsidRPr="003D0BC2" w:rsidRDefault="00550354" w:rsidP="003D0BC2">
            <w:pPr>
              <w:pStyle w:val="COMTabletext"/>
              <w:jc w:val="center"/>
              <w:rPr>
                <w:b/>
                <w:bCs w:val="0"/>
              </w:rPr>
            </w:pPr>
            <w:r w:rsidRPr="00550354">
              <w:rPr>
                <w:b/>
                <w:bCs w:val="0"/>
              </w:rPr>
              <w:t>$</w:t>
            </w:r>
            <w:r w:rsidR="003D0BC2" w:rsidRPr="003D0BC2">
              <w:rPr>
                <w:b/>
                <w:bCs w:val="0"/>
                <w:sz w:val="2"/>
                <w:highlight w:val="black"/>
              </w:rPr>
              <w:t>redacted content</w:t>
            </w:r>
            <w:r w:rsidR="00D232AB">
              <w:rPr>
                <w:b/>
                <w:bCs w:val="0"/>
                <w:vertAlign w:val="superscript"/>
              </w:rPr>
              <w:t>8</w:t>
            </w:r>
          </w:p>
        </w:tc>
        <w:tc>
          <w:tcPr>
            <w:tcW w:w="598" w:type="pct"/>
            <w:vAlign w:val="center"/>
          </w:tcPr>
          <w:p w14:paraId="3EEBD4D9" w14:textId="0ECD61DE" w:rsidR="00550354" w:rsidRPr="00365D3F" w:rsidRDefault="00550354" w:rsidP="00550354">
            <w:pPr>
              <w:pStyle w:val="COMTabletext"/>
              <w:jc w:val="center"/>
              <w:rPr>
                <w:b/>
                <w:bCs w:val="0"/>
                <w:vertAlign w:val="superscript"/>
              </w:rPr>
            </w:pPr>
            <w:r w:rsidRPr="00550354">
              <w:rPr>
                <w:b/>
                <w:bCs w:val="0"/>
              </w:rPr>
              <w:t>$</w:t>
            </w:r>
            <w:r w:rsidR="003D0BC2" w:rsidRPr="003D0BC2">
              <w:rPr>
                <w:b/>
                <w:bCs w:val="0"/>
                <w:sz w:val="2"/>
                <w:highlight w:val="black"/>
              </w:rPr>
              <w:t>redacted content</w:t>
            </w:r>
            <w:r w:rsidR="00365D3F">
              <w:rPr>
                <w:b/>
                <w:bCs w:val="0"/>
                <w:vertAlign w:val="superscript"/>
              </w:rPr>
              <w:t>9</w:t>
            </w:r>
          </w:p>
        </w:tc>
        <w:tc>
          <w:tcPr>
            <w:tcW w:w="598" w:type="pct"/>
            <w:vAlign w:val="center"/>
          </w:tcPr>
          <w:p w14:paraId="78514D50" w14:textId="6F473DB4" w:rsidR="00550354" w:rsidRPr="00365D3F" w:rsidRDefault="00550354" w:rsidP="00550354">
            <w:pPr>
              <w:pStyle w:val="COMTabletext"/>
              <w:jc w:val="center"/>
              <w:rPr>
                <w:b/>
                <w:bCs w:val="0"/>
                <w:vertAlign w:val="superscript"/>
              </w:rPr>
            </w:pPr>
            <w:r w:rsidRPr="00550354">
              <w:rPr>
                <w:b/>
                <w:bCs w:val="0"/>
              </w:rPr>
              <w:t>$</w:t>
            </w:r>
            <w:r w:rsidR="003D0BC2" w:rsidRPr="003D0BC2">
              <w:rPr>
                <w:b/>
                <w:bCs w:val="0"/>
                <w:sz w:val="2"/>
                <w:highlight w:val="black"/>
              </w:rPr>
              <w:t>redacted content</w:t>
            </w:r>
            <w:r w:rsidR="00365D3F">
              <w:rPr>
                <w:b/>
                <w:bCs w:val="0"/>
                <w:vertAlign w:val="superscript"/>
              </w:rPr>
              <w:t>9</w:t>
            </w:r>
          </w:p>
        </w:tc>
        <w:tc>
          <w:tcPr>
            <w:tcW w:w="598" w:type="pct"/>
            <w:vAlign w:val="center"/>
          </w:tcPr>
          <w:p w14:paraId="620FF703" w14:textId="6123F823" w:rsidR="00550354" w:rsidRPr="00365D3F" w:rsidRDefault="00550354" w:rsidP="00550354">
            <w:pPr>
              <w:pStyle w:val="COMTabletext"/>
              <w:jc w:val="center"/>
              <w:rPr>
                <w:b/>
                <w:bCs w:val="0"/>
                <w:vertAlign w:val="superscript"/>
              </w:rPr>
            </w:pPr>
            <w:r w:rsidRPr="00550354">
              <w:rPr>
                <w:b/>
                <w:bCs w:val="0"/>
              </w:rPr>
              <w:t>$</w:t>
            </w:r>
            <w:r w:rsidR="003D0BC2" w:rsidRPr="003D0BC2">
              <w:rPr>
                <w:b/>
                <w:bCs w:val="0"/>
                <w:sz w:val="2"/>
                <w:highlight w:val="black"/>
              </w:rPr>
              <w:t>redacted content</w:t>
            </w:r>
            <w:r w:rsidR="00365D3F">
              <w:rPr>
                <w:b/>
                <w:bCs w:val="0"/>
                <w:vertAlign w:val="superscript"/>
              </w:rPr>
              <w:t>9</w:t>
            </w:r>
          </w:p>
        </w:tc>
        <w:tc>
          <w:tcPr>
            <w:tcW w:w="598" w:type="pct"/>
            <w:vAlign w:val="center"/>
          </w:tcPr>
          <w:p w14:paraId="19841F29" w14:textId="7E498A58" w:rsidR="00550354" w:rsidRPr="00365D3F" w:rsidRDefault="00550354" w:rsidP="00550354">
            <w:pPr>
              <w:pStyle w:val="COMTabletext"/>
              <w:jc w:val="center"/>
              <w:rPr>
                <w:b/>
                <w:bCs w:val="0"/>
                <w:vertAlign w:val="superscript"/>
              </w:rPr>
            </w:pPr>
            <w:r w:rsidRPr="00550354">
              <w:rPr>
                <w:b/>
                <w:bCs w:val="0"/>
              </w:rPr>
              <w:t>$</w:t>
            </w:r>
            <w:r w:rsidR="003D0BC2" w:rsidRPr="003D0BC2">
              <w:rPr>
                <w:b/>
                <w:bCs w:val="0"/>
                <w:sz w:val="2"/>
                <w:highlight w:val="black"/>
              </w:rPr>
              <w:t>redacted content</w:t>
            </w:r>
            <w:r w:rsidR="00365D3F">
              <w:rPr>
                <w:b/>
                <w:bCs w:val="0"/>
                <w:vertAlign w:val="superscript"/>
              </w:rPr>
              <w:t>9</w:t>
            </w:r>
          </w:p>
        </w:tc>
        <w:tc>
          <w:tcPr>
            <w:tcW w:w="598" w:type="pct"/>
            <w:vAlign w:val="center"/>
          </w:tcPr>
          <w:p w14:paraId="7CAC1F0A" w14:textId="4124FED6" w:rsidR="00550354" w:rsidRPr="00365D3F" w:rsidRDefault="00550354" w:rsidP="00550354">
            <w:pPr>
              <w:pStyle w:val="COMTabletext"/>
              <w:jc w:val="center"/>
              <w:rPr>
                <w:b/>
                <w:bCs w:val="0"/>
                <w:vertAlign w:val="superscript"/>
              </w:rPr>
            </w:pPr>
            <w:r w:rsidRPr="00550354">
              <w:rPr>
                <w:b/>
                <w:bCs w:val="0"/>
              </w:rPr>
              <w:t>$</w:t>
            </w:r>
            <w:r w:rsidR="003D0BC2" w:rsidRPr="003D0BC2">
              <w:rPr>
                <w:b/>
                <w:bCs w:val="0"/>
                <w:sz w:val="2"/>
                <w:highlight w:val="black"/>
              </w:rPr>
              <w:t>redacted content</w:t>
            </w:r>
            <w:r w:rsidR="00365D3F">
              <w:rPr>
                <w:b/>
                <w:bCs w:val="0"/>
                <w:vertAlign w:val="superscript"/>
              </w:rPr>
              <w:t>9</w:t>
            </w:r>
          </w:p>
        </w:tc>
      </w:tr>
    </w:tbl>
    <w:p w14:paraId="6DF6B824" w14:textId="4FDA2530" w:rsidR="0099789C" w:rsidRDefault="0099789C" w:rsidP="0099789C">
      <w:pPr>
        <w:pStyle w:val="COMTablefooter"/>
      </w:pPr>
      <w:r>
        <w:t xml:space="preserve">Source: </w:t>
      </w:r>
      <w:r w:rsidRPr="001D1116">
        <w:t>Attachment 14 - Tarlatamab ES-SCLC Financial Model</w:t>
      </w:r>
      <w:r>
        <w:t xml:space="preserve"> provided with the submission.</w:t>
      </w:r>
      <w:r w:rsidR="005844A8">
        <w:t xml:space="preserve"> Pre-PBAC Response (p3 and attached workbook).</w:t>
      </w:r>
    </w:p>
    <w:p w14:paraId="2D031F76" w14:textId="045D8924" w:rsidR="0099789C" w:rsidRDefault="0099789C" w:rsidP="0099789C">
      <w:pPr>
        <w:pStyle w:val="COMTablefooter"/>
      </w:pPr>
      <w:r w:rsidRPr="001D1116">
        <w:t>Abbreviations</w:t>
      </w:r>
      <w:r>
        <w:t xml:space="preserve">: </w:t>
      </w:r>
      <w:r w:rsidR="001F2E87">
        <w:t xml:space="preserve">2L, second-line; 3L, third-line; </w:t>
      </w:r>
      <w:r>
        <w:t xml:space="preserve">copay., copayments; MBS, Medicare Benefits Schedule; </w:t>
      </w:r>
      <w:r w:rsidRPr="00DF48A3">
        <w:t>PBS, Pharmaceutical Benefits Scheme; RPBS, Repatriation Pharmaceutical Benefits Scheme</w:t>
      </w:r>
      <w:r>
        <w:t>; SOC, standard of care</w:t>
      </w:r>
      <w:r w:rsidRPr="00DF48A3">
        <w:t>.</w:t>
      </w:r>
    </w:p>
    <w:p w14:paraId="6BDAB85F" w14:textId="77777777" w:rsidR="0099789C" w:rsidRDefault="0099789C" w:rsidP="0099789C">
      <w:pPr>
        <w:pStyle w:val="COMTablefooter"/>
      </w:pPr>
      <w:r w:rsidRPr="001743DC">
        <w:rPr>
          <w:vertAlign w:val="superscript"/>
        </w:rPr>
        <w:t xml:space="preserve">a </w:t>
      </w:r>
      <w:r>
        <w:t>1×1 mg script per patient.</w:t>
      </w:r>
    </w:p>
    <w:p w14:paraId="40E011CB" w14:textId="77777777" w:rsidR="0099789C" w:rsidRDefault="0099789C" w:rsidP="0099789C">
      <w:pPr>
        <w:pStyle w:val="COMTablefooter"/>
      </w:pPr>
      <w:r w:rsidRPr="00630583">
        <w:rPr>
          <w:vertAlign w:val="superscript"/>
        </w:rPr>
        <w:t xml:space="preserve">b </w:t>
      </w:r>
      <w:r>
        <w:t>19.83×10 mg scripts per patient in the second-line setting; 11.76×10 mg scripts per patient in the third-line setting.</w:t>
      </w:r>
    </w:p>
    <w:p w14:paraId="6F176732" w14:textId="77777777" w:rsidR="0099789C" w:rsidRPr="00F05C15" w:rsidRDefault="0099789C" w:rsidP="0099789C">
      <w:pPr>
        <w:pStyle w:val="COMTablefooter"/>
        <w:rPr>
          <w:rFonts w:cstheme="minorHAnsi"/>
          <w:szCs w:val="16"/>
        </w:rPr>
      </w:pPr>
      <w:r>
        <w:rPr>
          <w:rFonts w:cstheme="minorHAnsi"/>
          <w:szCs w:val="16"/>
          <w:vertAlign w:val="superscript"/>
        </w:rPr>
        <w:t>c</w:t>
      </w:r>
      <w:r w:rsidRPr="00611F0D">
        <w:rPr>
          <w:rFonts w:cstheme="minorHAnsi"/>
          <w:szCs w:val="16"/>
        </w:rPr>
        <w:t xml:space="preserve"> </w:t>
      </w:r>
      <w:r>
        <w:rPr>
          <w:rFonts w:cstheme="minorHAnsi"/>
          <w:szCs w:val="16"/>
        </w:rPr>
        <w:t xml:space="preserve">Increased administration costs associated with tarlatamab due to the increased second- and third-line treated population and longer duration of therapy; based on </w:t>
      </w:r>
      <w:r>
        <w:t>MBS item 13950 ($100.80, derived from them MBS fee of $126.00, assuming an 80% rebate).</w:t>
      </w:r>
    </w:p>
    <w:p w14:paraId="043B5AA6" w14:textId="51FF7FE4" w:rsidR="000A0EF0" w:rsidRDefault="0099789C" w:rsidP="00632D38">
      <w:pPr>
        <w:pStyle w:val="COMTablefooter"/>
        <w:spacing w:after="0"/>
      </w:pPr>
      <w:r w:rsidRPr="00082D31">
        <w:t xml:space="preserve">Note: Discrepancies between estimates in the submission and budget impact model spreadsheet were identified during the evaluation. </w:t>
      </w:r>
    </w:p>
    <w:p w14:paraId="6DB77A7F" w14:textId="77777777" w:rsidR="00632D38" w:rsidRPr="00632D38" w:rsidRDefault="00632D38" w:rsidP="00632D38">
      <w:pPr>
        <w:jc w:val="left"/>
        <w:rPr>
          <w:rFonts w:ascii="Arial Narrow" w:hAnsi="Arial Narrow" w:cstheme="minorHAnsi"/>
          <w:bCs/>
          <w:i/>
          <w:iCs/>
          <w:sz w:val="18"/>
          <w:szCs w:val="18"/>
        </w:rPr>
      </w:pPr>
      <w:r w:rsidRPr="00632D38">
        <w:rPr>
          <w:rFonts w:ascii="Arial Narrow" w:hAnsi="Arial Narrow" w:cstheme="minorHAnsi"/>
          <w:bCs/>
          <w:i/>
          <w:iCs/>
          <w:sz w:val="18"/>
          <w:szCs w:val="18"/>
        </w:rPr>
        <w:t xml:space="preserve">The redacted values correspond to the following ranges: </w:t>
      </w:r>
    </w:p>
    <w:p w14:paraId="32E34882" w14:textId="6B7CF681" w:rsidR="00632D38" w:rsidRPr="00632D38" w:rsidRDefault="00632D38" w:rsidP="00632D38">
      <w:pPr>
        <w:jc w:val="left"/>
        <w:rPr>
          <w:rFonts w:ascii="Arial Narrow" w:hAnsi="Arial Narrow"/>
          <w:bCs/>
          <w:i/>
          <w:sz w:val="18"/>
          <w:szCs w:val="18"/>
        </w:rPr>
      </w:pPr>
      <w:r w:rsidRPr="00632D38">
        <w:rPr>
          <w:rFonts w:ascii="Arial Narrow" w:hAnsi="Arial Narrow"/>
          <w:i/>
          <w:sz w:val="18"/>
          <w:szCs w:val="18"/>
          <w:vertAlign w:val="superscript"/>
        </w:rPr>
        <w:t>1</w:t>
      </w:r>
      <w:r w:rsidRPr="00632D38">
        <w:rPr>
          <w:rFonts w:ascii="Arial Narrow" w:hAnsi="Arial Narrow"/>
          <w:i/>
          <w:sz w:val="18"/>
          <w:szCs w:val="18"/>
        </w:rPr>
        <w:t xml:space="preserve"> </w:t>
      </w:r>
      <w:r w:rsidR="00D03D33" w:rsidRPr="00D03D33">
        <w:rPr>
          <w:rFonts w:ascii="Arial Narrow" w:hAnsi="Arial Narrow"/>
          <w:bCs/>
          <w:i/>
          <w:sz w:val="18"/>
          <w:szCs w:val="18"/>
        </w:rPr>
        <w:t>500 to &lt; 5,000</w:t>
      </w:r>
    </w:p>
    <w:p w14:paraId="54616C22" w14:textId="0AA6254F" w:rsidR="00632D38" w:rsidRPr="00632D38" w:rsidRDefault="00632D38" w:rsidP="00632D38">
      <w:pPr>
        <w:jc w:val="left"/>
        <w:rPr>
          <w:rFonts w:ascii="Arial Narrow" w:hAnsi="Arial Narrow"/>
          <w:i/>
          <w:sz w:val="18"/>
          <w:szCs w:val="18"/>
        </w:rPr>
      </w:pPr>
      <w:r w:rsidRPr="00632D38">
        <w:rPr>
          <w:rFonts w:ascii="Arial Narrow" w:hAnsi="Arial Narrow"/>
          <w:i/>
          <w:sz w:val="18"/>
          <w:szCs w:val="18"/>
          <w:vertAlign w:val="superscript"/>
        </w:rPr>
        <w:t>2</w:t>
      </w:r>
      <w:r w:rsidRPr="00632D38">
        <w:rPr>
          <w:rFonts w:ascii="Arial Narrow" w:hAnsi="Arial Narrow"/>
          <w:i/>
          <w:sz w:val="18"/>
          <w:szCs w:val="18"/>
        </w:rPr>
        <w:t xml:space="preserve"> </w:t>
      </w:r>
      <w:r w:rsidR="00605546">
        <w:rPr>
          <w:rFonts w:ascii="Arial Narrow" w:hAnsi="Arial Narrow"/>
          <w:i/>
          <w:sz w:val="18"/>
          <w:szCs w:val="18"/>
        </w:rPr>
        <w:t>&lt; 500</w:t>
      </w:r>
    </w:p>
    <w:p w14:paraId="387E2413" w14:textId="766776BE" w:rsidR="00632D38" w:rsidRPr="00632D38" w:rsidRDefault="00632D38" w:rsidP="00632D38">
      <w:pPr>
        <w:jc w:val="left"/>
        <w:rPr>
          <w:rFonts w:ascii="Arial Narrow" w:hAnsi="Arial Narrow"/>
          <w:i/>
          <w:sz w:val="18"/>
          <w:szCs w:val="18"/>
        </w:rPr>
      </w:pPr>
      <w:r w:rsidRPr="00632D38">
        <w:rPr>
          <w:rFonts w:ascii="Arial Narrow" w:hAnsi="Arial Narrow"/>
          <w:i/>
          <w:sz w:val="18"/>
          <w:szCs w:val="18"/>
          <w:vertAlign w:val="superscript"/>
        </w:rPr>
        <w:t>3</w:t>
      </w:r>
      <w:r w:rsidRPr="00632D38">
        <w:rPr>
          <w:rFonts w:ascii="Arial Narrow" w:hAnsi="Arial Narrow"/>
          <w:i/>
          <w:sz w:val="18"/>
          <w:szCs w:val="18"/>
        </w:rPr>
        <w:t xml:space="preserve"> </w:t>
      </w:r>
      <w:r w:rsidR="00605546" w:rsidRPr="00605546">
        <w:rPr>
          <w:rFonts w:ascii="Arial Narrow" w:hAnsi="Arial Narrow"/>
          <w:i/>
          <w:sz w:val="18"/>
          <w:szCs w:val="18"/>
        </w:rPr>
        <w:t>10,000 to &lt; 20,000</w:t>
      </w:r>
    </w:p>
    <w:p w14:paraId="5A3AD0EE" w14:textId="607BC7EE" w:rsidR="00632D38" w:rsidRPr="00632D38" w:rsidRDefault="00632D38" w:rsidP="00632D38">
      <w:pPr>
        <w:jc w:val="left"/>
        <w:rPr>
          <w:rFonts w:ascii="Arial Narrow" w:hAnsi="Arial Narrow"/>
          <w:bCs/>
          <w:i/>
          <w:sz w:val="18"/>
          <w:szCs w:val="18"/>
        </w:rPr>
      </w:pPr>
      <w:r w:rsidRPr="00632D38">
        <w:rPr>
          <w:rFonts w:ascii="Arial Narrow" w:hAnsi="Arial Narrow"/>
          <w:i/>
          <w:sz w:val="18"/>
          <w:szCs w:val="18"/>
          <w:vertAlign w:val="superscript"/>
        </w:rPr>
        <w:t>4</w:t>
      </w:r>
      <w:r w:rsidRPr="00632D38">
        <w:rPr>
          <w:rFonts w:ascii="Arial Narrow" w:hAnsi="Arial Narrow"/>
          <w:i/>
          <w:sz w:val="18"/>
          <w:szCs w:val="18"/>
        </w:rPr>
        <w:t xml:space="preserve"> </w:t>
      </w:r>
      <w:r w:rsidR="009B511D" w:rsidRPr="009B511D">
        <w:rPr>
          <w:rFonts w:ascii="Arial Narrow" w:hAnsi="Arial Narrow"/>
          <w:bCs/>
          <w:i/>
          <w:sz w:val="18"/>
          <w:szCs w:val="18"/>
        </w:rPr>
        <w:t>$200 million to &lt; $300 million</w:t>
      </w:r>
    </w:p>
    <w:p w14:paraId="1D6E271C" w14:textId="581A0BD0" w:rsidR="00632D38" w:rsidRPr="00632D38" w:rsidRDefault="00632D38" w:rsidP="00632D38">
      <w:pPr>
        <w:jc w:val="left"/>
        <w:rPr>
          <w:rFonts w:ascii="Arial Narrow" w:hAnsi="Arial Narrow"/>
          <w:i/>
          <w:sz w:val="18"/>
          <w:szCs w:val="18"/>
        </w:rPr>
      </w:pPr>
      <w:r w:rsidRPr="00632D38">
        <w:rPr>
          <w:rFonts w:ascii="Arial Narrow" w:hAnsi="Arial Narrow"/>
          <w:i/>
          <w:sz w:val="18"/>
          <w:szCs w:val="18"/>
          <w:vertAlign w:val="superscript"/>
        </w:rPr>
        <w:t>5</w:t>
      </w:r>
      <w:r w:rsidRPr="00632D38">
        <w:rPr>
          <w:rFonts w:ascii="Arial Narrow" w:hAnsi="Arial Narrow"/>
          <w:i/>
          <w:sz w:val="18"/>
          <w:szCs w:val="18"/>
        </w:rPr>
        <w:t xml:space="preserve"> </w:t>
      </w:r>
      <w:r w:rsidR="008E2A09" w:rsidRPr="008E2A09">
        <w:rPr>
          <w:rFonts w:ascii="Arial Narrow" w:hAnsi="Arial Narrow"/>
          <w:i/>
          <w:sz w:val="18"/>
          <w:szCs w:val="18"/>
        </w:rPr>
        <w:t>$300 million to &lt; $400 million</w:t>
      </w:r>
    </w:p>
    <w:p w14:paraId="25DF1F30" w14:textId="5E236140" w:rsidR="00632D38" w:rsidRDefault="00632D38" w:rsidP="00632D38">
      <w:pPr>
        <w:jc w:val="left"/>
        <w:rPr>
          <w:rFonts w:ascii="Arial Narrow" w:hAnsi="Arial Narrow"/>
          <w:i/>
          <w:sz w:val="18"/>
          <w:szCs w:val="18"/>
        </w:rPr>
      </w:pPr>
      <w:r w:rsidRPr="00632D38">
        <w:rPr>
          <w:rFonts w:ascii="Arial Narrow" w:hAnsi="Arial Narrow"/>
          <w:i/>
          <w:sz w:val="18"/>
          <w:szCs w:val="18"/>
          <w:vertAlign w:val="superscript"/>
        </w:rPr>
        <w:t>6</w:t>
      </w:r>
      <w:r w:rsidRPr="00632D38">
        <w:rPr>
          <w:rFonts w:ascii="Arial Narrow" w:hAnsi="Arial Narrow"/>
          <w:i/>
          <w:sz w:val="18"/>
          <w:szCs w:val="18"/>
        </w:rPr>
        <w:t xml:space="preserve"> </w:t>
      </w:r>
      <w:r w:rsidR="00CB2378" w:rsidRPr="00CB2378">
        <w:rPr>
          <w:rFonts w:ascii="Arial Narrow" w:hAnsi="Arial Narrow"/>
          <w:i/>
          <w:sz w:val="18"/>
          <w:szCs w:val="18"/>
        </w:rPr>
        <w:t>net cost saving</w:t>
      </w:r>
    </w:p>
    <w:p w14:paraId="52EFBFBB" w14:textId="12A34C55" w:rsidR="00CB2378" w:rsidRDefault="00CB2378" w:rsidP="00632D38">
      <w:pPr>
        <w:jc w:val="left"/>
        <w:rPr>
          <w:rFonts w:ascii="Arial Narrow" w:hAnsi="Arial Narrow"/>
          <w:i/>
          <w:sz w:val="18"/>
          <w:szCs w:val="18"/>
          <w:vertAlign w:val="superscript"/>
        </w:rPr>
      </w:pPr>
      <w:r>
        <w:rPr>
          <w:rFonts w:ascii="Arial Narrow" w:hAnsi="Arial Narrow"/>
          <w:i/>
          <w:sz w:val="18"/>
          <w:szCs w:val="18"/>
          <w:vertAlign w:val="superscript"/>
        </w:rPr>
        <w:t>7</w:t>
      </w:r>
      <w:r w:rsidR="002D0A8C">
        <w:rPr>
          <w:rFonts w:ascii="Arial Narrow" w:hAnsi="Arial Narrow"/>
          <w:i/>
          <w:sz w:val="18"/>
          <w:szCs w:val="18"/>
          <w:vertAlign w:val="superscript"/>
        </w:rPr>
        <w:t xml:space="preserve"> </w:t>
      </w:r>
      <w:r w:rsidR="002D0A8C" w:rsidRPr="002D0A8C">
        <w:rPr>
          <w:rFonts w:ascii="Arial Narrow" w:hAnsi="Arial Narrow"/>
          <w:i/>
          <w:sz w:val="18"/>
          <w:szCs w:val="18"/>
        </w:rPr>
        <w:t>$0 to &lt; $10 million</w:t>
      </w:r>
    </w:p>
    <w:p w14:paraId="0B6A7CE9" w14:textId="2C127456" w:rsidR="00CB2378" w:rsidRPr="007342CE" w:rsidRDefault="00CB2378" w:rsidP="00632D38">
      <w:pPr>
        <w:jc w:val="left"/>
        <w:rPr>
          <w:rFonts w:ascii="Arial Narrow" w:hAnsi="Arial Narrow"/>
          <w:i/>
          <w:sz w:val="18"/>
          <w:szCs w:val="18"/>
        </w:rPr>
      </w:pPr>
      <w:r>
        <w:rPr>
          <w:rFonts w:ascii="Arial Narrow" w:hAnsi="Arial Narrow"/>
          <w:i/>
          <w:sz w:val="18"/>
          <w:szCs w:val="18"/>
          <w:vertAlign w:val="superscript"/>
        </w:rPr>
        <w:t>8</w:t>
      </w:r>
      <w:r w:rsidR="007342CE">
        <w:rPr>
          <w:rFonts w:ascii="Arial Narrow" w:hAnsi="Arial Narrow"/>
          <w:i/>
          <w:sz w:val="18"/>
          <w:szCs w:val="18"/>
        </w:rPr>
        <w:t xml:space="preserve"> </w:t>
      </w:r>
      <w:r w:rsidR="007342CE" w:rsidRPr="007342CE">
        <w:rPr>
          <w:rFonts w:ascii="Arial Narrow" w:hAnsi="Arial Narrow"/>
          <w:i/>
          <w:sz w:val="18"/>
          <w:szCs w:val="18"/>
        </w:rPr>
        <w:t>$90 million to &lt; $100 million</w:t>
      </w:r>
    </w:p>
    <w:p w14:paraId="748A0AFA" w14:textId="3802CDCC" w:rsidR="00632D38" w:rsidRDefault="007342CE" w:rsidP="00365D3F">
      <w:pPr>
        <w:jc w:val="left"/>
      </w:pPr>
      <w:r>
        <w:rPr>
          <w:rFonts w:ascii="Arial Narrow" w:hAnsi="Arial Narrow"/>
          <w:i/>
          <w:sz w:val="18"/>
          <w:szCs w:val="18"/>
          <w:vertAlign w:val="superscript"/>
        </w:rPr>
        <w:t>9</w:t>
      </w:r>
      <w:r w:rsidR="00F307B1">
        <w:rPr>
          <w:rFonts w:ascii="Arial Narrow" w:hAnsi="Arial Narrow"/>
          <w:i/>
          <w:sz w:val="18"/>
          <w:szCs w:val="18"/>
          <w:vertAlign w:val="superscript"/>
        </w:rPr>
        <w:t xml:space="preserve"> </w:t>
      </w:r>
      <w:r w:rsidR="00365D3F" w:rsidRPr="00365D3F">
        <w:rPr>
          <w:rFonts w:ascii="Arial Narrow" w:hAnsi="Arial Narrow"/>
          <w:bCs/>
          <w:i/>
          <w:sz w:val="18"/>
          <w:szCs w:val="18"/>
        </w:rPr>
        <w:t>$100 million to &lt; $200 million</w:t>
      </w:r>
    </w:p>
    <w:p w14:paraId="4FE4DC3E" w14:textId="748FE7F7" w:rsidR="00480AB6" w:rsidRPr="00082D31" w:rsidRDefault="00480AB6" w:rsidP="0099789C">
      <w:pPr>
        <w:pStyle w:val="COMTablefooter"/>
      </w:pPr>
    </w:p>
    <w:p w14:paraId="50F1636A" w14:textId="141B3BD2" w:rsidR="0099789C" w:rsidRPr="0013382E" w:rsidRDefault="00EF5C39" w:rsidP="0099789C">
      <w:pPr>
        <w:pStyle w:val="COMESnumberedpara"/>
      </w:pPr>
      <w:r>
        <w:lastRenderedPageBreak/>
        <w:t>Based on the revised estimates provided in the Pre-PBAC Response the</w:t>
      </w:r>
      <w:r w:rsidR="0099789C" w:rsidRPr="0013382E">
        <w:t xml:space="preserve"> estimated net cost to the PBS/RPBS of listing tarlatamab was </w:t>
      </w:r>
      <w:r w:rsidR="00293843" w:rsidRPr="00293843">
        <w:t>$90 million to &lt; $100 million</w:t>
      </w:r>
      <w:r w:rsidR="0099789C" w:rsidRPr="0013382E">
        <w:t xml:space="preserve"> in Year 1, increasing to </w:t>
      </w:r>
      <w:r w:rsidR="000B1666" w:rsidRPr="000B1666">
        <w:t>$100 million to &lt; $200 million</w:t>
      </w:r>
      <w:r w:rsidR="0099789C" w:rsidRPr="0013382E">
        <w:t xml:space="preserve"> in Year 6, a total cost of </w:t>
      </w:r>
      <w:r w:rsidR="004474EC" w:rsidRPr="004474EC">
        <w:t>$600 million to &lt; $700 million</w:t>
      </w:r>
      <w:r w:rsidR="002B710A">
        <w:t xml:space="preserve"> </w:t>
      </w:r>
      <w:r w:rsidR="0099789C" w:rsidRPr="0013382E">
        <w:t>over the first 6 years of listing.</w:t>
      </w:r>
    </w:p>
    <w:p w14:paraId="1E61005C" w14:textId="77777777" w:rsidR="0099789C" w:rsidRPr="0098262F" w:rsidRDefault="0099789C" w:rsidP="00E30122">
      <w:pPr>
        <w:pStyle w:val="COMESSubsectionheading"/>
      </w:pPr>
      <w:bookmarkStart w:id="78" w:name="_Toc203121804"/>
      <w:bookmarkStart w:id="79" w:name="_Toc219878288"/>
      <w:r w:rsidRPr="0098262F">
        <w:t>Quality Use of Medicines</w:t>
      </w:r>
      <w:bookmarkEnd w:id="78"/>
      <w:bookmarkEnd w:id="79"/>
    </w:p>
    <w:p w14:paraId="0A578E96" w14:textId="77777777" w:rsidR="0099789C" w:rsidRDefault="0099789C" w:rsidP="0099789C">
      <w:pPr>
        <w:pStyle w:val="COMESnumberedpara"/>
      </w:pPr>
      <w:r w:rsidRPr="00BF6B51">
        <w:t>The submission noted planned support and education activities designed to ensure the safe and effective use of tarlatamab</w:t>
      </w:r>
      <w:r>
        <w:t>,</w:t>
      </w:r>
      <w:r w:rsidRPr="00BF6B51">
        <w:t xml:space="preserve"> </w:t>
      </w:r>
      <w:r>
        <w:t>including</w:t>
      </w:r>
      <w:r w:rsidRPr="00BF6B51">
        <w:t xml:space="preserve">: </w:t>
      </w:r>
      <w:r>
        <w:t>d</w:t>
      </w:r>
      <w:r w:rsidRPr="00BF6B51">
        <w:t>eveloping educational resources to assist healthcare providers in identifying eligible patients and ensuring informed decision-making based on therapeutic guidelines</w:t>
      </w:r>
      <w:r>
        <w:t>, w</w:t>
      </w:r>
      <w:r w:rsidRPr="00BF6B51">
        <w:t>orking with eviQ and clinical centres to develop guidelines and protocols</w:t>
      </w:r>
      <w:r>
        <w:t>,</w:t>
      </w:r>
      <w:r w:rsidRPr="00BF6B51">
        <w:t xml:space="preserve"> </w:t>
      </w:r>
      <w:r>
        <w:t>w</w:t>
      </w:r>
      <w:r w:rsidRPr="00BF6B51">
        <w:t>orking with clinical sites to develop site-specific treatment protocols, including detailed guidance on monitoring for managing CRS and ICANS</w:t>
      </w:r>
      <w:r>
        <w:t>,</w:t>
      </w:r>
      <w:r w:rsidRPr="00BF6B51">
        <w:t xml:space="preserve"> </w:t>
      </w:r>
      <w:r>
        <w:t>and a</w:t>
      </w:r>
      <w:r w:rsidRPr="00BF6B51">
        <w:t>ccreditation programs will be established to ensure prescribers are sufficiently trained in managing the administration of tarlatamab and associated risks</w:t>
      </w:r>
      <w:r>
        <w:t>.</w:t>
      </w:r>
    </w:p>
    <w:p w14:paraId="1F94D51C" w14:textId="16CE756A" w:rsidR="00CF2AED" w:rsidRPr="00F37C44" w:rsidRDefault="00F739F7" w:rsidP="00E30122">
      <w:pPr>
        <w:pStyle w:val="COMESSubsectionheading"/>
      </w:pPr>
      <w:bookmarkStart w:id="80" w:name="_Toc207213501"/>
      <w:bookmarkStart w:id="81" w:name="_Toc209021291"/>
      <w:bookmarkStart w:id="82" w:name="_Toc209023187"/>
      <w:r w:rsidRPr="00F37C44">
        <w:t>Financial Management – Risk Sharing Arrangements</w:t>
      </w:r>
      <w:bookmarkEnd w:id="80"/>
      <w:bookmarkEnd w:id="81"/>
      <w:bookmarkEnd w:id="82"/>
    </w:p>
    <w:p w14:paraId="30968F25" w14:textId="25679976" w:rsidR="00CF2AED" w:rsidRPr="00986275" w:rsidRDefault="00CF2AED" w:rsidP="00F739F7">
      <w:pPr>
        <w:pStyle w:val="COMESnumberedpara"/>
      </w:pPr>
      <w:r w:rsidRPr="00986275">
        <w:t xml:space="preserve">The PSCR noted that the proposed treatment duration </w:t>
      </w:r>
      <w:r w:rsidR="00E979B0" w:rsidRPr="00986275">
        <w:t xml:space="preserve">for tarlatamab </w:t>
      </w:r>
      <w:r w:rsidRPr="00986275">
        <w:t>used in the financial analysis reflects treatment until progression</w:t>
      </w:r>
      <w:r w:rsidR="007F0D50" w:rsidRPr="00986275">
        <w:t xml:space="preserve"> however acknowledged there was a risk of use beyond progression</w:t>
      </w:r>
      <w:r w:rsidR="00E979B0" w:rsidRPr="00986275">
        <w:t>. T</w:t>
      </w:r>
      <w:r w:rsidRPr="00986275">
        <w:t>he sponsor</w:t>
      </w:r>
      <w:r w:rsidR="00E979B0" w:rsidRPr="00986275">
        <w:t xml:space="preserve"> noted it</w:t>
      </w:r>
      <w:r w:rsidRPr="00986275">
        <w:t xml:space="preserve"> was willing to adopt a risk sharing arrangement to manage the risk of treatment beyond that projected in the financial estimates.</w:t>
      </w:r>
    </w:p>
    <w:p w14:paraId="4B50E260" w14:textId="0F450F6A" w:rsidR="00871FA9" w:rsidRDefault="00871FA9" w:rsidP="00E67537">
      <w:pPr>
        <w:pStyle w:val="COMESnumberedpara"/>
        <w:numPr>
          <w:ilvl w:val="0"/>
          <w:numId w:val="0"/>
        </w:numPr>
        <w:ind w:left="720" w:hanging="720"/>
        <w:rPr>
          <w:color w:val="0066FF"/>
        </w:rPr>
      </w:pPr>
    </w:p>
    <w:p w14:paraId="532FDB61" w14:textId="77777777" w:rsidR="00E67537" w:rsidRPr="00E67537" w:rsidRDefault="00E67537" w:rsidP="0050305F">
      <w:pPr>
        <w:pStyle w:val="COMESnumberedpara"/>
        <w:numPr>
          <w:ilvl w:val="0"/>
          <w:numId w:val="0"/>
        </w:numPr>
        <w:ind w:firstLine="720"/>
        <w:rPr>
          <w:i/>
          <w:iCs/>
        </w:rPr>
      </w:pPr>
      <w:r w:rsidRPr="00E67537">
        <w:rPr>
          <w:i/>
          <w:iCs/>
        </w:rPr>
        <w:t>For more detail on PBAC’s view, see section 7 PBAC outcome.</w:t>
      </w:r>
    </w:p>
    <w:p w14:paraId="6A900EFD" w14:textId="77777777" w:rsidR="00546FF2" w:rsidRPr="00546FF2" w:rsidRDefault="00546FF2" w:rsidP="00546FF2">
      <w:pPr>
        <w:keepNext/>
        <w:numPr>
          <w:ilvl w:val="0"/>
          <w:numId w:val="1"/>
        </w:numPr>
        <w:spacing w:before="240" w:after="120"/>
        <w:jc w:val="left"/>
        <w:outlineLvl w:val="0"/>
        <w:rPr>
          <w:rFonts w:asciiTheme="minorHAnsi" w:hAnsiTheme="minorHAnsi"/>
          <w:b/>
          <w:snapToGrid w:val="0"/>
          <w:sz w:val="32"/>
          <w:szCs w:val="32"/>
        </w:rPr>
      </w:pPr>
      <w:bookmarkStart w:id="83" w:name="_Hlk76381249"/>
      <w:r w:rsidRPr="00546FF2">
        <w:rPr>
          <w:rFonts w:asciiTheme="minorHAnsi" w:hAnsiTheme="minorHAnsi"/>
          <w:b/>
          <w:snapToGrid w:val="0"/>
          <w:sz w:val="32"/>
          <w:szCs w:val="32"/>
        </w:rPr>
        <w:t>PBAC Outcome</w:t>
      </w:r>
    </w:p>
    <w:p w14:paraId="4208AA5B" w14:textId="257F4338" w:rsidR="00E064DA" w:rsidRPr="00563037" w:rsidRDefault="003A450F" w:rsidP="0007599D">
      <w:pPr>
        <w:widowControl w:val="0"/>
        <w:numPr>
          <w:ilvl w:val="1"/>
          <w:numId w:val="1"/>
        </w:numPr>
        <w:spacing w:after="120"/>
        <w:rPr>
          <w:rFonts w:asciiTheme="minorHAnsi" w:hAnsiTheme="minorHAnsi"/>
          <w:snapToGrid w:val="0"/>
          <w:lang w:eastAsia="en-US"/>
        </w:rPr>
      </w:pPr>
      <w:bookmarkStart w:id="84" w:name="_Hlk111543188"/>
      <w:r w:rsidRPr="003A450F">
        <w:rPr>
          <w:rFonts w:asciiTheme="minorHAnsi" w:hAnsiTheme="minorHAnsi"/>
          <w:snapToGrid w:val="0"/>
          <w:lang w:val="en-GB" w:eastAsia="en-US"/>
        </w:rPr>
        <w:t>The PBAC did not recommend tarlatamab for</w:t>
      </w:r>
      <w:r w:rsidR="00D92983">
        <w:rPr>
          <w:rFonts w:asciiTheme="minorHAnsi" w:hAnsiTheme="minorHAnsi"/>
          <w:snapToGrid w:val="0"/>
          <w:lang w:val="en-GB" w:eastAsia="en-US"/>
        </w:rPr>
        <w:t xml:space="preserve"> the treatment of</w:t>
      </w:r>
      <w:r w:rsidR="002123FB">
        <w:rPr>
          <w:rFonts w:asciiTheme="minorHAnsi" w:hAnsiTheme="minorHAnsi"/>
          <w:snapToGrid w:val="0"/>
          <w:lang w:val="en-GB" w:eastAsia="en-US"/>
        </w:rPr>
        <w:t xml:space="preserve"> </w:t>
      </w:r>
      <w:r w:rsidR="00D92983" w:rsidRPr="005C0450">
        <w:t>extensive-stage small</w:t>
      </w:r>
      <w:r w:rsidR="00D92983">
        <w:t xml:space="preserve"> </w:t>
      </w:r>
      <w:r w:rsidR="00D92983" w:rsidRPr="005C0450">
        <w:t xml:space="preserve">cell lung cancer </w:t>
      </w:r>
      <w:r w:rsidR="00D92983">
        <w:t>(</w:t>
      </w:r>
      <w:r w:rsidRPr="003A450F">
        <w:rPr>
          <w:rFonts w:asciiTheme="minorHAnsi" w:hAnsiTheme="minorHAnsi"/>
          <w:snapToGrid w:val="0"/>
          <w:lang w:val="en-GB" w:eastAsia="en-US"/>
        </w:rPr>
        <w:t>ES-SCLC</w:t>
      </w:r>
      <w:r w:rsidR="00D92983">
        <w:rPr>
          <w:rFonts w:asciiTheme="minorHAnsi" w:hAnsiTheme="minorHAnsi"/>
          <w:snapToGrid w:val="0"/>
          <w:lang w:val="en-GB" w:eastAsia="en-US"/>
        </w:rPr>
        <w:t>)</w:t>
      </w:r>
      <w:r w:rsidRPr="003A450F">
        <w:rPr>
          <w:rFonts w:asciiTheme="minorHAnsi" w:hAnsiTheme="minorHAnsi"/>
          <w:snapToGrid w:val="0"/>
          <w:lang w:val="en-GB" w:eastAsia="en-US"/>
        </w:rPr>
        <w:t xml:space="preserve"> with disease progression on or after first line treatment </w:t>
      </w:r>
      <w:r w:rsidR="00F308EC">
        <w:rPr>
          <w:rFonts w:asciiTheme="minorHAnsi" w:hAnsiTheme="minorHAnsi"/>
          <w:snapToGrid w:val="0"/>
          <w:lang w:val="en-GB" w:eastAsia="en-US"/>
        </w:rPr>
        <w:t>with</w:t>
      </w:r>
      <w:r w:rsidRPr="003A450F">
        <w:rPr>
          <w:rFonts w:asciiTheme="minorHAnsi" w:hAnsiTheme="minorHAnsi"/>
          <w:snapToGrid w:val="0"/>
          <w:lang w:val="en-GB" w:eastAsia="en-US"/>
        </w:rPr>
        <w:t xml:space="preserve"> platinum-based chemotherapy. </w:t>
      </w:r>
      <w:r w:rsidR="00924744">
        <w:rPr>
          <w:rFonts w:asciiTheme="minorHAnsi" w:hAnsiTheme="minorHAnsi"/>
          <w:snapToGrid w:val="0"/>
          <w:lang w:val="en-GB" w:eastAsia="en-US"/>
        </w:rPr>
        <w:t>The PBAC noted</w:t>
      </w:r>
      <w:r w:rsidR="00E85B22">
        <w:rPr>
          <w:rFonts w:asciiTheme="minorHAnsi" w:hAnsiTheme="minorHAnsi"/>
          <w:snapToGrid w:val="0"/>
          <w:lang w:val="en-GB" w:eastAsia="en-US"/>
        </w:rPr>
        <w:t xml:space="preserve"> </w:t>
      </w:r>
      <w:r w:rsidR="006142AA">
        <w:rPr>
          <w:rFonts w:asciiTheme="minorHAnsi" w:hAnsiTheme="minorHAnsi"/>
          <w:snapToGrid w:val="0"/>
          <w:lang w:val="en-GB" w:eastAsia="en-US"/>
        </w:rPr>
        <w:t>the</w:t>
      </w:r>
      <w:r w:rsidR="000634CD">
        <w:rPr>
          <w:rFonts w:asciiTheme="minorHAnsi" w:hAnsiTheme="minorHAnsi"/>
          <w:snapToGrid w:val="0"/>
          <w:lang w:val="en-GB" w:eastAsia="en-US"/>
        </w:rPr>
        <w:t>re</w:t>
      </w:r>
      <w:r w:rsidR="00CF1C96">
        <w:rPr>
          <w:rFonts w:asciiTheme="minorHAnsi" w:hAnsiTheme="minorHAnsi"/>
          <w:snapToGrid w:val="0"/>
          <w:lang w:val="en-GB" w:eastAsia="en-US"/>
        </w:rPr>
        <w:t xml:space="preserve"> is</w:t>
      </w:r>
      <w:r w:rsidR="000634CD">
        <w:rPr>
          <w:rFonts w:asciiTheme="minorHAnsi" w:hAnsiTheme="minorHAnsi"/>
          <w:snapToGrid w:val="0"/>
          <w:lang w:val="en-GB" w:eastAsia="en-US"/>
        </w:rPr>
        <w:t xml:space="preserve"> a</w:t>
      </w:r>
      <w:r w:rsidR="00C21EB1">
        <w:rPr>
          <w:rFonts w:asciiTheme="minorHAnsi" w:hAnsiTheme="minorHAnsi"/>
          <w:snapToGrid w:val="0"/>
          <w:lang w:val="en-GB" w:eastAsia="en-US"/>
        </w:rPr>
        <w:t xml:space="preserve"> high clinical need</w:t>
      </w:r>
      <w:r w:rsidR="00F1537A">
        <w:rPr>
          <w:rFonts w:asciiTheme="minorHAnsi" w:hAnsiTheme="minorHAnsi"/>
          <w:snapToGrid w:val="0"/>
          <w:lang w:val="en-GB" w:eastAsia="en-US"/>
        </w:rPr>
        <w:t xml:space="preserve"> as</w:t>
      </w:r>
      <w:r w:rsidR="00CF66A3">
        <w:rPr>
          <w:rFonts w:asciiTheme="minorHAnsi" w:hAnsiTheme="minorHAnsi"/>
          <w:snapToGrid w:val="0"/>
          <w:lang w:val="en-GB" w:eastAsia="en-US"/>
        </w:rPr>
        <w:t xml:space="preserve"> ES-SCLC is a rapidly progressive disease and there are limited</w:t>
      </w:r>
      <w:r w:rsidR="00C21EB1">
        <w:rPr>
          <w:rFonts w:asciiTheme="minorHAnsi" w:hAnsiTheme="minorHAnsi"/>
          <w:snapToGrid w:val="0"/>
          <w:lang w:val="en-GB" w:eastAsia="en-US"/>
        </w:rPr>
        <w:t xml:space="preserve"> effective treatments</w:t>
      </w:r>
      <w:r w:rsidR="00CF66A3">
        <w:rPr>
          <w:rFonts w:asciiTheme="minorHAnsi" w:hAnsiTheme="minorHAnsi"/>
          <w:snapToGrid w:val="0"/>
          <w:lang w:val="en-GB" w:eastAsia="en-US"/>
        </w:rPr>
        <w:t xml:space="preserve"> in the second-</w:t>
      </w:r>
      <w:r w:rsidR="00663EAC">
        <w:rPr>
          <w:rFonts w:asciiTheme="minorHAnsi" w:hAnsiTheme="minorHAnsi"/>
          <w:snapToGrid w:val="0"/>
          <w:lang w:val="en-GB" w:eastAsia="en-US"/>
        </w:rPr>
        <w:t xml:space="preserve"> and later-</w:t>
      </w:r>
      <w:r w:rsidR="00CF66A3">
        <w:rPr>
          <w:rFonts w:asciiTheme="minorHAnsi" w:hAnsiTheme="minorHAnsi"/>
          <w:snapToGrid w:val="0"/>
          <w:lang w:val="en-GB" w:eastAsia="en-US"/>
        </w:rPr>
        <w:t>line setting</w:t>
      </w:r>
      <w:r w:rsidR="00663EAC">
        <w:rPr>
          <w:rFonts w:asciiTheme="minorHAnsi" w:hAnsiTheme="minorHAnsi"/>
          <w:snapToGrid w:val="0"/>
          <w:lang w:val="en-GB" w:eastAsia="en-US"/>
        </w:rPr>
        <w:t>s</w:t>
      </w:r>
      <w:r w:rsidR="00E17106">
        <w:rPr>
          <w:rFonts w:asciiTheme="minorHAnsi" w:hAnsiTheme="minorHAnsi"/>
          <w:snapToGrid w:val="0"/>
          <w:lang w:val="en-GB" w:eastAsia="en-US"/>
        </w:rPr>
        <w:t>.</w:t>
      </w:r>
      <w:r w:rsidR="007F018F" w:rsidRPr="007F018F">
        <w:t xml:space="preserve"> </w:t>
      </w:r>
      <w:r w:rsidR="00E17106">
        <w:rPr>
          <w:rFonts w:asciiTheme="minorHAnsi" w:hAnsiTheme="minorHAnsi"/>
          <w:snapToGrid w:val="0"/>
          <w:lang w:eastAsia="en-US"/>
        </w:rPr>
        <w:t xml:space="preserve">The PBAC </w:t>
      </w:r>
      <w:r w:rsidR="00A17FA0">
        <w:rPr>
          <w:rFonts w:asciiTheme="minorHAnsi" w:hAnsiTheme="minorHAnsi"/>
          <w:snapToGrid w:val="0"/>
          <w:lang w:eastAsia="en-US"/>
        </w:rPr>
        <w:t>noted that the trial evidence suggested that tarlatamab was associated with benefits in terms of progression free survival (PFS) and overall survival (OS) compared to</w:t>
      </w:r>
      <w:r w:rsidR="00EA6B88">
        <w:rPr>
          <w:rFonts w:asciiTheme="minorHAnsi" w:hAnsiTheme="minorHAnsi"/>
          <w:snapToGrid w:val="0"/>
          <w:lang w:eastAsia="en-US"/>
        </w:rPr>
        <w:t xml:space="preserve"> </w:t>
      </w:r>
      <w:r w:rsidR="0073586D">
        <w:rPr>
          <w:rFonts w:asciiTheme="minorHAnsi" w:hAnsiTheme="minorHAnsi"/>
          <w:snapToGrid w:val="0"/>
          <w:lang w:eastAsia="en-US"/>
        </w:rPr>
        <w:t xml:space="preserve">standard of care (SOC) </w:t>
      </w:r>
      <w:r w:rsidR="00611DDF">
        <w:rPr>
          <w:rFonts w:asciiTheme="minorHAnsi" w:hAnsiTheme="minorHAnsi"/>
          <w:snapToGrid w:val="0"/>
          <w:lang w:eastAsia="en-US"/>
        </w:rPr>
        <w:t>chemotherapy</w:t>
      </w:r>
      <w:r w:rsidR="003E41EF">
        <w:rPr>
          <w:rFonts w:asciiTheme="minorHAnsi" w:hAnsiTheme="minorHAnsi"/>
          <w:snapToGrid w:val="0"/>
          <w:lang w:val="en-GB" w:eastAsia="en-US"/>
        </w:rPr>
        <w:t xml:space="preserve"> but </w:t>
      </w:r>
      <w:r w:rsidR="00195B6D">
        <w:rPr>
          <w:rFonts w:asciiTheme="minorHAnsi" w:hAnsiTheme="minorHAnsi"/>
          <w:snapToGrid w:val="0"/>
          <w:lang w:val="en-GB" w:eastAsia="en-US"/>
        </w:rPr>
        <w:t>not</w:t>
      </w:r>
      <w:r w:rsidR="00F375BC">
        <w:rPr>
          <w:rFonts w:asciiTheme="minorHAnsi" w:hAnsiTheme="minorHAnsi"/>
          <w:snapToGrid w:val="0"/>
          <w:lang w:val="en-GB" w:eastAsia="en-US"/>
        </w:rPr>
        <w:t>ed</w:t>
      </w:r>
      <w:r w:rsidR="00195B6D">
        <w:rPr>
          <w:rFonts w:asciiTheme="minorHAnsi" w:hAnsiTheme="minorHAnsi"/>
          <w:snapToGrid w:val="0"/>
          <w:lang w:val="en-GB" w:eastAsia="en-US"/>
        </w:rPr>
        <w:t xml:space="preserve"> </w:t>
      </w:r>
      <w:r w:rsidR="00EA6B88">
        <w:rPr>
          <w:rFonts w:asciiTheme="minorHAnsi" w:hAnsiTheme="minorHAnsi"/>
          <w:snapToGrid w:val="0"/>
          <w:lang w:val="en-GB" w:eastAsia="en-US"/>
        </w:rPr>
        <w:t xml:space="preserve">that </w:t>
      </w:r>
      <w:r w:rsidR="00195B6D">
        <w:rPr>
          <w:rFonts w:asciiTheme="minorHAnsi" w:hAnsiTheme="minorHAnsi"/>
          <w:snapToGrid w:val="0"/>
          <w:lang w:val="en-GB" w:eastAsia="en-US"/>
        </w:rPr>
        <w:t xml:space="preserve">tarlatamab </w:t>
      </w:r>
      <w:r w:rsidR="00F375BC">
        <w:rPr>
          <w:rFonts w:asciiTheme="minorHAnsi" w:hAnsiTheme="minorHAnsi"/>
          <w:snapToGrid w:val="0"/>
          <w:lang w:val="en-GB" w:eastAsia="en-US"/>
        </w:rPr>
        <w:t xml:space="preserve">was </w:t>
      </w:r>
      <w:r w:rsidR="003E41EF">
        <w:rPr>
          <w:rFonts w:asciiTheme="minorHAnsi" w:hAnsiTheme="minorHAnsi"/>
          <w:snapToGrid w:val="0"/>
          <w:lang w:val="en-GB" w:eastAsia="en-US"/>
        </w:rPr>
        <w:t xml:space="preserve">associated with </w:t>
      </w:r>
      <w:r w:rsidR="00195B6D">
        <w:rPr>
          <w:rFonts w:asciiTheme="minorHAnsi" w:hAnsiTheme="minorHAnsi"/>
          <w:snapToGrid w:val="0"/>
          <w:lang w:val="en-GB" w:eastAsia="en-US"/>
        </w:rPr>
        <w:t xml:space="preserve">a </w:t>
      </w:r>
      <w:r w:rsidR="009B6B47">
        <w:rPr>
          <w:rFonts w:asciiTheme="minorHAnsi" w:hAnsiTheme="minorHAnsi"/>
          <w:snapToGrid w:val="0"/>
          <w:lang w:val="en-GB" w:eastAsia="en-US"/>
        </w:rPr>
        <w:t xml:space="preserve">high risk </w:t>
      </w:r>
      <w:r w:rsidR="00C14435" w:rsidRPr="00FE3451">
        <w:rPr>
          <w:rFonts w:cs="Calibri"/>
          <w:lang w:val="en-US" w:eastAsia="en-GB"/>
          <w14:ligatures w14:val="standardContextual"/>
        </w:rPr>
        <w:t>of life-threatening immune effector cell-associated neurotoxicity syndrome (ICANs) and cytokine release syndrome (CRS)</w:t>
      </w:r>
      <w:r w:rsidR="00C75B14">
        <w:rPr>
          <w:rFonts w:asciiTheme="minorHAnsi" w:hAnsiTheme="minorHAnsi"/>
          <w:snapToGrid w:val="0"/>
          <w:lang w:val="en-GB" w:eastAsia="en-US"/>
        </w:rPr>
        <w:t>.</w:t>
      </w:r>
      <w:r w:rsidR="009B6B47">
        <w:rPr>
          <w:rFonts w:asciiTheme="minorHAnsi" w:hAnsiTheme="minorHAnsi"/>
          <w:snapToGrid w:val="0"/>
          <w:lang w:val="en-GB" w:eastAsia="en-US"/>
        </w:rPr>
        <w:t xml:space="preserve"> </w:t>
      </w:r>
      <w:r w:rsidR="00425447" w:rsidRPr="009D1D23">
        <w:rPr>
          <w:rFonts w:asciiTheme="minorHAnsi" w:hAnsiTheme="minorHAnsi"/>
          <w:snapToGrid w:val="0"/>
          <w:lang w:val="en-GB" w:eastAsia="en-US"/>
        </w:rPr>
        <w:t>The PBAC</w:t>
      </w:r>
      <w:r w:rsidR="00486D34" w:rsidRPr="009D1D23">
        <w:rPr>
          <w:rFonts w:asciiTheme="minorHAnsi" w:hAnsiTheme="minorHAnsi"/>
          <w:snapToGrid w:val="0"/>
          <w:lang w:val="en-GB" w:eastAsia="en-US"/>
        </w:rPr>
        <w:t xml:space="preserve"> </w:t>
      </w:r>
      <w:r w:rsidR="00486D34" w:rsidRPr="009D1D23" w:rsidDel="008C5CE3">
        <w:rPr>
          <w:rFonts w:asciiTheme="minorHAnsi" w:hAnsiTheme="minorHAnsi"/>
          <w:snapToGrid w:val="0"/>
          <w:lang w:val="en-GB" w:eastAsia="en-US"/>
        </w:rPr>
        <w:t>agreed with the ESC</w:t>
      </w:r>
      <w:r w:rsidR="008C5CE3">
        <w:rPr>
          <w:rFonts w:asciiTheme="minorHAnsi" w:hAnsiTheme="minorHAnsi"/>
          <w:snapToGrid w:val="0"/>
          <w:lang w:val="en-GB" w:eastAsia="en-US"/>
        </w:rPr>
        <w:t xml:space="preserve"> that </w:t>
      </w:r>
      <w:r w:rsidR="00425447" w:rsidRPr="009D1D23">
        <w:rPr>
          <w:rFonts w:asciiTheme="minorHAnsi" w:hAnsiTheme="minorHAnsi"/>
          <w:snapToGrid w:val="0"/>
          <w:lang w:val="en-GB" w:eastAsia="en-US"/>
        </w:rPr>
        <w:t xml:space="preserve">revision to the economic model </w:t>
      </w:r>
      <w:r w:rsidR="00FE330E">
        <w:rPr>
          <w:rFonts w:asciiTheme="minorHAnsi" w:hAnsiTheme="minorHAnsi"/>
          <w:snapToGrid w:val="0"/>
          <w:lang w:val="en-GB" w:eastAsia="en-US"/>
        </w:rPr>
        <w:t>was</w:t>
      </w:r>
      <w:r w:rsidR="00FE330E" w:rsidRPr="009D1D23">
        <w:rPr>
          <w:rFonts w:asciiTheme="minorHAnsi" w:hAnsiTheme="minorHAnsi"/>
          <w:snapToGrid w:val="0"/>
          <w:lang w:val="en-GB" w:eastAsia="en-US"/>
        </w:rPr>
        <w:t xml:space="preserve"> </w:t>
      </w:r>
      <w:r w:rsidR="00425447" w:rsidRPr="009D1D23">
        <w:rPr>
          <w:rFonts w:asciiTheme="minorHAnsi" w:hAnsiTheme="minorHAnsi"/>
          <w:snapToGrid w:val="0"/>
          <w:lang w:val="en-GB" w:eastAsia="en-US"/>
        </w:rPr>
        <w:t>required</w:t>
      </w:r>
      <w:r w:rsidR="008C5CE3">
        <w:rPr>
          <w:rFonts w:asciiTheme="minorHAnsi" w:hAnsiTheme="minorHAnsi"/>
          <w:snapToGrid w:val="0"/>
          <w:lang w:val="en-GB" w:eastAsia="en-US"/>
        </w:rPr>
        <w:t xml:space="preserve"> to address </w:t>
      </w:r>
      <w:r w:rsidR="00B13222">
        <w:rPr>
          <w:rFonts w:asciiTheme="minorHAnsi" w:hAnsiTheme="minorHAnsi"/>
          <w:snapToGrid w:val="0"/>
          <w:lang w:val="en-GB" w:eastAsia="en-US"/>
        </w:rPr>
        <w:t>key uncertainties.</w:t>
      </w:r>
      <w:r w:rsidR="00563037" w:rsidRPr="00563037">
        <w:rPr>
          <w:rFonts w:ascii="Aptos" w:eastAsiaTheme="minorHAnsi" w:hAnsi="Aptos" w:cs="Aptos"/>
          <w:lang w:eastAsia="en-US"/>
          <w14:ligatures w14:val="standardContextual"/>
        </w:rPr>
        <w:t xml:space="preserve"> </w:t>
      </w:r>
      <w:r w:rsidR="00563037" w:rsidRPr="00563037">
        <w:rPr>
          <w:rFonts w:asciiTheme="minorHAnsi" w:hAnsiTheme="minorHAnsi"/>
          <w:snapToGrid w:val="0"/>
          <w:lang w:eastAsia="en-US"/>
        </w:rPr>
        <w:t>The PBAC noted that</w:t>
      </w:r>
      <w:r w:rsidR="00704E73">
        <w:rPr>
          <w:rFonts w:asciiTheme="minorHAnsi" w:hAnsiTheme="minorHAnsi"/>
          <w:snapToGrid w:val="0"/>
          <w:lang w:eastAsia="en-US"/>
        </w:rPr>
        <w:t xml:space="preserve"> incorporating the ESC’s recommended revisions, together with</w:t>
      </w:r>
      <w:r w:rsidR="009C5A72">
        <w:rPr>
          <w:rFonts w:asciiTheme="minorHAnsi" w:hAnsiTheme="minorHAnsi"/>
          <w:snapToGrid w:val="0"/>
          <w:lang w:eastAsia="en-US"/>
        </w:rPr>
        <w:t xml:space="preserve"> the</w:t>
      </w:r>
      <w:r w:rsidR="00704E73">
        <w:rPr>
          <w:rFonts w:asciiTheme="minorHAnsi" w:hAnsiTheme="minorHAnsi"/>
          <w:snapToGrid w:val="0"/>
          <w:lang w:eastAsia="en-US"/>
        </w:rPr>
        <w:t xml:space="preserve"> </w:t>
      </w:r>
      <w:r w:rsidR="00563037" w:rsidRPr="00563037">
        <w:rPr>
          <w:rFonts w:asciiTheme="minorHAnsi" w:hAnsiTheme="minorHAnsi"/>
          <w:snapToGrid w:val="0"/>
          <w:lang w:eastAsia="en-US"/>
        </w:rPr>
        <w:t>price proposed in the pre-PBAC Response</w:t>
      </w:r>
      <w:r w:rsidR="00704E73">
        <w:rPr>
          <w:rFonts w:asciiTheme="minorHAnsi" w:hAnsiTheme="minorHAnsi"/>
          <w:snapToGrid w:val="0"/>
          <w:lang w:eastAsia="en-US"/>
        </w:rPr>
        <w:t>, resulted in an unacceptably high incremental cost-effectiveness ratio (ICER)</w:t>
      </w:r>
      <w:r w:rsidR="00563037" w:rsidRPr="00563037">
        <w:rPr>
          <w:rFonts w:asciiTheme="minorHAnsi" w:hAnsiTheme="minorHAnsi"/>
          <w:snapToGrid w:val="0"/>
          <w:lang w:eastAsia="en-US"/>
        </w:rPr>
        <w:t>. The PBAC considered that a price reduction would be required to achieve a cost-effective listing, together with a risk sharing arrangement</w:t>
      </w:r>
      <w:r w:rsidR="00195B39">
        <w:rPr>
          <w:rFonts w:asciiTheme="minorHAnsi" w:hAnsiTheme="minorHAnsi"/>
          <w:snapToGrid w:val="0"/>
          <w:lang w:eastAsia="en-US"/>
        </w:rPr>
        <w:t xml:space="preserve"> (RSA)</w:t>
      </w:r>
      <w:r w:rsidR="00563037" w:rsidRPr="00563037">
        <w:rPr>
          <w:rFonts w:asciiTheme="minorHAnsi" w:hAnsiTheme="minorHAnsi"/>
          <w:snapToGrid w:val="0"/>
          <w:lang w:eastAsia="en-US"/>
        </w:rPr>
        <w:t xml:space="preserve"> to mitigate the risk of use outside the proposed </w:t>
      </w:r>
      <w:r w:rsidR="00563037" w:rsidRPr="00563037">
        <w:rPr>
          <w:rFonts w:asciiTheme="minorHAnsi" w:hAnsiTheme="minorHAnsi"/>
          <w:snapToGrid w:val="0"/>
          <w:lang w:eastAsia="en-US"/>
        </w:rPr>
        <w:lastRenderedPageBreak/>
        <w:t>restriction.</w:t>
      </w:r>
      <w:r w:rsidR="002B710A">
        <w:rPr>
          <w:rFonts w:asciiTheme="minorHAnsi" w:hAnsiTheme="minorHAnsi"/>
          <w:snapToGrid w:val="0"/>
          <w:lang w:eastAsia="en-US"/>
        </w:rPr>
        <w:t xml:space="preserve"> </w:t>
      </w:r>
      <w:r w:rsidR="00142085" w:rsidRPr="00777DAA">
        <w:t xml:space="preserve">The PBAC advised that </w:t>
      </w:r>
      <w:r w:rsidR="00195B39">
        <w:t>the remaining</w:t>
      </w:r>
      <w:r w:rsidR="00142085" w:rsidRPr="00777DAA">
        <w:t xml:space="preserve"> issues could be addressed in an early re-entry submission.</w:t>
      </w:r>
    </w:p>
    <w:p w14:paraId="4574DE98" w14:textId="39405647" w:rsidR="00AF7E2E" w:rsidRDefault="00AF7E2E" w:rsidP="00546FF2">
      <w:pPr>
        <w:widowControl w:val="0"/>
        <w:numPr>
          <w:ilvl w:val="1"/>
          <w:numId w:val="1"/>
        </w:numPr>
        <w:spacing w:after="120"/>
        <w:jc w:val="left"/>
        <w:rPr>
          <w:rFonts w:asciiTheme="minorHAnsi" w:hAnsiTheme="minorHAnsi"/>
          <w:snapToGrid w:val="0"/>
          <w:lang w:val="en-GB" w:eastAsia="en-US"/>
        </w:rPr>
      </w:pPr>
      <w:r>
        <w:rPr>
          <w:rFonts w:asciiTheme="minorHAnsi" w:hAnsiTheme="minorHAnsi"/>
          <w:snapToGrid w:val="0"/>
          <w:lang w:val="en-GB" w:eastAsia="en-US"/>
        </w:rPr>
        <w:t xml:space="preserve">The PBAC considered that the primary reason for this outcome was the </w:t>
      </w:r>
      <w:r w:rsidR="002D5398">
        <w:rPr>
          <w:rFonts w:asciiTheme="minorHAnsi" w:hAnsiTheme="minorHAnsi"/>
          <w:snapToGrid w:val="0"/>
          <w:lang w:val="en-GB" w:eastAsia="en-US"/>
        </w:rPr>
        <w:t>economic evaluation</w:t>
      </w:r>
      <w:r w:rsidR="006D6A8E">
        <w:rPr>
          <w:rFonts w:asciiTheme="minorHAnsi" w:hAnsiTheme="minorHAnsi"/>
          <w:snapToGrid w:val="0"/>
          <w:lang w:val="en-GB" w:eastAsia="en-US"/>
        </w:rPr>
        <w:t>.</w:t>
      </w:r>
      <w:r>
        <w:rPr>
          <w:rFonts w:asciiTheme="minorHAnsi" w:hAnsiTheme="minorHAnsi"/>
          <w:snapToGrid w:val="0"/>
          <w:lang w:val="en-GB" w:eastAsia="en-US"/>
        </w:rPr>
        <w:t xml:space="preserve"> </w:t>
      </w:r>
    </w:p>
    <w:p w14:paraId="50EF0B58" w14:textId="6496E825" w:rsidR="0016417E" w:rsidRPr="00AC233D" w:rsidRDefault="0016417E" w:rsidP="0007599D">
      <w:pPr>
        <w:widowControl w:val="0"/>
        <w:numPr>
          <w:ilvl w:val="1"/>
          <w:numId w:val="1"/>
        </w:numPr>
        <w:spacing w:after="120"/>
        <w:rPr>
          <w:rFonts w:asciiTheme="minorHAnsi" w:hAnsiTheme="minorHAnsi"/>
          <w:snapToGrid w:val="0"/>
          <w:lang w:eastAsia="en-US"/>
        </w:rPr>
      </w:pPr>
      <w:r w:rsidRPr="003A450F">
        <w:rPr>
          <w:rFonts w:asciiTheme="minorHAnsi" w:hAnsiTheme="minorHAnsi"/>
          <w:snapToGrid w:val="0"/>
          <w:lang w:val="en-GB" w:eastAsia="en-US"/>
        </w:rPr>
        <w:t xml:space="preserve">The PBAC </w:t>
      </w:r>
      <w:r w:rsidR="008F743B">
        <w:rPr>
          <w:rFonts w:asciiTheme="minorHAnsi" w:hAnsiTheme="minorHAnsi"/>
          <w:snapToGrid w:val="0"/>
          <w:lang w:val="en-GB" w:eastAsia="en-US"/>
        </w:rPr>
        <w:t>noted and welcomed</w:t>
      </w:r>
      <w:r w:rsidR="00C40A5B">
        <w:rPr>
          <w:rFonts w:asciiTheme="minorHAnsi" w:hAnsiTheme="minorHAnsi"/>
          <w:snapToGrid w:val="0"/>
          <w:lang w:val="en-GB" w:eastAsia="en-US"/>
        </w:rPr>
        <w:t xml:space="preserve"> comments </w:t>
      </w:r>
      <w:r w:rsidR="008F743B">
        <w:rPr>
          <w:rFonts w:asciiTheme="minorHAnsi" w:hAnsiTheme="minorHAnsi"/>
          <w:snapToGrid w:val="0"/>
          <w:lang w:val="en-GB" w:eastAsia="en-US"/>
        </w:rPr>
        <w:t>from</w:t>
      </w:r>
      <w:r w:rsidR="00A36F97">
        <w:rPr>
          <w:rFonts w:asciiTheme="minorHAnsi" w:hAnsiTheme="minorHAnsi"/>
          <w:snapToGrid w:val="0"/>
          <w:lang w:val="en-GB" w:eastAsia="en-US"/>
        </w:rPr>
        <w:t xml:space="preserve"> health care professionals, individuals who would like access to tarlatamab</w:t>
      </w:r>
      <w:r w:rsidR="00CB774A">
        <w:rPr>
          <w:rFonts w:asciiTheme="minorHAnsi" w:hAnsiTheme="minorHAnsi"/>
          <w:snapToGrid w:val="0"/>
          <w:lang w:val="en-GB" w:eastAsia="en-US"/>
        </w:rPr>
        <w:t>,</w:t>
      </w:r>
      <w:r w:rsidR="00371F2E">
        <w:rPr>
          <w:rFonts w:asciiTheme="minorHAnsi" w:hAnsiTheme="minorHAnsi"/>
          <w:snapToGrid w:val="0"/>
          <w:lang w:val="en-GB" w:eastAsia="en-US"/>
        </w:rPr>
        <w:t xml:space="preserve"> and medical/consumer organisations</w:t>
      </w:r>
      <w:r w:rsidR="002D191D">
        <w:rPr>
          <w:rFonts w:asciiTheme="minorHAnsi" w:hAnsiTheme="minorHAnsi"/>
          <w:snapToGrid w:val="0"/>
          <w:lang w:val="en-GB" w:eastAsia="en-US"/>
        </w:rPr>
        <w:t xml:space="preserve">. The PBAC noted </w:t>
      </w:r>
      <w:r w:rsidR="00B42A54">
        <w:rPr>
          <w:rFonts w:asciiTheme="minorHAnsi" w:hAnsiTheme="minorHAnsi"/>
          <w:snapToGrid w:val="0"/>
          <w:lang w:val="en-GB" w:eastAsia="en-US"/>
        </w:rPr>
        <w:t>comments</w:t>
      </w:r>
      <w:r w:rsidR="00A67BB2">
        <w:rPr>
          <w:rFonts w:asciiTheme="minorHAnsi" w:hAnsiTheme="minorHAnsi"/>
          <w:snapToGrid w:val="0"/>
          <w:lang w:val="en-GB" w:eastAsia="en-US"/>
        </w:rPr>
        <w:t xml:space="preserve"> highlight</w:t>
      </w:r>
      <w:r w:rsidR="00101966">
        <w:rPr>
          <w:rFonts w:asciiTheme="minorHAnsi" w:hAnsiTheme="minorHAnsi"/>
          <w:snapToGrid w:val="0"/>
          <w:lang w:val="en-GB" w:eastAsia="en-US"/>
        </w:rPr>
        <w:t>ing</w:t>
      </w:r>
      <w:r w:rsidR="00A67BB2">
        <w:rPr>
          <w:rFonts w:asciiTheme="minorHAnsi" w:hAnsiTheme="minorHAnsi"/>
          <w:snapToGrid w:val="0"/>
          <w:lang w:val="en-GB" w:eastAsia="en-US"/>
        </w:rPr>
        <w:t xml:space="preserve"> </w:t>
      </w:r>
      <w:r w:rsidR="004745B8">
        <w:rPr>
          <w:rFonts w:asciiTheme="minorHAnsi" w:hAnsiTheme="minorHAnsi"/>
          <w:snapToGrid w:val="0"/>
          <w:lang w:val="en-GB" w:eastAsia="en-US"/>
        </w:rPr>
        <w:t>that there was currently a</w:t>
      </w:r>
      <w:r w:rsidR="00B42A54" w:rsidRPr="003A450F">
        <w:rPr>
          <w:rFonts w:asciiTheme="minorHAnsi" w:hAnsiTheme="minorHAnsi"/>
          <w:snapToGrid w:val="0"/>
          <w:lang w:val="en-GB" w:eastAsia="en-US"/>
        </w:rPr>
        <w:t xml:space="preserve"> </w:t>
      </w:r>
      <w:r w:rsidRPr="003A450F">
        <w:rPr>
          <w:rFonts w:asciiTheme="minorHAnsi" w:hAnsiTheme="minorHAnsi"/>
          <w:snapToGrid w:val="0"/>
          <w:lang w:val="en-GB" w:eastAsia="en-US"/>
        </w:rPr>
        <w:t>high clinical need for effective therapies for ES-SCLC</w:t>
      </w:r>
      <w:r w:rsidR="00790633">
        <w:rPr>
          <w:rFonts w:asciiTheme="minorHAnsi" w:hAnsiTheme="minorHAnsi"/>
          <w:snapToGrid w:val="0"/>
          <w:lang w:val="en-GB" w:eastAsia="en-US"/>
        </w:rPr>
        <w:t>,</w:t>
      </w:r>
      <w:r w:rsidR="00790633" w:rsidRPr="00790633">
        <w:t xml:space="preserve"> </w:t>
      </w:r>
      <w:r w:rsidR="00790633" w:rsidRPr="00371F9C">
        <w:t xml:space="preserve">noting that patients currently have </w:t>
      </w:r>
      <w:r w:rsidR="00DB382F" w:rsidRPr="00DB382F">
        <w:t>few effective</w:t>
      </w:r>
      <w:r w:rsidR="00790633" w:rsidRPr="00371F9C">
        <w:t xml:space="preserve"> treatment options</w:t>
      </w:r>
      <w:r w:rsidR="00DB382F" w:rsidRPr="00DB382F">
        <w:t>,</w:t>
      </w:r>
      <w:r w:rsidR="00790633" w:rsidRPr="00371F9C">
        <w:t xml:space="preserve"> with </w:t>
      </w:r>
      <w:r w:rsidR="00DB382F" w:rsidRPr="00DB382F">
        <w:t xml:space="preserve">only </w:t>
      </w:r>
      <w:r w:rsidR="00790633" w:rsidRPr="00371F9C">
        <w:t xml:space="preserve">modest </w:t>
      </w:r>
      <w:r w:rsidR="00EE2431">
        <w:t xml:space="preserve">clinical </w:t>
      </w:r>
      <w:r w:rsidR="00790633" w:rsidRPr="00371F9C">
        <w:t>benefit</w:t>
      </w:r>
      <w:r w:rsidR="00DB382F" w:rsidRPr="00DB382F">
        <w:t>,</w:t>
      </w:r>
      <w:r w:rsidR="00790633" w:rsidRPr="00371F9C">
        <w:t xml:space="preserve"> and typically </w:t>
      </w:r>
      <w:r w:rsidR="00DB382F" w:rsidRPr="00DB382F">
        <w:t>face</w:t>
      </w:r>
      <w:r w:rsidR="00790633" w:rsidRPr="00371F9C">
        <w:t xml:space="preserve"> rapidly progressive disease, </w:t>
      </w:r>
      <w:r w:rsidR="00DB382F" w:rsidRPr="00DB382F">
        <w:t>substantial</w:t>
      </w:r>
      <w:r w:rsidR="00790633" w:rsidRPr="00371F9C">
        <w:t xml:space="preserve"> symptom burden</w:t>
      </w:r>
      <w:r w:rsidR="00DB382F" w:rsidRPr="00DB382F">
        <w:t>,</w:t>
      </w:r>
      <w:r w:rsidR="00790633" w:rsidRPr="00371F9C">
        <w:t xml:space="preserve"> and </w:t>
      </w:r>
      <w:r w:rsidR="00DB382F" w:rsidRPr="00DB382F">
        <w:t>short</w:t>
      </w:r>
      <w:r w:rsidR="00790633" w:rsidRPr="00371F9C">
        <w:t xml:space="preserve"> survival</w:t>
      </w:r>
      <w:r w:rsidR="00043C18">
        <w:t>.</w:t>
      </w:r>
      <w:r w:rsidR="00FF27E2" w:rsidRPr="00BD7E5B">
        <w:t xml:space="preserve"> </w:t>
      </w:r>
      <w:r w:rsidR="00FF427D" w:rsidRPr="00BD7E5B">
        <w:t>The P</w:t>
      </w:r>
      <w:r w:rsidR="00621FEE" w:rsidRPr="00BD7E5B">
        <w:t>BAC note</w:t>
      </w:r>
      <w:r w:rsidR="00AD16B3" w:rsidRPr="00BD7E5B">
        <w:t xml:space="preserve">d </w:t>
      </w:r>
      <w:r w:rsidR="003C2859" w:rsidRPr="00BD7E5B">
        <w:t xml:space="preserve">that </w:t>
      </w:r>
      <w:r w:rsidR="00AD16B3" w:rsidRPr="00BD7E5B">
        <w:t xml:space="preserve">comments </w:t>
      </w:r>
      <w:r w:rsidR="00E264F7" w:rsidRPr="00BD7E5B">
        <w:t>acknowledged</w:t>
      </w:r>
      <w:r w:rsidR="00A26BFB" w:rsidRPr="00BD7E5B">
        <w:t xml:space="preserve"> </w:t>
      </w:r>
      <w:r w:rsidR="0039479A" w:rsidRPr="00BD7E5B">
        <w:t>that</w:t>
      </w:r>
      <w:r w:rsidR="004A6CA6" w:rsidRPr="00BD7E5B">
        <w:t xml:space="preserve"> </w:t>
      </w:r>
      <w:r w:rsidR="00B81769">
        <w:t>the</w:t>
      </w:r>
      <w:r w:rsidR="0039479A" w:rsidRPr="00BD7E5B">
        <w:t xml:space="preserve"> </w:t>
      </w:r>
      <w:r w:rsidR="00877A75" w:rsidRPr="00BD7E5B">
        <w:t>adverse events associated with</w:t>
      </w:r>
      <w:r w:rsidR="00BE5B55" w:rsidRPr="00BD7E5B">
        <w:t xml:space="preserve"> </w:t>
      </w:r>
      <w:r w:rsidR="004A6CA6" w:rsidRPr="00BD7E5B">
        <w:t xml:space="preserve">tarlatamab </w:t>
      </w:r>
      <w:r w:rsidR="000A7110" w:rsidRPr="00BD7E5B">
        <w:t>would necessitate access to</w:t>
      </w:r>
      <w:r w:rsidR="007C0B9F" w:rsidRPr="00BD7E5B">
        <w:t xml:space="preserve"> </w:t>
      </w:r>
      <w:r w:rsidR="00E13A27" w:rsidRPr="00BD7E5B">
        <w:t>acute toxicity management</w:t>
      </w:r>
      <w:r w:rsidR="004A6CA6" w:rsidRPr="00BD7E5B">
        <w:t xml:space="preserve"> and supporting infrastructure, </w:t>
      </w:r>
      <w:r w:rsidR="000A7110" w:rsidRPr="00BD7E5B">
        <w:t xml:space="preserve">which could </w:t>
      </w:r>
      <w:r w:rsidR="00BF18D4" w:rsidRPr="00BD7E5B">
        <w:t>lead to</w:t>
      </w:r>
      <w:r w:rsidR="004A6CA6" w:rsidRPr="00BD7E5B">
        <w:t xml:space="preserve"> </w:t>
      </w:r>
      <w:r w:rsidR="00E13A27" w:rsidRPr="00BD7E5B">
        <w:t xml:space="preserve">cost and implementation </w:t>
      </w:r>
      <w:r w:rsidR="00BF18D4" w:rsidRPr="00BD7E5B">
        <w:t xml:space="preserve">challenges </w:t>
      </w:r>
      <w:r w:rsidR="00E13A27" w:rsidRPr="00BD7E5B">
        <w:t xml:space="preserve">in </w:t>
      </w:r>
      <w:r w:rsidR="00BF18D4" w:rsidRPr="00BD7E5B">
        <w:t xml:space="preserve">routine </w:t>
      </w:r>
      <w:r w:rsidR="00E13A27" w:rsidRPr="00BD7E5B">
        <w:t xml:space="preserve">Australian </w:t>
      </w:r>
      <w:r w:rsidR="00BF18D4" w:rsidRPr="00BD7E5B">
        <w:t xml:space="preserve">practice. </w:t>
      </w:r>
      <w:r w:rsidR="00AD16B3" w:rsidRPr="00371F9C">
        <w:t>However, the comments stated that</w:t>
      </w:r>
      <w:r w:rsidR="00494F2C">
        <w:t xml:space="preserve"> overall</w:t>
      </w:r>
      <w:r w:rsidR="00AD16B3" w:rsidRPr="00371F9C">
        <w:t xml:space="preserve"> tarlatamab remained better tolerated </w:t>
      </w:r>
      <w:r w:rsidR="00494F2C">
        <w:t xml:space="preserve">than SOC chemotherapy, </w:t>
      </w:r>
      <w:r w:rsidR="00AD16B3" w:rsidRPr="00371F9C">
        <w:t>with side effects commonly only occurring early in the treatment process</w:t>
      </w:r>
      <w:r w:rsidR="009957D6">
        <w:t>,</w:t>
      </w:r>
      <w:r w:rsidR="00AD16B3" w:rsidRPr="00371F9C">
        <w:t xml:space="preserve"> making them more predictable compared to current treatment options which are cumulative and ongoing.</w:t>
      </w:r>
    </w:p>
    <w:p w14:paraId="0F332C92" w14:textId="5778BE0B" w:rsidR="003202F3" w:rsidRDefault="002C5146" w:rsidP="0007599D">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w:t>
      </w:r>
      <w:r w:rsidR="00AD5CFB">
        <w:rPr>
          <w:rFonts w:asciiTheme="minorHAnsi" w:hAnsiTheme="minorHAnsi"/>
          <w:snapToGrid w:val="0"/>
          <w:lang w:val="en-GB" w:eastAsia="en-US"/>
        </w:rPr>
        <w:t xml:space="preserve">noted </w:t>
      </w:r>
      <w:r w:rsidR="00E730C7">
        <w:rPr>
          <w:rFonts w:asciiTheme="minorHAnsi" w:hAnsiTheme="minorHAnsi"/>
          <w:snapToGrid w:val="0"/>
          <w:lang w:val="en-GB" w:eastAsia="en-US"/>
        </w:rPr>
        <w:t xml:space="preserve">that </w:t>
      </w:r>
      <w:r w:rsidR="00AD5CFB">
        <w:rPr>
          <w:rFonts w:asciiTheme="minorHAnsi" w:hAnsiTheme="minorHAnsi"/>
          <w:snapToGrid w:val="0"/>
          <w:lang w:val="en-GB" w:eastAsia="en-US"/>
        </w:rPr>
        <w:t>the proposed</w:t>
      </w:r>
      <w:r w:rsidR="00594182">
        <w:rPr>
          <w:rFonts w:asciiTheme="minorHAnsi" w:hAnsiTheme="minorHAnsi"/>
          <w:snapToGrid w:val="0"/>
          <w:lang w:val="en-GB" w:eastAsia="en-US"/>
        </w:rPr>
        <w:t xml:space="preserve"> clinical place </w:t>
      </w:r>
      <w:r w:rsidR="00AD5CFB">
        <w:rPr>
          <w:rFonts w:asciiTheme="minorHAnsi" w:hAnsiTheme="minorHAnsi"/>
          <w:snapToGrid w:val="0"/>
          <w:lang w:val="en-GB" w:eastAsia="en-US"/>
        </w:rPr>
        <w:t>for</w:t>
      </w:r>
      <w:r w:rsidR="00594182">
        <w:rPr>
          <w:rFonts w:asciiTheme="minorHAnsi" w:hAnsiTheme="minorHAnsi"/>
          <w:snapToGrid w:val="0"/>
          <w:lang w:val="en-GB" w:eastAsia="en-US"/>
        </w:rPr>
        <w:t xml:space="preserve"> tarlatamab </w:t>
      </w:r>
      <w:r w:rsidR="00A36BC3">
        <w:rPr>
          <w:rFonts w:asciiTheme="minorHAnsi" w:hAnsiTheme="minorHAnsi"/>
          <w:snapToGrid w:val="0"/>
          <w:lang w:val="en-GB" w:eastAsia="en-US"/>
        </w:rPr>
        <w:t xml:space="preserve">was </w:t>
      </w:r>
      <w:r w:rsidR="00AD5CFB">
        <w:rPr>
          <w:rFonts w:asciiTheme="minorHAnsi" w:hAnsiTheme="minorHAnsi"/>
          <w:snapToGrid w:val="0"/>
          <w:lang w:val="en-GB" w:eastAsia="en-US"/>
        </w:rPr>
        <w:t xml:space="preserve">for </w:t>
      </w:r>
      <w:r w:rsidR="005271D9">
        <w:rPr>
          <w:rFonts w:asciiTheme="minorHAnsi" w:hAnsiTheme="minorHAnsi"/>
          <w:snapToGrid w:val="0"/>
          <w:lang w:val="en-GB" w:eastAsia="en-US"/>
        </w:rPr>
        <w:t>the trea</w:t>
      </w:r>
      <w:r w:rsidR="00550150">
        <w:rPr>
          <w:rFonts w:asciiTheme="minorHAnsi" w:hAnsiTheme="minorHAnsi"/>
          <w:snapToGrid w:val="0"/>
          <w:lang w:val="en-GB" w:eastAsia="en-US"/>
        </w:rPr>
        <w:t xml:space="preserve">tment of patients with ES-SCLC </w:t>
      </w:r>
      <w:r w:rsidR="00AD5CFB" w:rsidRPr="003A450F">
        <w:rPr>
          <w:rFonts w:asciiTheme="minorHAnsi" w:hAnsiTheme="minorHAnsi"/>
          <w:snapToGrid w:val="0"/>
          <w:lang w:val="en-GB" w:eastAsia="en-US"/>
        </w:rPr>
        <w:t xml:space="preserve">with disease progression on or after first line treatment </w:t>
      </w:r>
      <w:r w:rsidR="00A557DB">
        <w:rPr>
          <w:rFonts w:asciiTheme="minorHAnsi" w:hAnsiTheme="minorHAnsi"/>
          <w:snapToGrid w:val="0"/>
          <w:lang w:val="en-GB" w:eastAsia="en-US"/>
        </w:rPr>
        <w:t>with</w:t>
      </w:r>
      <w:r w:rsidR="00AD5CFB" w:rsidRPr="003A450F">
        <w:rPr>
          <w:rFonts w:asciiTheme="minorHAnsi" w:hAnsiTheme="minorHAnsi"/>
          <w:snapToGrid w:val="0"/>
          <w:lang w:val="en-GB" w:eastAsia="en-US"/>
        </w:rPr>
        <w:t xml:space="preserve"> platinum-based chemotherapy</w:t>
      </w:r>
      <w:r w:rsidR="00594182">
        <w:rPr>
          <w:rFonts w:asciiTheme="minorHAnsi" w:hAnsiTheme="minorHAnsi"/>
          <w:snapToGrid w:val="0"/>
          <w:lang w:val="en-GB" w:eastAsia="en-US"/>
        </w:rPr>
        <w:t xml:space="preserve"> </w:t>
      </w:r>
      <w:r w:rsidR="00A85B87">
        <w:rPr>
          <w:rFonts w:asciiTheme="minorHAnsi" w:hAnsiTheme="minorHAnsi"/>
          <w:snapToGrid w:val="0"/>
          <w:lang w:val="en-GB" w:eastAsia="en-US"/>
        </w:rPr>
        <w:t xml:space="preserve">(i.e. </w:t>
      </w:r>
      <w:r w:rsidR="00594182">
        <w:rPr>
          <w:rFonts w:asciiTheme="minorHAnsi" w:hAnsiTheme="minorHAnsi"/>
          <w:snapToGrid w:val="0"/>
          <w:lang w:val="en-GB" w:eastAsia="en-US"/>
        </w:rPr>
        <w:t>second</w:t>
      </w:r>
      <w:r w:rsidR="00415F05">
        <w:rPr>
          <w:rFonts w:asciiTheme="minorHAnsi" w:hAnsiTheme="minorHAnsi"/>
          <w:snapToGrid w:val="0"/>
          <w:lang w:val="en-GB" w:eastAsia="en-US"/>
        </w:rPr>
        <w:t>-</w:t>
      </w:r>
      <w:r w:rsidR="00594182">
        <w:rPr>
          <w:rFonts w:asciiTheme="minorHAnsi" w:hAnsiTheme="minorHAnsi"/>
          <w:snapToGrid w:val="0"/>
          <w:lang w:val="en-GB" w:eastAsia="en-US"/>
        </w:rPr>
        <w:t>line</w:t>
      </w:r>
      <w:r w:rsidR="00D716C0">
        <w:rPr>
          <w:rFonts w:asciiTheme="minorHAnsi" w:hAnsiTheme="minorHAnsi"/>
          <w:snapToGrid w:val="0"/>
          <w:lang w:val="en-GB" w:eastAsia="en-US"/>
        </w:rPr>
        <w:t xml:space="preserve"> or subsequent</w:t>
      </w:r>
      <w:r w:rsidR="00594182">
        <w:rPr>
          <w:rFonts w:asciiTheme="minorHAnsi" w:hAnsiTheme="minorHAnsi"/>
          <w:snapToGrid w:val="0"/>
          <w:lang w:val="en-GB" w:eastAsia="en-US"/>
        </w:rPr>
        <w:t xml:space="preserve"> treatment</w:t>
      </w:r>
      <w:r w:rsidR="00A85B87">
        <w:rPr>
          <w:rFonts w:asciiTheme="minorHAnsi" w:hAnsiTheme="minorHAnsi"/>
          <w:snapToGrid w:val="0"/>
          <w:lang w:val="en-GB" w:eastAsia="en-US"/>
        </w:rPr>
        <w:t>).</w:t>
      </w:r>
      <w:r w:rsidR="002B710A">
        <w:rPr>
          <w:rFonts w:asciiTheme="minorHAnsi" w:hAnsiTheme="minorHAnsi"/>
          <w:snapToGrid w:val="0"/>
          <w:lang w:val="en-GB" w:eastAsia="en-US"/>
        </w:rPr>
        <w:t xml:space="preserve"> </w:t>
      </w:r>
      <w:r w:rsidR="005950B7">
        <w:rPr>
          <w:rFonts w:asciiTheme="minorHAnsi" w:hAnsiTheme="minorHAnsi"/>
          <w:snapToGrid w:val="0"/>
          <w:lang w:val="en-GB" w:eastAsia="en-US"/>
        </w:rPr>
        <w:t>The PBAC considered that this was appropriate.</w:t>
      </w:r>
    </w:p>
    <w:p w14:paraId="5EE3500C" w14:textId="0E03C9DA" w:rsidR="00B302C2" w:rsidRDefault="00F804D6" w:rsidP="00B45F99">
      <w:pPr>
        <w:widowControl w:val="0"/>
        <w:numPr>
          <w:ilvl w:val="1"/>
          <w:numId w:val="1"/>
        </w:numPr>
        <w:spacing w:after="120"/>
        <w:rPr>
          <w:rFonts w:asciiTheme="minorHAnsi" w:hAnsiTheme="minorHAnsi"/>
          <w:snapToGrid w:val="0"/>
          <w:lang w:val="en-GB" w:eastAsia="en-US"/>
        </w:rPr>
      </w:pPr>
      <w:bookmarkStart w:id="85" w:name="_Ref226901459"/>
      <w:r w:rsidRPr="56D53311">
        <w:rPr>
          <w:rFonts w:asciiTheme="minorHAnsi" w:hAnsiTheme="minorHAnsi"/>
          <w:lang w:val="en-GB" w:eastAsia="en-US"/>
        </w:rPr>
        <w:t xml:space="preserve">With respect to the proposed </w:t>
      </w:r>
      <w:r w:rsidR="2096F47A" w:rsidRPr="56D53311">
        <w:rPr>
          <w:rFonts w:asciiTheme="minorHAnsi" w:hAnsiTheme="minorHAnsi"/>
          <w:lang w:val="en-GB" w:eastAsia="en-US"/>
        </w:rPr>
        <w:t>restriction</w:t>
      </w:r>
      <w:r w:rsidR="4F537766" w:rsidRPr="56D53311">
        <w:rPr>
          <w:rFonts w:asciiTheme="minorHAnsi" w:hAnsiTheme="minorHAnsi"/>
          <w:lang w:val="en-GB" w:eastAsia="en-US"/>
        </w:rPr>
        <w:t>s</w:t>
      </w:r>
      <w:r w:rsidRPr="56D53311">
        <w:rPr>
          <w:rFonts w:asciiTheme="minorHAnsi" w:hAnsiTheme="minorHAnsi"/>
          <w:lang w:val="en-GB" w:eastAsia="en-US"/>
        </w:rPr>
        <w:t>, the PBAC proposed th</w:t>
      </w:r>
      <w:r w:rsidR="0060240D">
        <w:rPr>
          <w:rFonts w:asciiTheme="minorHAnsi" w:hAnsiTheme="minorHAnsi"/>
          <w:lang w:val="en-GB" w:eastAsia="en-US"/>
        </w:rPr>
        <w:t>e following</w:t>
      </w:r>
      <w:r w:rsidRPr="56D53311">
        <w:rPr>
          <w:rFonts w:asciiTheme="minorHAnsi" w:hAnsiTheme="minorHAnsi"/>
          <w:lang w:val="en-GB" w:eastAsia="en-US"/>
        </w:rPr>
        <w:t>:</w:t>
      </w:r>
      <w:bookmarkEnd w:id="85"/>
    </w:p>
    <w:p w14:paraId="5F712009" w14:textId="45DEAFEA" w:rsidR="00197DCA" w:rsidRDefault="00641EC9" w:rsidP="00B45F99">
      <w:pPr>
        <w:pStyle w:val="ListParagraph"/>
        <w:widowControl w:val="0"/>
        <w:numPr>
          <w:ilvl w:val="0"/>
          <w:numId w:val="25"/>
        </w:numPr>
        <w:ind w:left="1134"/>
        <w:jc w:val="both"/>
        <w:rPr>
          <w:lang w:val="en-GB" w:eastAsia="en-US"/>
        </w:rPr>
      </w:pPr>
      <w:r>
        <w:rPr>
          <w:lang w:val="en-GB" w:eastAsia="en-US"/>
        </w:rPr>
        <w:t xml:space="preserve">A </w:t>
      </w:r>
      <w:r w:rsidR="003717D9" w:rsidRPr="003717D9">
        <w:rPr>
          <w:lang w:eastAsia="en-US"/>
        </w:rPr>
        <w:t>Section 100</w:t>
      </w:r>
      <w:r w:rsidR="00BE5D7E">
        <w:rPr>
          <w:lang w:eastAsia="en-US"/>
        </w:rPr>
        <w:t>,</w:t>
      </w:r>
      <w:r w:rsidR="003717D9" w:rsidRPr="003717D9">
        <w:rPr>
          <w:lang w:eastAsia="en-US"/>
        </w:rPr>
        <w:t xml:space="preserve"> Efficient Funding of Chemotherapy (EFC) Authority required (STREAMLINED) listing</w:t>
      </w:r>
      <w:r w:rsidR="003717D9">
        <w:rPr>
          <w:lang w:eastAsia="en-US"/>
        </w:rPr>
        <w:t xml:space="preserve"> was </w:t>
      </w:r>
      <w:r w:rsidR="00ED26B2">
        <w:rPr>
          <w:lang w:eastAsia="en-US"/>
        </w:rPr>
        <w:t>appropriate</w:t>
      </w:r>
      <w:r w:rsidR="003717D9" w:rsidRPr="003717D9">
        <w:rPr>
          <w:lang w:eastAsia="en-US"/>
        </w:rPr>
        <w:t xml:space="preserve"> for the initial, continuing and grandfather treatment phases.</w:t>
      </w:r>
      <w:r w:rsidR="003619C4">
        <w:rPr>
          <w:lang w:eastAsia="en-US"/>
        </w:rPr>
        <w:t xml:space="preserve"> The initial treatment restriction should have </w:t>
      </w:r>
      <w:r w:rsidR="00F143F8">
        <w:rPr>
          <w:lang w:eastAsia="en-US"/>
        </w:rPr>
        <w:t xml:space="preserve">0 </w:t>
      </w:r>
      <w:r w:rsidR="003619C4">
        <w:rPr>
          <w:lang w:eastAsia="en-US"/>
        </w:rPr>
        <w:t>repeat</w:t>
      </w:r>
      <w:r w:rsidR="008A29A4">
        <w:rPr>
          <w:lang w:eastAsia="en-US"/>
        </w:rPr>
        <w:t>s</w:t>
      </w:r>
      <w:r w:rsidR="003619C4">
        <w:rPr>
          <w:lang w:eastAsia="en-US"/>
        </w:rPr>
        <w:t xml:space="preserve"> with 6 repeats for continuing and grandfathering treatment phases.</w:t>
      </w:r>
    </w:p>
    <w:p w14:paraId="4E886EB0" w14:textId="2DB10E23" w:rsidR="00891709" w:rsidRDefault="002024BE" w:rsidP="00B45F99">
      <w:pPr>
        <w:pStyle w:val="ListParagraph"/>
        <w:widowControl w:val="0"/>
        <w:ind w:left="1134"/>
        <w:jc w:val="both"/>
        <w:rPr>
          <w:lang w:eastAsia="en-US"/>
        </w:rPr>
      </w:pPr>
      <w:r w:rsidRPr="5A8E6C02">
        <w:rPr>
          <w:lang w:eastAsia="en-US"/>
        </w:rPr>
        <w:t xml:space="preserve">Medical practitioners </w:t>
      </w:r>
      <w:r w:rsidR="008D5C77">
        <w:rPr>
          <w:lang w:eastAsia="en-US"/>
        </w:rPr>
        <w:t>should</w:t>
      </w:r>
      <w:r w:rsidR="00035390" w:rsidRPr="5A8E6C02">
        <w:rPr>
          <w:lang w:eastAsia="en-US"/>
        </w:rPr>
        <w:t xml:space="preserve"> </w:t>
      </w:r>
      <w:r w:rsidRPr="5A8E6C02">
        <w:rPr>
          <w:lang w:eastAsia="en-US"/>
        </w:rPr>
        <w:t>be the sole prescriber type</w:t>
      </w:r>
      <w:r w:rsidR="004C57D2" w:rsidRPr="5A8E6C02">
        <w:rPr>
          <w:lang w:eastAsia="en-US"/>
        </w:rPr>
        <w:t>.</w:t>
      </w:r>
    </w:p>
    <w:p w14:paraId="2944F4C6" w14:textId="29704351" w:rsidR="00B623B0" w:rsidRDefault="005D4B40" w:rsidP="00B45F99">
      <w:pPr>
        <w:pStyle w:val="ListParagraph"/>
        <w:widowControl w:val="0"/>
        <w:numPr>
          <w:ilvl w:val="0"/>
          <w:numId w:val="25"/>
        </w:numPr>
        <w:ind w:left="1134"/>
        <w:jc w:val="both"/>
        <w:rPr>
          <w:lang w:val="en-GB" w:eastAsia="en-US"/>
        </w:rPr>
      </w:pPr>
      <w:r>
        <w:rPr>
          <w:lang w:val="en-GB" w:eastAsia="en-US"/>
        </w:rPr>
        <w:t xml:space="preserve">Limiting </w:t>
      </w:r>
      <w:r w:rsidR="00915215">
        <w:rPr>
          <w:lang w:val="en-GB" w:eastAsia="en-US"/>
        </w:rPr>
        <w:t xml:space="preserve">treatment to </w:t>
      </w:r>
      <w:r w:rsidR="00F25276">
        <w:rPr>
          <w:lang w:val="en-GB" w:eastAsia="en-US"/>
        </w:rPr>
        <w:t>ES-</w:t>
      </w:r>
      <w:r w:rsidR="00F95C0B">
        <w:rPr>
          <w:lang w:val="en-GB" w:eastAsia="en-US"/>
        </w:rPr>
        <w:t>SCLC was reasonable</w:t>
      </w:r>
      <w:r w:rsidR="00132A64">
        <w:rPr>
          <w:lang w:val="en-GB" w:eastAsia="en-US"/>
        </w:rPr>
        <w:t xml:space="preserve"> (paragraph </w:t>
      </w:r>
      <w:r w:rsidR="00132A64">
        <w:rPr>
          <w:lang w:val="en-GB" w:eastAsia="en-US"/>
        </w:rPr>
        <w:fldChar w:fldCharType="begin"/>
      </w:r>
      <w:r w:rsidR="00132A64">
        <w:rPr>
          <w:lang w:val="en-GB" w:eastAsia="en-US"/>
        </w:rPr>
        <w:instrText xml:space="preserve"> REF _Ref226545510 \r \h </w:instrText>
      </w:r>
      <w:r w:rsidR="00132A64">
        <w:rPr>
          <w:lang w:val="en-GB" w:eastAsia="en-US"/>
        </w:rPr>
      </w:r>
      <w:r w:rsidR="00132A64">
        <w:rPr>
          <w:lang w:val="en-GB" w:eastAsia="en-US"/>
        </w:rPr>
        <w:fldChar w:fldCharType="separate"/>
      </w:r>
      <w:r w:rsidR="00D23029">
        <w:rPr>
          <w:lang w:val="en-GB" w:eastAsia="en-US"/>
        </w:rPr>
        <w:t>3.3</w:t>
      </w:r>
      <w:r w:rsidR="00132A64">
        <w:rPr>
          <w:lang w:val="en-GB" w:eastAsia="en-US"/>
        </w:rPr>
        <w:fldChar w:fldCharType="end"/>
      </w:r>
      <w:r w:rsidR="00132A64">
        <w:rPr>
          <w:lang w:val="en-GB" w:eastAsia="en-US"/>
        </w:rPr>
        <w:t>)</w:t>
      </w:r>
      <w:r w:rsidR="00F95C0B">
        <w:rPr>
          <w:lang w:val="en-GB" w:eastAsia="en-US"/>
        </w:rPr>
        <w:t>.</w:t>
      </w:r>
      <w:r w:rsidR="00F95C0B" w:rsidRPr="00B623B0">
        <w:rPr>
          <w:lang w:val="en-GB" w:eastAsia="en-US"/>
        </w:rPr>
        <w:t xml:space="preserve"> </w:t>
      </w:r>
    </w:p>
    <w:p w14:paraId="71B29F2E" w14:textId="0F351350" w:rsidR="00945782" w:rsidRPr="00F97448" w:rsidRDefault="00B450CC" w:rsidP="00B45F99">
      <w:pPr>
        <w:pStyle w:val="ListParagraph"/>
        <w:widowControl w:val="0"/>
        <w:numPr>
          <w:ilvl w:val="0"/>
          <w:numId w:val="25"/>
        </w:numPr>
        <w:ind w:left="1134"/>
        <w:jc w:val="both"/>
        <w:rPr>
          <w:lang w:val="en-GB" w:eastAsia="en-US"/>
        </w:rPr>
      </w:pPr>
      <w:r>
        <w:t>T</w:t>
      </w:r>
      <w:r w:rsidR="00900E76">
        <w:t>he proposed stopping rule (disease progression) was reasonable</w:t>
      </w:r>
      <w:r w:rsidR="00965299">
        <w:t xml:space="preserve"> (paragraph </w:t>
      </w:r>
      <w:r w:rsidR="00BF3323">
        <w:fldChar w:fldCharType="begin"/>
      </w:r>
      <w:r w:rsidR="00BF3323">
        <w:instrText xml:space="preserve"> REF _Ref226546125 \r \h </w:instrText>
      </w:r>
      <w:r w:rsidR="00BF3323">
        <w:fldChar w:fldCharType="separate"/>
      </w:r>
      <w:r w:rsidR="00D23029">
        <w:t>3.4</w:t>
      </w:r>
      <w:r w:rsidR="00BF3323">
        <w:fldChar w:fldCharType="end"/>
      </w:r>
      <w:r w:rsidR="00BF3323">
        <w:t>)</w:t>
      </w:r>
      <w:r w:rsidR="00900E76">
        <w:t>.</w:t>
      </w:r>
    </w:p>
    <w:p w14:paraId="2B408005" w14:textId="685FACA6" w:rsidR="00F97448" w:rsidRPr="00B623B0" w:rsidRDefault="00DD2568" w:rsidP="00B45F99">
      <w:pPr>
        <w:pStyle w:val="ListParagraph"/>
        <w:widowControl w:val="0"/>
        <w:numPr>
          <w:ilvl w:val="0"/>
          <w:numId w:val="25"/>
        </w:numPr>
        <w:ind w:left="1134"/>
        <w:jc w:val="both"/>
        <w:rPr>
          <w:lang w:val="en-GB" w:eastAsia="en-US"/>
        </w:rPr>
      </w:pPr>
      <w:r>
        <w:rPr>
          <w:lang w:val="en-US" w:eastAsia="en-GB"/>
        </w:rPr>
        <w:t>The</w:t>
      </w:r>
      <w:r w:rsidR="003F277B">
        <w:rPr>
          <w:lang w:val="en-US" w:eastAsia="en-GB"/>
        </w:rPr>
        <w:t xml:space="preserve"> </w:t>
      </w:r>
      <w:r w:rsidR="005C2240">
        <w:rPr>
          <w:lang w:val="en-US" w:eastAsia="en-GB"/>
        </w:rPr>
        <w:t>criterion</w:t>
      </w:r>
      <w:r w:rsidR="001F1655">
        <w:rPr>
          <w:lang w:val="en-US" w:eastAsia="en-GB"/>
        </w:rPr>
        <w:t xml:space="preserve"> </w:t>
      </w:r>
      <w:r w:rsidR="007D2D97">
        <w:rPr>
          <w:lang w:val="en-US" w:eastAsia="en-GB"/>
        </w:rPr>
        <w:t>requir</w:t>
      </w:r>
      <w:r w:rsidR="00EA4951">
        <w:rPr>
          <w:lang w:val="en-US" w:eastAsia="en-GB"/>
        </w:rPr>
        <w:t>ing</w:t>
      </w:r>
      <w:r w:rsidR="007D2D97">
        <w:rPr>
          <w:lang w:val="en-US" w:eastAsia="en-GB"/>
        </w:rPr>
        <w:t xml:space="preserve"> patients </w:t>
      </w:r>
      <w:r w:rsidR="00CF5471">
        <w:rPr>
          <w:lang w:val="en-US" w:eastAsia="en-GB"/>
        </w:rPr>
        <w:t xml:space="preserve">to have progressed on </w:t>
      </w:r>
      <w:r>
        <w:rPr>
          <w:lang w:val="en-US" w:eastAsia="en-GB"/>
        </w:rPr>
        <w:t xml:space="preserve">or after </w:t>
      </w:r>
      <w:r w:rsidR="00477570">
        <w:rPr>
          <w:lang w:val="en-US" w:eastAsia="en-GB"/>
        </w:rPr>
        <w:t>platinum</w:t>
      </w:r>
      <w:r>
        <w:rPr>
          <w:lang w:val="en-US" w:eastAsia="en-GB"/>
        </w:rPr>
        <w:t>-based chemotherapy</w:t>
      </w:r>
      <w:r w:rsidR="00833D51">
        <w:rPr>
          <w:lang w:val="en-US" w:eastAsia="en-GB"/>
        </w:rPr>
        <w:t xml:space="preserve"> </w:t>
      </w:r>
      <w:r w:rsidR="00C5118D">
        <w:rPr>
          <w:lang w:val="en-US" w:eastAsia="en-GB"/>
        </w:rPr>
        <w:t xml:space="preserve">(PBC) </w:t>
      </w:r>
      <w:r w:rsidR="00833D51">
        <w:rPr>
          <w:lang w:val="en-US" w:eastAsia="en-GB"/>
        </w:rPr>
        <w:t>and</w:t>
      </w:r>
      <w:r w:rsidR="00C55262">
        <w:rPr>
          <w:lang w:val="en-US" w:eastAsia="en-GB"/>
        </w:rPr>
        <w:t xml:space="preserve"> does not </w:t>
      </w:r>
      <w:r w:rsidR="00EA4951">
        <w:rPr>
          <w:lang w:val="en-US" w:eastAsia="en-GB"/>
        </w:rPr>
        <w:t>allow</w:t>
      </w:r>
      <w:r w:rsidR="003F277B">
        <w:rPr>
          <w:lang w:val="en-US" w:eastAsia="en-GB"/>
        </w:rPr>
        <w:t xml:space="preserve"> access to patients </w:t>
      </w:r>
      <w:r w:rsidR="003F277B" w:rsidRPr="00232A99">
        <w:rPr>
          <w:lang w:val="en-US" w:eastAsia="en-GB"/>
        </w:rPr>
        <w:t>with a clinical contraindication or intolerance to</w:t>
      </w:r>
      <w:r w:rsidR="00416D56">
        <w:rPr>
          <w:lang w:val="en-US" w:eastAsia="en-GB"/>
        </w:rPr>
        <w:t xml:space="preserve"> </w:t>
      </w:r>
      <w:r w:rsidR="003F277B" w:rsidRPr="00232A99">
        <w:rPr>
          <w:lang w:val="en-US" w:eastAsia="en-GB"/>
        </w:rPr>
        <w:t>PBC</w:t>
      </w:r>
      <w:r w:rsidR="00296C1D">
        <w:rPr>
          <w:lang w:val="en-US" w:eastAsia="en-GB"/>
        </w:rPr>
        <w:t xml:space="preserve"> </w:t>
      </w:r>
      <w:r w:rsidR="00DA040B">
        <w:rPr>
          <w:lang w:val="en-US" w:eastAsia="en-GB"/>
        </w:rPr>
        <w:t>was</w:t>
      </w:r>
      <w:r w:rsidR="00473DAB">
        <w:rPr>
          <w:lang w:val="en-US" w:eastAsia="en-GB"/>
        </w:rPr>
        <w:t xml:space="preserve"> </w:t>
      </w:r>
      <w:r w:rsidR="00296C1D">
        <w:rPr>
          <w:lang w:val="en-US" w:eastAsia="en-GB"/>
        </w:rPr>
        <w:t>appropriate</w:t>
      </w:r>
      <w:r w:rsidR="00473DAB">
        <w:rPr>
          <w:lang w:val="en-US" w:eastAsia="en-GB"/>
        </w:rPr>
        <w:t xml:space="preserve"> (paragraph </w:t>
      </w:r>
      <w:r w:rsidR="00DB7524">
        <w:rPr>
          <w:lang w:val="en-US" w:eastAsia="en-GB"/>
        </w:rPr>
        <w:fldChar w:fldCharType="begin"/>
      </w:r>
      <w:r w:rsidR="00DB7524">
        <w:rPr>
          <w:lang w:val="en-US" w:eastAsia="en-GB"/>
        </w:rPr>
        <w:instrText xml:space="preserve"> REF _Ref226550296 \r \h </w:instrText>
      </w:r>
      <w:r w:rsidR="00DB7524">
        <w:rPr>
          <w:lang w:val="en-US" w:eastAsia="en-GB"/>
        </w:rPr>
      </w:r>
      <w:r w:rsidR="00DB7524">
        <w:rPr>
          <w:lang w:val="en-US" w:eastAsia="en-GB"/>
        </w:rPr>
        <w:fldChar w:fldCharType="separate"/>
      </w:r>
      <w:r w:rsidR="00D23029">
        <w:rPr>
          <w:lang w:val="en-US" w:eastAsia="en-GB"/>
        </w:rPr>
        <w:t>3.5</w:t>
      </w:r>
      <w:r w:rsidR="00DB7524">
        <w:rPr>
          <w:lang w:val="en-US" w:eastAsia="en-GB"/>
        </w:rPr>
        <w:fldChar w:fldCharType="end"/>
      </w:r>
      <w:r w:rsidR="00DB7524">
        <w:rPr>
          <w:lang w:val="en-US" w:eastAsia="en-GB"/>
        </w:rPr>
        <w:t>)</w:t>
      </w:r>
      <w:r w:rsidR="003F277B">
        <w:rPr>
          <w:lang w:val="en-US" w:eastAsia="en-GB"/>
        </w:rPr>
        <w:t>.</w:t>
      </w:r>
    </w:p>
    <w:p w14:paraId="16883C6E" w14:textId="7F28DC50" w:rsidR="00F804D6" w:rsidRPr="0074148A" w:rsidRDefault="002A1F33" w:rsidP="00B45F99">
      <w:pPr>
        <w:pStyle w:val="ListParagraph"/>
        <w:widowControl w:val="0"/>
        <w:numPr>
          <w:ilvl w:val="0"/>
          <w:numId w:val="25"/>
        </w:numPr>
        <w:ind w:left="1134"/>
        <w:jc w:val="both"/>
        <w:rPr>
          <w:lang w:val="en-GB" w:eastAsia="en-US"/>
        </w:rPr>
      </w:pPr>
      <w:r w:rsidRPr="00734369">
        <w:t>The prescribing instruction outlining monitoring requirements should be consistent with the current TGA approved</w:t>
      </w:r>
      <w:r w:rsidR="005A4EF5">
        <w:t xml:space="preserve"> </w:t>
      </w:r>
      <w:r w:rsidR="005E7C60">
        <w:t>P</w:t>
      </w:r>
      <w:r w:rsidR="005A4EF5">
        <w:t xml:space="preserve">roduct </w:t>
      </w:r>
      <w:r w:rsidR="005E7C60">
        <w:t>I</w:t>
      </w:r>
      <w:r w:rsidR="005A4EF5">
        <w:t>nformation</w:t>
      </w:r>
      <w:r w:rsidRPr="00734369">
        <w:t xml:space="preserve"> </w:t>
      </w:r>
      <w:r w:rsidR="005E7C60">
        <w:t>(</w:t>
      </w:r>
      <w:r w:rsidRPr="00734369">
        <w:t>PI</w:t>
      </w:r>
      <w:r w:rsidR="005E7C60">
        <w:t>)</w:t>
      </w:r>
      <w:r>
        <w:t>, i.e. ‘</w:t>
      </w:r>
      <w:r w:rsidRPr="008E3C0B">
        <w:rPr>
          <w:rFonts w:eastAsiaTheme="minorHAnsi" w:cstheme="minorBidi"/>
          <w:szCs w:val="22"/>
        </w:rPr>
        <w:t>Monitor patients from the start of the infusion for 16 hours on Cycle 1 Day 1 in an appropriate healthcare setting</w:t>
      </w:r>
      <w:r>
        <w:t>’, and agreed with the submission that a hospital is the best placed setting in this circumstance</w:t>
      </w:r>
      <w:r w:rsidR="002D7DA2">
        <w:t xml:space="preserve"> (paragraph </w:t>
      </w:r>
      <w:r w:rsidR="00134123">
        <w:fldChar w:fldCharType="begin"/>
      </w:r>
      <w:r w:rsidR="00134123">
        <w:instrText xml:space="preserve"> REF _Ref226546600 \r \h </w:instrText>
      </w:r>
      <w:r w:rsidR="00134123">
        <w:fldChar w:fldCharType="separate"/>
      </w:r>
      <w:r w:rsidR="00D23029">
        <w:t>3.6</w:t>
      </w:r>
      <w:r w:rsidR="00134123">
        <w:fldChar w:fldCharType="end"/>
      </w:r>
      <w:r w:rsidR="00134123">
        <w:t>)</w:t>
      </w:r>
      <w:r>
        <w:t>.</w:t>
      </w:r>
    </w:p>
    <w:p w14:paraId="1F037114" w14:textId="4E98831B" w:rsidR="0074148A" w:rsidRPr="00A4179D" w:rsidRDefault="00746A72" w:rsidP="002A1F33">
      <w:pPr>
        <w:pStyle w:val="ListParagraph"/>
        <w:widowControl w:val="0"/>
        <w:numPr>
          <w:ilvl w:val="0"/>
          <w:numId w:val="25"/>
        </w:numPr>
        <w:ind w:left="1134"/>
        <w:rPr>
          <w:lang w:val="en-GB" w:eastAsia="en-US"/>
        </w:rPr>
      </w:pPr>
      <w:r>
        <w:rPr>
          <w:rFonts w:eastAsia="Calibri"/>
        </w:rPr>
        <w:lastRenderedPageBreak/>
        <w:t>I</w:t>
      </w:r>
      <w:r w:rsidR="0074148A" w:rsidRPr="00BD0037">
        <w:rPr>
          <w:rFonts w:eastAsia="Calibri"/>
        </w:rPr>
        <w:t>nclusion of a criterion requiring patients to have a performance status of 0 or 1</w:t>
      </w:r>
      <w:r w:rsidR="0074148A">
        <w:rPr>
          <w:rFonts w:eastAsia="Calibri"/>
        </w:rPr>
        <w:t xml:space="preserve"> was not required (paragraph </w:t>
      </w:r>
      <w:r w:rsidR="0074148A">
        <w:rPr>
          <w:rFonts w:eastAsia="Calibri"/>
        </w:rPr>
        <w:fldChar w:fldCharType="begin"/>
      </w:r>
      <w:r w:rsidR="0074148A">
        <w:rPr>
          <w:rFonts w:eastAsia="Calibri"/>
        </w:rPr>
        <w:instrText xml:space="preserve"> REF _Ref226546700 \r \h </w:instrText>
      </w:r>
      <w:r w:rsidR="0074148A">
        <w:rPr>
          <w:rFonts w:eastAsia="Calibri"/>
        </w:rPr>
      </w:r>
      <w:r w:rsidR="0074148A">
        <w:rPr>
          <w:rFonts w:eastAsia="Calibri"/>
        </w:rPr>
        <w:fldChar w:fldCharType="separate"/>
      </w:r>
      <w:r w:rsidR="00D23029">
        <w:rPr>
          <w:rFonts w:eastAsia="Calibri"/>
        </w:rPr>
        <w:t>3.7</w:t>
      </w:r>
      <w:r w:rsidR="0074148A">
        <w:rPr>
          <w:rFonts w:eastAsia="Calibri"/>
        </w:rPr>
        <w:fldChar w:fldCharType="end"/>
      </w:r>
      <w:r w:rsidR="0074148A">
        <w:rPr>
          <w:rFonts w:eastAsia="Calibri"/>
        </w:rPr>
        <w:t>).</w:t>
      </w:r>
    </w:p>
    <w:p w14:paraId="34FEE85B" w14:textId="004940A0" w:rsidR="006655CF" w:rsidRPr="00F804D6" w:rsidRDefault="006655CF" w:rsidP="002A1F33">
      <w:pPr>
        <w:pStyle w:val="ListParagraph"/>
        <w:widowControl w:val="0"/>
        <w:numPr>
          <w:ilvl w:val="0"/>
          <w:numId w:val="25"/>
        </w:numPr>
        <w:ind w:left="1134"/>
        <w:rPr>
          <w:lang w:val="en-GB" w:eastAsia="en-US"/>
        </w:rPr>
      </w:pPr>
      <w:r>
        <w:t xml:space="preserve">The grandfather listing should allow patients who had previously received treatment via compassionate access means, </w:t>
      </w:r>
      <w:r w:rsidR="007B10F9">
        <w:t xml:space="preserve">to </w:t>
      </w:r>
      <w:r>
        <w:t>be able to bypass the monitoring requirements required during the first treatment cycle</w:t>
      </w:r>
      <w:r w:rsidR="000B2971">
        <w:t xml:space="preserve"> (paragraph </w:t>
      </w:r>
      <w:r w:rsidR="000B2971">
        <w:fldChar w:fldCharType="begin"/>
      </w:r>
      <w:r w:rsidR="000B2971">
        <w:instrText xml:space="preserve"> REF _Ref226547754 \r \h </w:instrText>
      </w:r>
      <w:r w:rsidR="000B2971">
        <w:fldChar w:fldCharType="separate"/>
      </w:r>
      <w:r w:rsidR="00D23029">
        <w:t>3.9</w:t>
      </w:r>
      <w:r w:rsidR="000B2971">
        <w:fldChar w:fldCharType="end"/>
      </w:r>
      <w:r w:rsidR="000B2971">
        <w:t>)</w:t>
      </w:r>
      <w:r>
        <w:t>.</w:t>
      </w:r>
    </w:p>
    <w:p w14:paraId="348900D8" w14:textId="24F8C4CD" w:rsidR="00B93801" w:rsidRDefault="00B34AE4" w:rsidP="00B93801">
      <w:pPr>
        <w:widowControl w:val="0"/>
        <w:numPr>
          <w:ilvl w:val="1"/>
          <w:numId w:val="1"/>
        </w:numPr>
        <w:spacing w:after="120"/>
        <w:jc w:val="left"/>
        <w:rPr>
          <w:rFonts w:asciiTheme="minorHAnsi" w:hAnsiTheme="minorHAnsi"/>
          <w:snapToGrid w:val="0"/>
          <w:lang w:val="en-GB" w:eastAsia="en-US"/>
        </w:rPr>
      </w:pPr>
      <w:r>
        <w:rPr>
          <w:rFonts w:asciiTheme="minorHAnsi" w:hAnsiTheme="minorHAnsi"/>
          <w:snapToGrid w:val="0"/>
          <w:lang w:val="en-GB" w:eastAsia="en-US"/>
        </w:rPr>
        <w:t xml:space="preserve">The submission </w:t>
      </w:r>
      <w:r w:rsidR="005845F4">
        <w:rPr>
          <w:rFonts w:asciiTheme="minorHAnsi" w:hAnsiTheme="minorHAnsi"/>
          <w:snapToGrid w:val="0"/>
          <w:lang w:val="en-GB" w:eastAsia="en-US"/>
        </w:rPr>
        <w:t xml:space="preserve">nominated </w:t>
      </w:r>
      <w:r>
        <w:rPr>
          <w:rFonts w:asciiTheme="minorHAnsi" w:hAnsiTheme="minorHAnsi"/>
          <w:snapToGrid w:val="0"/>
          <w:lang w:val="en-GB" w:eastAsia="en-US"/>
        </w:rPr>
        <w:t>SOC chemotherapies</w:t>
      </w:r>
      <w:r w:rsidR="005845F4">
        <w:rPr>
          <w:rFonts w:asciiTheme="minorHAnsi" w:hAnsiTheme="minorHAnsi"/>
          <w:snapToGrid w:val="0"/>
          <w:lang w:val="en-GB" w:eastAsia="en-US"/>
        </w:rPr>
        <w:t xml:space="preserve"> as the main comparator.</w:t>
      </w:r>
      <w:r w:rsidR="004F4E64">
        <w:rPr>
          <w:rFonts w:asciiTheme="minorHAnsi" w:hAnsiTheme="minorHAnsi"/>
          <w:snapToGrid w:val="0"/>
          <w:lang w:val="en-GB" w:eastAsia="en-US"/>
        </w:rPr>
        <w:t xml:space="preserve"> </w:t>
      </w:r>
      <w:r w:rsidR="00AF210B" w:rsidRPr="00726F37">
        <w:t>Topotecan was proposed as a proxy for SOC</w:t>
      </w:r>
      <w:r w:rsidR="00D27192">
        <w:t xml:space="preserve"> </w:t>
      </w:r>
      <w:r w:rsidR="00AF210B" w:rsidRPr="00726F37">
        <w:t>given it is available and widely used in Australia</w:t>
      </w:r>
      <w:r w:rsidR="002B1F1F">
        <w:t>.</w:t>
      </w:r>
      <w:r w:rsidR="00AF210B" w:rsidRPr="00726F37">
        <w:t xml:space="preserve"> </w:t>
      </w:r>
      <w:r w:rsidR="00F02902">
        <w:rPr>
          <w:rFonts w:asciiTheme="minorHAnsi" w:hAnsiTheme="minorHAnsi"/>
          <w:snapToGrid w:val="0"/>
          <w:lang w:val="en-GB" w:eastAsia="en-US"/>
        </w:rPr>
        <w:t xml:space="preserve">The PBAC </w:t>
      </w:r>
      <w:r w:rsidR="00752835">
        <w:rPr>
          <w:rFonts w:asciiTheme="minorHAnsi" w:hAnsiTheme="minorHAnsi"/>
          <w:snapToGrid w:val="0"/>
          <w:lang w:val="en-GB" w:eastAsia="en-US"/>
        </w:rPr>
        <w:t>considered tha</w:t>
      </w:r>
      <w:r w:rsidR="00BD6BEE">
        <w:rPr>
          <w:rFonts w:asciiTheme="minorHAnsi" w:hAnsiTheme="minorHAnsi"/>
          <w:snapToGrid w:val="0"/>
          <w:lang w:val="en-GB" w:eastAsia="en-US"/>
        </w:rPr>
        <w:t>t</w:t>
      </w:r>
      <w:r w:rsidR="00752835">
        <w:rPr>
          <w:rFonts w:asciiTheme="minorHAnsi" w:hAnsiTheme="minorHAnsi"/>
          <w:snapToGrid w:val="0"/>
          <w:lang w:val="en-GB" w:eastAsia="en-US"/>
        </w:rPr>
        <w:t xml:space="preserve"> this was reasonable.</w:t>
      </w:r>
    </w:p>
    <w:p w14:paraId="159C0529" w14:textId="1E5E96E9" w:rsidR="00EF57BF" w:rsidRPr="00FC0F24" w:rsidRDefault="0087534E" w:rsidP="00F84BFC">
      <w:pPr>
        <w:pStyle w:val="COMESnumberedpara"/>
      </w:pPr>
      <w:r>
        <w:rPr>
          <w:snapToGrid w:val="0"/>
          <w:lang w:val="en-GB" w:eastAsia="en-US"/>
        </w:rPr>
        <w:t>The</w:t>
      </w:r>
      <w:r w:rsidR="00364348">
        <w:rPr>
          <w:snapToGrid w:val="0"/>
          <w:lang w:val="en-GB" w:eastAsia="en-US"/>
        </w:rPr>
        <w:t xml:space="preserve"> PBAC noted that the</w:t>
      </w:r>
      <w:r>
        <w:rPr>
          <w:snapToGrid w:val="0"/>
          <w:lang w:val="en-GB" w:eastAsia="en-US"/>
        </w:rPr>
        <w:t xml:space="preserve"> submission was based on a</w:t>
      </w:r>
      <w:r w:rsidR="00B91DB2">
        <w:rPr>
          <w:snapToGrid w:val="0"/>
          <w:lang w:val="en-GB" w:eastAsia="en-US"/>
        </w:rPr>
        <w:t xml:space="preserve"> head-to-head phase 3,</w:t>
      </w:r>
      <w:r w:rsidR="00400DFF">
        <w:rPr>
          <w:snapToGrid w:val="0"/>
          <w:lang w:val="en-GB" w:eastAsia="en-US"/>
        </w:rPr>
        <w:t xml:space="preserve"> open-label</w:t>
      </w:r>
      <w:r w:rsidR="00B91DB2">
        <w:rPr>
          <w:snapToGrid w:val="0"/>
          <w:lang w:val="en-GB" w:eastAsia="en-US"/>
        </w:rPr>
        <w:t>,</w:t>
      </w:r>
      <w:r w:rsidR="00400DFF">
        <w:rPr>
          <w:snapToGrid w:val="0"/>
          <w:lang w:val="en-GB" w:eastAsia="en-US"/>
        </w:rPr>
        <w:t xml:space="preserve"> randomised controlled trial</w:t>
      </w:r>
      <w:r w:rsidR="00763233">
        <w:rPr>
          <w:snapToGrid w:val="0"/>
          <w:lang w:val="en-GB" w:eastAsia="en-US"/>
        </w:rPr>
        <w:t xml:space="preserve"> </w:t>
      </w:r>
      <w:r w:rsidR="00137DA7" w:rsidRPr="00726F37">
        <w:t xml:space="preserve">comparing tarlatamab to SOC chemotherapy </w:t>
      </w:r>
      <w:r w:rsidR="001735A1">
        <w:t>(top</w:t>
      </w:r>
      <w:r w:rsidR="00CC5E08">
        <w:t xml:space="preserve">otecan, lurbinectedin, amrubicin) </w:t>
      </w:r>
      <w:r w:rsidR="00137DA7" w:rsidRPr="00726F37">
        <w:t xml:space="preserve">in SCLC patients with disease progression or recurrence following a platinum-based regimen (DeLLphi-304). </w:t>
      </w:r>
      <w:r w:rsidR="00C5167E">
        <w:t xml:space="preserve">The PBAC noted </w:t>
      </w:r>
      <w:proofErr w:type="gramStart"/>
      <w:r w:rsidR="00C5167E">
        <w:t>a majority of</w:t>
      </w:r>
      <w:proofErr w:type="gramEnd"/>
      <w:r w:rsidR="00C5167E">
        <w:t xml:space="preserve"> patients received </w:t>
      </w:r>
      <w:r w:rsidR="00A671F1">
        <w:t xml:space="preserve">topotecan. </w:t>
      </w:r>
      <w:r w:rsidR="00825486">
        <w:t xml:space="preserve">The PBAC noted that </w:t>
      </w:r>
      <w:r w:rsidR="00825486" w:rsidRPr="00726F37">
        <w:t xml:space="preserve">based on a median follow up of 11.2 months in the tarlatamab arm and 11.7 months in the SOC chemotherapy arm, tarlatamab was associated with a </w:t>
      </w:r>
      <w:r w:rsidR="00CD2063">
        <w:t xml:space="preserve">moderate and </w:t>
      </w:r>
      <w:r w:rsidR="00825486" w:rsidRPr="00726F37">
        <w:t xml:space="preserve">statistically significant improvement in </w:t>
      </w:r>
      <w:r w:rsidR="00825486">
        <w:t>OS</w:t>
      </w:r>
      <w:r w:rsidR="00825486" w:rsidRPr="00726F37">
        <w:t xml:space="preserve"> compared to SOC (</w:t>
      </w:r>
      <w:r w:rsidR="00FD1163">
        <w:t xml:space="preserve">median </w:t>
      </w:r>
      <w:r w:rsidR="00676B71">
        <w:t>13.6 versus 8.</w:t>
      </w:r>
      <w:r w:rsidR="005A04D3">
        <w:t>3</w:t>
      </w:r>
      <w:r w:rsidR="00676B71">
        <w:t xml:space="preserve"> months, </w:t>
      </w:r>
      <w:r w:rsidR="00825486">
        <w:t>hazard ratio [</w:t>
      </w:r>
      <w:r w:rsidR="00825486" w:rsidRPr="00726F37">
        <w:t>HR</w:t>
      </w:r>
      <w:r w:rsidR="00825486">
        <w:t>]</w:t>
      </w:r>
      <w:r w:rsidR="00825486" w:rsidRPr="00726F37">
        <w:t xml:space="preserve">: 0.599; 95% </w:t>
      </w:r>
      <w:r w:rsidR="00825486">
        <w:t>confidence interval [</w:t>
      </w:r>
      <w:r w:rsidR="00825486" w:rsidRPr="00726F37">
        <w:t>CI</w:t>
      </w:r>
      <w:r w:rsidR="00825486">
        <w:t>]</w:t>
      </w:r>
      <w:r w:rsidR="00825486" w:rsidRPr="00726F37">
        <w:t xml:space="preserve">: 0.468, 0.768). </w:t>
      </w:r>
      <w:r w:rsidR="009F395B" w:rsidRPr="00F84BFC">
        <w:rPr>
          <w:snapToGrid w:val="0"/>
          <w:lang w:val="en-GB" w:eastAsia="en-US"/>
        </w:rPr>
        <w:t xml:space="preserve">The PBAC noted that </w:t>
      </w:r>
      <w:r w:rsidR="009F395B" w:rsidRPr="00726F37">
        <w:t xml:space="preserve">based on a median follow up of 11.0 months in the tarlatamab arm and 9.7 months in the SOC chemotherapy arm, tarlatamab was associated with a </w:t>
      </w:r>
      <w:r w:rsidR="00676B71">
        <w:t xml:space="preserve">small but </w:t>
      </w:r>
      <w:r w:rsidR="009F395B" w:rsidRPr="00726F37">
        <w:t xml:space="preserve">statistically significant improvement in </w:t>
      </w:r>
      <w:r w:rsidR="009F395B">
        <w:t>PFS</w:t>
      </w:r>
      <w:r w:rsidR="009F395B" w:rsidRPr="00726F37">
        <w:t xml:space="preserve"> compared with SOC (</w:t>
      </w:r>
      <w:r w:rsidR="00676B71">
        <w:t xml:space="preserve">median </w:t>
      </w:r>
      <w:r w:rsidR="00CD2063">
        <w:t xml:space="preserve">4.2 versus 3.2 months, </w:t>
      </w:r>
      <w:r w:rsidR="009F395B" w:rsidRPr="00726F37">
        <w:t>HR: 0.72; 95% CI: 0.59, 0.88).</w:t>
      </w:r>
      <w:r w:rsidR="002A1F89">
        <w:t xml:space="preserve"> T</w:t>
      </w:r>
      <w:r w:rsidR="00F84BFC" w:rsidRPr="00726F37">
        <w:t xml:space="preserve">he </w:t>
      </w:r>
      <w:r w:rsidR="00F84BFC">
        <w:t xml:space="preserve">PBAC noted that the </w:t>
      </w:r>
      <w:r w:rsidR="00F84BFC" w:rsidRPr="00726F37">
        <w:t>DeLLphi-304 trial had a high risk of bias</w:t>
      </w:r>
      <w:r w:rsidR="00F84BFC">
        <w:t xml:space="preserve"> d</w:t>
      </w:r>
      <w:r w:rsidR="00F84BFC" w:rsidRPr="00C56CB6">
        <w:t>ue to its open-label design, which may have influenced clinical management and investigator-assessed outcomes</w:t>
      </w:r>
      <w:r w:rsidR="00F84BFC">
        <w:t xml:space="preserve">. The PBAC noted that the trial population appeared to have a more favourable baseline prognosis than the </w:t>
      </w:r>
      <w:r w:rsidR="0013632D">
        <w:t xml:space="preserve">patient </w:t>
      </w:r>
      <w:r w:rsidR="00F84BFC">
        <w:t>population proposed for the PBS</w:t>
      </w:r>
      <w:r w:rsidR="003D017A">
        <w:t>. P</w:t>
      </w:r>
      <w:r w:rsidR="00A53346" w:rsidRPr="00726F37">
        <w:rPr>
          <w:rFonts w:eastAsia="Calibri"/>
        </w:rPr>
        <w:t>atients in the trial were required to have an ECOG performance status of 0 or 1 and a minimum life expectancy of 12 weeks, the trial included patients with limited stage disease, and 40% of patients received tarlatamab beyond disease progression (which is inconsistent with the proposed restriction</w:t>
      </w:r>
      <w:r w:rsidR="00251488">
        <w:rPr>
          <w:rFonts w:eastAsia="Calibri"/>
        </w:rPr>
        <w:t>)</w:t>
      </w:r>
      <w:r w:rsidR="00F84BFC">
        <w:t xml:space="preserve">. </w:t>
      </w:r>
      <w:r w:rsidR="004B41EB" w:rsidRPr="00F84BFC">
        <w:rPr>
          <w:rFonts w:eastAsia="Calibri"/>
          <w:iCs/>
        </w:rPr>
        <w:t>Overall, the</w:t>
      </w:r>
      <w:r w:rsidR="0025038D" w:rsidRPr="00F84BFC">
        <w:rPr>
          <w:rFonts w:eastAsia="Calibri"/>
          <w:iCs/>
        </w:rPr>
        <w:t xml:space="preserve"> PBAC considered that </w:t>
      </w:r>
      <w:r w:rsidR="0025038D" w:rsidRPr="00F84BFC">
        <w:rPr>
          <w:snapToGrid w:val="0"/>
          <w:szCs w:val="20"/>
        </w:rPr>
        <w:t xml:space="preserve">the claim of superior comparative effectiveness </w:t>
      </w:r>
      <w:r w:rsidR="0025038D" w:rsidRPr="00F84BFC">
        <w:rPr>
          <w:rFonts w:eastAsia="Calibri"/>
        </w:rPr>
        <w:t>compared to SOC chemotherapy</w:t>
      </w:r>
      <w:r w:rsidR="0025038D" w:rsidRPr="00F84BFC">
        <w:rPr>
          <w:snapToGrid w:val="0"/>
          <w:szCs w:val="20"/>
        </w:rPr>
        <w:t xml:space="preserve"> was reasonable.</w:t>
      </w:r>
      <w:r w:rsidR="00CA423F">
        <w:rPr>
          <w:snapToGrid w:val="0"/>
          <w:szCs w:val="20"/>
        </w:rPr>
        <w:t xml:space="preserve"> </w:t>
      </w:r>
    </w:p>
    <w:p w14:paraId="69466E72" w14:textId="48F365DE" w:rsidR="00363CC3" w:rsidRDefault="00363CC3" w:rsidP="00363CC3">
      <w:pPr>
        <w:pStyle w:val="COMESnumberedpara"/>
      </w:pPr>
      <w:r>
        <w:t>The PBAC noted that</w:t>
      </w:r>
      <w:r w:rsidRPr="007D50D9">
        <w:t xml:space="preserve"> higher </w:t>
      </w:r>
      <w:r w:rsidR="00473B89">
        <w:t>percentages</w:t>
      </w:r>
      <w:r w:rsidRPr="007D50D9">
        <w:t xml:space="preserve"> of patients in the tarlatamab arm compared to the SOC arm of the DeLLphi-304 trial experienced </w:t>
      </w:r>
      <w:r>
        <w:t>CRS</w:t>
      </w:r>
      <w:r w:rsidRPr="007D50D9">
        <w:t xml:space="preserve"> </w:t>
      </w:r>
      <w:r>
        <w:t>(narrow</w:t>
      </w:r>
      <w:r w:rsidR="00B32413">
        <w:t xml:space="preserve"> definition</w:t>
      </w:r>
      <w:r>
        <w:t>: 56.3% versus 1.2%; broad</w:t>
      </w:r>
      <w:r w:rsidR="00B32413">
        <w:t xml:space="preserve"> definition</w:t>
      </w:r>
      <w:r>
        <w:t xml:space="preserve">: 93.3% versus 85.2%) </w:t>
      </w:r>
      <w:r w:rsidRPr="007D50D9">
        <w:t>and neurological events</w:t>
      </w:r>
      <w:r>
        <w:t xml:space="preserve"> (55.6% versus 35.2%)</w:t>
      </w:r>
      <w:r w:rsidRPr="007D50D9">
        <w:t>, including ICANS</w:t>
      </w:r>
      <w:r>
        <w:t xml:space="preserve"> (6.0% versus 0.8%).</w:t>
      </w:r>
      <w:r w:rsidRPr="00EB4A08">
        <w:t xml:space="preserve"> </w:t>
      </w:r>
      <w:r w:rsidR="008537F8">
        <w:t xml:space="preserve">The PBAC acknowledged </w:t>
      </w:r>
      <w:r w:rsidR="003240DD">
        <w:t xml:space="preserve">the </w:t>
      </w:r>
      <w:r w:rsidR="000A6E70">
        <w:t>Pre-PBAC Response</w:t>
      </w:r>
      <w:r w:rsidR="00BF637E">
        <w:t xml:space="preserve"> </w:t>
      </w:r>
      <w:r w:rsidR="00BF637E">
        <w:rPr>
          <w:iCs/>
        </w:rPr>
        <w:t>highlight</w:t>
      </w:r>
      <w:r w:rsidR="007A792B">
        <w:rPr>
          <w:iCs/>
        </w:rPr>
        <w:t>ing</w:t>
      </w:r>
      <w:r w:rsidR="00BF637E">
        <w:rPr>
          <w:iCs/>
        </w:rPr>
        <w:t xml:space="preserve"> that the clinical trial evidence demonstrated that tarlatamab is well tolerated after the initial risk of CRS and ICANS in contrast to chemotherapy which has sustained</w:t>
      </w:r>
      <w:r w:rsidR="002A5864">
        <w:rPr>
          <w:iCs/>
        </w:rPr>
        <w:t xml:space="preserve"> and cumulative</w:t>
      </w:r>
      <w:r w:rsidR="00BF637E">
        <w:rPr>
          <w:iCs/>
        </w:rPr>
        <w:t xml:space="preserve"> toxicity</w:t>
      </w:r>
      <w:r w:rsidR="003240DD">
        <w:rPr>
          <w:iCs/>
        </w:rPr>
        <w:t xml:space="preserve">. </w:t>
      </w:r>
      <w:r w:rsidR="003240DD" w:rsidRPr="00B375C7">
        <w:rPr>
          <w:iCs/>
        </w:rPr>
        <w:t xml:space="preserve">The PBAC </w:t>
      </w:r>
      <w:r w:rsidR="003240DD">
        <w:rPr>
          <w:iCs/>
        </w:rPr>
        <w:t>considered that while</w:t>
      </w:r>
      <w:r w:rsidR="003240DD" w:rsidRPr="00B375C7">
        <w:rPr>
          <w:iCs/>
        </w:rPr>
        <w:t xml:space="preserve"> </w:t>
      </w:r>
      <w:r w:rsidR="003240DD">
        <w:rPr>
          <w:iCs/>
        </w:rPr>
        <w:t xml:space="preserve">tolerability appeared to improve for tarlatamab patients </w:t>
      </w:r>
      <w:r w:rsidR="003240DD" w:rsidRPr="00B375C7">
        <w:rPr>
          <w:iCs/>
        </w:rPr>
        <w:t xml:space="preserve">after the initial risk of CRS and ICANS, </w:t>
      </w:r>
      <w:r w:rsidR="003240DD">
        <w:rPr>
          <w:iCs/>
        </w:rPr>
        <w:t xml:space="preserve">the </w:t>
      </w:r>
      <w:r w:rsidR="003D0A53">
        <w:rPr>
          <w:iCs/>
        </w:rPr>
        <w:t xml:space="preserve">high </w:t>
      </w:r>
      <w:r w:rsidR="003240DD" w:rsidRPr="00B375C7">
        <w:rPr>
          <w:iCs/>
        </w:rPr>
        <w:t xml:space="preserve">risk of CRS and ICANS was a substantial safety concern which was likely to </w:t>
      </w:r>
      <w:r w:rsidR="003240DD">
        <w:rPr>
          <w:iCs/>
        </w:rPr>
        <w:t>have</w:t>
      </w:r>
      <w:r w:rsidR="003240DD" w:rsidRPr="00B375C7">
        <w:rPr>
          <w:iCs/>
        </w:rPr>
        <w:t xml:space="preserve"> to a large impact</w:t>
      </w:r>
      <w:r w:rsidR="003240DD">
        <w:rPr>
          <w:iCs/>
        </w:rPr>
        <w:t xml:space="preserve"> in clinical practice</w:t>
      </w:r>
      <w:r w:rsidR="003240DD" w:rsidRPr="00B375C7">
        <w:rPr>
          <w:iCs/>
        </w:rPr>
        <w:t xml:space="preserve">, </w:t>
      </w:r>
      <w:r w:rsidR="003240DD">
        <w:rPr>
          <w:iCs/>
        </w:rPr>
        <w:t>requiring</w:t>
      </w:r>
      <w:r w:rsidR="003240DD" w:rsidRPr="00B375C7">
        <w:rPr>
          <w:iCs/>
        </w:rPr>
        <w:t xml:space="preserve"> targeted education and considerable healthcare resources to manage appropriately</w:t>
      </w:r>
      <w:r w:rsidR="003240DD">
        <w:rPr>
          <w:iCs/>
        </w:rPr>
        <w:t xml:space="preserve">. For this reason, the </w:t>
      </w:r>
      <w:r w:rsidR="003240DD">
        <w:rPr>
          <w:iCs/>
        </w:rPr>
        <w:lastRenderedPageBreak/>
        <w:t>PBAC considered that the claim of superior comparative safety was not adequately supported by the data.</w:t>
      </w:r>
    </w:p>
    <w:p w14:paraId="0B67F925" w14:textId="68ACEF0E" w:rsidR="00FC0F24" w:rsidRDefault="001C2366" w:rsidP="00F961B3">
      <w:pPr>
        <w:pStyle w:val="COMESnumberedpara"/>
      </w:pPr>
      <w:r w:rsidRPr="00141956">
        <w:t xml:space="preserve">The </w:t>
      </w:r>
      <w:r>
        <w:t>PBAC</w:t>
      </w:r>
      <w:r w:rsidRPr="00141956">
        <w:t xml:space="preserve"> noted that the s</w:t>
      </w:r>
      <w:r w:rsidRPr="00726F37">
        <w:t xml:space="preserve">ubmission presented the results of the DeLLphi-301 study (02 October 2023 data cut previously considered by </w:t>
      </w:r>
      <w:r>
        <w:t xml:space="preserve">the </w:t>
      </w:r>
      <w:r w:rsidRPr="00726F37">
        <w:t xml:space="preserve">ESC at the March 2025 meeting), as supportive evidence of the efficacy of tarlatamab in third-line and subsequent therapy. </w:t>
      </w:r>
      <w:r>
        <w:t>T</w:t>
      </w:r>
      <w:r w:rsidRPr="00726F37">
        <w:t>he</w:t>
      </w:r>
      <w:r w:rsidR="00FB6B72">
        <w:t xml:space="preserve"> PBAC noted that the</w:t>
      </w:r>
      <w:r w:rsidRPr="00726F37">
        <w:t xml:space="preserve"> submission referred to an October 2024 data cut for the DeLLphi-301 study, but these data were not provided with the submission.</w:t>
      </w:r>
      <w:r w:rsidR="00FB6B72" w:rsidRPr="00FB6B72">
        <w:t xml:space="preserve"> </w:t>
      </w:r>
      <w:r w:rsidR="00FB6B72" w:rsidRPr="00726F37">
        <w:t xml:space="preserve">The </w:t>
      </w:r>
      <w:r w:rsidR="00FB6B72">
        <w:t>PBAC considered</w:t>
      </w:r>
      <w:r w:rsidR="00FB6B72" w:rsidRPr="00726F37">
        <w:t xml:space="preserve"> that the efficacy of tarlatamab observed in patients treated with third-line tarlatamab in the DeLLphi-301 study was consistent with the results of the DeLLphi-304 trial</w:t>
      </w:r>
      <w:r w:rsidR="00BA5353">
        <w:t>.</w:t>
      </w:r>
    </w:p>
    <w:p w14:paraId="4E391355" w14:textId="6CA3C5BD" w:rsidR="001434BC" w:rsidRDefault="00F961B3" w:rsidP="00187B54">
      <w:pPr>
        <w:pStyle w:val="COMESnumberedpara"/>
      </w:pPr>
      <w:bookmarkStart w:id="86" w:name="_Ref226954857"/>
      <w:r>
        <w:t xml:space="preserve">The PBAC noted the submission presented a cost-utility analysis to support the cost-effectiveness of tarlatamab versus </w:t>
      </w:r>
      <w:r w:rsidR="000B497A" w:rsidRPr="00726F37">
        <w:t xml:space="preserve">topotecan (as a proxy for SOC) for the second-line treatment of ES-SCLC in patients with disease progression on or after </w:t>
      </w:r>
      <w:r w:rsidR="00B2303A">
        <w:t>PBC</w:t>
      </w:r>
      <w:r w:rsidR="00D25BD0">
        <w:t>.</w:t>
      </w:r>
      <w:r w:rsidR="000B497A" w:rsidRPr="000B497A">
        <w:t xml:space="preserve"> </w:t>
      </w:r>
      <w:r w:rsidR="000B497A" w:rsidRPr="00726F37">
        <w:t xml:space="preserve">Third-line tarlatamab treatment was not </w:t>
      </w:r>
      <w:r w:rsidR="000B497A" w:rsidRPr="005A0C65">
        <w:t>modelled in the economic evaluation.</w:t>
      </w:r>
      <w:r w:rsidR="00D25BD0" w:rsidRPr="005A0C65">
        <w:t xml:space="preserve"> </w:t>
      </w:r>
      <w:r w:rsidR="00E1314B" w:rsidRPr="005A0C65">
        <w:t xml:space="preserve">The PBAC acknowledged the key concerns raised by the ESC (paragraph </w:t>
      </w:r>
      <w:r w:rsidR="00EF1BCF" w:rsidRPr="005A0C65">
        <w:fldChar w:fldCharType="begin"/>
      </w:r>
      <w:r w:rsidR="00EF1BCF" w:rsidRPr="005A0C65">
        <w:instrText xml:space="preserve"> REF _Ref226894072 \r \h </w:instrText>
      </w:r>
      <w:r w:rsidR="002C71FC" w:rsidRPr="005A0C65">
        <w:instrText xml:space="preserve"> \* MERGEFORMAT </w:instrText>
      </w:r>
      <w:r w:rsidR="00EF1BCF" w:rsidRPr="005A0C65">
        <w:fldChar w:fldCharType="separate"/>
      </w:r>
      <w:r w:rsidR="00D23029">
        <w:t>6.74</w:t>
      </w:r>
      <w:r w:rsidR="00EF1BCF" w:rsidRPr="005A0C65">
        <w:fldChar w:fldCharType="end"/>
      </w:r>
      <w:r w:rsidR="00EF1BCF" w:rsidRPr="005A0C65">
        <w:t>).</w:t>
      </w:r>
      <w:r w:rsidR="00181AC2" w:rsidRPr="005A0C65">
        <w:t xml:space="preserve"> The PBAC noted that the ESC considered</w:t>
      </w:r>
      <w:r w:rsidR="007265E1" w:rsidRPr="005A0C65">
        <w:t xml:space="preserve"> that the time horizon selected for the base case (10 years) </w:t>
      </w:r>
      <w:r w:rsidR="002C1630" w:rsidRPr="005A0C65">
        <w:t>was not</w:t>
      </w:r>
      <w:r w:rsidR="007265E1" w:rsidRPr="005A0C65">
        <w:t xml:space="preserve"> justified based on the evidence.</w:t>
      </w:r>
      <w:r w:rsidR="002C1630" w:rsidRPr="005A0C65">
        <w:t xml:space="preserve"> </w:t>
      </w:r>
      <w:r w:rsidR="00745F34" w:rsidRPr="005A0C65">
        <w:t>The PBAC</w:t>
      </w:r>
      <w:r w:rsidR="00B66581" w:rsidRPr="005A0C65">
        <w:t xml:space="preserve"> </w:t>
      </w:r>
      <w:r w:rsidR="0064102F" w:rsidRPr="005A0C65">
        <w:t xml:space="preserve">considered the </w:t>
      </w:r>
      <w:r w:rsidR="00745F34" w:rsidRPr="005A0C65">
        <w:t xml:space="preserve">supporting arguments provided in the Pre-PBAC </w:t>
      </w:r>
      <w:r w:rsidR="00176BA7" w:rsidRPr="005A0C65">
        <w:t xml:space="preserve">Response </w:t>
      </w:r>
      <w:r w:rsidR="00745F34" w:rsidRPr="005A0C65">
        <w:t xml:space="preserve">for a </w:t>
      </w:r>
      <w:r w:rsidR="000C2E74" w:rsidRPr="005A0C65">
        <w:t>10 year time horizon</w:t>
      </w:r>
      <w:r w:rsidR="00745F34" w:rsidRPr="005A0C65">
        <w:t xml:space="preserve"> (paragraph </w:t>
      </w:r>
      <w:r w:rsidR="00745F34" w:rsidRPr="005A0C65">
        <w:fldChar w:fldCharType="begin"/>
      </w:r>
      <w:r w:rsidR="00745F34" w:rsidRPr="005A0C65">
        <w:instrText xml:space="preserve"> REF _Ref226895596 \r \h  \* MERGEFORMAT </w:instrText>
      </w:r>
      <w:r w:rsidR="00745F34" w:rsidRPr="005A0C65">
        <w:fldChar w:fldCharType="separate"/>
      </w:r>
      <w:r w:rsidR="00D23029">
        <w:t>6.54</w:t>
      </w:r>
      <w:r w:rsidR="00745F34" w:rsidRPr="005A0C65">
        <w:fldChar w:fldCharType="end"/>
      </w:r>
      <w:r w:rsidR="00745F34" w:rsidRPr="005A0C65">
        <w:t>)</w:t>
      </w:r>
      <w:r w:rsidR="0034708A" w:rsidRPr="005A0C65">
        <w:t xml:space="preserve"> </w:t>
      </w:r>
      <w:r w:rsidR="000C2E74" w:rsidRPr="005A0C65">
        <w:t xml:space="preserve">did not adequately justify </w:t>
      </w:r>
      <w:r w:rsidR="00F423F3" w:rsidRPr="005A0C65">
        <w:t>extending the</w:t>
      </w:r>
      <w:r w:rsidR="000C2E74" w:rsidRPr="005A0C65">
        <w:t xml:space="preserve"> time horizon and </w:t>
      </w:r>
      <w:r w:rsidR="003A631A" w:rsidRPr="005A0C65">
        <w:t xml:space="preserve">agreed with </w:t>
      </w:r>
      <w:r w:rsidR="004E3168" w:rsidRPr="005A0C65">
        <w:t>the ESC</w:t>
      </w:r>
      <w:r w:rsidR="000330A1" w:rsidRPr="005A0C65">
        <w:t xml:space="preserve"> that </w:t>
      </w:r>
      <w:r w:rsidR="003A631A" w:rsidRPr="005A0C65">
        <w:t xml:space="preserve">a </w:t>
      </w:r>
      <w:r w:rsidR="00216841" w:rsidRPr="005A0C65">
        <w:t xml:space="preserve">5 year time horizon </w:t>
      </w:r>
      <w:r w:rsidR="004E3168" w:rsidRPr="005A0C65">
        <w:t>remained</w:t>
      </w:r>
      <w:r w:rsidR="00216841" w:rsidRPr="005A0C65">
        <w:t xml:space="preserve"> appropriate for this patient group</w:t>
      </w:r>
      <w:r w:rsidR="00553743" w:rsidRPr="005A0C65">
        <w:t>.</w:t>
      </w:r>
      <w:r w:rsidR="003A631A" w:rsidRPr="005A0C65">
        <w:t xml:space="preserve"> </w:t>
      </w:r>
      <w:r w:rsidR="00F622C6" w:rsidRPr="005A0C65">
        <w:t xml:space="preserve">The PBAC noted that the ESC </w:t>
      </w:r>
      <w:r w:rsidR="00BA26F6" w:rsidRPr="005A0C65">
        <w:t xml:space="preserve">also </w:t>
      </w:r>
      <w:r w:rsidR="00F622C6" w:rsidRPr="005A0C65">
        <w:t>considered that the</w:t>
      </w:r>
      <w:r w:rsidR="00F622C6" w:rsidRPr="00744F75">
        <w:t xml:space="preserve"> best fitting curve for tarlatamab OS (exponential) </w:t>
      </w:r>
      <w:r w:rsidR="00186102">
        <w:t>should</w:t>
      </w:r>
      <w:r w:rsidR="00F622C6" w:rsidRPr="00744F75">
        <w:t xml:space="preserve"> be applied to the base case analysi</w:t>
      </w:r>
      <w:r w:rsidR="00186102">
        <w:t xml:space="preserve">s. </w:t>
      </w:r>
      <w:r w:rsidR="00BA26F6">
        <w:t xml:space="preserve">The PBAC </w:t>
      </w:r>
      <w:r w:rsidR="006E3C71">
        <w:t xml:space="preserve">agreed with the ESC </w:t>
      </w:r>
      <w:r w:rsidR="009265A0">
        <w:t xml:space="preserve">that </w:t>
      </w:r>
      <w:r w:rsidR="0043753E">
        <w:t>the assumption of substantial and</w:t>
      </w:r>
      <w:r w:rsidR="00B775CC">
        <w:t xml:space="preserve"> sustained separation</w:t>
      </w:r>
      <w:r w:rsidR="00A070C2">
        <w:t xml:space="preserve"> of </w:t>
      </w:r>
      <w:r w:rsidR="007E71D6">
        <w:t>OS curves</w:t>
      </w:r>
      <w:r w:rsidR="0043753E">
        <w:t>,</w:t>
      </w:r>
      <w:r w:rsidR="00B775CC">
        <w:t xml:space="preserve"> without convergence</w:t>
      </w:r>
      <w:r w:rsidR="00704495">
        <w:t xml:space="preserve">, </w:t>
      </w:r>
      <w:r w:rsidR="0043753E">
        <w:t xml:space="preserve">was </w:t>
      </w:r>
      <w:r w:rsidR="00582AB1">
        <w:t xml:space="preserve">highly uncertain and likely to be </w:t>
      </w:r>
      <w:r w:rsidR="006E3C71">
        <w:t xml:space="preserve">overly optimistic, </w:t>
      </w:r>
      <w:r w:rsidR="00704495">
        <w:t>particularly given that observed data were only availabl</w:t>
      </w:r>
      <w:r w:rsidR="006E3C71">
        <w:t>e</w:t>
      </w:r>
      <w:r w:rsidR="00704495">
        <w:t xml:space="preserve"> up to a median of 14 months </w:t>
      </w:r>
      <w:r w:rsidR="006E3C71">
        <w:t>for</w:t>
      </w:r>
      <w:r w:rsidR="00704495">
        <w:t xml:space="preserve"> OS</w:t>
      </w:r>
      <w:r w:rsidR="006E3C71">
        <w:t xml:space="preserve"> (29 April 2025 data cut) in the DeLLphi-304 trial</w:t>
      </w:r>
      <w:r w:rsidR="00704495">
        <w:t xml:space="preserve">. </w:t>
      </w:r>
      <w:r w:rsidR="001434BC">
        <w:t>The PBAC noted that</w:t>
      </w:r>
      <w:r w:rsidR="00C55CDE" w:rsidRPr="00C55CDE">
        <w:t xml:space="preserve"> more mature OS data from DeLLphi-304 is anticipated in April 2026, which would provide an additional 12 months of follow-up</w:t>
      </w:r>
      <w:r w:rsidR="00EA43C0">
        <w:t xml:space="preserve"> data</w:t>
      </w:r>
      <w:r w:rsidR="00C55CDE" w:rsidRPr="00C55CDE">
        <w:t>.</w:t>
      </w:r>
      <w:r w:rsidR="002B710A">
        <w:t xml:space="preserve"> </w:t>
      </w:r>
      <w:r w:rsidR="00B5083B">
        <w:t xml:space="preserve">The PBAC considered that these data </w:t>
      </w:r>
      <w:r w:rsidR="00613C92">
        <w:t>may</w:t>
      </w:r>
      <w:r w:rsidR="006370C2">
        <w:t xml:space="preserve"> </w:t>
      </w:r>
      <w:r w:rsidR="009F179C" w:rsidRPr="009F179C">
        <w:t>provide an important basis for informing model</w:t>
      </w:r>
      <w:r w:rsidR="00653229">
        <w:t xml:space="preserve"> extrapolations</w:t>
      </w:r>
      <w:r w:rsidR="009F179C" w:rsidRPr="009F179C">
        <w:t xml:space="preserve"> and validating long</w:t>
      </w:r>
      <w:r w:rsidR="009F179C" w:rsidRPr="009F179C">
        <w:noBreakHyphen/>
        <w:t>term</w:t>
      </w:r>
      <w:r w:rsidR="0027530B">
        <w:t xml:space="preserve"> OS</w:t>
      </w:r>
      <w:r w:rsidR="009F179C" w:rsidRPr="009F179C">
        <w:t xml:space="preserve"> projections.</w:t>
      </w:r>
      <w:bookmarkEnd w:id="86"/>
    </w:p>
    <w:p w14:paraId="718AF58C" w14:textId="59A7BE2C" w:rsidR="00FD4844" w:rsidRDefault="00DB6BD1" w:rsidP="00853CC1">
      <w:pPr>
        <w:pStyle w:val="COMESnumberedpara"/>
      </w:pPr>
      <w:bookmarkStart w:id="87" w:name="_Ref226954866"/>
      <w:r>
        <w:t xml:space="preserve">The PBAC also considered that </w:t>
      </w:r>
      <w:r w:rsidR="00A01D82">
        <w:t xml:space="preserve">the </w:t>
      </w:r>
      <w:r w:rsidR="00A01D82" w:rsidRPr="008C7B8B">
        <w:rPr>
          <w:szCs w:val="20"/>
        </w:rPr>
        <w:t>health state utilities derived from patients in the DeLLphi-304 trial lack</w:t>
      </w:r>
      <w:r w:rsidR="00A01D82">
        <w:rPr>
          <w:szCs w:val="20"/>
        </w:rPr>
        <w:t>ed</w:t>
      </w:r>
      <w:r w:rsidR="00A01D82" w:rsidRPr="008C7B8B">
        <w:rPr>
          <w:szCs w:val="20"/>
        </w:rPr>
        <w:t xml:space="preserve"> face validity</w:t>
      </w:r>
      <w:r w:rsidR="00A01D82" w:rsidRPr="00A01D82">
        <w:rPr>
          <w:szCs w:val="20"/>
        </w:rPr>
        <w:t xml:space="preserve"> </w:t>
      </w:r>
      <w:r w:rsidR="00A01D82" w:rsidRPr="008C7B8B">
        <w:rPr>
          <w:szCs w:val="20"/>
        </w:rPr>
        <w:t xml:space="preserve">as they are </w:t>
      </w:r>
      <w:proofErr w:type="gramStart"/>
      <w:r w:rsidR="00A01D82" w:rsidRPr="008C7B8B">
        <w:rPr>
          <w:szCs w:val="20"/>
        </w:rPr>
        <w:t>similar to</w:t>
      </w:r>
      <w:proofErr w:type="gramEnd"/>
      <w:r w:rsidR="00A01D82" w:rsidRPr="008C7B8B">
        <w:rPr>
          <w:szCs w:val="20"/>
        </w:rPr>
        <w:t xml:space="preserve"> or higher than Australian general population norms</w:t>
      </w:r>
      <w:r w:rsidR="00A01D82">
        <w:rPr>
          <w:szCs w:val="20"/>
        </w:rPr>
        <w:t xml:space="preserve"> and </w:t>
      </w:r>
      <w:r w:rsidR="00843039">
        <w:rPr>
          <w:szCs w:val="20"/>
        </w:rPr>
        <w:t xml:space="preserve">noted </w:t>
      </w:r>
      <w:r w:rsidR="00A01D82">
        <w:rPr>
          <w:szCs w:val="20"/>
        </w:rPr>
        <w:t xml:space="preserve">that </w:t>
      </w:r>
      <w:r w:rsidR="00A01D82">
        <w:t>d</w:t>
      </w:r>
      <w:r w:rsidR="00A01D82" w:rsidRPr="008C7B8B">
        <w:t xml:space="preserve">ouble counting of age-related utility adjustments resulted in higher utilities used over </w:t>
      </w:r>
      <w:proofErr w:type="gramStart"/>
      <w:r w:rsidR="00A01D82" w:rsidRPr="008C7B8B">
        <w:t>the majority of</w:t>
      </w:r>
      <w:proofErr w:type="gramEnd"/>
      <w:r w:rsidR="00A01D82" w:rsidRPr="008C7B8B">
        <w:t xml:space="preserve"> the model time horizon</w:t>
      </w:r>
      <w:r w:rsidR="00A01D82">
        <w:t xml:space="preserve">. The PBAC considered </w:t>
      </w:r>
      <w:r w:rsidR="00D32639">
        <w:t xml:space="preserve">that </w:t>
      </w:r>
      <w:r w:rsidR="00853CC1">
        <w:t xml:space="preserve">the </w:t>
      </w:r>
      <w:r w:rsidR="00A01D82">
        <w:t xml:space="preserve">use of </w:t>
      </w:r>
      <w:r w:rsidR="00853CC1" w:rsidRPr="00744F75">
        <w:t>alternative utility values of 0.72 for progression free and 0.70 for progressed disease</w:t>
      </w:r>
      <w:r w:rsidR="00853CC1">
        <w:t xml:space="preserve"> </w:t>
      </w:r>
      <w:r w:rsidR="008A5B6E">
        <w:t>would be</w:t>
      </w:r>
      <w:r w:rsidR="00853CC1">
        <w:t xml:space="preserve"> appropriate</w:t>
      </w:r>
      <w:r w:rsidR="00D00E76">
        <w:t xml:space="preserve"> and consistent with </w:t>
      </w:r>
      <w:r w:rsidR="00D00E76" w:rsidRPr="00082D31">
        <w:t>the July 2019 atezolizumab submission</w:t>
      </w:r>
      <w:r w:rsidR="00853CC1">
        <w:t>.</w:t>
      </w:r>
      <w:bookmarkEnd w:id="87"/>
      <w:r w:rsidR="00853CC1">
        <w:t xml:space="preserve"> </w:t>
      </w:r>
    </w:p>
    <w:p w14:paraId="1CAE81BB" w14:textId="52196519" w:rsidR="001C4D0E" w:rsidRDefault="001C4D0E" w:rsidP="006B488A">
      <w:pPr>
        <w:pStyle w:val="COMESnumberedpara"/>
      </w:pPr>
      <w:bookmarkStart w:id="88" w:name="_Ref226952855"/>
      <w:r>
        <w:t xml:space="preserve">The PBAC noted </w:t>
      </w:r>
      <w:r w:rsidR="00B375A9">
        <w:t>that</w:t>
      </w:r>
      <w:r>
        <w:t xml:space="preserve"> when inputs were adjusted according to </w:t>
      </w:r>
      <w:r w:rsidR="00D33ADF">
        <w:t xml:space="preserve">the </w:t>
      </w:r>
      <w:r>
        <w:t>ES</w:t>
      </w:r>
      <w:r w:rsidR="00434772">
        <w:t>C</w:t>
      </w:r>
      <w:r w:rsidR="00B375A9">
        <w:t xml:space="preserve"> </w:t>
      </w:r>
      <w:r w:rsidR="00D00E76">
        <w:t>advice (as noted above)</w:t>
      </w:r>
      <w:r w:rsidR="002F390F">
        <w:t>,</w:t>
      </w:r>
      <w:r w:rsidR="00B375A9" w:rsidRPr="00E30D09">
        <w:rPr>
          <w:snapToGrid w:val="0"/>
          <w:lang w:eastAsia="en-US"/>
        </w:rPr>
        <w:t xml:space="preserve"> together with the price proposed in the </w:t>
      </w:r>
      <w:r w:rsidR="000D3377" w:rsidRPr="00E30D09">
        <w:rPr>
          <w:snapToGrid w:val="0"/>
          <w:lang w:eastAsia="en-US"/>
        </w:rPr>
        <w:t>P</w:t>
      </w:r>
      <w:r w:rsidR="00B375A9" w:rsidRPr="00E30D09">
        <w:rPr>
          <w:snapToGrid w:val="0"/>
          <w:lang w:eastAsia="en-US"/>
        </w:rPr>
        <w:t>re-PBAC Response</w:t>
      </w:r>
      <w:r w:rsidR="002F390F" w:rsidRPr="00E30D09">
        <w:rPr>
          <w:snapToGrid w:val="0"/>
          <w:lang w:eastAsia="en-US"/>
        </w:rPr>
        <w:t>,</w:t>
      </w:r>
      <w:r w:rsidR="00434772">
        <w:t xml:space="preserve"> the ICER was </w:t>
      </w:r>
      <w:r w:rsidR="00F47D17" w:rsidRPr="00F47D17">
        <w:t>$255,000 to &lt; $355,000</w:t>
      </w:r>
      <w:r w:rsidR="002F390F">
        <w:t xml:space="preserve"> per quality adjusted life year (QALY) gained</w:t>
      </w:r>
      <w:r w:rsidR="00434772">
        <w:t>.</w:t>
      </w:r>
      <w:r w:rsidR="00F15AFE">
        <w:t xml:space="preserve"> </w:t>
      </w:r>
      <w:r w:rsidR="00E30D09" w:rsidRPr="008C7B8B">
        <w:t>The PBAC</w:t>
      </w:r>
      <w:r w:rsidR="00C9476E" w:rsidRPr="00C9476E">
        <w:t xml:space="preserve"> </w:t>
      </w:r>
      <w:r w:rsidR="00C9476E">
        <w:t xml:space="preserve">considered that </w:t>
      </w:r>
      <w:r w:rsidR="00D00E76">
        <w:t xml:space="preserve">this ICER was unacceptably high and that </w:t>
      </w:r>
      <w:r w:rsidR="00C9476E">
        <w:t>tarlatamab was not cost-</w:t>
      </w:r>
      <w:r w:rsidR="00C9476E">
        <w:lastRenderedPageBreak/>
        <w:t>effective at the price proposed in the Pre-PBAC Response</w:t>
      </w:r>
      <w:r w:rsidR="00D00E76">
        <w:t xml:space="preserve">. The PBAC </w:t>
      </w:r>
      <w:r w:rsidR="00E30D09">
        <w:t>recalled</w:t>
      </w:r>
      <w:r w:rsidR="00D60C42">
        <w:t xml:space="preserve"> that it had previously c</w:t>
      </w:r>
      <w:r w:rsidR="00E30D09" w:rsidRPr="008C7B8B">
        <w:t>onsidered an ICER of $45,000 to $75,000 per QALY gained</w:t>
      </w:r>
      <w:r w:rsidR="00D60C42">
        <w:t xml:space="preserve"> </w:t>
      </w:r>
      <w:r w:rsidR="00D60C42" w:rsidRPr="008C7B8B">
        <w:t xml:space="preserve">acceptable </w:t>
      </w:r>
      <w:r w:rsidR="000605B8">
        <w:t xml:space="preserve">for </w:t>
      </w:r>
      <w:r w:rsidR="00D60C42" w:rsidRPr="008C7B8B">
        <w:t>ES-SCLC</w:t>
      </w:r>
      <w:r w:rsidR="003163D7">
        <w:t xml:space="preserve">. </w:t>
      </w:r>
      <w:r w:rsidR="00260B09">
        <w:t xml:space="preserve">The PBAC considered that a </w:t>
      </w:r>
      <w:r w:rsidR="00FF4533">
        <w:t xml:space="preserve">substantial </w:t>
      </w:r>
      <w:r w:rsidR="00260B09">
        <w:t>price reduction would be required for tarlatamab to achieve a cost-effective PBS listing</w:t>
      </w:r>
      <w:r w:rsidR="00E2084E">
        <w:t xml:space="preserve">. </w:t>
      </w:r>
      <w:r w:rsidR="00F92DB2">
        <w:t xml:space="preserve">The PBAC </w:t>
      </w:r>
      <w:r w:rsidR="00260B09">
        <w:t xml:space="preserve">considered that </w:t>
      </w:r>
      <w:r w:rsidR="004D2542">
        <w:t xml:space="preserve">more </w:t>
      </w:r>
      <w:r w:rsidR="004D2542" w:rsidRPr="00C55CDE">
        <w:t>mature OS data from DeLLphi-30</w:t>
      </w:r>
      <w:r w:rsidR="00021020">
        <w:t>4</w:t>
      </w:r>
      <w:r w:rsidR="00F92DB2">
        <w:t xml:space="preserve"> may</w:t>
      </w:r>
      <w:r w:rsidR="007F33C3">
        <w:t xml:space="preserve"> </w:t>
      </w:r>
      <w:r w:rsidR="004D2542" w:rsidRPr="009F179C">
        <w:t xml:space="preserve">provide an important basis for informing the model </w:t>
      </w:r>
      <w:r w:rsidR="00370A6F">
        <w:t xml:space="preserve">extrapolations </w:t>
      </w:r>
      <w:r w:rsidR="004D2542" w:rsidRPr="009F179C">
        <w:t>and validating long</w:t>
      </w:r>
      <w:r w:rsidR="004D2542" w:rsidRPr="009F179C">
        <w:noBreakHyphen/>
        <w:t>term</w:t>
      </w:r>
      <w:r w:rsidR="004D2542">
        <w:t xml:space="preserve"> OS</w:t>
      </w:r>
      <w:r w:rsidR="004D2542" w:rsidRPr="009F179C">
        <w:t xml:space="preserve"> projections.</w:t>
      </w:r>
      <w:bookmarkEnd w:id="88"/>
      <w:r w:rsidR="00E274A8">
        <w:t xml:space="preserve"> </w:t>
      </w:r>
    </w:p>
    <w:p w14:paraId="66D7DF87" w14:textId="4ACB0DF6" w:rsidR="009F4F54" w:rsidRPr="00040260" w:rsidRDefault="003E7405" w:rsidP="00040260">
      <w:pPr>
        <w:widowControl w:val="0"/>
        <w:numPr>
          <w:ilvl w:val="1"/>
          <w:numId w:val="1"/>
        </w:numPr>
        <w:spacing w:after="120"/>
        <w:rPr>
          <w:rFonts w:asciiTheme="minorHAnsi" w:hAnsiTheme="minorHAnsi"/>
          <w:snapToGrid w:val="0"/>
          <w:lang w:val="en-GB"/>
        </w:rPr>
      </w:pPr>
      <w:bookmarkStart w:id="89" w:name="_Ref226955170"/>
      <w:r>
        <w:t xml:space="preserve">The PBAC noted that the Pre-PBAC </w:t>
      </w:r>
      <w:r w:rsidR="00D00E76">
        <w:t>R</w:t>
      </w:r>
      <w:r>
        <w:t xml:space="preserve">esponse provided revised financial estimates </w:t>
      </w:r>
      <w:r w:rsidR="000D0BED">
        <w:t>incorporating</w:t>
      </w:r>
      <w:r w:rsidR="00072135">
        <w:t xml:space="preserve"> a revised price and additional amendments </w:t>
      </w:r>
      <w:r w:rsidR="009F476B">
        <w:t>in line with</w:t>
      </w:r>
      <w:r w:rsidR="007F0D05">
        <w:t xml:space="preserve"> the</w:t>
      </w:r>
      <w:r w:rsidR="00072135">
        <w:t xml:space="preserve"> ESC advice.</w:t>
      </w:r>
      <w:r w:rsidR="000B5779">
        <w:t xml:space="preserve"> </w:t>
      </w:r>
      <w:r w:rsidR="006602FC">
        <w:t>The PBAC noted</w:t>
      </w:r>
      <w:r w:rsidR="003A5D6E">
        <w:t xml:space="preserve"> that</w:t>
      </w:r>
      <w:r w:rsidR="004A7EA0">
        <w:t xml:space="preserve"> some</w:t>
      </w:r>
      <w:r w:rsidR="003A5D6E">
        <w:t xml:space="preserve"> errors remained in the calculations for the</w:t>
      </w:r>
      <w:r w:rsidR="00B130C1">
        <w:t xml:space="preserve"> eligible </w:t>
      </w:r>
      <w:r w:rsidR="00D00E76">
        <w:t xml:space="preserve">patient </w:t>
      </w:r>
      <w:r w:rsidR="00B130C1">
        <w:t xml:space="preserve">population, including for the percentage of ES-SCLC second-line patients receiving </w:t>
      </w:r>
      <w:r w:rsidR="00D00E76">
        <w:t>third-line</w:t>
      </w:r>
      <w:r w:rsidR="0020335B">
        <w:t xml:space="preserve"> therapy</w:t>
      </w:r>
      <w:r w:rsidR="0095448D">
        <w:t xml:space="preserve"> (incorrect percentage increase)</w:t>
      </w:r>
      <w:r w:rsidR="0020335B">
        <w:t xml:space="preserve"> and</w:t>
      </w:r>
      <w:r w:rsidR="00937180">
        <w:t xml:space="preserve"> third-line treatment duration (</w:t>
      </w:r>
      <w:r w:rsidR="00B132EB">
        <w:t xml:space="preserve">incorrect </w:t>
      </w:r>
      <w:r w:rsidR="00D91E99">
        <w:t xml:space="preserve">data </w:t>
      </w:r>
      <w:r w:rsidR="00EC5B49">
        <w:t>censorin</w:t>
      </w:r>
      <w:r w:rsidR="00D91E99">
        <w:t>g</w:t>
      </w:r>
      <w:r w:rsidR="002607D1">
        <w:t>;</w:t>
      </w:r>
      <w:r w:rsidR="00EC5B49">
        <w:t xml:space="preserve"> </w:t>
      </w:r>
      <w:r w:rsidR="00937180">
        <w:t xml:space="preserve">see </w:t>
      </w:r>
      <w:r w:rsidR="00937180">
        <w:fldChar w:fldCharType="begin"/>
      </w:r>
      <w:r w:rsidR="00937180">
        <w:instrText xml:space="preserve"> REF _Ref219720656 \h </w:instrText>
      </w:r>
      <w:r w:rsidR="00937180">
        <w:fldChar w:fldCharType="separate"/>
      </w:r>
      <w:r w:rsidR="00E26586" w:rsidRPr="0098262F">
        <w:t xml:space="preserve">Table </w:t>
      </w:r>
      <w:r w:rsidR="00E26586">
        <w:rPr>
          <w:noProof/>
        </w:rPr>
        <w:t>15</w:t>
      </w:r>
      <w:r w:rsidR="00937180">
        <w:fldChar w:fldCharType="end"/>
      </w:r>
      <w:r w:rsidR="00937180">
        <w:t>).</w:t>
      </w:r>
      <w:r w:rsidR="0020335B">
        <w:t xml:space="preserve"> </w:t>
      </w:r>
      <w:r w:rsidR="009F4F54" w:rsidRPr="00040260">
        <w:rPr>
          <w:rFonts w:asciiTheme="minorHAnsi" w:hAnsiTheme="minorHAnsi"/>
          <w:snapToGrid w:val="0"/>
          <w:lang w:val="en-GB"/>
        </w:rPr>
        <w:t xml:space="preserve">The PBAC considered that, with </w:t>
      </w:r>
      <w:r w:rsidR="0022698B" w:rsidRPr="00040260">
        <w:rPr>
          <w:rFonts w:asciiTheme="minorHAnsi" w:hAnsiTheme="minorHAnsi"/>
          <w:snapToGrid w:val="0"/>
          <w:lang w:val="en-GB"/>
        </w:rPr>
        <w:t xml:space="preserve">corrections to these errors </w:t>
      </w:r>
      <w:r w:rsidR="009F4F54" w:rsidRPr="00040260">
        <w:rPr>
          <w:rFonts w:asciiTheme="minorHAnsi" w:hAnsiTheme="minorHAnsi"/>
          <w:snapToGrid w:val="0"/>
          <w:lang w:val="en-GB"/>
        </w:rPr>
        <w:t xml:space="preserve">and with </w:t>
      </w:r>
      <w:r w:rsidR="00D00E76">
        <w:rPr>
          <w:rFonts w:asciiTheme="minorHAnsi" w:hAnsiTheme="minorHAnsi"/>
          <w:snapToGrid w:val="0"/>
          <w:lang w:val="en-GB"/>
        </w:rPr>
        <w:t>the</w:t>
      </w:r>
      <w:r w:rsidR="009F4F54" w:rsidRPr="00040260">
        <w:rPr>
          <w:rFonts w:asciiTheme="minorHAnsi" w:hAnsiTheme="minorHAnsi"/>
          <w:snapToGrid w:val="0"/>
          <w:lang w:val="en-GB"/>
        </w:rPr>
        <w:t xml:space="preserve"> price reduction required to achieve cost effectiveness </w:t>
      </w:r>
      <w:r w:rsidR="00D00E76">
        <w:rPr>
          <w:rFonts w:asciiTheme="minorHAnsi" w:hAnsiTheme="minorHAnsi"/>
          <w:snapToGrid w:val="0"/>
          <w:lang w:val="en-GB"/>
        </w:rPr>
        <w:t xml:space="preserve">as </w:t>
      </w:r>
      <w:r w:rsidR="009F4F54" w:rsidRPr="00040260">
        <w:rPr>
          <w:rFonts w:asciiTheme="minorHAnsi" w:hAnsiTheme="minorHAnsi"/>
          <w:snapToGrid w:val="0"/>
          <w:lang w:val="en-GB"/>
        </w:rPr>
        <w:t xml:space="preserve">outlined in </w:t>
      </w:r>
      <w:r w:rsidR="00937180">
        <w:rPr>
          <w:rFonts w:asciiTheme="minorHAnsi" w:hAnsiTheme="minorHAnsi"/>
          <w:snapToGrid w:val="0"/>
          <w:lang w:val="en-GB"/>
        </w:rPr>
        <w:t xml:space="preserve">paragraph </w:t>
      </w:r>
      <w:r w:rsidR="00937180">
        <w:rPr>
          <w:rFonts w:asciiTheme="minorHAnsi" w:hAnsiTheme="minorHAnsi"/>
          <w:snapToGrid w:val="0"/>
          <w:lang w:val="en-GB"/>
        </w:rPr>
        <w:fldChar w:fldCharType="begin"/>
      </w:r>
      <w:r w:rsidR="00937180">
        <w:rPr>
          <w:rFonts w:asciiTheme="minorHAnsi" w:hAnsiTheme="minorHAnsi"/>
          <w:snapToGrid w:val="0"/>
          <w:lang w:val="en-GB"/>
        </w:rPr>
        <w:instrText xml:space="preserve"> REF _Ref226952855 \r \h </w:instrText>
      </w:r>
      <w:r w:rsidR="00937180">
        <w:rPr>
          <w:rFonts w:asciiTheme="minorHAnsi" w:hAnsiTheme="minorHAnsi"/>
          <w:snapToGrid w:val="0"/>
          <w:lang w:val="en-GB"/>
        </w:rPr>
      </w:r>
      <w:r w:rsidR="00937180">
        <w:rPr>
          <w:rFonts w:asciiTheme="minorHAnsi" w:hAnsiTheme="minorHAnsi"/>
          <w:snapToGrid w:val="0"/>
          <w:lang w:val="en-GB"/>
        </w:rPr>
        <w:fldChar w:fldCharType="separate"/>
      </w:r>
      <w:r w:rsidR="00D23029">
        <w:rPr>
          <w:rFonts w:asciiTheme="minorHAnsi" w:hAnsiTheme="minorHAnsi"/>
          <w:snapToGrid w:val="0"/>
          <w:lang w:val="en-GB"/>
        </w:rPr>
        <w:t>7.12</w:t>
      </w:r>
      <w:r w:rsidR="00937180">
        <w:rPr>
          <w:rFonts w:asciiTheme="minorHAnsi" w:hAnsiTheme="minorHAnsi"/>
          <w:snapToGrid w:val="0"/>
          <w:lang w:val="en-GB"/>
        </w:rPr>
        <w:fldChar w:fldCharType="end"/>
      </w:r>
      <w:r w:rsidR="009F4F54" w:rsidRPr="00040260">
        <w:rPr>
          <w:rFonts w:asciiTheme="minorHAnsi" w:hAnsiTheme="minorHAnsi"/>
          <w:snapToGrid w:val="0"/>
          <w:lang w:val="en-GB"/>
        </w:rPr>
        <w:t xml:space="preserve">, it would be reasonable to accept the </w:t>
      </w:r>
      <w:r w:rsidR="00D00E76">
        <w:rPr>
          <w:rFonts w:asciiTheme="minorHAnsi" w:hAnsiTheme="minorHAnsi"/>
          <w:snapToGrid w:val="0"/>
          <w:lang w:val="en-GB"/>
        </w:rPr>
        <w:t>P</w:t>
      </w:r>
      <w:r w:rsidR="009F4F54" w:rsidRPr="00040260">
        <w:rPr>
          <w:rFonts w:asciiTheme="minorHAnsi" w:hAnsiTheme="minorHAnsi"/>
          <w:snapToGrid w:val="0"/>
          <w:lang w:val="en-GB"/>
        </w:rPr>
        <w:t xml:space="preserve">re-PBAC </w:t>
      </w:r>
      <w:r w:rsidR="00D00E76">
        <w:rPr>
          <w:rFonts w:asciiTheme="minorHAnsi" w:hAnsiTheme="minorHAnsi"/>
          <w:snapToGrid w:val="0"/>
          <w:lang w:val="en-GB"/>
        </w:rPr>
        <w:t>R</w:t>
      </w:r>
      <w:r w:rsidR="009F4F54" w:rsidRPr="00040260">
        <w:rPr>
          <w:rFonts w:asciiTheme="minorHAnsi" w:hAnsiTheme="minorHAnsi"/>
          <w:snapToGrid w:val="0"/>
          <w:lang w:val="en-GB"/>
        </w:rPr>
        <w:t>esponse revised financial estimates as the basis of establishing a risk sharing arrangement</w:t>
      </w:r>
      <w:r w:rsidR="00436602">
        <w:rPr>
          <w:rFonts w:asciiTheme="minorHAnsi" w:hAnsiTheme="minorHAnsi"/>
          <w:snapToGrid w:val="0"/>
          <w:lang w:val="en-GB"/>
        </w:rPr>
        <w:t xml:space="preserve"> (RSA)</w:t>
      </w:r>
      <w:r w:rsidR="009F4F54" w:rsidRPr="00040260">
        <w:rPr>
          <w:rFonts w:asciiTheme="minorHAnsi" w:hAnsiTheme="minorHAnsi"/>
          <w:snapToGrid w:val="0"/>
          <w:lang w:val="en-GB"/>
        </w:rPr>
        <w:t>.</w:t>
      </w:r>
      <w:bookmarkEnd w:id="89"/>
    </w:p>
    <w:p w14:paraId="1C38EB39" w14:textId="342A121C" w:rsidR="00533AD7" w:rsidRPr="009B3F48" w:rsidRDefault="00923532" w:rsidP="009B3F48">
      <w:pPr>
        <w:pStyle w:val="3-BodyText"/>
        <w:numPr>
          <w:ilvl w:val="1"/>
          <w:numId w:val="5"/>
        </w:numPr>
        <w:rPr>
          <w:snapToGrid w:val="0"/>
          <w:lang w:val="en-GB"/>
        </w:rPr>
      </w:pPr>
      <w:bookmarkStart w:id="90" w:name="_Ref226955201"/>
      <w:r w:rsidRPr="005529D4">
        <w:rPr>
          <w:snapToGrid w:val="0"/>
          <w:lang w:val="en-GB"/>
        </w:rPr>
        <w:t>The PBAC considered that the</w:t>
      </w:r>
      <w:r w:rsidR="002C14FB">
        <w:rPr>
          <w:snapToGrid w:val="0"/>
          <w:lang w:val="en-GB"/>
        </w:rPr>
        <w:t>re was a</w:t>
      </w:r>
      <w:r w:rsidRPr="005529D4">
        <w:rPr>
          <w:snapToGrid w:val="0"/>
          <w:lang w:val="en-GB"/>
        </w:rPr>
        <w:t xml:space="preserve"> </w:t>
      </w:r>
      <w:r>
        <w:rPr>
          <w:snapToGrid w:val="0"/>
          <w:lang w:val="en-GB"/>
        </w:rPr>
        <w:t xml:space="preserve">risk </w:t>
      </w:r>
      <w:r w:rsidR="002C14FB">
        <w:rPr>
          <w:snapToGrid w:val="0"/>
          <w:lang w:val="en-GB"/>
        </w:rPr>
        <w:t xml:space="preserve">that tarlatamab would be </w:t>
      </w:r>
      <w:r>
        <w:rPr>
          <w:snapToGrid w:val="0"/>
          <w:lang w:val="en-GB"/>
        </w:rPr>
        <w:t>use</w:t>
      </w:r>
      <w:r w:rsidR="002C14FB">
        <w:rPr>
          <w:snapToGrid w:val="0"/>
          <w:lang w:val="en-GB"/>
        </w:rPr>
        <w:t>d</w:t>
      </w:r>
      <w:r>
        <w:rPr>
          <w:snapToGrid w:val="0"/>
          <w:lang w:val="en-GB"/>
        </w:rPr>
        <w:t xml:space="preserve"> outside of the proposed patient population</w:t>
      </w:r>
      <w:r w:rsidR="00C53749">
        <w:rPr>
          <w:snapToGrid w:val="0"/>
          <w:lang w:val="en-GB"/>
        </w:rPr>
        <w:t xml:space="preserve"> </w:t>
      </w:r>
      <w:r w:rsidR="002C14FB">
        <w:rPr>
          <w:snapToGrid w:val="0"/>
          <w:lang w:val="en-GB"/>
        </w:rPr>
        <w:t>in</w:t>
      </w:r>
      <w:r w:rsidR="00350897" w:rsidRPr="0013382E">
        <w:t xml:space="preserve"> patients with LS-SCLC (included in the proposed TGA indication) and</w:t>
      </w:r>
      <w:r w:rsidR="00C53749">
        <w:t xml:space="preserve"> as</w:t>
      </w:r>
      <w:r w:rsidR="00350897" w:rsidRPr="0013382E">
        <w:t xml:space="preserve"> continuing treatment of patients after disease progression</w:t>
      </w:r>
      <w:r w:rsidR="00CD1FB5">
        <w:t xml:space="preserve">. The PBAC considered that </w:t>
      </w:r>
      <w:r w:rsidR="00EF6097">
        <w:t xml:space="preserve">the risk of use outside the proposed </w:t>
      </w:r>
      <w:r w:rsidR="00E95EA9">
        <w:t>restriction</w:t>
      </w:r>
      <w:r w:rsidRPr="00E95EA9">
        <w:rPr>
          <w:snapToGrid w:val="0"/>
          <w:lang w:val="en-GB"/>
        </w:rPr>
        <w:t xml:space="preserve"> and the remaining uncertainties in the financial estimates could be managed through an RSA</w:t>
      </w:r>
      <w:r w:rsidR="00DF7678">
        <w:rPr>
          <w:snapToGrid w:val="0"/>
          <w:lang w:val="en-GB"/>
        </w:rPr>
        <w:t xml:space="preserve">. </w:t>
      </w:r>
      <w:bookmarkEnd w:id="90"/>
    </w:p>
    <w:p w14:paraId="57E50871" w14:textId="0AAFA20B" w:rsidR="0081146F" w:rsidRDefault="0081146F" w:rsidP="0081146F">
      <w:pPr>
        <w:pStyle w:val="COMESnumberedpara"/>
        <w:rPr>
          <w:snapToGrid w:val="0"/>
          <w:lang w:val="en-GB"/>
        </w:rPr>
      </w:pPr>
      <w:r w:rsidRPr="00783D74">
        <w:rPr>
          <w:snapToGrid w:val="0"/>
          <w:lang w:val="en-GB"/>
        </w:rPr>
        <w:t xml:space="preserve">The PBAC considered the outstanding issues could be easily resolved in a simple resubmission for </w:t>
      </w:r>
      <w:r>
        <w:rPr>
          <w:snapToGrid w:val="0"/>
          <w:lang w:val="en-GB"/>
        </w:rPr>
        <w:t>tarlatamab</w:t>
      </w:r>
      <w:r w:rsidRPr="00783D74">
        <w:rPr>
          <w:snapToGrid w:val="0"/>
          <w:lang w:val="en-GB"/>
        </w:rPr>
        <w:t xml:space="preserve"> using the early re-entry pathway. If the sponsor accepts this pathway, the following changes may address these outstanding issues without requiring further re-evaluation</w:t>
      </w:r>
      <w:r>
        <w:rPr>
          <w:snapToGrid w:val="0"/>
          <w:lang w:val="en-GB"/>
        </w:rPr>
        <w:t>:</w:t>
      </w:r>
    </w:p>
    <w:p w14:paraId="17C569FC" w14:textId="32968FF4" w:rsidR="00232DD6" w:rsidRPr="00694944" w:rsidRDefault="00EA29CD" w:rsidP="00694944">
      <w:pPr>
        <w:pStyle w:val="COMESnumberedpara"/>
        <w:numPr>
          <w:ilvl w:val="0"/>
          <w:numId w:val="31"/>
        </w:numPr>
        <w:rPr>
          <w:snapToGrid w:val="0"/>
          <w:lang w:val="en-GB"/>
        </w:rPr>
      </w:pPr>
      <w:r>
        <w:rPr>
          <w:snapToGrid w:val="0"/>
          <w:lang w:val="en-GB"/>
        </w:rPr>
        <w:t>A revised restriction that includes changes</w:t>
      </w:r>
      <w:r w:rsidR="00EB2B98">
        <w:rPr>
          <w:snapToGrid w:val="0"/>
          <w:lang w:val="en-GB"/>
        </w:rPr>
        <w:t xml:space="preserve"> outlined</w:t>
      </w:r>
      <w:r>
        <w:rPr>
          <w:snapToGrid w:val="0"/>
          <w:lang w:val="en-GB"/>
        </w:rPr>
        <w:t xml:space="preserve"> in paragraph </w:t>
      </w:r>
      <w:r>
        <w:rPr>
          <w:snapToGrid w:val="0"/>
          <w:lang w:val="en-GB"/>
        </w:rPr>
        <w:fldChar w:fldCharType="begin"/>
      </w:r>
      <w:r>
        <w:rPr>
          <w:snapToGrid w:val="0"/>
          <w:lang w:val="en-GB"/>
        </w:rPr>
        <w:instrText xml:space="preserve"> REF _Ref226901459 \r \h </w:instrText>
      </w:r>
      <w:r>
        <w:rPr>
          <w:snapToGrid w:val="0"/>
          <w:lang w:val="en-GB"/>
        </w:rPr>
      </w:r>
      <w:r>
        <w:rPr>
          <w:snapToGrid w:val="0"/>
          <w:lang w:val="en-GB"/>
        </w:rPr>
        <w:fldChar w:fldCharType="separate"/>
      </w:r>
      <w:r w:rsidR="00D23029">
        <w:rPr>
          <w:snapToGrid w:val="0"/>
          <w:lang w:val="en-GB"/>
        </w:rPr>
        <w:t>7.5</w:t>
      </w:r>
      <w:r>
        <w:rPr>
          <w:snapToGrid w:val="0"/>
          <w:lang w:val="en-GB"/>
        </w:rPr>
        <w:fldChar w:fldCharType="end"/>
      </w:r>
      <w:r w:rsidR="00232DD6">
        <w:rPr>
          <w:snapToGrid w:val="0"/>
          <w:lang w:val="en-GB"/>
        </w:rPr>
        <w:t>;</w:t>
      </w:r>
    </w:p>
    <w:p w14:paraId="1D50A019" w14:textId="15D41520" w:rsidR="000722FD" w:rsidRPr="00692740" w:rsidRDefault="00044476" w:rsidP="00692740">
      <w:pPr>
        <w:pStyle w:val="COMESnumberedpara"/>
        <w:numPr>
          <w:ilvl w:val="0"/>
          <w:numId w:val="31"/>
        </w:numPr>
        <w:rPr>
          <w:snapToGrid w:val="0"/>
          <w:lang w:val="en-GB"/>
        </w:rPr>
      </w:pPr>
      <w:r>
        <w:rPr>
          <w:snapToGrid w:val="0"/>
          <w:lang w:val="en-GB"/>
        </w:rPr>
        <w:t>A revised economic model</w:t>
      </w:r>
      <w:r w:rsidR="00C01065">
        <w:rPr>
          <w:snapToGrid w:val="0"/>
          <w:lang w:val="en-GB"/>
        </w:rPr>
        <w:t xml:space="preserve">, which includes </w:t>
      </w:r>
      <w:r w:rsidR="000B05F7">
        <w:rPr>
          <w:snapToGrid w:val="0"/>
          <w:lang w:val="en-GB"/>
        </w:rPr>
        <w:t>changes</w:t>
      </w:r>
      <w:r w:rsidR="00663EAC">
        <w:rPr>
          <w:snapToGrid w:val="0"/>
          <w:lang w:val="en-GB"/>
        </w:rPr>
        <w:t>,</w:t>
      </w:r>
      <w:r w:rsidR="00923BFD">
        <w:rPr>
          <w:snapToGrid w:val="0"/>
          <w:lang w:val="en-GB"/>
        </w:rPr>
        <w:t xml:space="preserve"> in line with</w:t>
      </w:r>
      <w:r w:rsidR="00221484">
        <w:rPr>
          <w:snapToGrid w:val="0"/>
          <w:lang w:val="en-GB"/>
        </w:rPr>
        <w:t xml:space="preserve"> the</w:t>
      </w:r>
      <w:r w:rsidR="00923BFD">
        <w:rPr>
          <w:snapToGrid w:val="0"/>
          <w:lang w:val="en-GB"/>
        </w:rPr>
        <w:t xml:space="preserve"> ESC </w:t>
      </w:r>
      <w:r w:rsidR="00D90078">
        <w:rPr>
          <w:snapToGrid w:val="0"/>
          <w:lang w:val="en-GB"/>
        </w:rPr>
        <w:t>advice</w:t>
      </w:r>
      <w:r w:rsidR="00663EAC">
        <w:rPr>
          <w:snapToGrid w:val="0"/>
          <w:lang w:val="en-GB"/>
        </w:rPr>
        <w:t>,</w:t>
      </w:r>
      <w:r w:rsidR="00494400">
        <w:rPr>
          <w:snapToGrid w:val="0"/>
          <w:lang w:val="en-GB"/>
        </w:rPr>
        <w:t xml:space="preserve"> related</w:t>
      </w:r>
      <w:r w:rsidR="000B05F7">
        <w:rPr>
          <w:snapToGrid w:val="0"/>
          <w:lang w:val="en-GB"/>
        </w:rPr>
        <w:t xml:space="preserve"> to the time horizon</w:t>
      </w:r>
      <w:r w:rsidR="00604CC0">
        <w:rPr>
          <w:snapToGrid w:val="0"/>
          <w:lang w:val="en-GB"/>
        </w:rPr>
        <w:t>, tarlatamab OS extrapolation, and utility values</w:t>
      </w:r>
      <w:r w:rsidR="00923BFD">
        <w:rPr>
          <w:snapToGrid w:val="0"/>
          <w:lang w:val="en-GB"/>
        </w:rPr>
        <w:t xml:space="preserve">, as outlined in paragraphs </w:t>
      </w:r>
      <w:r w:rsidR="006C7EAC">
        <w:rPr>
          <w:snapToGrid w:val="0"/>
          <w:lang w:val="en-GB"/>
        </w:rPr>
        <w:fldChar w:fldCharType="begin"/>
      </w:r>
      <w:r w:rsidR="006C7EAC">
        <w:rPr>
          <w:snapToGrid w:val="0"/>
          <w:lang w:val="en-GB"/>
        </w:rPr>
        <w:instrText xml:space="preserve"> REF _Ref226954857 \r \h </w:instrText>
      </w:r>
      <w:r w:rsidR="006C7EAC">
        <w:rPr>
          <w:snapToGrid w:val="0"/>
          <w:lang w:val="en-GB"/>
        </w:rPr>
      </w:r>
      <w:r w:rsidR="006C7EAC">
        <w:rPr>
          <w:snapToGrid w:val="0"/>
          <w:lang w:val="en-GB"/>
        </w:rPr>
        <w:fldChar w:fldCharType="separate"/>
      </w:r>
      <w:r w:rsidR="00D23029">
        <w:rPr>
          <w:snapToGrid w:val="0"/>
          <w:lang w:val="en-GB"/>
        </w:rPr>
        <w:t>7.10</w:t>
      </w:r>
      <w:r w:rsidR="006C7EAC">
        <w:rPr>
          <w:snapToGrid w:val="0"/>
          <w:lang w:val="en-GB"/>
        </w:rPr>
        <w:fldChar w:fldCharType="end"/>
      </w:r>
      <w:r w:rsidR="006C7EAC">
        <w:rPr>
          <w:snapToGrid w:val="0"/>
          <w:lang w:val="en-GB"/>
        </w:rPr>
        <w:t xml:space="preserve"> and </w:t>
      </w:r>
      <w:r w:rsidR="006C7EAC">
        <w:rPr>
          <w:snapToGrid w:val="0"/>
          <w:lang w:val="en-GB"/>
        </w:rPr>
        <w:fldChar w:fldCharType="begin"/>
      </w:r>
      <w:r w:rsidR="006C7EAC">
        <w:rPr>
          <w:snapToGrid w:val="0"/>
          <w:lang w:val="en-GB"/>
        </w:rPr>
        <w:instrText xml:space="preserve"> REF _Ref226954866 \r \h </w:instrText>
      </w:r>
      <w:r w:rsidR="006C7EAC">
        <w:rPr>
          <w:snapToGrid w:val="0"/>
          <w:lang w:val="en-GB"/>
        </w:rPr>
      </w:r>
      <w:r w:rsidR="006C7EAC">
        <w:rPr>
          <w:snapToGrid w:val="0"/>
          <w:lang w:val="en-GB"/>
        </w:rPr>
        <w:fldChar w:fldCharType="separate"/>
      </w:r>
      <w:r w:rsidR="00D23029">
        <w:rPr>
          <w:snapToGrid w:val="0"/>
          <w:lang w:val="en-GB"/>
        </w:rPr>
        <w:t>7.11</w:t>
      </w:r>
      <w:r w:rsidR="006C7EAC">
        <w:rPr>
          <w:snapToGrid w:val="0"/>
          <w:lang w:val="en-GB"/>
        </w:rPr>
        <w:fldChar w:fldCharType="end"/>
      </w:r>
      <w:r w:rsidR="006C7EAC">
        <w:rPr>
          <w:snapToGrid w:val="0"/>
          <w:lang w:val="en-GB"/>
        </w:rPr>
        <w:t>;</w:t>
      </w:r>
    </w:p>
    <w:p w14:paraId="464D6358" w14:textId="5E338C06" w:rsidR="007171D1" w:rsidRDefault="007171D1" w:rsidP="007171D1">
      <w:pPr>
        <w:pStyle w:val="COMESnumberedpara"/>
        <w:numPr>
          <w:ilvl w:val="0"/>
          <w:numId w:val="31"/>
        </w:numPr>
        <w:rPr>
          <w:snapToGrid w:val="0"/>
          <w:lang w:val="en-GB"/>
        </w:rPr>
      </w:pPr>
      <w:r>
        <w:rPr>
          <w:snapToGrid w:val="0"/>
          <w:lang w:val="en-GB"/>
        </w:rPr>
        <w:t>A pricing proposal that results i</w:t>
      </w:r>
      <w:r w:rsidR="00923BFD">
        <w:rPr>
          <w:snapToGrid w:val="0"/>
          <w:lang w:val="en-GB"/>
        </w:rPr>
        <w:t>n an ICER</w:t>
      </w:r>
      <w:r w:rsidR="006C7EAC">
        <w:rPr>
          <w:snapToGrid w:val="0"/>
          <w:lang w:val="en-GB"/>
        </w:rPr>
        <w:t xml:space="preserve"> no greater than</w:t>
      </w:r>
      <w:r w:rsidR="00A24C79">
        <w:rPr>
          <w:snapToGrid w:val="0"/>
          <w:lang w:val="en-GB"/>
        </w:rPr>
        <w:t xml:space="preserve"> $75,000</w:t>
      </w:r>
      <w:r w:rsidR="006C7EAC">
        <w:rPr>
          <w:snapToGrid w:val="0"/>
          <w:lang w:val="en-GB"/>
        </w:rPr>
        <w:t xml:space="preserve"> per QALY gained;</w:t>
      </w:r>
    </w:p>
    <w:p w14:paraId="22BEA66C" w14:textId="6C8788E4" w:rsidR="00293437" w:rsidRDefault="00293437" w:rsidP="007171D1">
      <w:pPr>
        <w:pStyle w:val="COMESnumberedpara"/>
        <w:numPr>
          <w:ilvl w:val="0"/>
          <w:numId w:val="31"/>
        </w:numPr>
        <w:rPr>
          <w:snapToGrid w:val="0"/>
          <w:lang w:val="en-GB"/>
        </w:rPr>
      </w:pPr>
      <w:r>
        <w:rPr>
          <w:snapToGrid w:val="0"/>
          <w:lang w:val="en-GB"/>
        </w:rPr>
        <w:t>Revised financial estimates which include</w:t>
      </w:r>
      <w:r w:rsidR="00B50F43">
        <w:rPr>
          <w:snapToGrid w:val="0"/>
          <w:lang w:val="en-GB"/>
        </w:rPr>
        <w:t>s</w:t>
      </w:r>
      <w:r w:rsidR="00AC2ED4">
        <w:rPr>
          <w:snapToGrid w:val="0"/>
          <w:lang w:val="en-GB"/>
        </w:rPr>
        <w:t xml:space="preserve"> </w:t>
      </w:r>
      <w:r w:rsidR="00CF7CD2">
        <w:rPr>
          <w:snapToGrid w:val="0"/>
          <w:lang w:val="en-GB"/>
        </w:rPr>
        <w:t xml:space="preserve">corrections </w:t>
      </w:r>
      <w:r w:rsidR="00494400">
        <w:rPr>
          <w:snapToGrid w:val="0"/>
          <w:lang w:val="en-GB"/>
        </w:rPr>
        <w:t>to</w:t>
      </w:r>
      <w:r w:rsidR="00CF7CD2">
        <w:rPr>
          <w:snapToGrid w:val="0"/>
          <w:lang w:val="en-GB"/>
        </w:rPr>
        <w:t xml:space="preserve"> errors outlined in</w:t>
      </w:r>
      <w:r w:rsidR="000E60A1">
        <w:rPr>
          <w:snapToGrid w:val="0"/>
          <w:lang w:val="en-GB"/>
        </w:rPr>
        <w:t xml:space="preserve"> paragraph</w:t>
      </w:r>
      <w:r w:rsidR="00CF7CD2">
        <w:rPr>
          <w:snapToGrid w:val="0"/>
          <w:lang w:val="en-GB"/>
        </w:rPr>
        <w:t xml:space="preserve"> </w:t>
      </w:r>
      <w:r w:rsidR="000E60A1">
        <w:rPr>
          <w:snapToGrid w:val="0"/>
          <w:lang w:val="en-GB"/>
        </w:rPr>
        <w:fldChar w:fldCharType="begin"/>
      </w:r>
      <w:r w:rsidR="000E60A1">
        <w:rPr>
          <w:snapToGrid w:val="0"/>
          <w:lang w:val="en-GB"/>
        </w:rPr>
        <w:instrText xml:space="preserve"> REF _Ref226955170 \r \h </w:instrText>
      </w:r>
      <w:r w:rsidR="000E60A1">
        <w:rPr>
          <w:snapToGrid w:val="0"/>
          <w:lang w:val="en-GB"/>
        </w:rPr>
      </w:r>
      <w:r w:rsidR="000E60A1">
        <w:rPr>
          <w:snapToGrid w:val="0"/>
          <w:lang w:val="en-GB"/>
        </w:rPr>
        <w:fldChar w:fldCharType="separate"/>
      </w:r>
      <w:r w:rsidR="00D23029">
        <w:rPr>
          <w:snapToGrid w:val="0"/>
          <w:lang w:val="en-GB"/>
        </w:rPr>
        <w:t>7.13</w:t>
      </w:r>
      <w:r w:rsidR="000E60A1">
        <w:rPr>
          <w:snapToGrid w:val="0"/>
          <w:lang w:val="en-GB"/>
        </w:rPr>
        <w:fldChar w:fldCharType="end"/>
      </w:r>
      <w:r w:rsidR="000E60A1">
        <w:rPr>
          <w:snapToGrid w:val="0"/>
          <w:lang w:val="en-GB"/>
        </w:rPr>
        <w:t xml:space="preserve"> </w:t>
      </w:r>
      <w:r w:rsidR="00CF7CD2">
        <w:rPr>
          <w:snapToGrid w:val="0"/>
          <w:lang w:val="en-GB"/>
        </w:rPr>
        <w:t>and a reduced tarlatamab price;</w:t>
      </w:r>
      <w:r w:rsidR="00663EAC">
        <w:rPr>
          <w:snapToGrid w:val="0"/>
          <w:lang w:val="en-GB"/>
        </w:rPr>
        <w:t xml:space="preserve"> and</w:t>
      </w:r>
    </w:p>
    <w:p w14:paraId="69CD72D1" w14:textId="34A1A27D" w:rsidR="00293437" w:rsidRPr="00694944" w:rsidRDefault="00293437" w:rsidP="00694944">
      <w:pPr>
        <w:pStyle w:val="COMESnumberedpara"/>
        <w:numPr>
          <w:ilvl w:val="0"/>
          <w:numId w:val="31"/>
        </w:numPr>
        <w:rPr>
          <w:snapToGrid w:val="0"/>
          <w:lang w:val="en-GB"/>
        </w:rPr>
      </w:pPr>
      <w:r>
        <w:rPr>
          <w:snapToGrid w:val="0"/>
          <w:lang w:val="en-GB"/>
        </w:rPr>
        <w:t>A proposed RSA</w:t>
      </w:r>
      <w:r w:rsidR="00AE2AC0">
        <w:rPr>
          <w:snapToGrid w:val="0"/>
          <w:lang w:val="en-GB"/>
        </w:rPr>
        <w:t xml:space="preserve"> (</w:t>
      </w:r>
      <w:r w:rsidR="00B50F43">
        <w:rPr>
          <w:snapToGrid w:val="0"/>
          <w:lang w:val="en-GB"/>
        </w:rPr>
        <w:t xml:space="preserve">see </w:t>
      </w:r>
      <w:r w:rsidR="00AE2AC0">
        <w:rPr>
          <w:snapToGrid w:val="0"/>
          <w:lang w:val="en-GB"/>
        </w:rPr>
        <w:t xml:space="preserve">paragraph </w:t>
      </w:r>
      <w:r w:rsidR="00B50F43">
        <w:rPr>
          <w:snapToGrid w:val="0"/>
          <w:lang w:val="en-GB"/>
        </w:rPr>
        <w:fldChar w:fldCharType="begin"/>
      </w:r>
      <w:r w:rsidR="00B50F43">
        <w:rPr>
          <w:snapToGrid w:val="0"/>
          <w:lang w:val="en-GB"/>
        </w:rPr>
        <w:instrText xml:space="preserve"> REF _Ref226955201 \r \h </w:instrText>
      </w:r>
      <w:r w:rsidR="00B50F43">
        <w:rPr>
          <w:snapToGrid w:val="0"/>
          <w:lang w:val="en-GB"/>
        </w:rPr>
      </w:r>
      <w:r w:rsidR="00B50F43">
        <w:rPr>
          <w:snapToGrid w:val="0"/>
          <w:lang w:val="en-GB"/>
        </w:rPr>
        <w:fldChar w:fldCharType="separate"/>
      </w:r>
      <w:r w:rsidR="00D23029">
        <w:rPr>
          <w:snapToGrid w:val="0"/>
          <w:lang w:val="en-GB"/>
        </w:rPr>
        <w:t>7.14</w:t>
      </w:r>
      <w:r w:rsidR="00B50F43">
        <w:rPr>
          <w:snapToGrid w:val="0"/>
          <w:lang w:val="en-GB"/>
        </w:rPr>
        <w:fldChar w:fldCharType="end"/>
      </w:r>
      <w:r w:rsidR="00AE2AC0">
        <w:rPr>
          <w:snapToGrid w:val="0"/>
          <w:lang w:val="en-GB"/>
        </w:rPr>
        <w:t>).</w:t>
      </w:r>
    </w:p>
    <w:p w14:paraId="109A4CC0" w14:textId="77777777" w:rsidR="007171D1" w:rsidRDefault="007171D1" w:rsidP="007171D1">
      <w:pPr>
        <w:widowControl w:val="0"/>
        <w:ind w:left="720"/>
        <w:rPr>
          <w:rFonts w:asciiTheme="minorHAnsi" w:hAnsiTheme="minorHAnsi"/>
          <w:snapToGrid w:val="0"/>
          <w:lang w:val="en-GB"/>
        </w:rPr>
      </w:pPr>
      <w:r w:rsidRPr="00783D74">
        <w:rPr>
          <w:rFonts w:asciiTheme="minorHAnsi" w:hAnsiTheme="minorHAnsi"/>
          <w:snapToGrid w:val="0"/>
          <w:lang w:val="en-GB"/>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69EDF0AA" w14:textId="56AE5BD4" w:rsidR="00223D35" w:rsidRPr="007171D1" w:rsidRDefault="007171D1" w:rsidP="007171D1">
      <w:pPr>
        <w:pStyle w:val="COMESnumberedpara"/>
        <w:rPr>
          <w:snapToGrid w:val="0"/>
          <w:lang w:val="en-GB"/>
        </w:rPr>
      </w:pPr>
      <w:r w:rsidRPr="00525B39">
        <w:rPr>
          <w:snapToGrid w:val="0"/>
          <w:lang w:val="en-GB"/>
        </w:rPr>
        <w:t xml:space="preserve">The PBAC noted that this submission is eligible for an Independent Review. </w:t>
      </w:r>
    </w:p>
    <w:bookmarkEnd w:id="84"/>
    <w:p w14:paraId="6DF5DCCF" w14:textId="77777777" w:rsidR="00546FF2" w:rsidRPr="00546FF2" w:rsidRDefault="00546FF2" w:rsidP="00546FF2">
      <w:pPr>
        <w:spacing w:before="240"/>
        <w:rPr>
          <w:rFonts w:asciiTheme="minorHAnsi" w:hAnsiTheme="minorHAnsi"/>
          <w:b/>
          <w:bCs/>
          <w:snapToGrid w:val="0"/>
          <w:lang w:val="en-GB" w:eastAsia="en-US"/>
        </w:rPr>
      </w:pPr>
      <w:r w:rsidRPr="00546FF2">
        <w:rPr>
          <w:rFonts w:asciiTheme="minorHAnsi" w:hAnsiTheme="minorHAnsi"/>
          <w:b/>
          <w:bCs/>
          <w:snapToGrid w:val="0"/>
          <w:lang w:val="en-GB" w:eastAsia="en-US"/>
        </w:rPr>
        <w:lastRenderedPageBreak/>
        <w:t>Outcome:</w:t>
      </w:r>
    </w:p>
    <w:p w14:paraId="3727C057" w14:textId="514D1116" w:rsidR="00262D2B" w:rsidRDefault="00546FF2" w:rsidP="00D477BD">
      <w:pPr>
        <w:spacing w:after="120"/>
        <w:rPr>
          <w:rFonts w:asciiTheme="minorHAnsi" w:hAnsiTheme="minorHAnsi"/>
          <w:bCs/>
          <w:snapToGrid w:val="0"/>
          <w:lang w:val="en-GB" w:eastAsia="en-US"/>
        </w:rPr>
      </w:pPr>
      <w:r w:rsidRPr="00546FF2">
        <w:rPr>
          <w:rFonts w:asciiTheme="minorHAnsi" w:hAnsiTheme="minorHAnsi"/>
          <w:bCs/>
          <w:snapToGrid w:val="0"/>
          <w:lang w:val="en-GB" w:eastAsia="en-US"/>
        </w:rPr>
        <w:t>Not recommended</w:t>
      </w:r>
      <w:bookmarkEnd w:id="83"/>
    </w:p>
    <w:p w14:paraId="4E3E0D57" w14:textId="34420AF2" w:rsidR="00FA6D72" w:rsidRPr="00FA6D72" w:rsidRDefault="00FA6D72" w:rsidP="00FA6D72">
      <w:pPr>
        <w:keepNext/>
        <w:spacing w:before="240" w:after="120"/>
        <w:ind w:left="720" w:hanging="720"/>
        <w:jc w:val="left"/>
        <w:outlineLvl w:val="0"/>
        <w:rPr>
          <w:rFonts w:asciiTheme="minorHAnsi" w:hAnsiTheme="minorHAnsi"/>
          <w:b/>
          <w:snapToGrid w:val="0"/>
          <w:sz w:val="32"/>
          <w:szCs w:val="32"/>
          <w:lang w:val="en-GB" w:eastAsia="en-US"/>
        </w:rPr>
      </w:pPr>
      <w:r>
        <w:rPr>
          <w:rFonts w:asciiTheme="minorHAnsi" w:hAnsiTheme="minorHAnsi"/>
          <w:b/>
          <w:snapToGrid w:val="0"/>
          <w:sz w:val="32"/>
          <w:szCs w:val="32"/>
          <w:lang w:eastAsia="en-US"/>
        </w:rPr>
        <w:t>8</w:t>
      </w:r>
      <w:r w:rsidRPr="00FA6D72">
        <w:rPr>
          <w:rFonts w:asciiTheme="minorHAnsi" w:hAnsiTheme="minorHAnsi"/>
          <w:b/>
          <w:snapToGrid w:val="0"/>
          <w:sz w:val="32"/>
          <w:szCs w:val="32"/>
          <w:lang w:eastAsia="en-US"/>
        </w:rPr>
        <w:tab/>
        <w:t>Context for Decision</w:t>
      </w:r>
    </w:p>
    <w:p w14:paraId="3D92A9A2" w14:textId="77777777" w:rsidR="00FA6D72" w:rsidRPr="00FA6D72" w:rsidRDefault="00FA6D72" w:rsidP="00FA6D72">
      <w:pPr>
        <w:spacing w:after="120"/>
        <w:ind w:left="720"/>
        <w:rPr>
          <w:rFonts w:cs="Calibri"/>
          <w:bCs/>
          <w:szCs w:val="22"/>
          <w:lang w:val="en-GB"/>
        </w:rPr>
      </w:pPr>
      <w:r w:rsidRPr="00FA6D72">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E827C53" w14:textId="350C775C" w:rsidR="00FA6D72" w:rsidRPr="00FA6D72" w:rsidRDefault="00FA6D72" w:rsidP="00FA6D72">
      <w:pPr>
        <w:keepNext/>
        <w:spacing w:before="240" w:after="120"/>
        <w:ind w:left="720" w:hanging="720"/>
        <w:jc w:val="left"/>
        <w:outlineLvl w:val="0"/>
        <w:rPr>
          <w:rFonts w:asciiTheme="minorHAnsi" w:hAnsiTheme="minorHAnsi"/>
          <w:b/>
          <w:snapToGrid w:val="0"/>
          <w:sz w:val="32"/>
          <w:szCs w:val="32"/>
          <w:lang w:eastAsia="en-US"/>
        </w:rPr>
      </w:pPr>
      <w:r>
        <w:rPr>
          <w:rFonts w:asciiTheme="minorHAnsi" w:hAnsiTheme="minorHAnsi"/>
          <w:b/>
          <w:snapToGrid w:val="0"/>
          <w:sz w:val="32"/>
          <w:szCs w:val="32"/>
          <w:lang w:eastAsia="en-US"/>
        </w:rPr>
        <w:t>9</w:t>
      </w:r>
      <w:r w:rsidRPr="00FA6D72">
        <w:rPr>
          <w:rFonts w:asciiTheme="minorHAnsi" w:hAnsiTheme="minorHAnsi"/>
          <w:b/>
          <w:snapToGrid w:val="0"/>
          <w:sz w:val="32"/>
          <w:szCs w:val="32"/>
          <w:lang w:eastAsia="en-US"/>
        </w:rPr>
        <w:tab/>
        <w:t>Sponsor’s Comment</w:t>
      </w:r>
    </w:p>
    <w:p w14:paraId="6D53FE5B" w14:textId="22B07D84" w:rsidR="00FA6D72" w:rsidRPr="00D477BD" w:rsidRDefault="00FA6D72" w:rsidP="00FA6D72">
      <w:pPr>
        <w:spacing w:after="120"/>
        <w:ind w:firstLine="720"/>
        <w:rPr>
          <w:rFonts w:asciiTheme="minorHAnsi" w:hAnsiTheme="minorHAnsi"/>
          <w:bCs/>
          <w:snapToGrid w:val="0"/>
          <w:lang w:val="en-GB" w:eastAsia="en-US"/>
        </w:rPr>
      </w:pPr>
      <w:r w:rsidRPr="00FA6D72">
        <w:rPr>
          <w:rFonts w:cs="Calibri"/>
          <w:bCs/>
          <w:szCs w:val="22"/>
          <w:lang w:eastAsia="en-US"/>
        </w:rPr>
        <w:t>The sponsor had no comment.</w:t>
      </w:r>
    </w:p>
    <w:sectPr w:rsidR="00FA6D72" w:rsidRPr="00D477BD" w:rsidSect="00367558">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B511" w14:textId="77777777" w:rsidR="00F357A0" w:rsidRDefault="00F357A0" w:rsidP="00124A51">
      <w:r>
        <w:separator/>
      </w:r>
    </w:p>
    <w:p w14:paraId="6C3545CF" w14:textId="77777777" w:rsidR="00F357A0" w:rsidRDefault="00F357A0"/>
    <w:p w14:paraId="52C400F9" w14:textId="77777777" w:rsidR="00F357A0" w:rsidRDefault="00F357A0"/>
    <w:p w14:paraId="44662427" w14:textId="77777777" w:rsidR="00F357A0" w:rsidRDefault="00F357A0"/>
    <w:p w14:paraId="1D85C1E3" w14:textId="77777777" w:rsidR="00F357A0" w:rsidRDefault="00F357A0"/>
  </w:endnote>
  <w:endnote w:type="continuationSeparator" w:id="0">
    <w:p w14:paraId="5B69BE75" w14:textId="77777777" w:rsidR="00F357A0" w:rsidRDefault="00F357A0" w:rsidP="00124A51">
      <w:r>
        <w:continuationSeparator/>
      </w:r>
    </w:p>
    <w:p w14:paraId="02BC6E7E" w14:textId="77777777" w:rsidR="00F357A0" w:rsidRDefault="00F357A0"/>
    <w:p w14:paraId="11E77F0A" w14:textId="77777777" w:rsidR="00F357A0" w:rsidRDefault="00F357A0"/>
    <w:p w14:paraId="79015D00" w14:textId="77777777" w:rsidR="00F357A0" w:rsidRDefault="00F357A0"/>
    <w:p w14:paraId="4459CCF3" w14:textId="77777777" w:rsidR="00F357A0" w:rsidRDefault="00F35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Body)">
    <w:altName w:val="Calibri"/>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97DD" w14:textId="1638EF41" w:rsidR="001A3F3D" w:rsidRDefault="00203E83">
    <w:pPr>
      <w:pStyle w:val="Footer"/>
    </w:pPr>
    <w:r>
      <w:rPr>
        <w:noProof/>
      </w:rPr>
      <mc:AlternateContent>
        <mc:Choice Requires="wps">
          <w:drawing>
            <wp:anchor distT="0" distB="0" distL="0" distR="0" simplePos="0" relativeHeight="251658244" behindDoc="0" locked="0" layoutInCell="1" allowOverlap="1" wp14:anchorId="213F5686" wp14:editId="0CE3B8F0">
              <wp:simplePos x="635" y="635"/>
              <wp:positionH relativeFrom="page">
                <wp:align>center</wp:align>
              </wp:positionH>
              <wp:positionV relativeFrom="page">
                <wp:align>bottom</wp:align>
              </wp:positionV>
              <wp:extent cx="2558415" cy="345440"/>
              <wp:effectExtent l="0" t="0" r="13335" b="0"/>
              <wp:wrapNone/>
              <wp:docPr id="1701202246" name="Text Box 2" descr="Internal Use Only Medical and Scientific Affair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58415" cy="345440"/>
                      </a:xfrm>
                      <a:prstGeom prst="rect">
                        <a:avLst/>
                      </a:prstGeom>
                      <a:noFill/>
                      <a:ln>
                        <a:noFill/>
                      </a:ln>
                    </wps:spPr>
                    <wps:txbx>
                      <w:txbxContent>
                        <w:p w14:paraId="5D98BF09" w14:textId="47E599EE" w:rsidR="00203E83" w:rsidRPr="00203E83" w:rsidRDefault="00203E83" w:rsidP="00203E83">
                          <w:pPr>
                            <w:rPr>
                              <w:rFonts w:ascii="Aptos" w:eastAsia="Aptos" w:hAnsi="Aptos" w:cs="Aptos"/>
                              <w:noProof/>
                              <w:color w:val="000000"/>
                              <w:sz w:val="20"/>
                              <w:szCs w:val="20"/>
                            </w:rPr>
                          </w:pPr>
                          <w:r w:rsidRPr="00203E83">
                            <w:rPr>
                              <w:rFonts w:ascii="Aptos" w:eastAsia="Aptos" w:hAnsi="Aptos" w:cs="Aptos"/>
                              <w:noProof/>
                              <w:color w:val="000000"/>
                              <w:sz w:val="20"/>
                              <w:szCs w:val="20"/>
                            </w:rPr>
                            <w:t>Internal Use Only Medical and Scientific Affairs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370C22A">
            <v:shapetype id="_x0000_t202" coordsize="21600,21600" o:spt="202" path="m,l,21600r21600,l21600,xe" w14:anchorId="213F5686">
              <v:stroke joinstyle="miter"/>
              <v:path gradientshapeok="t" o:connecttype="rect"/>
            </v:shapetype>
            <v:shape id="_x0000_s1028" style="position:absolute;left:0;text-align:left;margin-left:0;margin-top:0;width:201.45pt;height:27.2pt;z-index:251658244;visibility:visible;mso-wrap-style:none;mso-wrap-distance-left:0;mso-wrap-distance-top:0;mso-wrap-distance-right:0;mso-wrap-distance-bottom:0;mso-position-horizontal:center;mso-position-horizontal-relative:page;mso-position-vertical:bottom;mso-position-vertical-relative:page;v-text-anchor:bottom" alt="Internal Use Only Medical and Scientific Affairs"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">
              <v:textbox style="mso-fit-shape-to-text:t" inset="0,0,0,15pt">
                <w:txbxContent>
                  <w:p w:rsidRPr="00203E83" w:rsidR="00203E83" w:rsidP="00203E83" w:rsidRDefault="00203E83" w14:paraId="2864E361" w14:textId="47E599EE">
                    <w:pPr>
                      <w:rPr>
                        <w:rFonts w:ascii="Aptos" w:hAnsi="Aptos" w:eastAsia="Aptos" w:cs="Aptos"/>
                        <w:noProof/>
                        <w:color w:val="000000"/>
                        <w:sz w:val="20"/>
                        <w:szCs w:val="20"/>
                      </w:rPr>
                    </w:pPr>
                    <w:r w:rsidRPr="00203E83">
                      <w:rPr>
                        <w:rFonts w:ascii="Aptos" w:hAnsi="Aptos" w:eastAsia="Aptos" w:cs="Aptos"/>
                        <w:noProof/>
                        <w:color w:val="000000"/>
                        <w:sz w:val="20"/>
                        <w:szCs w:val="20"/>
                      </w:rPr>
                      <w:t>Internal Use Only Medical and Scientific Affairs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2244" w14:textId="7352E5A0" w:rsidR="0011690A" w:rsidRDefault="0011690A" w:rsidP="0011690A">
    <w:pPr>
      <w:pStyle w:val="PageFooter"/>
    </w:pPr>
  </w:p>
  <w:p w14:paraId="5FAEB17A" w14:textId="62A4479E" w:rsidR="0011690A" w:rsidRPr="007C1CD9" w:rsidRDefault="00F357A0" w:rsidP="0011690A">
    <w:pPr>
      <w:pStyle w:val="PageFooter"/>
    </w:pPr>
    <w:sdt>
      <w:sdtPr>
        <w:id w:val="1036156457"/>
        <w:docPartObj>
          <w:docPartGallery w:val="Page Numbers (Bottom of Page)"/>
          <w:docPartUnique/>
        </w:docPartObj>
      </w:sdtPr>
      <w:sdtEndPr>
        <w:rPr>
          <w:noProof/>
        </w:rPr>
      </w:sdtEndPr>
      <w:sdtContent>
        <w:r w:rsidR="0011690A">
          <w:fldChar w:fldCharType="begin"/>
        </w:r>
        <w:r w:rsidR="0011690A">
          <w:instrText xml:space="preserve"> PAGE   \* MERGEFORMAT </w:instrText>
        </w:r>
        <w:r w:rsidR="0011690A">
          <w:fldChar w:fldCharType="separate"/>
        </w:r>
        <w:r w:rsidR="0011690A">
          <w:t>3</w:t>
        </w:r>
        <w:r w:rsidR="0011690A">
          <w:rPr>
            <w:noProof/>
          </w:rPr>
          <w:fldChar w:fldCharType="end"/>
        </w:r>
      </w:sdtContent>
    </w:sdt>
  </w:p>
  <w:p w14:paraId="44333B92" w14:textId="77777777" w:rsidR="00544D06" w:rsidRDefault="00544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C09A" w14:textId="4694FA70" w:rsidR="001A3F3D" w:rsidRDefault="00203E83">
    <w:pPr>
      <w:pStyle w:val="Footer"/>
    </w:pPr>
    <w:r>
      <w:rPr>
        <w:noProof/>
      </w:rPr>
      <mc:AlternateContent>
        <mc:Choice Requires="wps">
          <w:drawing>
            <wp:anchor distT="0" distB="0" distL="0" distR="0" simplePos="0" relativeHeight="251658243" behindDoc="0" locked="0" layoutInCell="1" allowOverlap="1" wp14:anchorId="5C587D97" wp14:editId="3370081F">
              <wp:simplePos x="635" y="635"/>
              <wp:positionH relativeFrom="page">
                <wp:align>center</wp:align>
              </wp:positionH>
              <wp:positionV relativeFrom="page">
                <wp:align>bottom</wp:align>
              </wp:positionV>
              <wp:extent cx="2558415" cy="345440"/>
              <wp:effectExtent l="0" t="0" r="13335" b="0"/>
              <wp:wrapNone/>
              <wp:docPr id="1537494262" name="Text Box 1" descr="Internal Use Only Medical and Scientific Affair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58415" cy="345440"/>
                      </a:xfrm>
                      <a:prstGeom prst="rect">
                        <a:avLst/>
                      </a:prstGeom>
                      <a:noFill/>
                      <a:ln>
                        <a:noFill/>
                      </a:ln>
                    </wps:spPr>
                    <wps:txbx>
                      <w:txbxContent>
                        <w:p w14:paraId="5850C2A4" w14:textId="2D47E2C6" w:rsidR="00203E83" w:rsidRPr="00203E83" w:rsidRDefault="00203E83" w:rsidP="00203E83">
                          <w:pPr>
                            <w:rPr>
                              <w:rFonts w:ascii="Aptos" w:eastAsia="Aptos" w:hAnsi="Aptos" w:cs="Aptos"/>
                              <w:noProof/>
                              <w:color w:val="000000"/>
                              <w:sz w:val="20"/>
                              <w:szCs w:val="20"/>
                            </w:rPr>
                          </w:pPr>
                          <w:r w:rsidRPr="00203E83">
                            <w:rPr>
                              <w:rFonts w:ascii="Aptos" w:eastAsia="Aptos" w:hAnsi="Aptos" w:cs="Aptos"/>
                              <w:noProof/>
                              <w:color w:val="000000"/>
                              <w:sz w:val="20"/>
                              <w:szCs w:val="20"/>
                            </w:rPr>
                            <w:t>Internal Use Only Medical and Scientific Affairs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FA730D5">
            <v:shapetype id="_x0000_t202" coordsize="21600,21600" o:spt="202" path="m,l,21600r21600,l21600,xe" w14:anchorId="5C587D97">
              <v:stroke joinstyle="miter"/>
              <v:path gradientshapeok="t" o:connecttype="rect"/>
            </v:shapetype>
            <v:shape id="_x0000_s1031" style="position:absolute;left:0;text-align:left;margin-left:0;margin-top:0;width:201.45pt;height:27.2pt;z-index:251658243;visibility:visible;mso-wrap-style:none;mso-wrap-distance-left:0;mso-wrap-distance-top:0;mso-wrap-distance-right:0;mso-wrap-distance-bottom:0;mso-position-horizontal:center;mso-position-horizontal-relative:page;mso-position-vertical:bottom;mso-position-vertical-relative:page;v-text-anchor:bottom" alt="Internal Use Only Medical and Scientific Affairs"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">
              <v:textbox style="mso-fit-shape-to-text:t" inset="0,0,0,15pt">
                <w:txbxContent>
                  <w:p w:rsidRPr="00203E83" w:rsidR="00203E83" w:rsidP="00203E83" w:rsidRDefault="00203E83" w14:paraId="46663C7C" w14:textId="2D47E2C6">
                    <w:pPr>
                      <w:rPr>
                        <w:rFonts w:ascii="Aptos" w:hAnsi="Aptos" w:eastAsia="Aptos" w:cs="Aptos"/>
                        <w:noProof/>
                        <w:color w:val="000000"/>
                        <w:sz w:val="20"/>
                        <w:szCs w:val="20"/>
                      </w:rPr>
                    </w:pPr>
                    <w:r w:rsidRPr="00203E83">
                      <w:rPr>
                        <w:rFonts w:ascii="Aptos" w:hAnsi="Aptos" w:eastAsia="Aptos" w:cs="Aptos"/>
                        <w:noProof/>
                        <w:color w:val="000000"/>
                        <w:sz w:val="20"/>
                        <w:szCs w:val="20"/>
                      </w:rPr>
                      <w:t>Internal Use Only Medical and Scientific Affairs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D0C9" w14:textId="77777777" w:rsidR="00F357A0" w:rsidRDefault="00F357A0" w:rsidP="00124A51">
      <w:r>
        <w:separator/>
      </w:r>
    </w:p>
    <w:p w14:paraId="06AFABC7" w14:textId="77777777" w:rsidR="00F357A0" w:rsidRDefault="00F357A0"/>
    <w:p w14:paraId="1C5DB555" w14:textId="77777777" w:rsidR="00F357A0" w:rsidRDefault="00F357A0"/>
    <w:p w14:paraId="52022EA8" w14:textId="77777777" w:rsidR="00F357A0" w:rsidRDefault="00F357A0"/>
    <w:p w14:paraId="38C4C663" w14:textId="77777777" w:rsidR="00F357A0" w:rsidRDefault="00F357A0"/>
  </w:footnote>
  <w:footnote w:type="continuationSeparator" w:id="0">
    <w:p w14:paraId="220D0314" w14:textId="77777777" w:rsidR="00F357A0" w:rsidRDefault="00F357A0" w:rsidP="00124A51">
      <w:r>
        <w:continuationSeparator/>
      </w:r>
    </w:p>
    <w:p w14:paraId="683BEDB4" w14:textId="77777777" w:rsidR="00F357A0" w:rsidRDefault="00F357A0"/>
    <w:p w14:paraId="5E1B119E" w14:textId="77777777" w:rsidR="00F357A0" w:rsidRDefault="00F357A0"/>
    <w:p w14:paraId="4F7FC492" w14:textId="77777777" w:rsidR="00F357A0" w:rsidRDefault="00F357A0"/>
    <w:p w14:paraId="73A4FDA3" w14:textId="77777777" w:rsidR="00F357A0" w:rsidRDefault="00F357A0"/>
  </w:footnote>
  <w:footnote w:id="1">
    <w:p w14:paraId="788F7236" w14:textId="3F39F69C" w:rsidR="00424B7D" w:rsidRDefault="00424B7D">
      <w:pPr>
        <w:pStyle w:val="FootnoteText"/>
      </w:pPr>
      <w:r>
        <w:rPr>
          <w:rStyle w:val="FootnoteReference"/>
        </w:rPr>
        <w:footnoteRef/>
      </w:r>
      <w:r>
        <w:t xml:space="preserve"> </w:t>
      </w:r>
      <w:hyperlink r:id="rId1" w:history="1">
        <w:r w:rsidRPr="00424B7D">
          <w:rPr>
            <w:rStyle w:val="Hyperlink"/>
          </w:rPr>
          <w:t>Pharmaceutical Benefits Scheme (PBS) | Recommendations made by the PBAC – November 2025</w:t>
        </w:r>
      </w:hyperlink>
    </w:p>
  </w:footnote>
  <w:footnote w:id="2">
    <w:p w14:paraId="73099023" w14:textId="77777777" w:rsidR="00960AAF" w:rsidRDefault="00960AAF" w:rsidP="00960AAF">
      <w:pPr>
        <w:pStyle w:val="FootnoteText"/>
      </w:pPr>
      <w:r>
        <w:rPr>
          <w:rStyle w:val="FootnoteReference"/>
        </w:rPr>
        <w:footnoteRef/>
      </w:r>
      <w:r>
        <w:t xml:space="preserve"> </w:t>
      </w:r>
      <w:hyperlink r:id="rId2" w:tooltip="articles by this author" w:history="1">
        <w:r w:rsidRPr="00BC7BF4">
          <w:rPr>
            <w:sz w:val="16"/>
            <w:szCs w:val="16"/>
          </w:rPr>
          <w:t>Jedd D. Wolchok et al.</w:t>
        </w:r>
      </w:hyperlink>
      <w:r w:rsidRPr="00BC7BF4">
        <w:rPr>
          <w:sz w:val="16"/>
          <w:szCs w:val="16"/>
        </w:rPr>
        <w:t xml:space="preserve"> Long-Term Outcomes With Nivolumab Plus Ipilimumab or Nivolumab Alone Versus Ipilimumab in Patients With Advanced Melanoma. </w:t>
      </w:r>
      <w:r w:rsidRPr="00BC7BF4">
        <w:rPr>
          <w:i/>
          <w:iCs/>
          <w:sz w:val="16"/>
          <w:szCs w:val="16"/>
        </w:rPr>
        <w:t>J Clin Oncol</w:t>
      </w:r>
      <w:r w:rsidRPr="00BC7BF4">
        <w:rPr>
          <w:sz w:val="16"/>
          <w:szCs w:val="16"/>
        </w:rPr>
        <w:t> </w:t>
      </w:r>
      <w:r w:rsidRPr="00BC7BF4">
        <w:rPr>
          <w:b/>
          <w:bCs/>
          <w:sz w:val="16"/>
          <w:szCs w:val="16"/>
        </w:rPr>
        <w:t>40</w:t>
      </w:r>
      <w:r w:rsidRPr="00BC7BF4">
        <w:rPr>
          <w:sz w:val="16"/>
          <w:szCs w:val="16"/>
        </w:rPr>
        <w:t>, 127-137(2022).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358A" w14:textId="2B920361" w:rsidR="001A3F3D" w:rsidRDefault="00740CC7">
    <w:pPr>
      <w:pStyle w:val="Header"/>
    </w:pPr>
    <w:r>
      <w:rPr>
        <w:noProof/>
      </w:rPr>
      <mc:AlternateContent>
        <mc:Choice Requires="wps">
          <w:drawing>
            <wp:anchor distT="0" distB="0" distL="0" distR="0" simplePos="0" relativeHeight="251658241" behindDoc="0" locked="0" layoutInCell="1" allowOverlap="1" wp14:anchorId="1B9871D6" wp14:editId="0977F426">
              <wp:simplePos x="635" y="635"/>
              <wp:positionH relativeFrom="page">
                <wp:align>center</wp:align>
              </wp:positionH>
              <wp:positionV relativeFrom="page">
                <wp:align>top</wp:align>
              </wp:positionV>
              <wp:extent cx="622300" cy="376555"/>
              <wp:effectExtent l="0" t="0" r="6350" b="4445"/>
              <wp:wrapNone/>
              <wp:docPr id="5703223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957AA9B" w14:textId="2338C7B0" w:rsidR="00740CC7" w:rsidRPr="00740CC7" w:rsidRDefault="00740CC7" w:rsidP="00740CC7">
                          <w:pPr>
                            <w:rPr>
                              <w:rFonts w:ascii="Aptos" w:eastAsia="Aptos" w:hAnsi="Aptos" w:cs="Aptos"/>
                              <w:noProof/>
                              <w:color w:val="FF0000"/>
                            </w:rPr>
                          </w:pPr>
                          <w:r w:rsidRPr="00740CC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770DF55">
            <v:shapetype id="_x0000_t202" coordsize="21600,21600" o:spt="202" path="m,l,21600r21600,l21600,xe" w14:anchorId="1B9871D6">
              <v:stroke joinstyle="miter"/>
              <v:path gradientshapeok="t" o:connecttype="rect"/>
            </v:shapetype>
            <v:shape id="Text Box 2"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v:textbox style="mso-fit-shape-to-text:t" inset="0,15pt,0,0">
                <w:txbxContent>
                  <w:p w:rsidRPr="00740CC7" w:rsidR="00740CC7" w:rsidP="00740CC7" w:rsidRDefault="00740CC7" w14:paraId="09E77742" w14:textId="2338C7B0">
                    <w:pPr>
                      <w:rPr>
                        <w:rFonts w:ascii="Aptos" w:hAnsi="Aptos" w:eastAsia="Aptos" w:cs="Aptos"/>
                        <w:noProof/>
                        <w:color w:val="FF0000"/>
                      </w:rPr>
                    </w:pPr>
                    <w:r w:rsidRPr="00740CC7">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A292" w14:textId="4126555C" w:rsidR="00544D06" w:rsidRPr="00B94414" w:rsidRDefault="00740CC7" w:rsidP="00544D06">
    <w:pPr>
      <w:pStyle w:val="Header"/>
      <w:tabs>
        <w:tab w:val="clear" w:pos="9026"/>
        <w:tab w:val="right" w:pos="9027"/>
      </w:tabs>
      <w:jc w:val="left"/>
    </w:pPr>
    <w:r>
      <w:rPr>
        <w:noProof/>
      </w:rPr>
      <mc:AlternateContent>
        <mc:Choice Requires="wps">
          <w:drawing>
            <wp:anchor distT="0" distB="0" distL="0" distR="0" simplePos="0" relativeHeight="251658242" behindDoc="0" locked="0" layoutInCell="1" allowOverlap="1" wp14:anchorId="5D724D7A" wp14:editId="70192ED5">
              <wp:simplePos x="635" y="635"/>
              <wp:positionH relativeFrom="page">
                <wp:align>center</wp:align>
              </wp:positionH>
              <wp:positionV relativeFrom="page">
                <wp:align>top</wp:align>
              </wp:positionV>
              <wp:extent cx="622300" cy="376555"/>
              <wp:effectExtent l="0" t="0" r="6350" b="4445"/>
              <wp:wrapNone/>
              <wp:docPr id="16890797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895AA9C" w14:textId="30BF0355" w:rsidR="00740CC7" w:rsidRPr="00740CC7" w:rsidRDefault="00740CC7" w:rsidP="00740CC7">
                          <w:pPr>
                            <w:rPr>
                              <w:rFonts w:ascii="Aptos" w:eastAsia="Aptos" w:hAnsi="Aptos" w:cs="Aptos"/>
                              <w:noProof/>
                              <w:color w:val="FF0000"/>
                            </w:rPr>
                          </w:pPr>
                          <w:r w:rsidRPr="00740CC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24ED36C">
            <v:shapetype id="_x0000_t202" coordsize="21600,21600" o:spt="202" path="m,l,21600r21600,l21600,xe" w14:anchorId="5D724D7A">
              <v:stroke joinstyle="miter"/>
              <v:path gradientshapeok="t" o:connecttype="rect"/>
            </v:shapetype>
            <v:shape id="Text Box 3" style="position:absolute;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v:textbox style="mso-fit-shape-to-text:t" inset="0,15pt,0,0">
                <w:txbxContent>
                  <w:p w:rsidRPr="00740CC7" w:rsidR="00740CC7" w:rsidP="00740CC7" w:rsidRDefault="00740CC7" w14:paraId="08CE8BEA" w14:textId="30BF0355">
                    <w:pPr>
                      <w:rPr>
                        <w:rFonts w:ascii="Aptos" w:hAnsi="Aptos" w:eastAsia="Aptos" w:cs="Aptos"/>
                        <w:noProof/>
                        <w:color w:val="FF0000"/>
                      </w:rPr>
                    </w:pPr>
                    <w:r w:rsidRPr="00740CC7">
                      <w:rPr>
                        <w:rFonts w:ascii="Aptos" w:hAnsi="Aptos" w:eastAsia="Aptos" w:cs="Aptos"/>
                        <w:noProof/>
                        <w:color w:val="FF0000"/>
                      </w:rPr>
                      <w:t>OFFICIAL</w:t>
                    </w:r>
                  </w:p>
                </w:txbxContent>
              </v:textbox>
              <w10:wrap anchorx="page" anchory="page"/>
            </v:shape>
          </w:pict>
        </mc:Fallback>
      </mc:AlternateContent>
    </w:r>
    <w:r w:rsidR="000521F2">
      <w:tab/>
    </w:r>
    <w:r w:rsidR="00D0312D">
      <w:t>Public Summary Document</w:t>
    </w:r>
    <w:r w:rsidR="007D2DA6">
      <w:t xml:space="preserve"> </w:t>
    </w:r>
    <w:r w:rsidR="00BB0DEC">
      <w:rPr>
        <w:rFonts w:cstheme="minorHAnsi"/>
      </w:rPr>
      <w:t xml:space="preserve">– </w:t>
    </w:r>
    <w:r w:rsidR="00544D06">
      <w:t>March</w:t>
    </w:r>
    <w:r w:rsidR="00544D06" w:rsidRPr="00B94414">
      <w:t xml:space="preserve"> 202</w:t>
    </w:r>
    <w:r w:rsidR="00544D06">
      <w:t xml:space="preserve">6 </w:t>
    </w:r>
    <w:r w:rsidR="00544D06" w:rsidRPr="00B94414">
      <w:t>PBAC Meeting</w:t>
    </w:r>
    <w:r w:rsidR="00544D06">
      <w:tab/>
    </w:r>
  </w:p>
  <w:p w14:paraId="393A7B83" w14:textId="77777777" w:rsidR="000521F2" w:rsidRDefault="000521F2" w:rsidP="00544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1F22" w14:textId="64A2FE6A" w:rsidR="001A3F3D" w:rsidRDefault="00740CC7">
    <w:pPr>
      <w:pStyle w:val="Header"/>
    </w:pPr>
    <w:r>
      <w:rPr>
        <w:noProof/>
      </w:rPr>
      <mc:AlternateContent>
        <mc:Choice Requires="wps">
          <w:drawing>
            <wp:anchor distT="0" distB="0" distL="0" distR="0" simplePos="0" relativeHeight="251658240" behindDoc="0" locked="0" layoutInCell="1" allowOverlap="1" wp14:anchorId="5C0703B2" wp14:editId="4965CCC1">
              <wp:simplePos x="635" y="635"/>
              <wp:positionH relativeFrom="page">
                <wp:align>center</wp:align>
              </wp:positionH>
              <wp:positionV relativeFrom="page">
                <wp:align>top</wp:align>
              </wp:positionV>
              <wp:extent cx="622300" cy="376555"/>
              <wp:effectExtent l="0" t="0" r="6350" b="4445"/>
              <wp:wrapNone/>
              <wp:docPr id="1631955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6B8BCA" w14:textId="72DE72FC" w:rsidR="00740CC7" w:rsidRPr="00740CC7" w:rsidRDefault="00740CC7" w:rsidP="00740CC7">
                          <w:pPr>
                            <w:rPr>
                              <w:rFonts w:ascii="Aptos" w:eastAsia="Aptos" w:hAnsi="Aptos" w:cs="Aptos"/>
                              <w:noProof/>
                              <w:color w:val="FF0000"/>
                            </w:rPr>
                          </w:pPr>
                          <w:r w:rsidRPr="00740CC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B31A7B5">
            <v:shapetype id="_x0000_t202" coordsize="21600,21600" o:spt="202" path="m,l,21600r21600,l21600,xe" w14:anchorId="5C0703B2">
              <v:stroke joinstyle="miter"/>
              <v:path gradientshapeok="t" o:connecttype="rect"/>
            </v:shapetype>
            <v:shape id="Text Box 1"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v:textbox style="mso-fit-shape-to-text:t" inset="0,15pt,0,0">
                <w:txbxContent>
                  <w:p w:rsidRPr="00740CC7" w:rsidR="00740CC7" w:rsidP="00740CC7" w:rsidRDefault="00740CC7" w14:paraId="75F360E3" w14:textId="72DE72FC">
                    <w:pPr>
                      <w:rPr>
                        <w:rFonts w:ascii="Aptos" w:hAnsi="Aptos" w:eastAsia="Aptos" w:cs="Aptos"/>
                        <w:noProof/>
                        <w:color w:val="FF0000"/>
                      </w:rPr>
                    </w:pPr>
                    <w:r w:rsidRPr="00740CC7">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38C6E0"/>
    <w:lvl w:ilvl="0">
      <w:start w:val="1"/>
      <w:numFmt w:val="bullet"/>
      <w:pStyle w:val="COMBodybulletlist"/>
      <w:lvlText w:val=""/>
      <w:lvlJc w:val="left"/>
      <w:pPr>
        <w:tabs>
          <w:tab w:val="num" w:pos="360"/>
        </w:tabs>
        <w:ind w:left="360" w:hanging="360"/>
      </w:pPr>
      <w:rPr>
        <w:rFonts w:ascii="Symbol" w:hAnsi="Symbol" w:hint="default"/>
        <w:color w:val="auto"/>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3D4D07"/>
    <w:multiLevelType w:val="hybridMultilevel"/>
    <w:tmpl w:val="71460046"/>
    <w:lvl w:ilvl="0" w:tplc="CAC0CCAE">
      <w:start w:val="1"/>
      <w:numFmt w:val="bullet"/>
      <w:lvlText w:val=""/>
      <w:lvlJc w:val="left"/>
      <w:pPr>
        <w:ind w:left="720" w:hanging="360"/>
      </w:pPr>
      <w:rPr>
        <w:rFonts w:ascii="Symbol" w:hAnsi="Symbol"/>
      </w:rPr>
    </w:lvl>
    <w:lvl w:ilvl="1" w:tplc="A57E42DA">
      <w:start w:val="1"/>
      <w:numFmt w:val="bullet"/>
      <w:lvlText w:val=""/>
      <w:lvlJc w:val="left"/>
      <w:pPr>
        <w:ind w:left="720" w:hanging="360"/>
      </w:pPr>
      <w:rPr>
        <w:rFonts w:ascii="Symbol" w:hAnsi="Symbol"/>
      </w:rPr>
    </w:lvl>
    <w:lvl w:ilvl="2" w:tplc="F89ADC32">
      <w:start w:val="1"/>
      <w:numFmt w:val="bullet"/>
      <w:lvlText w:val=""/>
      <w:lvlJc w:val="left"/>
      <w:pPr>
        <w:ind w:left="720" w:hanging="360"/>
      </w:pPr>
      <w:rPr>
        <w:rFonts w:ascii="Symbol" w:hAnsi="Symbol"/>
      </w:rPr>
    </w:lvl>
    <w:lvl w:ilvl="3" w:tplc="15C238D8">
      <w:start w:val="1"/>
      <w:numFmt w:val="bullet"/>
      <w:lvlText w:val=""/>
      <w:lvlJc w:val="left"/>
      <w:pPr>
        <w:ind w:left="720" w:hanging="360"/>
      </w:pPr>
      <w:rPr>
        <w:rFonts w:ascii="Symbol" w:hAnsi="Symbol"/>
      </w:rPr>
    </w:lvl>
    <w:lvl w:ilvl="4" w:tplc="3FEA66AC">
      <w:start w:val="1"/>
      <w:numFmt w:val="bullet"/>
      <w:lvlText w:val=""/>
      <w:lvlJc w:val="left"/>
      <w:pPr>
        <w:ind w:left="720" w:hanging="360"/>
      </w:pPr>
      <w:rPr>
        <w:rFonts w:ascii="Symbol" w:hAnsi="Symbol"/>
      </w:rPr>
    </w:lvl>
    <w:lvl w:ilvl="5" w:tplc="540829FE">
      <w:start w:val="1"/>
      <w:numFmt w:val="bullet"/>
      <w:lvlText w:val=""/>
      <w:lvlJc w:val="left"/>
      <w:pPr>
        <w:ind w:left="720" w:hanging="360"/>
      </w:pPr>
      <w:rPr>
        <w:rFonts w:ascii="Symbol" w:hAnsi="Symbol"/>
      </w:rPr>
    </w:lvl>
    <w:lvl w:ilvl="6" w:tplc="5456EF92">
      <w:start w:val="1"/>
      <w:numFmt w:val="bullet"/>
      <w:lvlText w:val=""/>
      <w:lvlJc w:val="left"/>
      <w:pPr>
        <w:ind w:left="720" w:hanging="360"/>
      </w:pPr>
      <w:rPr>
        <w:rFonts w:ascii="Symbol" w:hAnsi="Symbol"/>
      </w:rPr>
    </w:lvl>
    <w:lvl w:ilvl="7" w:tplc="5CCC8EF4">
      <w:start w:val="1"/>
      <w:numFmt w:val="bullet"/>
      <w:lvlText w:val=""/>
      <w:lvlJc w:val="left"/>
      <w:pPr>
        <w:ind w:left="720" w:hanging="360"/>
      </w:pPr>
      <w:rPr>
        <w:rFonts w:ascii="Symbol" w:hAnsi="Symbol"/>
      </w:rPr>
    </w:lvl>
    <w:lvl w:ilvl="8" w:tplc="9574FE64">
      <w:start w:val="1"/>
      <w:numFmt w:val="bullet"/>
      <w:lvlText w:val=""/>
      <w:lvlJc w:val="left"/>
      <w:pPr>
        <w:ind w:left="720" w:hanging="360"/>
      </w:pPr>
      <w:rPr>
        <w:rFonts w:ascii="Symbol" w:hAnsi="Symbol"/>
      </w:rPr>
    </w:lvl>
  </w:abstractNum>
  <w:abstractNum w:abstractNumId="4" w15:restartNumberingAfterBreak="0">
    <w:nsid w:val="0D7565F9"/>
    <w:multiLevelType w:val="hybridMultilevel"/>
    <w:tmpl w:val="A1A48A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2811C9"/>
    <w:multiLevelType w:val="hybridMultilevel"/>
    <w:tmpl w:val="03483422"/>
    <w:lvl w:ilvl="0" w:tplc="750CD6C6">
      <w:start w:val="1"/>
      <w:numFmt w:val="bullet"/>
      <w:lvlText w:val=""/>
      <w:lvlJc w:val="left"/>
      <w:pPr>
        <w:ind w:left="720" w:hanging="360"/>
      </w:pPr>
      <w:rPr>
        <w:rFonts w:ascii="Symbol" w:hAnsi="Symbol"/>
      </w:rPr>
    </w:lvl>
    <w:lvl w:ilvl="1" w:tplc="01CEA88E">
      <w:start w:val="1"/>
      <w:numFmt w:val="bullet"/>
      <w:lvlText w:val=""/>
      <w:lvlJc w:val="left"/>
      <w:pPr>
        <w:ind w:left="720" w:hanging="360"/>
      </w:pPr>
      <w:rPr>
        <w:rFonts w:ascii="Symbol" w:hAnsi="Symbol"/>
      </w:rPr>
    </w:lvl>
    <w:lvl w:ilvl="2" w:tplc="B9BA9812">
      <w:start w:val="1"/>
      <w:numFmt w:val="bullet"/>
      <w:lvlText w:val=""/>
      <w:lvlJc w:val="left"/>
      <w:pPr>
        <w:ind w:left="720" w:hanging="360"/>
      </w:pPr>
      <w:rPr>
        <w:rFonts w:ascii="Symbol" w:hAnsi="Symbol"/>
      </w:rPr>
    </w:lvl>
    <w:lvl w:ilvl="3" w:tplc="5552903C">
      <w:start w:val="1"/>
      <w:numFmt w:val="bullet"/>
      <w:lvlText w:val=""/>
      <w:lvlJc w:val="left"/>
      <w:pPr>
        <w:ind w:left="720" w:hanging="360"/>
      </w:pPr>
      <w:rPr>
        <w:rFonts w:ascii="Symbol" w:hAnsi="Symbol"/>
      </w:rPr>
    </w:lvl>
    <w:lvl w:ilvl="4" w:tplc="C9D0AA6E">
      <w:start w:val="1"/>
      <w:numFmt w:val="bullet"/>
      <w:lvlText w:val=""/>
      <w:lvlJc w:val="left"/>
      <w:pPr>
        <w:ind w:left="720" w:hanging="360"/>
      </w:pPr>
      <w:rPr>
        <w:rFonts w:ascii="Symbol" w:hAnsi="Symbol"/>
      </w:rPr>
    </w:lvl>
    <w:lvl w:ilvl="5" w:tplc="F31E7674">
      <w:start w:val="1"/>
      <w:numFmt w:val="bullet"/>
      <w:lvlText w:val=""/>
      <w:lvlJc w:val="left"/>
      <w:pPr>
        <w:ind w:left="720" w:hanging="360"/>
      </w:pPr>
      <w:rPr>
        <w:rFonts w:ascii="Symbol" w:hAnsi="Symbol"/>
      </w:rPr>
    </w:lvl>
    <w:lvl w:ilvl="6" w:tplc="D5DA95A4">
      <w:start w:val="1"/>
      <w:numFmt w:val="bullet"/>
      <w:lvlText w:val=""/>
      <w:lvlJc w:val="left"/>
      <w:pPr>
        <w:ind w:left="720" w:hanging="360"/>
      </w:pPr>
      <w:rPr>
        <w:rFonts w:ascii="Symbol" w:hAnsi="Symbol"/>
      </w:rPr>
    </w:lvl>
    <w:lvl w:ilvl="7" w:tplc="37F4EE64">
      <w:start w:val="1"/>
      <w:numFmt w:val="bullet"/>
      <w:lvlText w:val=""/>
      <w:lvlJc w:val="left"/>
      <w:pPr>
        <w:ind w:left="720" w:hanging="360"/>
      </w:pPr>
      <w:rPr>
        <w:rFonts w:ascii="Symbol" w:hAnsi="Symbol"/>
      </w:rPr>
    </w:lvl>
    <w:lvl w:ilvl="8" w:tplc="0B4CBB44">
      <w:start w:val="1"/>
      <w:numFmt w:val="bullet"/>
      <w:lvlText w:val=""/>
      <w:lvlJc w:val="left"/>
      <w:pPr>
        <w:ind w:left="720" w:hanging="360"/>
      </w:pPr>
      <w:rPr>
        <w:rFonts w:ascii="Symbol" w:hAnsi="Symbol"/>
      </w:rPr>
    </w:lvl>
  </w:abstractNum>
  <w:abstractNum w:abstractNumId="6" w15:restartNumberingAfterBreak="0">
    <w:nsid w:val="1B26261F"/>
    <w:multiLevelType w:val="hybridMultilevel"/>
    <w:tmpl w:val="75469A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FB219F8"/>
    <w:multiLevelType w:val="hybridMultilevel"/>
    <w:tmpl w:val="6CA0CEB4"/>
    <w:lvl w:ilvl="0" w:tplc="4F38898A">
      <w:start w:val="1"/>
      <w:numFmt w:val="bullet"/>
      <w:pStyle w:val="COMESmainissues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E5CC5C4E"/>
    <w:lvl w:ilvl="0" w:tplc="9E7CA474">
      <w:start w:val="1"/>
      <w:numFmt w:val="decimal"/>
      <w:lvlText w:val="%1."/>
      <w:lvlJc w:val="left"/>
      <w:pPr>
        <w:ind w:left="360" w:hanging="360"/>
      </w:pPr>
      <w:rPr>
        <w:b w:val="0"/>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346AD7"/>
    <w:multiLevelType w:val="hybridMultilevel"/>
    <w:tmpl w:val="81949FCC"/>
    <w:lvl w:ilvl="0" w:tplc="D6CA8D60">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36A36F5"/>
    <w:multiLevelType w:val="hybridMultilevel"/>
    <w:tmpl w:val="C212E7BE"/>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C6A4101E">
      <w:start w:val="1"/>
      <w:numFmt w:val="lowerLetter"/>
      <w:lvlText w:val="%3)"/>
      <w:lvlJc w:val="right"/>
      <w:pPr>
        <w:ind w:left="2160" w:hanging="180"/>
      </w:pPr>
      <w:rPr>
        <w:rFonts w:ascii="Times New Roman" w:eastAsiaTheme="minorHAnsi" w:hAnsi="Times New Roman" w:cstheme="minorBidi"/>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2459E7"/>
    <w:multiLevelType w:val="hybridMultilevel"/>
    <w:tmpl w:val="1E481E40"/>
    <w:lvl w:ilvl="0" w:tplc="2AEE6040">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60751A"/>
    <w:multiLevelType w:val="hybridMultilevel"/>
    <w:tmpl w:val="4ACC08B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Templateinstructions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D60A2"/>
    <w:multiLevelType w:val="hybridMultilevel"/>
    <w:tmpl w:val="C29461C6"/>
    <w:lvl w:ilvl="0" w:tplc="3D94B0FA">
      <w:start w:val="1"/>
      <w:numFmt w:val="bullet"/>
      <w:lvlText w:val=""/>
      <w:lvlJc w:val="left"/>
      <w:pPr>
        <w:ind w:left="720" w:hanging="360"/>
      </w:pPr>
      <w:rPr>
        <w:rFonts w:ascii="Symbol" w:hAnsi="Symbol"/>
      </w:rPr>
    </w:lvl>
    <w:lvl w:ilvl="1" w:tplc="EC3A0540">
      <w:start w:val="1"/>
      <w:numFmt w:val="bullet"/>
      <w:lvlText w:val=""/>
      <w:lvlJc w:val="left"/>
      <w:pPr>
        <w:ind w:left="720" w:hanging="360"/>
      </w:pPr>
      <w:rPr>
        <w:rFonts w:ascii="Symbol" w:hAnsi="Symbol"/>
      </w:rPr>
    </w:lvl>
    <w:lvl w:ilvl="2" w:tplc="C11AA6B8">
      <w:start w:val="1"/>
      <w:numFmt w:val="bullet"/>
      <w:lvlText w:val=""/>
      <w:lvlJc w:val="left"/>
      <w:pPr>
        <w:ind w:left="720" w:hanging="360"/>
      </w:pPr>
      <w:rPr>
        <w:rFonts w:ascii="Symbol" w:hAnsi="Symbol"/>
      </w:rPr>
    </w:lvl>
    <w:lvl w:ilvl="3" w:tplc="6FBA9648">
      <w:start w:val="1"/>
      <w:numFmt w:val="bullet"/>
      <w:lvlText w:val=""/>
      <w:lvlJc w:val="left"/>
      <w:pPr>
        <w:ind w:left="720" w:hanging="360"/>
      </w:pPr>
      <w:rPr>
        <w:rFonts w:ascii="Symbol" w:hAnsi="Symbol"/>
      </w:rPr>
    </w:lvl>
    <w:lvl w:ilvl="4" w:tplc="CB0C2340">
      <w:start w:val="1"/>
      <w:numFmt w:val="bullet"/>
      <w:lvlText w:val=""/>
      <w:lvlJc w:val="left"/>
      <w:pPr>
        <w:ind w:left="720" w:hanging="360"/>
      </w:pPr>
      <w:rPr>
        <w:rFonts w:ascii="Symbol" w:hAnsi="Symbol"/>
      </w:rPr>
    </w:lvl>
    <w:lvl w:ilvl="5" w:tplc="CF8821D4">
      <w:start w:val="1"/>
      <w:numFmt w:val="bullet"/>
      <w:lvlText w:val=""/>
      <w:lvlJc w:val="left"/>
      <w:pPr>
        <w:ind w:left="720" w:hanging="360"/>
      </w:pPr>
      <w:rPr>
        <w:rFonts w:ascii="Symbol" w:hAnsi="Symbol"/>
      </w:rPr>
    </w:lvl>
    <w:lvl w:ilvl="6" w:tplc="200E16AE">
      <w:start w:val="1"/>
      <w:numFmt w:val="bullet"/>
      <w:lvlText w:val=""/>
      <w:lvlJc w:val="left"/>
      <w:pPr>
        <w:ind w:left="720" w:hanging="360"/>
      </w:pPr>
      <w:rPr>
        <w:rFonts w:ascii="Symbol" w:hAnsi="Symbol"/>
      </w:rPr>
    </w:lvl>
    <w:lvl w:ilvl="7" w:tplc="5F3290F6">
      <w:start w:val="1"/>
      <w:numFmt w:val="bullet"/>
      <w:lvlText w:val=""/>
      <w:lvlJc w:val="left"/>
      <w:pPr>
        <w:ind w:left="720" w:hanging="360"/>
      </w:pPr>
      <w:rPr>
        <w:rFonts w:ascii="Symbol" w:hAnsi="Symbol"/>
      </w:rPr>
    </w:lvl>
    <w:lvl w:ilvl="8" w:tplc="A4DCFAC2">
      <w:start w:val="1"/>
      <w:numFmt w:val="bullet"/>
      <w:lvlText w:val=""/>
      <w:lvlJc w:val="left"/>
      <w:pPr>
        <w:ind w:left="720" w:hanging="360"/>
      </w:pPr>
      <w:rPr>
        <w:rFonts w:ascii="Symbol" w:hAnsi="Symbol"/>
      </w:rPr>
    </w:lvl>
  </w:abstractNum>
  <w:abstractNum w:abstractNumId="18" w15:restartNumberingAfterBreak="0">
    <w:nsid w:val="492B2BCB"/>
    <w:multiLevelType w:val="hybridMultilevel"/>
    <w:tmpl w:val="89588A6E"/>
    <w:lvl w:ilvl="0" w:tplc="003A16C6">
      <w:start w:val="1"/>
      <w:numFmt w:val="bullet"/>
      <w:lvlText w:val=""/>
      <w:lvlJc w:val="left"/>
      <w:pPr>
        <w:ind w:left="720" w:hanging="360"/>
      </w:pPr>
      <w:rPr>
        <w:rFonts w:ascii="Symbol" w:hAnsi="Symbol"/>
      </w:rPr>
    </w:lvl>
    <w:lvl w:ilvl="1" w:tplc="0F405838">
      <w:start w:val="1"/>
      <w:numFmt w:val="bullet"/>
      <w:lvlText w:val=""/>
      <w:lvlJc w:val="left"/>
      <w:pPr>
        <w:ind w:left="720" w:hanging="360"/>
      </w:pPr>
      <w:rPr>
        <w:rFonts w:ascii="Symbol" w:hAnsi="Symbol"/>
      </w:rPr>
    </w:lvl>
    <w:lvl w:ilvl="2" w:tplc="E62A7EF0">
      <w:start w:val="1"/>
      <w:numFmt w:val="bullet"/>
      <w:lvlText w:val=""/>
      <w:lvlJc w:val="left"/>
      <w:pPr>
        <w:ind w:left="720" w:hanging="360"/>
      </w:pPr>
      <w:rPr>
        <w:rFonts w:ascii="Symbol" w:hAnsi="Symbol"/>
      </w:rPr>
    </w:lvl>
    <w:lvl w:ilvl="3" w:tplc="1CBA85FC">
      <w:start w:val="1"/>
      <w:numFmt w:val="bullet"/>
      <w:lvlText w:val=""/>
      <w:lvlJc w:val="left"/>
      <w:pPr>
        <w:ind w:left="720" w:hanging="360"/>
      </w:pPr>
      <w:rPr>
        <w:rFonts w:ascii="Symbol" w:hAnsi="Symbol"/>
      </w:rPr>
    </w:lvl>
    <w:lvl w:ilvl="4" w:tplc="B5D05A36">
      <w:start w:val="1"/>
      <w:numFmt w:val="bullet"/>
      <w:lvlText w:val=""/>
      <w:lvlJc w:val="left"/>
      <w:pPr>
        <w:ind w:left="720" w:hanging="360"/>
      </w:pPr>
      <w:rPr>
        <w:rFonts w:ascii="Symbol" w:hAnsi="Symbol"/>
      </w:rPr>
    </w:lvl>
    <w:lvl w:ilvl="5" w:tplc="3078F35A">
      <w:start w:val="1"/>
      <w:numFmt w:val="bullet"/>
      <w:lvlText w:val=""/>
      <w:lvlJc w:val="left"/>
      <w:pPr>
        <w:ind w:left="720" w:hanging="360"/>
      </w:pPr>
      <w:rPr>
        <w:rFonts w:ascii="Symbol" w:hAnsi="Symbol"/>
      </w:rPr>
    </w:lvl>
    <w:lvl w:ilvl="6" w:tplc="4B822D72">
      <w:start w:val="1"/>
      <w:numFmt w:val="bullet"/>
      <w:lvlText w:val=""/>
      <w:lvlJc w:val="left"/>
      <w:pPr>
        <w:ind w:left="720" w:hanging="360"/>
      </w:pPr>
      <w:rPr>
        <w:rFonts w:ascii="Symbol" w:hAnsi="Symbol"/>
      </w:rPr>
    </w:lvl>
    <w:lvl w:ilvl="7" w:tplc="BBC63AC4">
      <w:start w:val="1"/>
      <w:numFmt w:val="bullet"/>
      <w:lvlText w:val=""/>
      <w:lvlJc w:val="left"/>
      <w:pPr>
        <w:ind w:left="720" w:hanging="360"/>
      </w:pPr>
      <w:rPr>
        <w:rFonts w:ascii="Symbol" w:hAnsi="Symbol"/>
      </w:rPr>
    </w:lvl>
    <w:lvl w:ilvl="8" w:tplc="BFF224F8">
      <w:start w:val="1"/>
      <w:numFmt w:val="bullet"/>
      <w:lvlText w:val=""/>
      <w:lvlJc w:val="left"/>
      <w:pPr>
        <w:ind w:left="720" w:hanging="360"/>
      </w:pPr>
      <w:rPr>
        <w:rFonts w:ascii="Symbol" w:hAnsi="Symbol"/>
      </w:rPr>
    </w:lvl>
  </w:abstractNum>
  <w:abstractNum w:abstractNumId="19" w15:restartNumberingAfterBreak="0">
    <w:nsid w:val="4A4D2F54"/>
    <w:multiLevelType w:val="hybridMultilevel"/>
    <w:tmpl w:val="7408DF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270647"/>
    <w:multiLevelType w:val="hybridMultilevel"/>
    <w:tmpl w:val="2018B45E"/>
    <w:lvl w:ilvl="0" w:tplc="106A19A6">
      <w:start w:val="1"/>
      <w:numFmt w:val="bullet"/>
      <w:lvlText w:val=""/>
      <w:lvlJc w:val="left"/>
      <w:pPr>
        <w:ind w:left="720" w:hanging="360"/>
      </w:pPr>
      <w:rPr>
        <w:rFonts w:ascii="Symbol" w:hAnsi="Symbol"/>
      </w:rPr>
    </w:lvl>
    <w:lvl w:ilvl="1" w:tplc="6D40A46A">
      <w:start w:val="1"/>
      <w:numFmt w:val="bullet"/>
      <w:lvlText w:val=""/>
      <w:lvlJc w:val="left"/>
      <w:pPr>
        <w:ind w:left="720" w:hanging="360"/>
      </w:pPr>
      <w:rPr>
        <w:rFonts w:ascii="Symbol" w:hAnsi="Symbol"/>
      </w:rPr>
    </w:lvl>
    <w:lvl w:ilvl="2" w:tplc="F1E44DA2">
      <w:start w:val="1"/>
      <w:numFmt w:val="bullet"/>
      <w:lvlText w:val=""/>
      <w:lvlJc w:val="left"/>
      <w:pPr>
        <w:ind w:left="720" w:hanging="360"/>
      </w:pPr>
      <w:rPr>
        <w:rFonts w:ascii="Symbol" w:hAnsi="Symbol"/>
      </w:rPr>
    </w:lvl>
    <w:lvl w:ilvl="3" w:tplc="9920C700">
      <w:start w:val="1"/>
      <w:numFmt w:val="bullet"/>
      <w:lvlText w:val=""/>
      <w:lvlJc w:val="left"/>
      <w:pPr>
        <w:ind w:left="720" w:hanging="360"/>
      </w:pPr>
      <w:rPr>
        <w:rFonts w:ascii="Symbol" w:hAnsi="Symbol"/>
      </w:rPr>
    </w:lvl>
    <w:lvl w:ilvl="4" w:tplc="C1FEDE58">
      <w:start w:val="1"/>
      <w:numFmt w:val="bullet"/>
      <w:lvlText w:val=""/>
      <w:lvlJc w:val="left"/>
      <w:pPr>
        <w:ind w:left="720" w:hanging="360"/>
      </w:pPr>
      <w:rPr>
        <w:rFonts w:ascii="Symbol" w:hAnsi="Symbol"/>
      </w:rPr>
    </w:lvl>
    <w:lvl w:ilvl="5" w:tplc="6A64D6EE">
      <w:start w:val="1"/>
      <w:numFmt w:val="bullet"/>
      <w:lvlText w:val=""/>
      <w:lvlJc w:val="left"/>
      <w:pPr>
        <w:ind w:left="720" w:hanging="360"/>
      </w:pPr>
      <w:rPr>
        <w:rFonts w:ascii="Symbol" w:hAnsi="Symbol"/>
      </w:rPr>
    </w:lvl>
    <w:lvl w:ilvl="6" w:tplc="F670C778">
      <w:start w:val="1"/>
      <w:numFmt w:val="bullet"/>
      <w:lvlText w:val=""/>
      <w:lvlJc w:val="left"/>
      <w:pPr>
        <w:ind w:left="720" w:hanging="360"/>
      </w:pPr>
      <w:rPr>
        <w:rFonts w:ascii="Symbol" w:hAnsi="Symbol"/>
      </w:rPr>
    </w:lvl>
    <w:lvl w:ilvl="7" w:tplc="F6DE6A68">
      <w:start w:val="1"/>
      <w:numFmt w:val="bullet"/>
      <w:lvlText w:val=""/>
      <w:lvlJc w:val="left"/>
      <w:pPr>
        <w:ind w:left="720" w:hanging="360"/>
      </w:pPr>
      <w:rPr>
        <w:rFonts w:ascii="Symbol" w:hAnsi="Symbol"/>
      </w:rPr>
    </w:lvl>
    <w:lvl w:ilvl="8" w:tplc="AB96034A">
      <w:start w:val="1"/>
      <w:numFmt w:val="bullet"/>
      <w:lvlText w:val=""/>
      <w:lvlJc w:val="left"/>
      <w:pPr>
        <w:ind w:left="720" w:hanging="360"/>
      </w:pPr>
      <w:rPr>
        <w:rFonts w:ascii="Symbol" w:hAnsi="Symbol"/>
      </w:rPr>
    </w:lvl>
  </w:abstractNum>
  <w:abstractNum w:abstractNumId="21" w15:restartNumberingAfterBreak="0">
    <w:nsid w:val="54B866FE"/>
    <w:multiLevelType w:val="hybridMultilevel"/>
    <w:tmpl w:val="BB3A1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C232DE"/>
    <w:multiLevelType w:val="hybridMultilevel"/>
    <w:tmpl w:val="6CC2F15E"/>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4" w15:restartNumberingAfterBreak="0">
    <w:nsid w:val="5B75576E"/>
    <w:multiLevelType w:val="hybridMultilevel"/>
    <w:tmpl w:val="C612123E"/>
    <w:lvl w:ilvl="0" w:tplc="46860732">
      <w:start w:val="1"/>
      <w:numFmt w:val="bullet"/>
      <w:lvlText w:val=""/>
      <w:lvlJc w:val="left"/>
      <w:pPr>
        <w:ind w:left="720" w:hanging="360"/>
      </w:pPr>
      <w:rPr>
        <w:rFonts w:ascii="Symbol" w:hAnsi="Symbol"/>
      </w:rPr>
    </w:lvl>
    <w:lvl w:ilvl="1" w:tplc="4A38B056">
      <w:start w:val="1"/>
      <w:numFmt w:val="bullet"/>
      <w:lvlText w:val=""/>
      <w:lvlJc w:val="left"/>
      <w:pPr>
        <w:ind w:left="720" w:hanging="360"/>
      </w:pPr>
      <w:rPr>
        <w:rFonts w:ascii="Symbol" w:hAnsi="Symbol"/>
      </w:rPr>
    </w:lvl>
    <w:lvl w:ilvl="2" w:tplc="4A8EA954">
      <w:start w:val="1"/>
      <w:numFmt w:val="bullet"/>
      <w:lvlText w:val=""/>
      <w:lvlJc w:val="left"/>
      <w:pPr>
        <w:ind w:left="720" w:hanging="360"/>
      </w:pPr>
      <w:rPr>
        <w:rFonts w:ascii="Symbol" w:hAnsi="Symbol"/>
      </w:rPr>
    </w:lvl>
    <w:lvl w:ilvl="3" w:tplc="83F4B640">
      <w:start w:val="1"/>
      <w:numFmt w:val="bullet"/>
      <w:lvlText w:val=""/>
      <w:lvlJc w:val="left"/>
      <w:pPr>
        <w:ind w:left="720" w:hanging="360"/>
      </w:pPr>
      <w:rPr>
        <w:rFonts w:ascii="Symbol" w:hAnsi="Symbol"/>
      </w:rPr>
    </w:lvl>
    <w:lvl w:ilvl="4" w:tplc="404AA22A">
      <w:start w:val="1"/>
      <w:numFmt w:val="bullet"/>
      <w:lvlText w:val=""/>
      <w:lvlJc w:val="left"/>
      <w:pPr>
        <w:ind w:left="720" w:hanging="360"/>
      </w:pPr>
      <w:rPr>
        <w:rFonts w:ascii="Symbol" w:hAnsi="Symbol"/>
      </w:rPr>
    </w:lvl>
    <w:lvl w:ilvl="5" w:tplc="D7440A24">
      <w:start w:val="1"/>
      <w:numFmt w:val="bullet"/>
      <w:lvlText w:val=""/>
      <w:lvlJc w:val="left"/>
      <w:pPr>
        <w:ind w:left="720" w:hanging="360"/>
      </w:pPr>
      <w:rPr>
        <w:rFonts w:ascii="Symbol" w:hAnsi="Symbol"/>
      </w:rPr>
    </w:lvl>
    <w:lvl w:ilvl="6" w:tplc="6450E812">
      <w:start w:val="1"/>
      <w:numFmt w:val="bullet"/>
      <w:lvlText w:val=""/>
      <w:lvlJc w:val="left"/>
      <w:pPr>
        <w:ind w:left="720" w:hanging="360"/>
      </w:pPr>
      <w:rPr>
        <w:rFonts w:ascii="Symbol" w:hAnsi="Symbol"/>
      </w:rPr>
    </w:lvl>
    <w:lvl w:ilvl="7" w:tplc="7764D8DA">
      <w:start w:val="1"/>
      <w:numFmt w:val="bullet"/>
      <w:lvlText w:val=""/>
      <w:lvlJc w:val="left"/>
      <w:pPr>
        <w:ind w:left="720" w:hanging="360"/>
      </w:pPr>
      <w:rPr>
        <w:rFonts w:ascii="Symbol" w:hAnsi="Symbol"/>
      </w:rPr>
    </w:lvl>
    <w:lvl w:ilvl="8" w:tplc="BF8E3722">
      <w:start w:val="1"/>
      <w:numFmt w:val="bullet"/>
      <w:lvlText w:val=""/>
      <w:lvlJc w:val="left"/>
      <w:pPr>
        <w:ind w:left="720" w:hanging="360"/>
      </w:pPr>
      <w:rPr>
        <w:rFonts w:ascii="Symbol" w:hAnsi="Symbol"/>
      </w:rPr>
    </w:lvl>
  </w:abstractNum>
  <w:abstractNum w:abstractNumId="25" w15:restartNumberingAfterBreak="0">
    <w:nsid w:val="5BF1793F"/>
    <w:multiLevelType w:val="hybridMultilevel"/>
    <w:tmpl w:val="1F927906"/>
    <w:lvl w:ilvl="0" w:tplc="89CAAFFE">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2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19B44EF"/>
    <w:multiLevelType w:val="hybridMultilevel"/>
    <w:tmpl w:val="6AEE8D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A1E3FB2"/>
    <w:multiLevelType w:val="hybridMultilevel"/>
    <w:tmpl w:val="A93AAD9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B72495A"/>
    <w:multiLevelType w:val="hybridMultilevel"/>
    <w:tmpl w:val="92D8E7B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135F76"/>
    <w:multiLevelType w:val="hybridMultilevel"/>
    <w:tmpl w:val="03A07AAE"/>
    <w:lvl w:ilvl="0" w:tplc="C1E0680E">
      <w:start w:val="1"/>
      <w:numFmt w:val="bullet"/>
      <w:lvlText w:val=""/>
      <w:lvlJc w:val="left"/>
      <w:pPr>
        <w:ind w:left="720" w:hanging="360"/>
      </w:pPr>
      <w:rPr>
        <w:rFonts w:ascii="Symbol" w:hAnsi="Symbol"/>
      </w:rPr>
    </w:lvl>
    <w:lvl w:ilvl="1" w:tplc="4F2E121A">
      <w:start w:val="1"/>
      <w:numFmt w:val="bullet"/>
      <w:lvlText w:val=""/>
      <w:lvlJc w:val="left"/>
      <w:pPr>
        <w:ind w:left="720" w:hanging="360"/>
      </w:pPr>
      <w:rPr>
        <w:rFonts w:ascii="Symbol" w:hAnsi="Symbol"/>
      </w:rPr>
    </w:lvl>
    <w:lvl w:ilvl="2" w:tplc="B83413EA">
      <w:start w:val="1"/>
      <w:numFmt w:val="bullet"/>
      <w:lvlText w:val=""/>
      <w:lvlJc w:val="left"/>
      <w:pPr>
        <w:ind w:left="720" w:hanging="360"/>
      </w:pPr>
      <w:rPr>
        <w:rFonts w:ascii="Symbol" w:hAnsi="Symbol"/>
      </w:rPr>
    </w:lvl>
    <w:lvl w:ilvl="3" w:tplc="6688FCB8">
      <w:start w:val="1"/>
      <w:numFmt w:val="bullet"/>
      <w:lvlText w:val=""/>
      <w:lvlJc w:val="left"/>
      <w:pPr>
        <w:ind w:left="720" w:hanging="360"/>
      </w:pPr>
      <w:rPr>
        <w:rFonts w:ascii="Symbol" w:hAnsi="Symbol"/>
      </w:rPr>
    </w:lvl>
    <w:lvl w:ilvl="4" w:tplc="BF687666">
      <w:start w:val="1"/>
      <w:numFmt w:val="bullet"/>
      <w:lvlText w:val=""/>
      <w:lvlJc w:val="left"/>
      <w:pPr>
        <w:ind w:left="720" w:hanging="360"/>
      </w:pPr>
      <w:rPr>
        <w:rFonts w:ascii="Symbol" w:hAnsi="Symbol"/>
      </w:rPr>
    </w:lvl>
    <w:lvl w:ilvl="5" w:tplc="82DA8EA6">
      <w:start w:val="1"/>
      <w:numFmt w:val="bullet"/>
      <w:lvlText w:val=""/>
      <w:lvlJc w:val="left"/>
      <w:pPr>
        <w:ind w:left="720" w:hanging="360"/>
      </w:pPr>
      <w:rPr>
        <w:rFonts w:ascii="Symbol" w:hAnsi="Symbol"/>
      </w:rPr>
    </w:lvl>
    <w:lvl w:ilvl="6" w:tplc="09A8CA36">
      <w:start w:val="1"/>
      <w:numFmt w:val="bullet"/>
      <w:lvlText w:val=""/>
      <w:lvlJc w:val="left"/>
      <w:pPr>
        <w:ind w:left="720" w:hanging="360"/>
      </w:pPr>
      <w:rPr>
        <w:rFonts w:ascii="Symbol" w:hAnsi="Symbol"/>
      </w:rPr>
    </w:lvl>
    <w:lvl w:ilvl="7" w:tplc="0EEE2AB0">
      <w:start w:val="1"/>
      <w:numFmt w:val="bullet"/>
      <w:lvlText w:val=""/>
      <w:lvlJc w:val="left"/>
      <w:pPr>
        <w:ind w:left="720" w:hanging="360"/>
      </w:pPr>
      <w:rPr>
        <w:rFonts w:ascii="Symbol" w:hAnsi="Symbol"/>
      </w:rPr>
    </w:lvl>
    <w:lvl w:ilvl="8" w:tplc="F3ACD560">
      <w:start w:val="1"/>
      <w:numFmt w:val="bullet"/>
      <w:lvlText w:val=""/>
      <w:lvlJc w:val="left"/>
      <w:pPr>
        <w:ind w:left="720" w:hanging="360"/>
      </w:pPr>
      <w:rPr>
        <w:rFonts w:ascii="Symbol" w:hAnsi="Symbol"/>
      </w:rPr>
    </w:lvl>
  </w:abstractNum>
  <w:abstractNum w:abstractNumId="33" w15:restartNumberingAfterBreak="0">
    <w:nsid w:val="78470BD4"/>
    <w:multiLevelType w:val="hybridMultilevel"/>
    <w:tmpl w:val="EB86F202"/>
    <w:lvl w:ilvl="0" w:tplc="C9487E90">
      <w:start w:val="1"/>
      <w:numFmt w:val="bullet"/>
      <w:lvlText w:val=""/>
      <w:lvlJc w:val="left"/>
      <w:pPr>
        <w:ind w:left="720" w:hanging="360"/>
      </w:pPr>
      <w:rPr>
        <w:rFonts w:ascii="Symbol" w:hAnsi="Symbol"/>
      </w:rPr>
    </w:lvl>
    <w:lvl w:ilvl="1" w:tplc="0018D448">
      <w:start w:val="1"/>
      <w:numFmt w:val="bullet"/>
      <w:lvlText w:val=""/>
      <w:lvlJc w:val="left"/>
      <w:pPr>
        <w:ind w:left="720" w:hanging="360"/>
      </w:pPr>
      <w:rPr>
        <w:rFonts w:ascii="Symbol" w:hAnsi="Symbol"/>
      </w:rPr>
    </w:lvl>
    <w:lvl w:ilvl="2" w:tplc="783E54B0">
      <w:start w:val="1"/>
      <w:numFmt w:val="bullet"/>
      <w:lvlText w:val=""/>
      <w:lvlJc w:val="left"/>
      <w:pPr>
        <w:ind w:left="720" w:hanging="360"/>
      </w:pPr>
      <w:rPr>
        <w:rFonts w:ascii="Symbol" w:hAnsi="Symbol"/>
      </w:rPr>
    </w:lvl>
    <w:lvl w:ilvl="3" w:tplc="6BA03B60">
      <w:start w:val="1"/>
      <w:numFmt w:val="bullet"/>
      <w:lvlText w:val=""/>
      <w:lvlJc w:val="left"/>
      <w:pPr>
        <w:ind w:left="720" w:hanging="360"/>
      </w:pPr>
      <w:rPr>
        <w:rFonts w:ascii="Symbol" w:hAnsi="Symbol"/>
      </w:rPr>
    </w:lvl>
    <w:lvl w:ilvl="4" w:tplc="4EFC6F8E">
      <w:start w:val="1"/>
      <w:numFmt w:val="bullet"/>
      <w:lvlText w:val=""/>
      <w:lvlJc w:val="left"/>
      <w:pPr>
        <w:ind w:left="720" w:hanging="360"/>
      </w:pPr>
      <w:rPr>
        <w:rFonts w:ascii="Symbol" w:hAnsi="Symbol"/>
      </w:rPr>
    </w:lvl>
    <w:lvl w:ilvl="5" w:tplc="19763456">
      <w:start w:val="1"/>
      <w:numFmt w:val="bullet"/>
      <w:lvlText w:val=""/>
      <w:lvlJc w:val="left"/>
      <w:pPr>
        <w:ind w:left="720" w:hanging="360"/>
      </w:pPr>
      <w:rPr>
        <w:rFonts w:ascii="Symbol" w:hAnsi="Symbol"/>
      </w:rPr>
    </w:lvl>
    <w:lvl w:ilvl="6" w:tplc="4C3E3D60">
      <w:start w:val="1"/>
      <w:numFmt w:val="bullet"/>
      <w:lvlText w:val=""/>
      <w:lvlJc w:val="left"/>
      <w:pPr>
        <w:ind w:left="720" w:hanging="360"/>
      </w:pPr>
      <w:rPr>
        <w:rFonts w:ascii="Symbol" w:hAnsi="Symbol"/>
      </w:rPr>
    </w:lvl>
    <w:lvl w:ilvl="7" w:tplc="1C123838">
      <w:start w:val="1"/>
      <w:numFmt w:val="bullet"/>
      <w:lvlText w:val=""/>
      <w:lvlJc w:val="left"/>
      <w:pPr>
        <w:ind w:left="720" w:hanging="360"/>
      </w:pPr>
      <w:rPr>
        <w:rFonts w:ascii="Symbol" w:hAnsi="Symbol"/>
      </w:rPr>
    </w:lvl>
    <w:lvl w:ilvl="8" w:tplc="1988D6C4">
      <w:start w:val="1"/>
      <w:numFmt w:val="bullet"/>
      <w:lvlText w:val=""/>
      <w:lvlJc w:val="left"/>
      <w:pPr>
        <w:ind w:left="720" w:hanging="360"/>
      </w:pPr>
      <w:rPr>
        <w:rFonts w:ascii="Symbol" w:hAnsi="Symbol"/>
      </w:rPr>
    </w:lvl>
  </w:abstractNum>
  <w:abstractNum w:abstractNumId="34" w15:restartNumberingAfterBreak="0">
    <w:nsid w:val="784D033C"/>
    <w:multiLevelType w:val="multilevel"/>
    <w:tmpl w:val="BFE2D8F8"/>
    <w:lvl w:ilvl="0">
      <w:start w:val="1"/>
      <w:numFmt w:val="decimal"/>
      <w:pStyle w:val="COMESH2"/>
      <w:lvlText w:val="%1"/>
      <w:lvlJc w:val="left"/>
      <w:pPr>
        <w:ind w:left="720" w:hanging="720"/>
      </w:pPr>
      <w:rPr>
        <w:rFonts w:ascii="Calibri" w:hAnsi="Calibri" w:hint="default"/>
        <w:b/>
        <w:i w:val="0"/>
      </w:rPr>
    </w:lvl>
    <w:lvl w:ilvl="1">
      <w:start w:val="1"/>
      <w:numFmt w:val="decimal"/>
      <w:pStyle w:val="COMESnumberedpara"/>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AB5188"/>
    <w:multiLevelType w:val="hybridMultilevel"/>
    <w:tmpl w:val="30987D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16186631">
    <w:abstractNumId w:val="34"/>
  </w:num>
  <w:num w:numId="2" w16cid:durableId="917793048">
    <w:abstractNumId w:val="16"/>
  </w:num>
  <w:num w:numId="3" w16cid:durableId="220360847">
    <w:abstractNumId w:val="28"/>
  </w:num>
  <w:num w:numId="4" w16cid:durableId="268196418">
    <w:abstractNumId w:val="12"/>
  </w:num>
  <w:num w:numId="5" w16cid:durableId="1048839230">
    <w:abstractNumId w:val="34"/>
  </w:num>
  <w:num w:numId="6" w16cid:durableId="374349641">
    <w:abstractNumId w:val="0"/>
  </w:num>
  <w:num w:numId="7" w16cid:durableId="1681078653">
    <w:abstractNumId w:val="7"/>
  </w:num>
  <w:num w:numId="8" w16cid:durableId="1071275257">
    <w:abstractNumId w:val="14"/>
  </w:num>
  <w:num w:numId="9" w16cid:durableId="261576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96910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4948335">
    <w:abstractNumId w:val="9"/>
  </w:num>
  <w:num w:numId="12" w16cid:durableId="936014694">
    <w:abstractNumId w:val="21"/>
  </w:num>
  <w:num w:numId="13" w16cid:durableId="408699874">
    <w:abstractNumId w:val="22"/>
  </w:num>
  <w:num w:numId="14" w16cid:durableId="1569418770">
    <w:abstractNumId w:val="2"/>
  </w:num>
  <w:num w:numId="15" w16cid:durableId="705176722">
    <w:abstractNumId w:val="1"/>
  </w:num>
  <w:num w:numId="16" w16cid:durableId="1926569401">
    <w:abstractNumId w:val="10"/>
  </w:num>
  <w:num w:numId="17" w16cid:durableId="1979457665">
    <w:abstractNumId w:val="11"/>
  </w:num>
  <w:num w:numId="18" w16cid:durableId="2038313566">
    <w:abstractNumId w:val="8"/>
  </w:num>
  <w:num w:numId="19" w16cid:durableId="129744317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997201">
    <w:abstractNumId w:val="31"/>
  </w:num>
  <w:num w:numId="21" w16cid:durableId="912589779">
    <w:abstractNumId w:val="23"/>
  </w:num>
  <w:num w:numId="22" w16cid:durableId="924336475">
    <w:abstractNumId w:val="35"/>
  </w:num>
  <w:num w:numId="23" w16cid:durableId="1592424102">
    <w:abstractNumId w:val="4"/>
  </w:num>
  <w:num w:numId="24" w16cid:durableId="534466996">
    <w:abstractNumId w:val="19"/>
  </w:num>
  <w:num w:numId="25" w16cid:durableId="165633931">
    <w:abstractNumId w:val="6"/>
  </w:num>
  <w:num w:numId="26" w16cid:durableId="2092775928">
    <w:abstractNumId w:val="3"/>
  </w:num>
  <w:num w:numId="27" w16cid:durableId="1071735781">
    <w:abstractNumId w:val="20"/>
  </w:num>
  <w:num w:numId="28" w16cid:durableId="1759060317">
    <w:abstractNumId w:val="5"/>
  </w:num>
  <w:num w:numId="29" w16cid:durableId="504710745">
    <w:abstractNumId w:val="32"/>
  </w:num>
  <w:num w:numId="30" w16cid:durableId="950627371">
    <w:abstractNumId w:val="17"/>
  </w:num>
  <w:num w:numId="31" w16cid:durableId="1510562427">
    <w:abstractNumId w:val="27"/>
  </w:num>
  <w:num w:numId="32" w16cid:durableId="1187059401">
    <w:abstractNumId w:val="18"/>
  </w:num>
  <w:num w:numId="33" w16cid:durableId="1253584192">
    <w:abstractNumId w:val="24"/>
  </w:num>
  <w:num w:numId="34" w16cid:durableId="1427656266">
    <w:abstractNumId w:val="33"/>
  </w:num>
  <w:num w:numId="35" w16cid:durableId="207650631">
    <w:abstractNumId w:val="13"/>
  </w:num>
  <w:num w:numId="36" w16cid:durableId="2079203866">
    <w:abstractNumId w:val="30"/>
  </w:num>
  <w:num w:numId="37" w16cid:durableId="954486850">
    <w:abstractNumId w:val="15"/>
  </w:num>
  <w:num w:numId="38" w16cid:durableId="478498867">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A7F"/>
    <w:rsid w:val="00000D0B"/>
    <w:rsid w:val="00000D9D"/>
    <w:rsid w:val="0000110B"/>
    <w:rsid w:val="00001482"/>
    <w:rsid w:val="00001EAF"/>
    <w:rsid w:val="0000235E"/>
    <w:rsid w:val="00002780"/>
    <w:rsid w:val="00002C96"/>
    <w:rsid w:val="00002D16"/>
    <w:rsid w:val="00002F40"/>
    <w:rsid w:val="00003228"/>
    <w:rsid w:val="000033A5"/>
    <w:rsid w:val="00003499"/>
    <w:rsid w:val="000039B7"/>
    <w:rsid w:val="00003ADF"/>
    <w:rsid w:val="00003F22"/>
    <w:rsid w:val="00004193"/>
    <w:rsid w:val="00004865"/>
    <w:rsid w:val="00005163"/>
    <w:rsid w:val="00005370"/>
    <w:rsid w:val="000056B9"/>
    <w:rsid w:val="00005E82"/>
    <w:rsid w:val="00006200"/>
    <w:rsid w:val="0000639A"/>
    <w:rsid w:val="0000696B"/>
    <w:rsid w:val="000069E6"/>
    <w:rsid w:val="00007033"/>
    <w:rsid w:val="00007C11"/>
    <w:rsid w:val="00010002"/>
    <w:rsid w:val="00011648"/>
    <w:rsid w:val="000118E1"/>
    <w:rsid w:val="00011959"/>
    <w:rsid w:val="000123B9"/>
    <w:rsid w:val="00012663"/>
    <w:rsid w:val="000126D8"/>
    <w:rsid w:val="00012913"/>
    <w:rsid w:val="00012B86"/>
    <w:rsid w:val="00013247"/>
    <w:rsid w:val="0001359A"/>
    <w:rsid w:val="00013B8C"/>
    <w:rsid w:val="00013EB0"/>
    <w:rsid w:val="00014235"/>
    <w:rsid w:val="0001434F"/>
    <w:rsid w:val="000144AF"/>
    <w:rsid w:val="0001469E"/>
    <w:rsid w:val="00015622"/>
    <w:rsid w:val="00015886"/>
    <w:rsid w:val="00015C3B"/>
    <w:rsid w:val="000162C9"/>
    <w:rsid w:val="000162EF"/>
    <w:rsid w:val="00016892"/>
    <w:rsid w:val="00017215"/>
    <w:rsid w:val="0001733D"/>
    <w:rsid w:val="000175CB"/>
    <w:rsid w:val="00017A66"/>
    <w:rsid w:val="00020725"/>
    <w:rsid w:val="000207C9"/>
    <w:rsid w:val="0002088E"/>
    <w:rsid w:val="00020A25"/>
    <w:rsid w:val="00020F80"/>
    <w:rsid w:val="00021020"/>
    <w:rsid w:val="00021414"/>
    <w:rsid w:val="00021707"/>
    <w:rsid w:val="0002225F"/>
    <w:rsid w:val="0002236A"/>
    <w:rsid w:val="0002249B"/>
    <w:rsid w:val="00022735"/>
    <w:rsid w:val="00022B54"/>
    <w:rsid w:val="00022DCC"/>
    <w:rsid w:val="00023102"/>
    <w:rsid w:val="0002337A"/>
    <w:rsid w:val="00023763"/>
    <w:rsid w:val="00023AB7"/>
    <w:rsid w:val="00023E2C"/>
    <w:rsid w:val="00024404"/>
    <w:rsid w:val="00024C0A"/>
    <w:rsid w:val="00024EB5"/>
    <w:rsid w:val="0002509F"/>
    <w:rsid w:val="00025392"/>
    <w:rsid w:val="0002544F"/>
    <w:rsid w:val="00025816"/>
    <w:rsid w:val="00025CFF"/>
    <w:rsid w:val="0002669A"/>
    <w:rsid w:val="000273D8"/>
    <w:rsid w:val="000274B8"/>
    <w:rsid w:val="00027979"/>
    <w:rsid w:val="00027BC9"/>
    <w:rsid w:val="0003023C"/>
    <w:rsid w:val="00030294"/>
    <w:rsid w:val="00030A1A"/>
    <w:rsid w:val="00030A55"/>
    <w:rsid w:val="00030A99"/>
    <w:rsid w:val="000315A0"/>
    <w:rsid w:val="00031EF1"/>
    <w:rsid w:val="000329B1"/>
    <w:rsid w:val="00032A6F"/>
    <w:rsid w:val="00032BC3"/>
    <w:rsid w:val="000330A1"/>
    <w:rsid w:val="000332E6"/>
    <w:rsid w:val="00033390"/>
    <w:rsid w:val="00033863"/>
    <w:rsid w:val="000339F6"/>
    <w:rsid w:val="000340FC"/>
    <w:rsid w:val="0003471E"/>
    <w:rsid w:val="00035353"/>
    <w:rsid w:val="00035390"/>
    <w:rsid w:val="0003547A"/>
    <w:rsid w:val="00035850"/>
    <w:rsid w:val="00035D0E"/>
    <w:rsid w:val="00035DC0"/>
    <w:rsid w:val="00035EC5"/>
    <w:rsid w:val="00035FDC"/>
    <w:rsid w:val="0003664B"/>
    <w:rsid w:val="000366CE"/>
    <w:rsid w:val="00036829"/>
    <w:rsid w:val="00037036"/>
    <w:rsid w:val="000373A7"/>
    <w:rsid w:val="00037535"/>
    <w:rsid w:val="00040260"/>
    <w:rsid w:val="00040356"/>
    <w:rsid w:val="00040887"/>
    <w:rsid w:val="00040895"/>
    <w:rsid w:val="00040F15"/>
    <w:rsid w:val="000410A0"/>
    <w:rsid w:val="00041989"/>
    <w:rsid w:val="00041F00"/>
    <w:rsid w:val="0004229F"/>
    <w:rsid w:val="000422A2"/>
    <w:rsid w:val="0004281C"/>
    <w:rsid w:val="000432DE"/>
    <w:rsid w:val="000435EE"/>
    <w:rsid w:val="00043C18"/>
    <w:rsid w:val="00043C37"/>
    <w:rsid w:val="00044293"/>
    <w:rsid w:val="00044476"/>
    <w:rsid w:val="00044563"/>
    <w:rsid w:val="00045017"/>
    <w:rsid w:val="00045A2B"/>
    <w:rsid w:val="00046870"/>
    <w:rsid w:val="0004698F"/>
    <w:rsid w:val="00046990"/>
    <w:rsid w:val="000469B9"/>
    <w:rsid w:val="00046CC5"/>
    <w:rsid w:val="00046D64"/>
    <w:rsid w:val="000476EB"/>
    <w:rsid w:val="0004786D"/>
    <w:rsid w:val="00047876"/>
    <w:rsid w:val="0004796A"/>
    <w:rsid w:val="00047D60"/>
    <w:rsid w:val="000508C2"/>
    <w:rsid w:val="00051782"/>
    <w:rsid w:val="00051B2F"/>
    <w:rsid w:val="00051D17"/>
    <w:rsid w:val="00051DD4"/>
    <w:rsid w:val="00052084"/>
    <w:rsid w:val="000521F2"/>
    <w:rsid w:val="000523BF"/>
    <w:rsid w:val="000536E5"/>
    <w:rsid w:val="000538F9"/>
    <w:rsid w:val="000539D0"/>
    <w:rsid w:val="00053A11"/>
    <w:rsid w:val="00053C96"/>
    <w:rsid w:val="00053D67"/>
    <w:rsid w:val="00053DA1"/>
    <w:rsid w:val="00053DDF"/>
    <w:rsid w:val="00054233"/>
    <w:rsid w:val="00054292"/>
    <w:rsid w:val="000542EA"/>
    <w:rsid w:val="00054621"/>
    <w:rsid w:val="000546D7"/>
    <w:rsid w:val="0005475A"/>
    <w:rsid w:val="00054A49"/>
    <w:rsid w:val="00054A8D"/>
    <w:rsid w:val="00054AA2"/>
    <w:rsid w:val="00055A1F"/>
    <w:rsid w:val="00055A26"/>
    <w:rsid w:val="00055AB6"/>
    <w:rsid w:val="000567F0"/>
    <w:rsid w:val="00056C91"/>
    <w:rsid w:val="00056CE3"/>
    <w:rsid w:val="00056ECF"/>
    <w:rsid w:val="000574A2"/>
    <w:rsid w:val="000574E9"/>
    <w:rsid w:val="00057658"/>
    <w:rsid w:val="00057D30"/>
    <w:rsid w:val="0006008A"/>
    <w:rsid w:val="000602DA"/>
    <w:rsid w:val="000604DF"/>
    <w:rsid w:val="000605B8"/>
    <w:rsid w:val="00060925"/>
    <w:rsid w:val="00060AD6"/>
    <w:rsid w:val="00060B14"/>
    <w:rsid w:val="00060D8C"/>
    <w:rsid w:val="00060FE8"/>
    <w:rsid w:val="00061387"/>
    <w:rsid w:val="00061852"/>
    <w:rsid w:val="00061A2A"/>
    <w:rsid w:val="00061BBC"/>
    <w:rsid w:val="00061FC4"/>
    <w:rsid w:val="0006216E"/>
    <w:rsid w:val="00062324"/>
    <w:rsid w:val="00062665"/>
    <w:rsid w:val="0006273D"/>
    <w:rsid w:val="00062883"/>
    <w:rsid w:val="00062AAD"/>
    <w:rsid w:val="00062AE6"/>
    <w:rsid w:val="000634CD"/>
    <w:rsid w:val="000635AF"/>
    <w:rsid w:val="000635D4"/>
    <w:rsid w:val="00063721"/>
    <w:rsid w:val="00064473"/>
    <w:rsid w:val="00064817"/>
    <w:rsid w:val="000648E7"/>
    <w:rsid w:val="00065010"/>
    <w:rsid w:val="000650CE"/>
    <w:rsid w:val="000651EF"/>
    <w:rsid w:val="000653A5"/>
    <w:rsid w:val="000653B5"/>
    <w:rsid w:val="000657E8"/>
    <w:rsid w:val="00065898"/>
    <w:rsid w:val="00065941"/>
    <w:rsid w:val="00065B8A"/>
    <w:rsid w:val="00066158"/>
    <w:rsid w:val="00066360"/>
    <w:rsid w:val="00066A75"/>
    <w:rsid w:val="00066AF8"/>
    <w:rsid w:val="00067EEA"/>
    <w:rsid w:val="00070648"/>
    <w:rsid w:val="00071147"/>
    <w:rsid w:val="00071248"/>
    <w:rsid w:val="0007151A"/>
    <w:rsid w:val="00071577"/>
    <w:rsid w:val="000715D4"/>
    <w:rsid w:val="00071723"/>
    <w:rsid w:val="00071795"/>
    <w:rsid w:val="00071F24"/>
    <w:rsid w:val="000720B9"/>
    <w:rsid w:val="00072135"/>
    <w:rsid w:val="00072179"/>
    <w:rsid w:val="000721EC"/>
    <w:rsid w:val="000722FD"/>
    <w:rsid w:val="00072405"/>
    <w:rsid w:val="00072537"/>
    <w:rsid w:val="00073022"/>
    <w:rsid w:val="00073703"/>
    <w:rsid w:val="000737F7"/>
    <w:rsid w:val="000738BC"/>
    <w:rsid w:val="00073E89"/>
    <w:rsid w:val="00074C90"/>
    <w:rsid w:val="00075220"/>
    <w:rsid w:val="000756BE"/>
    <w:rsid w:val="0007599D"/>
    <w:rsid w:val="00075B15"/>
    <w:rsid w:val="00075B19"/>
    <w:rsid w:val="00076682"/>
    <w:rsid w:val="0007672F"/>
    <w:rsid w:val="0007681F"/>
    <w:rsid w:val="00076A92"/>
    <w:rsid w:val="00076B24"/>
    <w:rsid w:val="00076B54"/>
    <w:rsid w:val="000774F0"/>
    <w:rsid w:val="0007794B"/>
    <w:rsid w:val="00077F14"/>
    <w:rsid w:val="00080199"/>
    <w:rsid w:val="0008066F"/>
    <w:rsid w:val="00080909"/>
    <w:rsid w:val="00080CA4"/>
    <w:rsid w:val="000812C5"/>
    <w:rsid w:val="000812CA"/>
    <w:rsid w:val="000814C7"/>
    <w:rsid w:val="000818E4"/>
    <w:rsid w:val="00081CFA"/>
    <w:rsid w:val="00081E63"/>
    <w:rsid w:val="00081F82"/>
    <w:rsid w:val="00082086"/>
    <w:rsid w:val="00082093"/>
    <w:rsid w:val="00082175"/>
    <w:rsid w:val="0008234F"/>
    <w:rsid w:val="0008258D"/>
    <w:rsid w:val="000829C1"/>
    <w:rsid w:val="00082BA1"/>
    <w:rsid w:val="00082D31"/>
    <w:rsid w:val="00082EC1"/>
    <w:rsid w:val="0008318E"/>
    <w:rsid w:val="00083B74"/>
    <w:rsid w:val="00083E99"/>
    <w:rsid w:val="00084451"/>
    <w:rsid w:val="00084DB4"/>
    <w:rsid w:val="00084FA8"/>
    <w:rsid w:val="00085326"/>
    <w:rsid w:val="000856C5"/>
    <w:rsid w:val="000858C0"/>
    <w:rsid w:val="00085A9F"/>
    <w:rsid w:val="00085C31"/>
    <w:rsid w:val="00086012"/>
    <w:rsid w:val="0008688D"/>
    <w:rsid w:val="00086BB2"/>
    <w:rsid w:val="00086F69"/>
    <w:rsid w:val="00086F83"/>
    <w:rsid w:val="000872C5"/>
    <w:rsid w:val="000876FE"/>
    <w:rsid w:val="0008790E"/>
    <w:rsid w:val="000902D9"/>
    <w:rsid w:val="00090601"/>
    <w:rsid w:val="000908CA"/>
    <w:rsid w:val="00090C7E"/>
    <w:rsid w:val="000911AC"/>
    <w:rsid w:val="00091341"/>
    <w:rsid w:val="000915BA"/>
    <w:rsid w:val="00091672"/>
    <w:rsid w:val="00091F2C"/>
    <w:rsid w:val="0009215B"/>
    <w:rsid w:val="000925B0"/>
    <w:rsid w:val="00092600"/>
    <w:rsid w:val="0009262B"/>
    <w:rsid w:val="000931EE"/>
    <w:rsid w:val="000932EB"/>
    <w:rsid w:val="00093310"/>
    <w:rsid w:val="00093A91"/>
    <w:rsid w:val="00093C2C"/>
    <w:rsid w:val="000942F1"/>
    <w:rsid w:val="0009445C"/>
    <w:rsid w:val="00094B9F"/>
    <w:rsid w:val="00094D07"/>
    <w:rsid w:val="00095200"/>
    <w:rsid w:val="0009534B"/>
    <w:rsid w:val="0009597C"/>
    <w:rsid w:val="00095ABC"/>
    <w:rsid w:val="00095C7C"/>
    <w:rsid w:val="00095FE5"/>
    <w:rsid w:val="00096284"/>
    <w:rsid w:val="0009665D"/>
    <w:rsid w:val="00096725"/>
    <w:rsid w:val="0009695B"/>
    <w:rsid w:val="000971D4"/>
    <w:rsid w:val="00097788"/>
    <w:rsid w:val="000977D9"/>
    <w:rsid w:val="000A0A76"/>
    <w:rsid w:val="000A0B6A"/>
    <w:rsid w:val="000A0EF0"/>
    <w:rsid w:val="000A0FD1"/>
    <w:rsid w:val="000A109B"/>
    <w:rsid w:val="000A1BC0"/>
    <w:rsid w:val="000A1C00"/>
    <w:rsid w:val="000A1C49"/>
    <w:rsid w:val="000A206E"/>
    <w:rsid w:val="000A2423"/>
    <w:rsid w:val="000A2B51"/>
    <w:rsid w:val="000A2CE0"/>
    <w:rsid w:val="000A2F9E"/>
    <w:rsid w:val="000A3121"/>
    <w:rsid w:val="000A31C8"/>
    <w:rsid w:val="000A3361"/>
    <w:rsid w:val="000A33B2"/>
    <w:rsid w:val="000A33FF"/>
    <w:rsid w:val="000A3469"/>
    <w:rsid w:val="000A356A"/>
    <w:rsid w:val="000A39AD"/>
    <w:rsid w:val="000A3B1E"/>
    <w:rsid w:val="000A3C53"/>
    <w:rsid w:val="000A3D3E"/>
    <w:rsid w:val="000A3E47"/>
    <w:rsid w:val="000A4006"/>
    <w:rsid w:val="000A40F6"/>
    <w:rsid w:val="000A43C1"/>
    <w:rsid w:val="000A478C"/>
    <w:rsid w:val="000A4B99"/>
    <w:rsid w:val="000A4BF1"/>
    <w:rsid w:val="000A4E6F"/>
    <w:rsid w:val="000A5218"/>
    <w:rsid w:val="000A522B"/>
    <w:rsid w:val="000A5C1C"/>
    <w:rsid w:val="000A6039"/>
    <w:rsid w:val="000A64F5"/>
    <w:rsid w:val="000A65EA"/>
    <w:rsid w:val="000A6690"/>
    <w:rsid w:val="000A69B4"/>
    <w:rsid w:val="000A6E70"/>
    <w:rsid w:val="000A7110"/>
    <w:rsid w:val="000A7237"/>
    <w:rsid w:val="000A7453"/>
    <w:rsid w:val="000A7994"/>
    <w:rsid w:val="000A7A38"/>
    <w:rsid w:val="000A7A67"/>
    <w:rsid w:val="000A7D08"/>
    <w:rsid w:val="000B0121"/>
    <w:rsid w:val="000B01ED"/>
    <w:rsid w:val="000B05F7"/>
    <w:rsid w:val="000B0670"/>
    <w:rsid w:val="000B06C9"/>
    <w:rsid w:val="000B09E1"/>
    <w:rsid w:val="000B0B4A"/>
    <w:rsid w:val="000B0E75"/>
    <w:rsid w:val="000B0F47"/>
    <w:rsid w:val="000B1666"/>
    <w:rsid w:val="000B1690"/>
    <w:rsid w:val="000B184B"/>
    <w:rsid w:val="000B1B32"/>
    <w:rsid w:val="000B1CF6"/>
    <w:rsid w:val="000B1F9E"/>
    <w:rsid w:val="000B2971"/>
    <w:rsid w:val="000B2A39"/>
    <w:rsid w:val="000B2DCB"/>
    <w:rsid w:val="000B2EC8"/>
    <w:rsid w:val="000B3219"/>
    <w:rsid w:val="000B33B6"/>
    <w:rsid w:val="000B35DD"/>
    <w:rsid w:val="000B3F76"/>
    <w:rsid w:val="000B4674"/>
    <w:rsid w:val="000B497A"/>
    <w:rsid w:val="000B5258"/>
    <w:rsid w:val="000B5779"/>
    <w:rsid w:val="000B5A87"/>
    <w:rsid w:val="000B5BF2"/>
    <w:rsid w:val="000B5CE0"/>
    <w:rsid w:val="000B5FDD"/>
    <w:rsid w:val="000B6811"/>
    <w:rsid w:val="000B6CAC"/>
    <w:rsid w:val="000B6F04"/>
    <w:rsid w:val="000B7361"/>
    <w:rsid w:val="000B7612"/>
    <w:rsid w:val="000B7834"/>
    <w:rsid w:val="000B7854"/>
    <w:rsid w:val="000B78AE"/>
    <w:rsid w:val="000B7C0D"/>
    <w:rsid w:val="000B7C4C"/>
    <w:rsid w:val="000C0003"/>
    <w:rsid w:val="000C0234"/>
    <w:rsid w:val="000C0C18"/>
    <w:rsid w:val="000C0E24"/>
    <w:rsid w:val="000C1C30"/>
    <w:rsid w:val="000C1D39"/>
    <w:rsid w:val="000C2238"/>
    <w:rsid w:val="000C2530"/>
    <w:rsid w:val="000C25B6"/>
    <w:rsid w:val="000C2E74"/>
    <w:rsid w:val="000C3146"/>
    <w:rsid w:val="000C38E7"/>
    <w:rsid w:val="000C3C5D"/>
    <w:rsid w:val="000C3D59"/>
    <w:rsid w:val="000C3DF9"/>
    <w:rsid w:val="000C4113"/>
    <w:rsid w:val="000C41E4"/>
    <w:rsid w:val="000C48F9"/>
    <w:rsid w:val="000C49F4"/>
    <w:rsid w:val="000C4CF2"/>
    <w:rsid w:val="000C538D"/>
    <w:rsid w:val="000C5475"/>
    <w:rsid w:val="000C5492"/>
    <w:rsid w:val="000C55F9"/>
    <w:rsid w:val="000C5879"/>
    <w:rsid w:val="000C5A19"/>
    <w:rsid w:val="000C5BD2"/>
    <w:rsid w:val="000C5DF7"/>
    <w:rsid w:val="000C5EF2"/>
    <w:rsid w:val="000C6713"/>
    <w:rsid w:val="000C73FB"/>
    <w:rsid w:val="000C783E"/>
    <w:rsid w:val="000D0AFC"/>
    <w:rsid w:val="000D0BED"/>
    <w:rsid w:val="000D110B"/>
    <w:rsid w:val="000D1170"/>
    <w:rsid w:val="000D1598"/>
    <w:rsid w:val="000D1BFC"/>
    <w:rsid w:val="000D1D5D"/>
    <w:rsid w:val="000D2647"/>
    <w:rsid w:val="000D281A"/>
    <w:rsid w:val="000D2848"/>
    <w:rsid w:val="000D2B23"/>
    <w:rsid w:val="000D2B5D"/>
    <w:rsid w:val="000D2DE7"/>
    <w:rsid w:val="000D2E1C"/>
    <w:rsid w:val="000D326A"/>
    <w:rsid w:val="000D3377"/>
    <w:rsid w:val="000D37C9"/>
    <w:rsid w:val="000D40E8"/>
    <w:rsid w:val="000D4128"/>
    <w:rsid w:val="000D495A"/>
    <w:rsid w:val="000D51FB"/>
    <w:rsid w:val="000D556F"/>
    <w:rsid w:val="000D5B27"/>
    <w:rsid w:val="000D65E7"/>
    <w:rsid w:val="000D66BA"/>
    <w:rsid w:val="000D6C96"/>
    <w:rsid w:val="000D7015"/>
    <w:rsid w:val="000D7845"/>
    <w:rsid w:val="000D789D"/>
    <w:rsid w:val="000D7CB2"/>
    <w:rsid w:val="000E0443"/>
    <w:rsid w:val="000E0640"/>
    <w:rsid w:val="000E0B44"/>
    <w:rsid w:val="000E0E49"/>
    <w:rsid w:val="000E100B"/>
    <w:rsid w:val="000E12D2"/>
    <w:rsid w:val="000E135D"/>
    <w:rsid w:val="000E191D"/>
    <w:rsid w:val="000E20C8"/>
    <w:rsid w:val="000E2603"/>
    <w:rsid w:val="000E2E6E"/>
    <w:rsid w:val="000E2FE2"/>
    <w:rsid w:val="000E38EA"/>
    <w:rsid w:val="000E3B8D"/>
    <w:rsid w:val="000E4176"/>
    <w:rsid w:val="000E45EC"/>
    <w:rsid w:val="000E4E8B"/>
    <w:rsid w:val="000E51C6"/>
    <w:rsid w:val="000E5392"/>
    <w:rsid w:val="000E5778"/>
    <w:rsid w:val="000E5E33"/>
    <w:rsid w:val="000E5EF0"/>
    <w:rsid w:val="000E60A1"/>
    <w:rsid w:val="000E6196"/>
    <w:rsid w:val="000E6A35"/>
    <w:rsid w:val="000E6C56"/>
    <w:rsid w:val="000E7169"/>
    <w:rsid w:val="000E7481"/>
    <w:rsid w:val="000E76FF"/>
    <w:rsid w:val="000E771F"/>
    <w:rsid w:val="000E7F8F"/>
    <w:rsid w:val="000F00BA"/>
    <w:rsid w:val="000F0B84"/>
    <w:rsid w:val="000F0BFE"/>
    <w:rsid w:val="000F118D"/>
    <w:rsid w:val="000F1543"/>
    <w:rsid w:val="000F1A68"/>
    <w:rsid w:val="000F2472"/>
    <w:rsid w:val="000F2E34"/>
    <w:rsid w:val="000F316A"/>
    <w:rsid w:val="000F3533"/>
    <w:rsid w:val="000F357B"/>
    <w:rsid w:val="000F3974"/>
    <w:rsid w:val="000F3A11"/>
    <w:rsid w:val="000F3C74"/>
    <w:rsid w:val="000F437F"/>
    <w:rsid w:val="000F4BB8"/>
    <w:rsid w:val="000F4FA9"/>
    <w:rsid w:val="000F53FB"/>
    <w:rsid w:val="000F5437"/>
    <w:rsid w:val="000F558C"/>
    <w:rsid w:val="000F61C3"/>
    <w:rsid w:val="000F7127"/>
    <w:rsid w:val="000F790E"/>
    <w:rsid w:val="000F7B54"/>
    <w:rsid w:val="000F7CDB"/>
    <w:rsid w:val="001000B3"/>
    <w:rsid w:val="00100BC2"/>
    <w:rsid w:val="00100D8A"/>
    <w:rsid w:val="00100E0F"/>
    <w:rsid w:val="00100F8A"/>
    <w:rsid w:val="00100FF5"/>
    <w:rsid w:val="0010112C"/>
    <w:rsid w:val="00101410"/>
    <w:rsid w:val="00101869"/>
    <w:rsid w:val="00101966"/>
    <w:rsid w:val="00101C7F"/>
    <w:rsid w:val="00102031"/>
    <w:rsid w:val="00102414"/>
    <w:rsid w:val="00102989"/>
    <w:rsid w:val="00102C61"/>
    <w:rsid w:val="001039F3"/>
    <w:rsid w:val="00103B08"/>
    <w:rsid w:val="00103E65"/>
    <w:rsid w:val="0010452E"/>
    <w:rsid w:val="00104901"/>
    <w:rsid w:val="00105311"/>
    <w:rsid w:val="00105AE2"/>
    <w:rsid w:val="001060C6"/>
    <w:rsid w:val="0010647A"/>
    <w:rsid w:val="001067EA"/>
    <w:rsid w:val="00106B80"/>
    <w:rsid w:val="00106C28"/>
    <w:rsid w:val="00106CCD"/>
    <w:rsid w:val="001072A2"/>
    <w:rsid w:val="0010792A"/>
    <w:rsid w:val="00107C4A"/>
    <w:rsid w:val="0011032E"/>
    <w:rsid w:val="00110577"/>
    <w:rsid w:val="00110776"/>
    <w:rsid w:val="001109A5"/>
    <w:rsid w:val="00110EE0"/>
    <w:rsid w:val="00110F76"/>
    <w:rsid w:val="0011132D"/>
    <w:rsid w:val="00111AD5"/>
    <w:rsid w:val="00111AE4"/>
    <w:rsid w:val="00111EBE"/>
    <w:rsid w:val="00111F99"/>
    <w:rsid w:val="00112162"/>
    <w:rsid w:val="00112895"/>
    <w:rsid w:val="00112AE0"/>
    <w:rsid w:val="00112DEC"/>
    <w:rsid w:val="00112E39"/>
    <w:rsid w:val="00112E55"/>
    <w:rsid w:val="00112F8C"/>
    <w:rsid w:val="00113140"/>
    <w:rsid w:val="0011348B"/>
    <w:rsid w:val="001136EC"/>
    <w:rsid w:val="00113973"/>
    <w:rsid w:val="00114004"/>
    <w:rsid w:val="00114DA2"/>
    <w:rsid w:val="001154CA"/>
    <w:rsid w:val="00115982"/>
    <w:rsid w:val="00115A42"/>
    <w:rsid w:val="00115D3D"/>
    <w:rsid w:val="00116816"/>
    <w:rsid w:val="0011690A"/>
    <w:rsid w:val="00116C08"/>
    <w:rsid w:val="00116C53"/>
    <w:rsid w:val="0011754D"/>
    <w:rsid w:val="001175E0"/>
    <w:rsid w:val="00117A9C"/>
    <w:rsid w:val="00117C84"/>
    <w:rsid w:val="00117F62"/>
    <w:rsid w:val="001201AA"/>
    <w:rsid w:val="001203AF"/>
    <w:rsid w:val="00120405"/>
    <w:rsid w:val="00120E01"/>
    <w:rsid w:val="00121062"/>
    <w:rsid w:val="001212DA"/>
    <w:rsid w:val="0012168F"/>
    <w:rsid w:val="00121799"/>
    <w:rsid w:val="001222FC"/>
    <w:rsid w:val="001224AB"/>
    <w:rsid w:val="00122772"/>
    <w:rsid w:val="00122AC6"/>
    <w:rsid w:val="00122F65"/>
    <w:rsid w:val="0012341F"/>
    <w:rsid w:val="00123902"/>
    <w:rsid w:val="00123921"/>
    <w:rsid w:val="001239F9"/>
    <w:rsid w:val="00124A51"/>
    <w:rsid w:val="00125B0D"/>
    <w:rsid w:val="00125C01"/>
    <w:rsid w:val="00125E93"/>
    <w:rsid w:val="00126268"/>
    <w:rsid w:val="00126430"/>
    <w:rsid w:val="00126621"/>
    <w:rsid w:val="00126640"/>
    <w:rsid w:val="00126B1D"/>
    <w:rsid w:val="00126D4C"/>
    <w:rsid w:val="00126DFF"/>
    <w:rsid w:val="00127129"/>
    <w:rsid w:val="00127B89"/>
    <w:rsid w:val="001301E1"/>
    <w:rsid w:val="001301E9"/>
    <w:rsid w:val="001302AF"/>
    <w:rsid w:val="0013065F"/>
    <w:rsid w:val="0013095A"/>
    <w:rsid w:val="00130EF0"/>
    <w:rsid w:val="00131542"/>
    <w:rsid w:val="00131D82"/>
    <w:rsid w:val="00131E60"/>
    <w:rsid w:val="00131EA2"/>
    <w:rsid w:val="0013203A"/>
    <w:rsid w:val="00132317"/>
    <w:rsid w:val="0013275C"/>
    <w:rsid w:val="0013292B"/>
    <w:rsid w:val="00132A64"/>
    <w:rsid w:val="00132B22"/>
    <w:rsid w:val="00132DB2"/>
    <w:rsid w:val="00133715"/>
    <w:rsid w:val="0013382E"/>
    <w:rsid w:val="00133844"/>
    <w:rsid w:val="00133937"/>
    <w:rsid w:val="001339FA"/>
    <w:rsid w:val="00133D36"/>
    <w:rsid w:val="00134002"/>
    <w:rsid w:val="00134123"/>
    <w:rsid w:val="0013418F"/>
    <w:rsid w:val="00134426"/>
    <w:rsid w:val="00134B1E"/>
    <w:rsid w:val="0013512D"/>
    <w:rsid w:val="0013597E"/>
    <w:rsid w:val="00135AC2"/>
    <w:rsid w:val="00135B70"/>
    <w:rsid w:val="00136110"/>
    <w:rsid w:val="0013632D"/>
    <w:rsid w:val="00136704"/>
    <w:rsid w:val="00136819"/>
    <w:rsid w:val="00136A78"/>
    <w:rsid w:val="00136C9E"/>
    <w:rsid w:val="00136DED"/>
    <w:rsid w:val="0013742A"/>
    <w:rsid w:val="00137645"/>
    <w:rsid w:val="001379A7"/>
    <w:rsid w:val="00137C07"/>
    <w:rsid w:val="00137DA7"/>
    <w:rsid w:val="0014015A"/>
    <w:rsid w:val="001404E7"/>
    <w:rsid w:val="0014050E"/>
    <w:rsid w:val="0014078D"/>
    <w:rsid w:val="0014088A"/>
    <w:rsid w:val="00140E99"/>
    <w:rsid w:val="00140EE1"/>
    <w:rsid w:val="00141678"/>
    <w:rsid w:val="00141956"/>
    <w:rsid w:val="00141BDC"/>
    <w:rsid w:val="00141F8E"/>
    <w:rsid w:val="00142085"/>
    <w:rsid w:val="00142512"/>
    <w:rsid w:val="00142A85"/>
    <w:rsid w:val="00142C80"/>
    <w:rsid w:val="00142F68"/>
    <w:rsid w:val="001434BC"/>
    <w:rsid w:val="00143584"/>
    <w:rsid w:val="00143668"/>
    <w:rsid w:val="00143E84"/>
    <w:rsid w:val="00143EA1"/>
    <w:rsid w:val="00143F67"/>
    <w:rsid w:val="001442D7"/>
    <w:rsid w:val="00144C74"/>
    <w:rsid w:val="00145234"/>
    <w:rsid w:val="00145540"/>
    <w:rsid w:val="001456B0"/>
    <w:rsid w:val="00145A57"/>
    <w:rsid w:val="00145F4A"/>
    <w:rsid w:val="00146369"/>
    <w:rsid w:val="001463D5"/>
    <w:rsid w:val="0014652A"/>
    <w:rsid w:val="0014660C"/>
    <w:rsid w:val="00146CBC"/>
    <w:rsid w:val="00146E13"/>
    <w:rsid w:val="0014765E"/>
    <w:rsid w:val="00147C5C"/>
    <w:rsid w:val="00150F9D"/>
    <w:rsid w:val="00151134"/>
    <w:rsid w:val="00151843"/>
    <w:rsid w:val="00151BFD"/>
    <w:rsid w:val="00151D3F"/>
    <w:rsid w:val="00151E00"/>
    <w:rsid w:val="00151E65"/>
    <w:rsid w:val="00152F5B"/>
    <w:rsid w:val="00153D5E"/>
    <w:rsid w:val="0015402E"/>
    <w:rsid w:val="001547AB"/>
    <w:rsid w:val="00155315"/>
    <w:rsid w:val="00155671"/>
    <w:rsid w:val="001564EB"/>
    <w:rsid w:val="00156F8F"/>
    <w:rsid w:val="0015706D"/>
    <w:rsid w:val="00157130"/>
    <w:rsid w:val="0015725A"/>
    <w:rsid w:val="001576B1"/>
    <w:rsid w:val="001576E7"/>
    <w:rsid w:val="00157767"/>
    <w:rsid w:val="0016047B"/>
    <w:rsid w:val="0016047C"/>
    <w:rsid w:val="00160886"/>
    <w:rsid w:val="00160A4C"/>
    <w:rsid w:val="00160A79"/>
    <w:rsid w:val="00160F9B"/>
    <w:rsid w:val="00161092"/>
    <w:rsid w:val="001612DB"/>
    <w:rsid w:val="00161606"/>
    <w:rsid w:val="0016198C"/>
    <w:rsid w:val="00162064"/>
    <w:rsid w:val="001624B0"/>
    <w:rsid w:val="00162913"/>
    <w:rsid w:val="001629CD"/>
    <w:rsid w:val="00162A4E"/>
    <w:rsid w:val="00162DD6"/>
    <w:rsid w:val="00163EFF"/>
    <w:rsid w:val="00163F66"/>
    <w:rsid w:val="0016417E"/>
    <w:rsid w:val="001645C6"/>
    <w:rsid w:val="0016478E"/>
    <w:rsid w:val="00164DB8"/>
    <w:rsid w:val="0016516C"/>
    <w:rsid w:val="0016540D"/>
    <w:rsid w:val="00165533"/>
    <w:rsid w:val="00165BE1"/>
    <w:rsid w:val="00165EC4"/>
    <w:rsid w:val="001661FB"/>
    <w:rsid w:val="00166E06"/>
    <w:rsid w:val="001671A0"/>
    <w:rsid w:val="0016767F"/>
    <w:rsid w:val="001679D0"/>
    <w:rsid w:val="00170255"/>
    <w:rsid w:val="001702DA"/>
    <w:rsid w:val="00170511"/>
    <w:rsid w:val="00170630"/>
    <w:rsid w:val="00170771"/>
    <w:rsid w:val="00170832"/>
    <w:rsid w:val="00171BDB"/>
    <w:rsid w:val="00171D0F"/>
    <w:rsid w:val="00171DDE"/>
    <w:rsid w:val="00171F44"/>
    <w:rsid w:val="00172251"/>
    <w:rsid w:val="00172297"/>
    <w:rsid w:val="0017250F"/>
    <w:rsid w:val="001726E6"/>
    <w:rsid w:val="0017291B"/>
    <w:rsid w:val="00172C0F"/>
    <w:rsid w:val="0017308B"/>
    <w:rsid w:val="00173565"/>
    <w:rsid w:val="001735A1"/>
    <w:rsid w:val="00173B07"/>
    <w:rsid w:val="00173EE9"/>
    <w:rsid w:val="00173FF5"/>
    <w:rsid w:val="00174174"/>
    <w:rsid w:val="0017462D"/>
    <w:rsid w:val="001751DC"/>
    <w:rsid w:val="001751FA"/>
    <w:rsid w:val="00175BBA"/>
    <w:rsid w:val="0017603D"/>
    <w:rsid w:val="00176718"/>
    <w:rsid w:val="001769D5"/>
    <w:rsid w:val="00176BA7"/>
    <w:rsid w:val="00176BAB"/>
    <w:rsid w:val="00176E80"/>
    <w:rsid w:val="00176FCD"/>
    <w:rsid w:val="00177150"/>
    <w:rsid w:val="00177C91"/>
    <w:rsid w:val="00177DF5"/>
    <w:rsid w:val="0018007C"/>
    <w:rsid w:val="00180530"/>
    <w:rsid w:val="00180A30"/>
    <w:rsid w:val="0018198A"/>
    <w:rsid w:val="001819AB"/>
    <w:rsid w:val="00181A30"/>
    <w:rsid w:val="00181AC2"/>
    <w:rsid w:val="00181C10"/>
    <w:rsid w:val="00181D9C"/>
    <w:rsid w:val="001825D9"/>
    <w:rsid w:val="00182810"/>
    <w:rsid w:val="00182B63"/>
    <w:rsid w:val="00182C26"/>
    <w:rsid w:val="00182F42"/>
    <w:rsid w:val="00182F63"/>
    <w:rsid w:val="00182FF7"/>
    <w:rsid w:val="0018314C"/>
    <w:rsid w:val="00183442"/>
    <w:rsid w:val="0018367B"/>
    <w:rsid w:val="001837FF"/>
    <w:rsid w:val="001844BB"/>
    <w:rsid w:val="00184B0E"/>
    <w:rsid w:val="00184B59"/>
    <w:rsid w:val="00185071"/>
    <w:rsid w:val="0018542D"/>
    <w:rsid w:val="001856ED"/>
    <w:rsid w:val="001857B9"/>
    <w:rsid w:val="00185A3F"/>
    <w:rsid w:val="00185F72"/>
    <w:rsid w:val="00186102"/>
    <w:rsid w:val="001861DA"/>
    <w:rsid w:val="001862E1"/>
    <w:rsid w:val="0018636E"/>
    <w:rsid w:val="00186586"/>
    <w:rsid w:val="00186BF5"/>
    <w:rsid w:val="00186EE1"/>
    <w:rsid w:val="00187079"/>
    <w:rsid w:val="00187139"/>
    <w:rsid w:val="0018752F"/>
    <w:rsid w:val="00187810"/>
    <w:rsid w:val="00187A20"/>
    <w:rsid w:val="00187B54"/>
    <w:rsid w:val="00187B99"/>
    <w:rsid w:val="00187BB3"/>
    <w:rsid w:val="00190226"/>
    <w:rsid w:val="00190C5D"/>
    <w:rsid w:val="00190E14"/>
    <w:rsid w:val="00191CA7"/>
    <w:rsid w:val="00191D03"/>
    <w:rsid w:val="00191E71"/>
    <w:rsid w:val="00191EE5"/>
    <w:rsid w:val="00192EA6"/>
    <w:rsid w:val="001930F3"/>
    <w:rsid w:val="001933D2"/>
    <w:rsid w:val="00193838"/>
    <w:rsid w:val="00193A52"/>
    <w:rsid w:val="00193E66"/>
    <w:rsid w:val="001941B2"/>
    <w:rsid w:val="00194AD8"/>
    <w:rsid w:val="00194E6F"/>
    <w:rsid w:val="00195222"/>
    <w:rsid w:val="0019530E"/>
    <w:rsid w:val="00195452"/>
    <w:rsid w:val="001956BE"/>
    <w:rsid w:val="00195731"/>
    <w:rsid w:val="00195B39"/>
    <w:rsid w:val="00195B6D"/>
    <w:rsid w:val="00195E3A"/>
    <w:rsid w:val="001963F2"/>
    <w:rsid w:val="00196AA0"/>
    <w:rsid w:val="00196B04"/>
    <w:rsid w:val="00196EEC"/>
    <w:rsid w:val="00196F06"/>
    <w:rsid w:val="001972CB"/>
    <w:rsid w:val="00197420"/>
    <w:rsid w:val="001975D8"/>
    <w:rsid w:val="00197DCA"/>
    <w:rsid w:val="001A04D7"/>
    <w:rsid w:val="001A0B5E"/>
    <w:rsid w:val="001A0DC3"/>
    <w:rsid w:val="001A1490"/>
    <w:rsid w:val="001A15DC"/>
    <w:rsid w:val="001A178E"/>
    <w:rsid w:val="001A1EAB"/>
    <w:rsid w:val="001A2FD3"/>
    <w:rsid w:val="001A302E"/>
    <w:rsid w:val="001A39D7"/>
    <w:rsid w:val="001A3A07"/>
    <w:rsid w:val="001A3F3D"/>
    <w:rsid w:val="001A428B"/>
    <w:rsid w:val="001A43FA"/>
    <w:rsid w:val="001A43FF"/>
    <w:rsid w:val="001A44E7"/>
    <w:rsid w:val="001A45A4"/>
    <w:rsid w:val="001A4628"/>
    <w:rsid w:val="001A46E4"/>
    <w:rsid w:val="001A47C5"/>
    <w:rsid w:val="001A4804"/>
    <w:rsid w:val="001A4DBE"/>
    <w:rsid w:val="001A5429"/>
    <w:rsid w:val="001A56EF"/>
    <w:rsid w:val="001A5725"/>
    <w:rsid w:val="001A59FB"/>
    <w:rsid w:val="001A5D75"/>
    <w:rsid w:val="001A5E9E"/>
    <w:rsid w:val="001A612A"/>
    <w:rsid w:val="001A6147"/>
    <w:rsid w:val="001A61B4"/>
    <w:rsid w:val="001A6354"/>
    <w:rsid w:val="001A6366"/>
    <w:rsid w:val="001A64DB"/>
    <w:rsid w:val="001A6529"/>
    <w:rsid w:val="001A6664"/>
    <w:rsid w:val="001A7AC9"/>
    <w:rsid w:val="001A7AE8"/>
    <w:rsid w:val="001A7EE8"/>
    <w:rsid w:val="001B0E80"/>
    <w:rsid w:val="001B13CF"/>
    <w:rsid w:val="001B17B8"/>
    <w:rsid w:val="001B1BFE"/>
    <w:rsid w:val="001B204E"/>
    <w:rsid w:val="001B2372"/>
    <w:rsid w:val="001B23D6"/>
    <w:rsid w:val="001B2530"/>
    <w:rsid w:val="001B2D23"/>
    <w:rsid w:val="001B2EB4"/>
    <w:rsid w:val="001B2EB8"/>
    <w:rsid w:val="001B31A7"/>
    <w:rsid w:val="001B3299"/>
    <w:rsid w:val="001B3335"/>
    <w:rsid w:val="001B3443"/>
    <w:rsid w:val="001B3458"/>
    <w:rsid w:val="001B3540"/>
    <w:rsid w:val="001B3F1A"/>
    <w:rsid w:val="001B426F"/>
    <w:rsid w:val="001B442D"/>
    <w:rsid w:val="001B47FD"/>
    <w:rsid w:val="001B4871"/>
    <w:rsid w:val="001B4CA9"/>
    <w:rsid w:val="001B4D0E"/>
    <w:rsid w:val="001B4D20"/>
    <w:rsid w:val="001B4DEF"/>
    <w:rsid w:val="001B4F1D"/>
    <w:rsid w:val="001B5977"/>
    <w:rsid w:val="001B5E59"/>
    <w:rsid w:val="001B6217"/>
    <w:rsid w:val="001B6700"/>
    <w:rsid w:val="001B699D"/>
    <w:rsid w:val="001B7F84"/>
    <w:rsid w:val="001C0E33"/>
    <w:rsid w:val="001C0F3F"/>
    <w:rsid w:val="001C17C5"/>
    <w:rsid w:val="001C1CDD"/>
    <w:rsid w:val="001C1FB6"/>
    <w:rsid w:val="001C1FE8"/>
    <w:rsid w:val="001C2000"/>
    <w:rsid w:val="001C2366"/>
    <w:rsid w:val="001C260B"/>
    <w:rsid w:val="001C2824"/>
    <w:rsid w:val="001C2A9B"/>
    <w:rsid w:val="001C2D2E"/>
    <w:rsid w:val="001C3590"/>
    <w:rsid w:val="001C3DD6"/>
    <w:rsid w:val="001C40FB"/>
    <w:rsid w:val="001C4299"/>
    <w:rsid w:val="001C4874"/>
    <w:rsid w:val="001C4D0E"/>
    <w:rsid w:val="001C51DF"/>
    <w:rsid w:val="001C53B9"/>
    <w:rsid w:val="001C5820"/>
    <w:rsid w:val="001C5F94"/>
    <w:rsid w:val="001C6501"/>
    <w:rsid w:val="001C67A5"/>
    <w:rsid w:val="001C6B82"/>
    <w:rsid w:val="001C6C5C"/>
    <w:rsid w:val="001C6E66"/>
    <w:rsid w:val="001C7AB9"/>
    <w:rsid w:val="001D0080"/>
    <w:rsid w:val="001D011E"/>
    <w:rsid w:val="001D0ADB"/>
    <w:rsid w:val="001D0CE8"/>
    <w:rsid w:val="001D0ED5"/>
    <w:rsid w:val="001D1100"/>
    <w:rsid w:val="001D1391"/>
    <w:rsid w:val="001D17ED"/>
    <w:rsid w:val="001D1B1F"/>
    <w:rsid w:val="001D25D7"/>
    <w:rsid w:val="001D2E61"/>
    <w:rsid w:val="001D3042"/>
    <w:rsid w:val="001D3140"/>
    <w:rsid w:val="001D3179"/>
    <w:rsid w:val="001D3F07"/>
    <w:rsid w:val="001D3F46"/>
    <w:rsid w:val="001D424B"/>
    <w:rsid w:val="001D4968"/>
    <w:rsid w:val="001D4A47"/>
    <w:rsid w:val="001D4B05"/>
    <w:rsid w:val="001D4F51"/>
    <w:rsid w:val="001D4FBD"/>
    <w:rsid w:val="001D50B2"/>
    <w:rsid w:val="001D5200"/>
    <w:rsid w:val="001D57DB"/>
    <w:rsid w:val="001D5803"/>
    <w:rsid w:val="001D60EB"/>
    <w:rsid w:val="001D650C"/>
    <w:rsid w:val="001D6560"/>
    <w:rsid w:val="001D69F9"/>
    <w:rsid w:val="001D71F4"/>
    <w:rsid w:val="001D72FD"/>
    <w:rsid w:val="001D7307"/>
    <w:rsid w:val="001D7562"/>
    <w:rsid w:val="001D75EC"/>
    <w:rsid w:val="001D7645"/>
    <w:rsid w:val="001D76CC"/>
    <w:rsid w:val="001D7A3A"/>
    <w:rsid w:val="001D7CE4"/>
    <w:rsid w:val="001E019C"/>
    <w:rsid w:val="001E0565"/>
    <w:rsid w:val="001E05CC"/>
    <w:rsid w:val="001E1653"/>
    <w:rsid w:val="001E179B"/>
    <w:rsid w:val="001E197F"/>
    <w:rsid w:val="001E1E86"/>
    <w:rsid w:val="001E2368"/>
    <w:rsid w:val="001E238E"/>
    <w:rsid w:val="001E2483"/>
    <w:rsid w:val="001E262E"/>
    <w:rsid w:val="001E275F"/>
    <w:rsid w:val="001E2825"/>
    <w:rsid w:val="001E28A7"/>
    <w:rsid w:val="001E29E1"/>
    <w:rsid w:val="001E2B1E"/>
    <w:rsid w:val="001E2CFF"/>
    <w:rsid w:val="001E2F24"/>
    <w:rsid w:val="001E30D4"/>
    <w:rsid w:val="001E3159"/>
    <w:rsid w:val="001E3287"/>
    <w:rsid w:val="001E328D"/>
    <w:rsid w:val="001E34DF"/>
    <w:rsid w:val="001E360B"/>
    <w:rsid w:val="001E3EF6"/>
    <w:rsid w:val="001E40A8"/>
    <w:rsid w:val="001E4108"/>
    <w:rsid w:val="001E4278"/>
    <w:rsid w:val="001E4340"/>
    <w:rsid w:val="001E4404"/>
    <w:rsid w:val="001E4CF5"/>
    <w:rsid w:val="001E4F84"/>
    <w:rsid w:val="001E516D"/>
    <w:rsid w:val="001E51D2"/>
    <w:rsid w:val="001E52EB"/>
    <w:rsid w:val="001E5447"/>
    <w:rsid w:val="001E56E9"/>
    <w:rsid w:val="001E60A0"/>
    <w:rsid w:val="001E618F"/>
    <w:rsid w:val="001E61D2"/>
    <w:rsid w:val="001E6512"/>
    <w:rsid w:val="001E6746"/>
    <w:rsid w:val="001E67BB"/>
    <w:rsid w:val="001E69D7"/>
    <w:rsid w:val="001E6D8C"/>
    <w:rsid w:val="001E740C"/>
    <w:rsid w:val="001E75D2"/>
    <w:rsid w:val="001F0CCE"/>
    <w:rsid w:val="001F1235"/>
    <w:rsid w:val="001F1655"/>
    <w:rsid w:val="001F1BCA"/>
    <w:rsid w:val="001F1CB3"/>
    <w:rsid w:val="001F1DAC"/>
    <w:rsid w:val="001F1DBD"/>
    <w:rsid w:val="001F21A8"/>
    <w:rsid w:val="001F2362"/>
    <w:rsid w:val="001F266D"/>
    <w:rsid w:val="001F2B73"/>
    <w:rsid w:val="001F2B78"/>
    <w:rsid w:val="001F2E41"/>
    <w:rsid w:val="001F2E87"/>
    <w:rsid w:val="001F2F39"/>
    <w:rsid w:val="001F38B5"/>
    <w:rsid w:val="001F3ACC"/>
    <w:rsid w:val="001F3E6D"/>
    <w:rsid w:val="001F402D"/>
    <w:rsid w:val="001F4081"/>
    <w:rsid w:val="001F4487"/>
    <w:rsid w:val="001F4560"/>
    <w:rsid w:val="001F4B57"/>
    <w:rsid w:val="001F5511"/>
    <w:rsid w:val="001F5891"/>
    <w:rsid w:val="001F5AAF"/>
    <w:rsid w:val="001F5D6B"/>
    <w:rsid w:val="001F65EB"/>
    <w:rsid w:val="001F67A4"/>
    <w:rsid w:val="001F6EBA"/>
    <w:rsid w:val="001F7361"/>
    <w:rsid w:val="001F74A5"/>
    <w:rsid w:val="001F7F1D"/>
    <w:rsid w:val="001F7F9E"/>
    <w:rsid w:val="002006FD"/>
    <w:rsid w:val="0020098E"/>
    <w:rsid w:val="00200C5A"/>
    <w:rsid w:val="002011B0"/>
    <w:rsid w:val="002015BE"/>
    <w:rsid w:val="00201637"/>
    <w:rsid w:val="00201F40"/>
    <w:rsid w:val="00201FF8"/>
    <w:rsid w:val="00202134"/>
    <w:rsid w:val="002024BE"/>
    <w:rsid w:val="002026AD"/>
    <w:rsid w:val="00203181"/>
    <w:rsid w:val="002031BF"/>
    <w:rsid w:val="0020335B"/>
    <w:rsid w:val="00203783"/>
    <w:rsid w:val="0020385F"/>
    <w:rsid w:val="002038CF"/>
    <w:rsid w:val="002039EB"/>
    <w:rsid w:val="00203AA2"/>
    <w:rsid w:val="00203DA6"/>
    <w:rsid w:val="00203DB4"/>
    <w:rsid w:val="00203E83"/>
    <w:rsid w:val="002042A7"/>
    <w:rsid w:val="00204562"/>
    <w:rsid w:val="00204599"/>
    <w:rsid w:val="0020463C"/>
    <w:rsid w:val="00204CC8"/>
    <w:rsid w:val="0020515A"/>
    <w:rsid w:val="00205209"/>
    <w:rsid w:val="002052F7"/>
    <w:rsid w:val="0020570B"/>
    <w:rsid w:val="00205748"/>
    <w:rsid w:val="0020589A"/>
    <w:rsid w:val="00205FCD"/>
    <w:rsid w:val="002068A0"/>
    <w:rsid w:val="00206CEE"/>
    <w:rsid w:val="00207021"/>
    <w:rsid w:val="0020732F"/>
    <w:rsid w:val="00207578"/>
    <w:rsid w:val="002079D3"/>
    <w:rsid w:val="00207C7F"/>
    <w:rsid w:val="00207D00"/>
    <w:rsid w:val="00207FCE"/>
    <w:rsid w:val="0021058D"/>
    <w:rsid w:val="002105C1"/>
    <w:rsid w:val="00210977"/>
    <w:rsid w:val="002109BC"/>
    <w:rsid w:val="00210E82"/>
    <w:rsid w:val="0021107D"/>
    <w:rsid w:val="002112D7"/>
    <w:rsid w:val="002112F3"/>
    <w:rsid w:val="002116FD"/>
    <w:rsid w:val="00211E2C"/>
    <w:rsid w:val="002123FB"/>
    <w:rsid w:val="00212D63"/>
    <w:rsid w:val="00212DFF"/>
    <w:rsid w:val="00212FBB"/>
    <w:rsid w:val="002134C4"/>
    <w:rsid w:val="00213808"/>
    <w:rsid w:val="00213810"/>
    <w:rsid w:val="00213A3A"/>
    <w:rsid w:val="00213E56"/>
    <w:rsid w:val="00213EF5"/>
    <w:rsid w:val="00214741"/>
    <w:rsid w:val="00214B20"/>
    <w:rsid w:val="00214BEC"/>
    <w:rsid w:val="002153A7"/>
    <w:rsid w:val="002153D2"/>
    <w:rsid w:val="00215442"/>
    <w:rsid w:val="00215461"/>
    <w:rsid w:val="002158BC"/>
    <w:rsid w:val="00215CFC"/>
    <w:rsid w:val="00216033"/>
    <w:rsid w:val="00216104"/>
    <w:rsid w:val="002163B6"/>
    <w:rsid w:val="00216487"/>
    <w:rsid w:val="002165A5"/>
    <w:rsid w:val="0021670E"/>
    <w:rsid w:val="00216841"/>
    <w:rsid w:val="002168A4"/>
    <w:rsid w:val="00216BF5"/>
    <w:rsid w:val="00216CD7"/>
    <w:rsid w:val="0021714B"/>
    <w:rsid w:val="0021773C"/>
    <w:rsid w:val="00217DFA"/>
    <w:rsid w:val="00217E0F"/>
    <w:rsid w:val="002206E2"/>
    <w:rsid w:val="0022090F"/>
    <w:rsid w:val="00220B81"/>
    <w:rsid w:val="00221484"/>
    <w:rsid w:val="00221AB1"/>
    <w:rsid w:val="00221B9D"/>
    <w:rsid w:val="00221BB0"/>
    <w:rsid w:val="00221ED3"/>
    <w:rsid w:val="00221F5C"/>
    <w:rsid w:val="00222324"/>
    <w:rsid w:val="00222F9A"/>
    <w:rsid w:val="0022312A"/>
    <w:rsid w:val="0022343C"/>
    <w:rsid w:val="00223509"/>
    <w:rsid w:val="00223834"/>
    <w:rsid w:val="0022396F"/>
    <w:rsid w:val="0022397A"/>
    <w:rsid w:val="00223B49"/>
    <w:rsid w:val="00223D35"/>
    <w:rsid w:val="00223D5A"/>
    <w:rsid w:val="00223FA9"/>
    <w:rsid w:val="0022418B"/>
    <w:rsid w:val="002242E5"/>
    <w:rsid w:val="00224DD4"/>
    <w:rsid w:val="00224EA4"/>
    <w:rsid w:val="00225108"/>
    <w:rsid w:val="002251A0"/>
    <w:rsid w:val="002255B3"/>
    <w:rsid w:val="00225660"/>
    <w:rsid w:val="00225D45"/>
    <w:rsid w:val="00225FFE"/>
    <w:rsid w:val="00226169"/>
    <w:rsid w:val="002268E7"/>
    <w:rsid w:val="0022698B"/>
    <w:rsid w:val="002273E1"/>
    <w:rsid w:val="002278A0"/>
    <w:rsid w:val="00227B8A"/>
    <w:rsid w:val="00227D09"/>
    <w:rsid w:val="00227D2B"/>
    <w:rsid w:val="002309CC"/>
    <w:rsid w:val="00231728"/>
    <w:rsid w:val="00231BA9"/>
    <w:rsid w:val="0023209F"/>
    <w:rsid w:val="00232375"/>
    <w:rsid w:val="0023251A"/>
    <w:rsid w:val="002328BA"/>
    <w:rsid w:val="00232A99"/>
    <w:rsid w:val="00232DD6"/>
    <w:rsid w:val="00233ADF"/>
    <w:rsid w:val="00233C01"/>
    <w:rsid w:val="00233F93"/>
    <w:rsid w:val="0023413C"/>
    <w:rsid w:val="00234562"/>
    <w:rsid w:val="002346F0"/>
    <w:rsid w:val="00234D1F"/>
    <w:rsid w:val="00234E1B"/>
    <w:rsid w:val="002351FD"/>
    <w:rsid w:val="00235375"/>
    <w:rsid w:val="00235943"/>
    <w:rsid w:val="002359C3"/>
    <w:rsid w:val="002359FA"/>
    <w:rsid w:val="0023629D"/>
    <w:rsid w:val="00236722"/>
    <w:rsid w:val="00236B1F"/>
    <w:rsid w:val="00236E18"/>
    <w:rsid w:val="002370C6"/>
    <w:rsid w:val="00237255"/>
    <w:rsid w:val="00237528"/>
    <w:rsid w:val="0023758B"/>
    <w:rsid w:val="00237706"/>
    <w:rsid w:val="0023795D"/>
    <w:rsid w:val="00237F9C"/>
    <w:rsid w:val="002404D4"/>
    <w:rsid w:val="0024059B"/>
    <w:rsid w:val="002406F9"/>
    <w:rsid w:val="00240961"/>
    <w:rsid w:val="00240CDD"/>
    <w:rsid w:val="00240E75"/>
    <w:rsid w:val="00241054"/>
    <w:rsid w:val="00241303"/>
    <w:rsid w:val="002414AB"/>
    <w:rsid w:val="0024169A"/>
    <w:rsid w:val="0024199E"/>
    <w:rsid w:val="00241EAB"/>
    <w:rsid w:val="002424AF"/>
    <w:rsid w:val="0024286C"/>
    <w:rsid w:val="00242944"/>
    <w:rsid w:val="00242D0E"/>
    <w:rsid w:val="00243802"/>
    <w:rsid w:val="002439AE"/>
    <w:rsid w:val="002439DC"/>
    <w:rsid w:val="002441D2"/>
    <w:rsid w:val="00244CD5"/>
    <w:rsid w:val="00244DC8"/>
    <w:rsid w:val="00244EB1"/>
    <w:rsid w:val="00245272"/>
    <w:rsid w:val="00245576"/>
    <w:rsid w:val="002458BA"/>
    <w:rsid w:val="00245CE9"/>
    <w:rsid w:val="002460EF"/>
    <w:rsid w:val="0024636C"/>
    <w:rsid w:val="00246BDC"/>
    <w:rsid w:val="00246CB3"/>
    <w:rsid w:val="0024757F"/>
    <w:rsid w:val="002475F6"/>
    <w:rsid w:val="0024768E"/>
    <w:rsid w:val="00247925"/>
    <w:rsid w:val="00247B43"/>
    <w:rsid w:val="00247D21"/>
    <w:rsid w:val="00247FB3"/>
    <w:rsid w:val="0025006B"/>
    <w:rsid w:val="0025038D"/>
    <w:rsid w:val="00250632"/>
    <w:rsid w:val="00251006"/>
    <w:rsid w:val="00251409"/>
    <w:rsid w:val="00251488"/>
    <w:rsid w:val="002524D5"/>
    <w:rsid w:val="00252D55"/>
    <w:rsid w:val="00252F9D"/>
    <w:rsid w:val="00253091"/>
    <w:rsid w:val="0025323E"/>
    <w:rsid w:val="00253400"/>
    <w:rsid w:val="0025347C"/>
    <w:rsid w:val="0025358B"/>
    <w:rsid w:val="0025370A"/>
    <w:rsid w:val="002539AC"/>
    <w:rsid w:val="00253A26"/>
    <w:rsid w:val="00253B1D"/>
    <w:rsid w:val="00253D14"/>
    <w:rsid w:val="00253E4B"/>
    <w:rsid w:val="00254103"/>
    <w:rsid w:val="00254ABF"/>
    <w:rsid w:val="00254DCF"/>
    <w:rsid w:val="00255017"/>
    <w:rsid w:val="002550F1"/>
    <w:rsid w:val="0025517F"/>
    <w:rsid w:val="0025534B"/>
    <w:rsid w:val="00255BB7"/>
    <w:rsid w:val="00255FAD"/>
    <w:rsid w:val="0025616F"/>
    <w:rsid w:val="00256795"/>
    <w:rsid w:val="00257541"/>
    <w:rsid w:val="00257768"/>
    <w:rsid w:val="00257927"/>
    <w:rsid w:val="00257A39"/>
    <w:rsid w:val="00257AC4"/>
    <w:rsid w:val="00257BBE"/>
    <w:rsid w:val="00257F0B"/>
    <w:rsid w:val="002605A0"/>
    <w:rsid w:val="002607D1"/>
    <w:rsid w:val="00260B09"/>
    <w:rsid w:val="00261033"/>
    <w:rsid w:val="002615D7"/>
    <w:rsid w:val="002616A4"/>
    <w:rsid w:val="002616B2"/>
    <w:rsid w:val="00261726"/>
    <w:rsid w:val="00261BDA"/>
    <w:rsid w:val="00261D7F"/>
    <w:rsid w:val="00261EEF"/>
    <w:rsid w:val="00262237"/>
    <w:rsid w:val="002627B9"/>
    <w:rsid w:val="00262853"/>
    <w:rsid w:val="00262A1A"/>
    <w:rsid w:val="00262A87"/>
    <w:rsid w:val="00262D2B"/>
    <w:rsid w:val="00262F14"/>
    <w:rsid w:val="002639E5"/>
    <w:rsid w:val="00263ED6"/>
    <w:rsid w:val="002642B0"/>
    <w:rsid w:val="002643F3"/>
    <w:rsid w:val="0026447E"/>
    <w:rsid w:val="0026462D"/>
    <w:rsid w:val="0026465B"/>
    <w:rsid w:val="00264B1B"/>
    <w:rsid w:val="00264D26"/>
    <w:rsid w:val="002654D0"/>
    <w:rsid w:val="00265A5D"/>
    <w:rsid w:val="00265BCD"/>
    <w:rsid w:val="00265DCB"/>
    <w:rsid w:val="002666CC"/>
    <w:rsid w:val="00267281"/>
    <w:rsid w:val="00267459"/>
    <w:rsid w:val="00267642"/>
    <w:rsid w:val="00267AEA"/>
    <w:rsid w:val="00267C05"/>
    <w:rsid w:val="002700E6"/>
    <w:rsid w:val="002706FF"/>
    <w:rsid w:val="00270C57"/>
    <w:rsid w:val="00272146"/>
    <w:rsid w:val="00272805"/>
    <w:rsid w:val="0027294B"/>
    <w:rsid w:val="00272979"/>
    <w:rsid w:val="00272E1F"/>
    <w:rsid w:val="0027322A"/>
    <w:rsid w:val="00273CD9"/>
    <w:rsid w:val="00273E10"/>
    <w:rsid w:val="00273EB4"/>
    <w:rsid w:val="00273F25"/>
    <w:rsid w:val="00274266"/>
    <w:rsid w:val="00274682"/>
    <w:rsid w:val="0027486F"/>
    <w:rsid w:val="00274908"/>
    <w:rsid w:val="002749E8"/>
    <w:rsid w:val="00275158"/>
    <w:rsid w:val="002751F2"/>
    <w:rsid w:val="0027530B"/>
    <w:rsid w:val="00275C5A"/>
    <w:rsid w:val="0027611B"/>
    <w:rsid w:val="00276A1B"/>
    <w:rsid w:val="00276B3B"/>
    <w:rsid w:val="00277221"/>
    <w:rsid w:val="0027745F"/>
    <w:rsid w:val="002774AC"/>
    <w:rsid w:val="00280462"/>
    <w:rsid w:val="0028078D"/>
    <w:rsid w:val="00280A67"/>
    <w:rsid w:val="00281014"/>
    <w:rsid w:val="00281621"/>
    <w:rsid w:val="0028175C"/>
    <w:rsid w:val="00281CEC"/>
    <w:rsid w:val="002820FA"/>
    <w:rsid w:val="0028297C"/>
    <w:rsid w:val="002831E4"/>
    <w:rsid w:val="0028354E"/>
    <w:rsid w:val="002840D0"/>
    <w:rsid w:val="00284435"/>
    <w:rsid w:val="0028451C"/>
    <w:rsid w:val="00284641"/>
    <w:rsid w:val="00284CE0"/>
    <w:rsid w:val="00284D74"/>
    <w:rsid w:val="00284F96"/>
    <w:rsid w:val="0028508C"/>
    <w:rsid w:val="0028519E"/>
    <w:rsid w:val="002853A5"/>
    <w:rsid w:val="0028599A"/>
    <w:rsid w:val="00285BCE"/>
    <w:rsid w:val="00285D08"/>
    <w:rsid w:val="00286420"/>
    <w:rsid w:val="00286473"/>
    <w:rsid w:val="0028665D"/>
    <w:rsid w:val="00286709"/>
    <w:rsid w:val="00286CEF"/>
    <w:rsid w:val="00287C6A"/>
    <w:rsid w:val="00290877"/>
    <w:rsid w:val="002912F6"/>
    <w:rsid w:val="00291887"/>
    <w:rsid w:val="002919BC"/>
    <w:rsid w:val="00292107"/>
    <w:rsid w:val="00292549"/>
    <w:rsid w:val="00292B9F"/>
    <w:rsid w:val="00292D3C"/>
    <w:rsid w:val="00292FEF"/>
    <w:rsid w:val="002930EF"/>
    <w:rsid w:val="00293437"/>
    <w:rsid w:val="00293533"/>
    <w:rsid w:val="0029378A"/>
    <w:rsid w:val="00293843"/>
    <w:rsid w:val="00293931"/>
    <w:rsid w:val="00293984"/>
    <w:rsid w:val="0029428A"/>
    <w:rsid w:val="0029433F"/>
    <w:rsid w:val="00294B0E"/>
    <w:rsid w:val="00294D4F"/>
    <w:rsid w:val="0029513B"/>
    <w:rsid w:val="002957E2"/>
    <w:rsid w:val="00295E81"/>
    <w:rsid w:val="002961DD"/>
    <w:rsid w:val="00296906"/>
    <w:rsid w:val="002969B9"/>
    <w:rsid w:val="00296C1D"/>
    <w:rsid w:val="00296D5E"/>
    <w:rsid w:val="00297064"/>
    <w:rsid w:val="002972AA"/>
    <w:rsid w:val="0029739B"/>
    <w:rsid w:val="0029790F"/>
    <w:rsid w:val="00297FCE"/>
    <w:rsid w:val="002A044F"/>
    <w:rsid w:val="002A047F"/>
    <w:rsid w:val="002A08FE"/>
    <w:rsid w:val="002A0E3C"/>
    <w:rsid w:val="002A0F29"/>
    <w:rsid w:val="002A0F8A"/>
    <w:rsid w:val="002A10E6"/>
    <w:rsid w:val="002A14AB"/>
    <w:rsid w:val="002A158F"/>
    <w:rsid w:val="002A16A6"/>
    <w:rsid w:val="002A1F33"/>
    <w:rsid w:val="002A1F89"/>
    <w:rsid w:val="002A1FC9"/>
    <w:rsid w:val="002A2281"/>
    <w:rsid w:val="002A25D1"/>
    <w:rsid w:val="002A2ADE"/>
    <w:rsid w:val="002A2B4F"/>
    <w:rsid w:val="002A2F1F"/>
    <w:rsid w:val="002A2F50"/>
    <w:rsid w:val="002A3357"/>
    <w:rsid w:val="002A350C"/>
    <w:rsid w:val="002A377A"/>
    <w:rsid w:val="002A37DF"/>
    <w:rsid w:val="002A38EE"/>
    <w:rsid w:val="002A3BE2"/>
    <w:rsid w:val="002A4280"/>
    <w:rsid w:val="002A4FA3"/>
    <w:rsid w:val="002A503A"/>
    <w:rsid w:val="002A53DF"/>
    <w:rsid w:val="002A574C"/>
    <w:rsid w:val="002A5864"/>
    <w:rsid w:val="002A5F30"/>
    <w:rsid w:val="002A61D2"/>
    <w:rsid w:val="002A65D2"/>
    <w:rsid w:val="002A6A54"/>
    <w:rsid w:val="002A6E29"/>
    <w:rsid w:val="002A7359"/>
    <w:rsid w:val="002A7641"/>
    <w:rsid w:val="002A7943"/>
    <w:rsid w:val="002A7A87"/>
    <w:rsid w:val="002B05A1"/>
    <w:rsid w:val="002B09A4"/>
    <w:rsid w:val="002B0E6D"/>
    <w:rsid w:val="002B1A73"/>
    <w:rsid w:val="002B1C1F"/>
    <w:rsid w:val="002B1F1F"/>
    <w:rsid w:val="002B235D"/>
    <w:rsid w:val="002B261D"/>
    <w:rsid w:val="002B2723"/>
    <w:rsid w:val="002B29C4"/>
    <w:rsid w:val="002B2D12"/>
    <w:rsid w:val="002B351D"/>
    <w:rsid w:val="002B367A"/>
    <w:rsid w:val="002B381A"/>
    <w:rsid w:val="002B3E36"/>
    <w:rsid w:val="002B3F8A"/>
    <w:rsid w:val="002B432F"/>
    <w:rsid w:val="002B44FC"/>
    <w:rsid w:val="002B4D0B"/>
    <w:rsid w:val="002B53E1"/>
    <w:rsid w:val="002B5432"/>
    <w:rsid w:val="002B5A37"/>
    <w:rsid w:val="002B5E56"/>
    <w:rsid w:val="002B5FAB"/>
    <w:rsid w:val="002B61BC"/>
    <w:rsid w:val="002B6213"/>
    <w:rsid w:val="002B62B3"/>
    <w:rsid w:val="002B6333"/>
    <w:rsid w:val="002B65AC"/>
    <w:rsid w:val="002B6723"/>
    <w:rsid w:val="002B674D"/>
    <w:rsid w:val="002B6754"/>
    <w:rsid w:val="002B6847"/>
    <w:rsid w:val="002B6A47"/>
    <w:rsid w:val="002B6CB8"/>
    <w:rsid w:val="002B6CCE"/>
    <w:rsid w:val="002B6D87"/>
    <w:rsid w:val="002B6FB3"/>
    <w:rsid w:val="002B710A"/>
    <w:rsid w:val="002B7490"/>
    <w:rsid w:val="002B7758"/>
    <w:rsid w:val="002B7D0C"/>
    <w:rsid w:val="002B7F75"/>
    <w:rsid w:val="002B7FF9"/>
    <w:rsid w:val="002C08FB"/>
    <w:rsid w:val="002C1423"/>
    <w:rsid w:val="002C14FB"/>
    <w:rsid w:val="002C1630"/>
    <w:rsid w:val="002C1B35"/>
    <w:rsid w:val="002C20EF"/>
    <w:rsid w:val="002C21D1"/>
    <w:rsid w:val="002C2510"/>
    <w:rsid w:val="002C26D7"/>
    <w:rsid w:val="002C2775"/>
    <w:rsid w:val="002C27C1"/>
    <w:rsid w:val="002C33DE"/>
    <w:rsid w:val="002C36E3"/>
    <w:rsid w:val="002C3A79"/>
    <w:rsid w:val="002C3BFF"/>
    <w:rsid w:val="002C3F62"/>
    <w:rsid w:val="002C40CE"/>
    <w:rsid w:val="002C43D6"/>
    <w:rsid w:val="002C44C4"/>
    <w:rsid w:val="002C467B"/>
    <w:rsid w:val="002C5088"/>
    <w:rsid w:val="002C5099"/>
    <w:rsid w:val="002C5146"/>
    <w:rsid w:val="002C54CA"/>
    <w:rsid w:val="002C55D4"/>
    <w:rsid w:val="002C57B5"/>
    <w:rsid w:val="002C5889"/>
    <w:rsid w:val="002C5956"/>
    <w:rsid w:val="002C6A60"/>
    <w:rsid w:val="002C6C4B"/>
    <w:rsid w:val="002C6DF6"/>
    <w:rsid w:val="002C6E02"/>
    <w:rsid w:val="002C701F"/>
    <w:rsid w:val="002C71CE"/>
    <w:rsid w:val="002C71FC"/>
    <w:rsid w:val="002C7ADD"/>
    <w:rsid w:val="002D00F9"/>
    <w:rsid w:val="002D014D"/>
    <w:rsid w:val="002D070D"/>
    <w:rsid w:val="002D08F8"/>
    <w:rsid w:val="002D0A8C"/>
    <w:rsid w:val="002D0C98"/>
    <w:rsid w:val="002D13F9"/>
    <w:rsid w:val="002D1755"/>
    <w:rsid w:val="002D18F3"/>
    <w:rsid w:val="002D191D"/>
    <w:rsid w:val="002D19AF"/>
    <w:rsid w:val="002D1D3B"/>
    <w:rsid w:val="002D200F"/>
    <w:rsid w:val="002D2179"/>
    <w:rsid w:val="002D21DE"/>
    <w:rsid w:val="002D28C5"/>
    <w:rsid w:val="002D2D25"/>
    <w:rsid w:val="002D3782"/>
    <w:rsid w:val="002D3B59"/>
    <w:rsid w:val="002D4C14"/>
    <w:rsid w:val="002D51C7"/>
    <w:rsid w:val="002D5398"/>
    <w:rsid w:val="002D575B"/>
    <w:rsid w:val="002D577C"/>
    <w:rsid w:val="002D5937"/>
    <w:rsid w:val="002D596C"/>
    <w:rsid w:val="002D59FD"/>
    <w:rsid w:val="002D5A4C"/>
    <w:rsid w:val="002D5B07"/>
    <w:rsid w:val="002D6652"/>
    <w:rsid w:val="002D6F9D"/>
    <w:rsid w:val="002D7209"/>
    <w:rsid w:val="002D7643"/>
    <w:rsid w:val="002D7660"/>
    <w:rsid w:val="002D7681"/>
    <w:rsid w:val="002D7832"/>
    <w:rsid w:val="002D7DA2"/>
    <w:rsid w:val="002E038E"/>
    <w:rsid w:val="002E09CF"/>
    <w:rsid w:val="002E0A48"/>
    <w:rsid w:val="002E0C8E"/>
    <w:rsid w:val="002E1071"/>
    <w:rsid w:val="002E1345"/>
    <w:rsid w:val="002E13C0"/>
    <w:rsid w:val="002E15B9"/>
    <w:rsid w:val="002E1738"/>
    <w:rsid w:val="002E19D7"/>
    <w:rsid w:val="002E1A43"/>
    <w:rsid w:val="002E1AEF"/>
    <w:rsid w:val="002E2158"/>
    <w:rsid w:val="002E21D9"/>
    <w:rsid w:val="002E3492"/>
    <w:rsid w:val="002E3807"/>
    <w:rsid w:val="002E396C"/>
    <w:rsid w:val="002E3A64"/>
    <w:rsid w:val="002E3C84"/>
    <w:rsid w:val="002E4000"/>
    <w:rsid w:val="002E4383"/>
    <w:rsid w:val="002E44CA"/>
    <w:rsid w:val="002E4F02"/>
    <w:rsid w:val="002E5226"/>
    <w:rsid w:val="002E5D44"/>
    <w:rsid w:val="002E730E"/>
    <w:rsid w:val="002E7722"/>
    <w:rsid w:val="002E776C"/>
    <w:rsid w:val="002E7962"/>
    <w:rsid w:val="002E7A42"/>
    <w:rsid w:val="002E7D57"/>
    <w:rsid w:val="002E7F1F"/>
    <w:rsid w:val="002F0008"/>
    <w:rsid w:val="002F0346"/>
    <w:rsid w:val="002F07BA"/>
    <w:rsid w:val="002F0DA9"/>
    <w:rsid w:val="002F1014"/>
    <w:rsid w:val="002F1A62"/>
    <w:rsid w:val="002F1E3B"/>
    <w:rsid w:val="002F25F3"/>
    <w:rsid w:val="002F27AE"/>
    <w:rsid w:val="002F2817"/>
    <w:rsid w:val="002F2D0E"/>
    <w:rsid w:val="002F2FF4"/>
    <w:rsid w:val="002F31E7"/>
    <w:rsid w:val="002F329A"/>
    <w:rsid w:val="002F390F"/>
    <w:rsid w:val="002F3A40"/>
    <w:rsid w:val="002F4B1B"/>
    <w:rsid w:val="002F4E85"/>
    <w:rsid w:val="002F58E0"/>
    <w:rsid w:val="002F5B6C"/>
    <w:rsid w:val="002F5FA6"/>
    <w:rsid w:val="002F5FA7"/>
    <w:rsid w:val="002F6308"/>
    <w:rsid w:val="002F643C"/>
    <w:rsid w:val="002F6B06"/>
    <w:rsid w:val="002F71C0"/>
    <w:rsid w:val="002F71F5"/>
    <w:rsid w:val="002F7216"/>
    <w:rsid w:val="002F74F1"/>
    <w:rsid w:val="002F76B1"/>
    <w:rsid w:val="00300030"/>
    <w:rsid w:val="00300345"/>
    <w:rsid w:val="003005C7"/>
    <w:rsid w:val="0030090C"/>
    <w:rsid w:val="00300A0A"/>
    <w:rsid w:val="00300F66"/>
    <w:rsid w:val="00300FFB"/>
    <w:rsid w:val="00301017"/>
    <w:rsid w:val="0030155F"/>
    <w:rsid w:val="00301765"/>
    <w:rsid w:val="00301EDC"/>
    <w:rsid w:val="00302253"/>
    <w:rsid w:val="0030242E"/>
    <w:rsid w:val="00302AD9"/>
    <w:rsid w:val="00302B00"/>
    <w:rsid w:val="00302C79"/>
    <w:rsid w:val="00303230"/>
    <w:rsid w:val="00303300"/>
    <w:rsid w:val="00303437"/>
    <w:rsid w:val="0030386C"/>
    <w:rsid w:val="003040CF"/>
    <w:rsid w:val="00304300"/>
    <w:rsid w:val="0030435D"/>
    <w:rsid w:val="0030471F"/>
    <w:rsid w:val="00304C0E"/>
    <w:rsid w:val="003054CB"/>
    <w:rsid w:val="0030587B"/>
    <w:rsid w:val="003059A1"/>
    <w:rsid w:val="00305A07"/>
    <w:rsid w:val="00305BB1"/>
    <w:rsid w:val="0030601F"/>
    <w:rsid w:val="0030675D"/>
    <w:rsid w:val="00306BC8"/>
    <w:rsid w:val="00306D98"/>
    <w:rsid w:val="00307237"/>
    <w:rsid w:val="003072CB"/>
    <w:rsid w:val="00307325"/>
    <w:rsid w:val="00307746"/>
    <w:rsid w:val="0030786C"/>
    <w:rsid w:val="00307C15"/>
    <w:rsid w:val="00307CEF"/>
    <w:rsid w:val="00310139"/>
    <w:rsid w:val="0031031A"/>
    <w:rsid w:val="003108D1"/>
    <w:rsid w:val="00310981"/>
    <w:rsid w:val="00310A32"/>
    <w:rsid w:val="00310B50"/>
    <w:rsid w:val="00310C25"/>
    <w:rsid w:val="00310D05"/>
    <w:rsid w:val="0031154A"/>
    <w:rsid w:val="00311D9B"/>
    <w:rsid w:val="003124CB"/>
    <w:rsid w:val="003124D9"/>
    <w:rsid w:val="00312594"/>
    <w:rsid w:val="0031279A"/>
    <w:rsid w:val="003129D6"/>
    <w:rsid w:val="003131EB"/>
    <w:rsid w:val="00313236"/>
    <w:rsid w:val="003136CA"/>
    <w:rsid w:val="003144B1"/>
    <w:rsid w:val="0031463F"/>
    <w:rsid w:val="0031506C"/>
    <w:rsid w:val="0031509C"/>
    <w:rsid w:val="003150C8"/>
    <w:rsid w:val="00315154"/>
    <w:rsid w:val="003151C7"/>
    <w:rsid w:val="00315316"/>
    <w:rsid w:val="00315498"/>
    <w:rsid w:val="00315EBC"/>
    <w:rsid w:val="003163D7"/>
    <w:rsid w:val="003163DC"/>
    <w:rsid w:val="00316403"/>
    <w:rsid w:val="00316474"/>
    <w:rsid w:val="0031656B"/>
    <w:rsid w:val="00316B71"/>
    <w:rsid w:val="003171AC"/>
    <w:rsid w:val="00317BA3"/>
    <w:rsid w:val="00317E51"/>
    <w:rsid w:val="003202F3"/>
    <w:rsid w:val="00320337"/>
    <w:rsid w:val="00320454"/>
    <w:rsid w:val="00320455"/>
    <w:rsid w:val="003204A1"/>
    <w:rsid w:val="00320520"/>
    <w:rsid w:val="003212C4"/>
    <w:rsid w:val="00321A78"/>
    <w:rsid w:val="00322107"/>
    <w:rsid w:val="00322355"/>
    <w:rsid w:val="0032247F"/>
    <w:rsid w:val="00322520"/>
    <w:rsid w:val="00322846"/>
    <w:rsid w:val="00322A34"/>
    <w:rsid w:val="00322A64"/>
    <w:rsid w:val="00322A6E"/>
    <w:rsid w:val="003230F3"/>
    <w:rsid w:val="00323207"/>
    <w:rsid w:val="0032369E"/>
    <w:rsid w:val="003240DD"/>
    <w:rsid w:val="00324148"/>
    <w:rsid w:val="003248D1"/>
    <w:rsid w:val="00324AA0"/>
    <w:rsid w:val="00325466"/>
    <w:rsid w:val="003255C8"/>
    <w:rsid w:val="00325D68"/>
    <w:rsid w:val="0032620C"/>
    <w:rsid w:val="00326CF6"/>
    <w:rsid w:val="00326DA7"/>
    <w:rsid w:val="00326DC2"/>
    <w:rsid w:val="003270E4"/>
    <w:rsid w:val="003279CA"/>
    <w:rsid w:val="00327A73"/>
    <w:rsid w:val="003309ED"/>
    <w:rsid w:val="00330BB6"/>
    <w:rsid w:val="00330DAA"/>
    <w:rsid w:val="00330F5C"/>
    <w:rsid w:val="00331504"/>
    <w:rsid w:val="00331721"/>
    <w:rsid w:val="003317E6"/>
    <w:rsid w:val="00331B3E"/>
    <w:rsid w:val="00331B4B"/>
    <w:rsid w:val="00331BF3"/>
    <w:rsid w:val="00331C13"/>
    <w:rsid w:val="00331F43"/>
    <w:rsid w:val="003326BE"/>
    <w:rsid w:val="0033316F"/>
    <w:rsid w:val="00333FF6"/>
    <w:rsid w:val="0033403B"/>
    <w:rsid w:val="0033415D"/>
    <w:rsid w:val="0033503D"/>
    <w:rsid w:val="00335CA5"/>
    <w:rsid w:val="0033637F"/>
    <w:rsid w:val="0033638A"/>
    <w:rsid w:val="003366C9"/>
    <w:rsid w:val="003369E3"/>
    <w:rsid w:val="00336F42"/>
    <w:rsid w:val="003371B0"/>
    <w:rsid w:val="00340284"/>
    <w:rsid w:val="003402E6"/>
    <w:rsid w:val="00340354"/>
    <w:rsid w:val="00340DF1"/>
    <w:rsid w:val="00341401"/>
    <w:rsid w:val="00341C9A"/>
    <w:rsid w:val="00341FA4"/>
    <w:rsid w:val="00341FB6"/>
    <w:rsid w:val="00342A12"/>
    <w:rsid w:val="00342BE9"/>
    <w:rsid w:val="00343285"/>
    <w:rsid w:val="00344070"/>
    <w:rsid w:val="00344432"/>
    <w:rsid w:val="00344526"/>
    <w:rsid w:val="0034473E"/>
    <w:rsid w:val="0034488A"/>
    <w:rsid w:val="00344890"/>
    <w:rsid w:val="00344D4B"/>
    <w:rsid w:val="00344D6E"/>
    <w:rsid w:val="00344FC4"/>
    <w:rsid w:val="0034708A"/>
    <w:rsid w:val="0034734F"/>
    <w:rsid w:val="003473F6"/>
    <w:rsid w:val="00347700"/>
    <w:rsid w:val="00347EFF"/>
    <w:rsid w:val="003500B3"/>
    <w:rsid w:val="00350897"/>
    <w:rsid w:val="003509AB"/>
    <w:rsid w:val="003512A4"/>
    <w:rsid w:val="0035151D"/>
    <w:rsid w:val="0035152C"/>
    <w:rsid w:val="00351778"/>
    <w:rsid w:val="003517F9"/>
    <w:rsid w:val="00351BA9"/>
    <w:rsid w:val="00351DC6"/>
    <w:rsid w:val="00352274"/>
    <w:rsid w:val="00352AD7"/>
    <w:rsid w:val="00352CD1"/>
    <w:rsid w:val="003530D8"/>
    <w:rsid w:val="003531E9"/>
    <w:rsid w:val="00353408"/>
    <w:rsid w:val="0035371D"/>
    <w:rsid w:val="0035373C"/>
    <w:rsid w:val="00353923"/>
    <w:rsid w:val="00353974"/>
    <w:rsid w:val="003547DE"/>
    <w:rsid w:val="00354D2D"/>
    <w:rsid w:val="00354DFA"/>
    <w:rsid w:val="00354F64"/>
    <w:rsid w:val="003555C8"/>
    <w:rsid w:val="003557A6"/>
    <w:rsid w:val="0035584F"/>
    <w:rsid w:val="00355AC4"/>
    <w:rsid w:val="00355D94"/>
    <w:rsid w:val="00355F1C"/>
    <w:rsid w:val="00355F53"/>
    <w:rsid w:val="00356054"/>
    <w:rsid w:val="0035620E"/>
    <w:rsid w:val="00356B3F"/>
    <w:rsid w:val="00356CE8"/>
    <w:rsid w:val="00356FD4"/>
    <w:rsid w:val="0035705C"/>
    <w:rsid w:val="003570F7"/>
    <w:rsid w:val="0035723D"/>
    <w:rsid w:val="0035728E"/>
    <w:rsid w:val="003575BE"/>
    <w:rsid w:val="00357F1B"/>
    <w:rsid w:val="00360345"/>
    <w:rsid w:val="00360F03"/>
    <w:rsid w:val="003610E8"/>
    <w:rsid w:val="003612E1"/>
    <w:rsid w:val="003615EE"/>
    <w:rsid w:val="0036175F"/>
    <w:rsid w:val="00361798"/>
    <w:rsid w:val="003619C4"/>
    <w:rsid w:val="00361A05"/>
    <w:rsid w:val="00362077"/>
    <w:rsid w:val="003621A4"/>
    <w:rsid w:val="00362420"/>
    <w:rsid w:val="003624C4"/>
    <w:rsid w:val="003628C7"/>
    <w:rsid w:val="00362B1C"/>
    <w:rsid w:val="00362C6B"/>
    <w:rsid w:val="00363099"/>
    <w:rsid w:val="00363263"/>
    <w:rsid w:val="00363440"/>
    <w:rsid w:val="00363B00"/>
    <w:rsid w:val="00363CC3"/>
    <w:rsid w:val="00363E21"/>
    <w:rsid w:val="00364311"/>
    <w:rsid w:val="00364348"/>
    <w:rsid w:val="00364549"/>
    <w:rsid w:val="0036508C"/>
    <w:rsid w:val="00365235"/>
    <w:rsid w:val="003654AC"/>
    <w:rsid w:val="003655B6"/>
    <w:rsid w:val="00365907"/>
    <w:rsid w:val="00365D3F"/>
    <w:rsid w:val="00365EC2"/>
    <w:rsid w:val="0036609A"/>
    <w:rsid w:val="00366767"/>
    <w:rsid w:val="00367558"/>
    <w:rsid w:val="003675FA"/>
    <w:rsid w:val="00367BCC"/>
    <w:rsid w:val="0037091A"/>
    <w:rsid w:val="003709EB"/>
    <w:rsid w:val="00370A1E"/>
    <w:rsid w:val="00370A6F"/>
    <w:rsid w:val="00370B67"/>
    <w:rsid w:val="00370D98"/>
    <w:rsid w:val="00370DB6"/>
    <w:rsid w:val="003710CF"/>
    <w:rsid w:val="003717D9"/>
    <w:rsid w:val="00371ABE"/>
    <w:rsid w:val="00371F2E"/>
    <w:rsid w:val="00371F9C"/>
    <w:rsid w:val="003722B5"/>
    <w:rsid w:val="00372382"/>
    <w:rsid w:val="00372636"/>
    <w:rsid w:val="0037265B"/>
    <w:rsid w:val="00372BA7"/>
    <w:rsid w:val="00372FE8"/>
    <w:rsid w:val="00373293"/>
    <w:rsid w:val="003732CD"/>
    <w:rsid w:val="0037358A"/>
    <w:rsid w:val="003735AB"/>
    <w:rsid w:val="003735BB"/>
    <w:rsid w:val="003736B7"/>
    <w:rsid w:val="00373FE5"/>
    <w:rsid w:val="003748B7"/>
    <w:rsid w:val="00374B4D"/>
    <w:rsid w:val="00374DE1"/>
    <w:rsid w:val="003750F6"/>
    <w:rsid w:val="0037580E"/>
    <w:rsid w:val="00375C2A"/>
    <w:rsid w:val="003760FC"/>
    <w:rsid w:val="00376E03"/>
    <w:rsid w:val="00377A46"/>
    <w:rsid w:val="0038024B"/>
    <w:rsid w:val="00380408"/>
    <w:rsid w:val="00380673"/>
    <w:rsid w:val="00380ABB"/>
    <w:rsid w:val="00380E79"/>
    <w:rsid w:val="00380EA2"/>
    <w:rsid w:val="00380F8A"/>
    <w:rsid w:val="0038180F"/>
    <w:rsid w:val="00381864"/>
    <w:rsid w:val="0038207F"/>
    <w:rsid w:val="00382AA5"/>
    <w:rsid w:val="00382E98"/>
    <w:rsid w:val="00383415"/>
    <w:rsid w:val="00383519"/>
    <w:rsid w:val="0038365C"/>
    <w:rsid w:val="0038369B"/>
    <w:rsid w:val="00383B70"/>
    <w:rsid w:val="00383B78"/>
    <w:rsid w:val="00384972"/>
    <w:rsid w:val="003853A6"/>
    <w:rsid w:val="00385745"/>
    <w:rsid w:val="00385A9D"/>
    <w:rsid w:val="00385C2D"/>
    <w:rsid w:val="00386004"/>
    <w:rsid w:val="00386465"/>
    <w:rsid w:val="00386729"/>
    <w:rsid w:val="003869AE"/>
    <w:rsid w:val="00386EB2"/>
    <w:rsid w:val="00387121"/>
    <w:rsid w:val="003902B1"/>
    <w:rsid w:val="0039077D"/>
    <w:rsid w:val="003907CD"/>
    <w:rsid w:val="00390E1B"/>
    <w:rsid w:val="0039156E"/>
    <w:rsid w:val="0039179C"/>
    <w:rsid w:val="00391C6D"/>
    <w:rsid w:val="00391E57"/>
    <w:rsid w:val="00391F4F"/>
    <w:rsid w:val="00391FDF"/>
    <w:rsid w:val="003920F5"/>
    <w:rsid w:val="003922B1"/>
    <w:rsid w:val="003924C4"/>
    <w:rsid w:val="00392A04"/>
    <w:rsid w:val="00392DC0"/>
    <w:rsid w:val="00393943"/>
    <w:rsid w:val="00393CCE"/>
    <w:rsid w:val="00393FA8"/>
    <w:rsid w:val="0039409E"/>
    <w:rsid w:val="003943B2"/>
    <w:rsid w:val="0039479A"/>
    <w:rsid w:val="00394893"/>
    <w:rsid w:val="003951B2"/>
    <w:rsid w:val="00395A48"/>
    <w:rsid w:val="00395DC2"/>
    <w:rsid w:val="003965F0"/>
    <w:rsid w:val="00396704"/>
    <w:rsid w:val="003967FA"/>
    <w:rsid w:val="00396896"/>
    <w:rsid w:val="00396E0C"/>
    <w:rsid w:val="00396E8A"/>
    <w:rsid w:val="00396F6C"/>
    <w:rsid w:val="00396FD0"/>
    <w:rsid w:val="003976FE"/>
    <w:rsid w:val="0039774F"/>
    <w:rsid w:val="00397946"/>
    <w:rsid w:val="00397D15"/>
    <w:rsid w:val="003A09ED"/>
    <w:rsid w:val="003A0B8B"/>
    <w:rsid w:val="003A0BC2"/>
    <w:rsid w:val="003A0C3C"/>
    <w:rsid w:val="003A0D01"/>
    <w:rsid w:val="003A121F"/>
    <w:rsid w:val="003A13B9"/>
    <w:rsid w:val="003A1A7A"/>
    <w:rsid w:val="003A1B7F"/>
    <w:rsid w:val="003A1C68"/>
    <w:rsid w:val="003A1E1E"/>
    <w:rsid w:val="003A1E7B"/>
    <w:rsid w:val="003A1EBD"/>
    <w:rsid w:val="003A22DE"/>
    <w:rsid w:val="003A2392"/>
    <w:rsid w:val="003A24F0"/>
    <w:rsid w:val="003A2540"/>
    <w:rsid w:val="003A2831"/>
    <w:rsid w:val="003A298B"/>
    <w:rsid w:val="003A3184"/>
    <w:rsid w:val="003A35D5"/>
    <w:rsid w:val="003A3ACF"/>
    <w:rsid w:val="003A3CB6"/>
    <w:rsid w:val="003A3D8F"/>
    <w:rsid w:val="003A3E4B"/>
    <w:rsid w:val="003A3ED1"/>
    <w:rsid w:val="003A44DB"/>
    <w:rsid w:val="003A450F"/>
    <w:rsid w:val="003A4578"/>
    <w:rsid w:val="003A4C14"/>
    <w:rsid w:val="003A4D26"/>
    <w:rsid w:val="003A53B7"/>
    <w:rsid w:val="003A54B0"/>
    <w:rsid w:val="003A56D2"/>
    <w:rsid w:val="003A5C66"/>
    <w:rsid w:val="003A5D55"/>
    <w:rsid w:val="003A5D6E"/>
    <w:rsid w:val="003A631A"/>
    <w:rsid w:val="003A6E98"/>
    <w:rsid w:val="003A71B7"/>
    <w:rsid w:val="003A75A0"/>
    <w:rsid w:val="003A75C1"/>
    <w:rsid w:val="003A7819"/>
    <w:rsid w:val="003B0403"/>
    <w:rsid w:val="003B0C51"/>
    <w:rsid w:val="003B177C"/>
    <w:rsid w:val="003B1DDD"/>
    <w:rsid w:val="003B246E"/>
    <w:rsid w:val="003B2583"/>
    <w:rsid w:val="003B25CF"/>
    <w:rsid w:val="003B29BF"/>
    <w:rsid w:val="003B2B85"/>
    <w:rsid w:val="003B3716"/>
    <w:rsid w:val="003B3971"/>
    <w:rsid w:val="003B3AF5"/>
    <w:rsid w:val="003B464C"/>
    <w:rsid w:val="003B49C5"/>
    <w:rsid w:val="003B4CB2"/>
    <w:rsid w:val="003B5337"/>
    <w:rsid w:val="003B55D1"/>
    <w:rsid w:val="003B5B61"/>
    <w:rsid w:val="003B63C4"/>
    <w:rsid w:val="003B6DE7"/>
    <w:rsid w:val="003B7682"/>
    <w:rsid w:val="003B7926"/>
    <w:rsid w:val="003C00B1"/>
    <w:rsid w:val="003C060E"/>
    <w:rsid w:val="003C0892"/>
    <w:rsid w:val="003C091C"/>
    <w:rsid w:val="003C0960"/>
    <w:rsid w:val="003C15F0"/>
    <w:rsid w:val="003C1631"/>
    <w:rsid w:val="003C1654"/>
    <w:rsid w:val="003C20B5"/>
    <w:rsid w:val="003C220D"/>
    <w:rsid w:val="003C22F3"/>
    <w:rsid w:val="003C2393"/>
    <w:rsid w:val="003C284E"/>
    <w:rsid w:val="003C2859"/>
    <w:rsid w:val="003C3272"/>
    <w:rsid w:val="003C330B"/>
    <w:rsid w:val="003C3504"/>
    <w:rsid w:val="003C38E1"/>
    <w:rsid w:val="003C39B4"/>
    <w:rsid w:val="003C3F61"/>
    <w:rsid w:val="003C41CA"/>
    <w:rsid w:val="003C4B1C"/>
    <w:rsid w:val="003C4DF9"/>
    <w:rsid w:val="003C519E"/>
    <w:rsid w:val="003C5542"/>
    <w:rsid w:val="003C5BE4"/>
    <w:rsid w:val="003C5C36"/>
    <w:rsid w:val="003C5F6C"/>
    <w:rsid w:val="003C5FA4"/>
    <w:rsid w:val="003C6743"/>
    <w:rsid w:val="003C7061"/>
    <w:rsid w:val="003C7577"/>
    <w:rsid w:val="003C7666"/>
    <w:rsid w:val="003C7C15"/>
    <w:rsid w:val="003C7D19"/>
    <w:rsid w:val="003C7D2F"/>
    <w:rsid w:val="003D017A"/>
    <w:rsid w:val="003D01D2"/>
    <w:rsid w:val="003D0508"/>
    <w:rsid w:val="003D0528"/>
    <w:rsid w:val="003D0862"/>
    <w:rsid w:val="003D08C1"/>
    <w:rsid w:val="003D0A53"/>
    <w:rsid w:val="003D0BC2"/>
    <w:rsid w:val="003D0C5A"/>
    <w:rsid w:val="003D0C92"/>
    <w:rsid w:val="003D0E75"/>
    <w:rsid w:val="003D107F"/>
    <w:rsid w:val="003D118B"/>
    <w:rsid w:val="003D1828"/>
    <w:rsid w:val="003D1DE4"/>
    <w:rsid w:val="003D1E9A"/>
    <w:rsid w:val="003D2162"/>
    <w:rsid w:val="003D2422"/>
    <w:rsid w:val="003D2654"/>
    <w:rsid w:val="003D30F7"/>
    <w:rsid w:val="003D349A"/>
    <w:rsid w:val="003D34DF"/>
    <w:rsid w:val="003D36B9"/>
    <w:rsid w:val="003D36D0"/>
    <w:rsid w:val="003D39A1"/>
    <w:rsid w:val="003D3E00"/>
    <w:rsid w:val="003D3FBF"/>
    <w:rsid w:val="003D4518"/>
    <w:rsid w:val="003D46AD"/>
    <w:rsid w:val="003D49BF"/>
    <w:rsid w:val="003D4A30"/>
    <w:rsid w:val="003D503C"/>
    <w:rsid w:val="003D50E4"/>
    <w:rsid w:val="003D51E5"/>
    <w:rsid w:val="003D661D"/>
    <w:rsid w:val="003D67C2"/>
    <w:rsid w:val="003D6FC7"/>
    <w:rsid w:val="003D7089"/>
    <w:rsid w:val="003D7452"/>
    <w:rsid w:val="003D7739"/>
    <w:rsid w:val="003D79BB"/>
    <w:rsid w:val="003D7BBC"/>
    <w:rsid w:val="003D7C98"/>
    <w:rsid w:val="003D7D9D"/>
    <w:rsid w:val="003D7F69"/>
    <w:rsid w:val="003E0543"/>
    <w:rsid w:val="003E06E3"/>
    <w:rsid w:val="003E09C8"/>
    <w:rsid w:val="003E0E8D"/>
    <w:rsid w:val="003E124B"/>
    <w:rsid w:val="003E127F"/>
    <w:rsid w:val="003E1ECD"/>
    <w:rsid w:val="003E1FDB"/>
    <w:rsid w:val="003E2010"/>
    <w:rsid w:val="003E218A"/>
    <w:rsid w:val="003E2351"/>
    <w:rsid w:val="003E2433"/>
    <w:rsid w:val="003E2464"/>
    <w:rsid w:val="003E2471"/>
    <w:rsid w:val="003E263D"/>
    <w:rsid w:val="003E2A1E"/>
    <w:rsid w:val="003E353D"/>
    <w:rsid w:val="003E3BFE"/>
    <w:rsid w:val="003E406E"/>
    <w:rsid w:val="003E41EF"/>
    <w:rsid w:val="003E4397"/>
    <w:rsid w:val="003E44CF"/>
    <w:rsid w:val="003E4542"/>
    <w:rsid w:val="003E4950"/>
    <w:rsid w:val="003E4CE9"/>
    <w:rsid w:val="003E51AE"/>
    <w:rsid w:val="003E5603"/>
    <w:rsid w:val="003E5B85"/>
    <w:rsid w:val="003E5D82"/>
    <w:rsid w:val="003E6381"/>
    <w:rsid w:val="003E638C"/>
    <w:rsid w:val="003E6C63"/>
    <w:rsid w:val="003E7245"/>
    <w:rsid w:val="003E7403"/>
    <w:rsid w:val="003E7405"/>
    <w:rsid w:val="003E749E"/>
    <w:rsid w:val="003E74AA"/>
    <w:rsid w:val="003E793C"/>
    <w:rsid w:val="003F01CE"/>
    <w:rsid w:val="003F0248"/>
    <w:rsid w:val="003F0268"/>
    <w:rsid w:val="003F0622"/>
    <w:rsid w:val="003F06C5"/>
    <w:rsid w:val="003F0EF7"/>
    <w:rsid w:val="003F157C"/>
    <w:rsid w:val="003F277B"/>
    <w:rsid w:val="003F297E"/>
    <w:rsid w:val="003F3C52"/>
    <w:rsid w:val="003F3CD6"/>
    <w:rsid w:val="003F4098"/>
    <w:rsid w:val="003F4156"/>
    <w:rsid w:val="003F4374"/>
    <w:rsid w:val="003F446D"/>
    <w:rsid w:val="003F492E"/>
    <w:rsid w:val="003F4BE9"/>
    <w:rsid w:val="003F5168"/>
    <w:rsid w:val="003F5369"/>
    <w:rsid w:val="003F5945"/>
    <w:rsid w:val="003F5ADF"/>
    <w:rsid w:val="003F5C32"/>
    <w:rsid w:val="003F5EE3"/>
    <w:rsid w:val="003F623D"/>
    <w:rsid w:val="003F6C12"/>
    <w:rsid w:val="003F7544"/>
    <w:rsid w:val="003F76C8"/>
    <w:rsid w:val="003F78A7"/>
    <w:rsid w:val="0040065D"/>
    <w:rsid w:val="00400B29"/>
    <w:rsid w:val="00400DFF"/>
    <w:rsid w:val="00401060"/>
    <w:rsid w:val="004011C6"/>
    <w:rsid w:val="00401847"/>
    <w:rsid w:val="00401D51"/>
    <w:rsid w:val="004020E2"/>
    <w:rsid w:val="00402780"/>
    <w:rsid w:val="00402812"/>
    <w:rsid w:val="00402B01"/>
    <w:rsid w:val="00402B74"/>
    <w:rsid w:val="00402C56"/>
    <w:rsid w:val="004036DC"/>
    <w:rsid w:val="00403DE9"/>
    <w:rsid w:val="00404124"/>
    <w:rsid w:val="0040461B"/>
    <w:rsid w:val="004048B1"/>
    <w:rsid w:val="00404A05"/>
    <w:rsid w:val="00404C99"/>
    <w:rsid w:val="00404DD8"/>
    <w:rsid w:val="0040504B"/>
    <w:rsid w:val="004056CE"/>
    <w:rsid w:val="004059F4"/>
    <w:rsid w:val="00405D71"/>
    <w:rsid w:val="00405DA6"/>
    <w:rsid w:val="00405DB1"/>
    <w:rsid w:val="0040617A"/>
    <w:rsid w:val="00407573"/>
    <w:rsid w:val="00407FE5"/>
    <w:rsid w:val="004101B0"/>
    <w:rsid w:val="00410326"/>
    <w:rsid w:val="004103C1"/>
    <w:rsid w:val="00410708"/>
    <w:rsid w:val="00410EC7"/>
    <w:rsid w:val="00410F68"/>
    <w:rsid w:val="00410FEF"/>
    <w:rsid w:val="0041178E"/>
    <w:rsid w:val="004118D8"/>
    <w:rsid w:val="00411AB2"/>
    <w:rsid w:val="00411B39"/>
    <w:rsid w:val="00411D00"/>
    <w:rsid w:val="004123A0"/>
    <w:rsid w:val="00412608"/>
    <w:rsid w:val="004127A7"/>
    <w:rsid w:val="00412EA2"/>
    <w:rsid w:val="00412FBC"/>
    <w:rsid w:val="0041317C"/>
    <w:rsid w:val="004132E8"/>
    <w:rsid w:val="004132EB"/>
    <w:rsid w:val="00413A1E"/>
    <w:rsid w:val="00414248"/>
    <w:rsid w:val="00414476"/>
    <w:rsid w:val="00414C2E"/>
    <w:rsid w:val="00414C87"/>
    <w:rsid w:val="00414D18"/>
    <w:rsid w:val="00414DC6"/>
    <w:rsid w:val="00414F38"/>
    <w:rsid w:val="004151CF"/>
    <w:rsid w:val="00415936"/>
    <w:rsid w:val="00415B9E"/>
    <w:rsid w:val="00415F05"/>
    <w:rsid w:val="00415F15"/>
    <w:rsid w:val="004160AE"/>
    <w:rsid w:val="004162F0"/>
    <w:rsid w:val="00416364"/>
    <w:rsid w:val="00416D56"/>
    <w:rsid w:val="00416D83"/>
    <w:rsid w:val="00416DC5"/>
    <w:rsid w:val="00416EB6"/>
    <w:rsid w:val="004173D9"/>
    <w:rsid w:val="004174C2"/>
    <w:rsid w:val="004174EC"/>
    <w:rsid w:val="0041754E"/>
    <w:rsid w:val="00417832"/>
    <w:rsid w:val="00417BCA"/>
    <w:rsid w:val="004202C4"/>
    <w:rsid w:val="00420387"/>
    <w:rsid w:val="0042047F"/>
    <w:rsid w:val="0042063B"/>
    <w:rsid w:val="00420745"/>
    <w:rsid w:val="004209A3"/>
    <w:rsid w:val="00420AA6"/>
    <w:rsid w:val="00420B44"/>
    <w:rsid w:val="00420B9F"/>
    <w:rsid w:val="00420E28"/>
    <w:rsid w:val="00421336"/>
    <w:rsid w:val="00421550"/>
    <w:rsid w:val="0042165B"/>
    <w:rsid w:val="0042192C"/>
    <w:rsid w:val="00421F6D"/>
    <w:rsid w:val="00422260"/>
    <w:rsid w:val="004225AC"/>
    <w:rsid w:val="004225FA"/>
    <w:rsid w:val="00422D0D"/>
    <w:rsid w:val="00423EC6"/>
    <w:rsid w:val="0042405A"/>
    <w:rsid w:val="0042413F"/>
    <w:rsid w:val="00424963"/>
    <w:rsid w:val="00424B7D"/>
    <w:rsid w:val="00424F72"/>
    <w:rsid w:val="00425229"/>
    <w:rsid w:val="00425285"/>
    <w:rsid w:val="00425447"/>
    <w:rsid w:val="00425591"/>
    <w:rsid w:val="00425A20"/>
    <w:rsid w:val="00426140"/>
    <w:rsid w:val="00426178"/>
    <w:rsid w:val="004261FD"/>
    <w:rsid w:val="004263A1"/>
    <w:rsid w:val="004266B0"/>
    <w:rsid w:val="00426F1E"/>
    <w:rsid w:val="00427E07"/>
    <w:rsid w:val="00427FA5"/>
    <w:rsid w:val="00430C64"/>
    <w:rsid w:val="004313AA"/>
    <w:rsid w:val="004319F8"/>
    <w:rsid w:val="00431B37"/>
    <w:rsid w:val="00431D4C"/>
    <w:rsid w:val="00431E55"/>
    <w:rsid w:val="004321F6"/>
    <w:rsid w:val="00432806"/>
    <w:rsid w:val="00432BFD"/>
    <w:rsid w:val="00432D51"/>
    <w:rsid w:val="00433044"/>
    <w:rsid w:val="00433171"/>
    <w:rsid w:val="004331BE"/>
    <w:rsid w:val="0043324F"/>
    <w:rsid w:val="0043358D"/>
    <w:rsid w:val="004335CC"/>
    <w:rsid w:val="004336F8"/>
    <w:rsid w:val="00433764"/>
    <w:rsid w:val="00433E41"/>
    <w:rsid w:val="00434088"/>
    <w:rsid w:val="00434461"/>
    <w:rsid w:val="0043459A"/>
    <w:rsid w:val="00434772"/>
    <w:rsid w:val="00434B07"/>
    <w:rsid w:val="004353D5"/>
    <w:rsid w:val="00435861"/>
    <w:rsid w:val="004358F2"/>
    <w:rsid w:val="00435BB0"/>
    <w:rsid w:val="00436073"/>
    <w:rsid w:val="004363E1"/>
    <w:rsid w:val="00436602"/>
    <w:rsid w:val="004367A5"/>
    <w:rsid w:val="00436A6B"/>
    <w:rsid w:val="0043753E"/>
    <w:rsid w:val="004375B9"/>
    <w:rsid w:val="0043761F"/>
    <w:rsid w:val="0043799C"/>
    <w:rsid w:val="004379EE"/>
    <w:rsid w:val="00437B88"/>
    <w:rsid w:val="004409C6"/>
    <w:rsid w:val="00440B3E"/>
    <w:rsid w:val="00440DF0"/>
    <w:rsid w:val="00441679"/>
    <w:rsid w:val="00441B01"/>
    <w:rsid w:val="00442367"/>
    <w:rsid w:val="004423A7"/>
    <w:rsid w:val="0044253A"/>
    <w:rsid w:val="00442604"/>
    <w:rsid w:val="004428D0"/>
    <w:rsid w:val="00442979"/>
    <w:rsid w:val="004430EA"/>
    <w:rsid w:val="004434F7"/>
    <w:rsid w:val="00443A4A"/>
    <w:rsid w:val="00443DD3"/>
    <w:rsid w:val="00443E6D"/>
    <w:rsid w:val="00444185"/>
    <w:rsid w:val="00444288"/>
    <w:rsid w:val="004443A7"/>
    <w:rsid w:val="0044442C"/>
    <w:rsid w:val="00444505"/>
    <w:rsid w:val="00444DA4"/>
    <w:rsid w:val="00444E4D"/>
    <w:rsid w:val="0044528C"/>
    <w:rsid w:val="004454F7"/>
    <w:rsid w:val="00445941"/>
    <w:rsid w:val="00445E69"/>
    <w:rsid w:val="00445F71"/>
    <w:rsid w:val="004464EB"/>
    <w:rsid w:val="004467FC"/>
    <w:rsid w:val="00446800"/>
    <w:rsid w:val="00446BA6"/>
    <w:rsid w:val="00446F05"/>
    <w:rsid w:val="00446FFB"/>
    <w:rsid w:val="004470AE"/>
    <w:rsid w:val="004474EC"/>
    <w:rsid w:val="004478D9"/>
    <w:rsid w:val="00447D26"/>
    <w:rsid w:val="00447DFC"/>
    <w:rsid w:val="00447E4A"/>
    <w:rsid w:val="004500DB"/>
    <w:rsid w:val="00450142"/>
    <w:rsid w:val="0045016C"/>
    <w:rsid w:val="004502CE"/>
    <w:rsid w:val="00450470"/>
    <w:rsid w:val="004507D8"/>
    <w:rsid w:val="004512DB"/>
    <w:rsid w:val="004516B1"/>
    <w:rsid w:val="0045175D"/>
    <w:rsid w:val="00451976"/>
    <w:rsid w:val="00451984"/>
    <w:rsid w:val="00451D96"/>
    <w:rsid w:val="00452C48"/>
    <w:rsid w:val="00452C90"/>
    <w:rsid w:val="00452CA9"/>
    <w:rsid w:val="0045420E"/>
    <w:rsid w:val="00454B14"/>
    <w:rsid w:val="004551E8"/>
    <w:rsid w:val="0045527F"/>
    <w:rsid w:val="004552C0"/>
    <w:rsid w:val="00455577"/>
    <w:rsid w:val="0045589A"/>
    <w:rsid w:val="004559C7"/>
    <w:rsid w:val="00455B1F"/>
    <w:rsid w:val="00455B93"/>
    <w:rsid w:val="00455C5C"/>
    <w:rsid w:val="00455D45"/>
    <w:rsid w:val="0045605E"/>
    <w:rsid w:val="004564BE"/>
    <w:rsid w:val="004565C9"/>
    <w:rsid w:val="004569A2"/>
    <w:rsid w:val="00456DC7"/>
    <w:rsid w:val="00456FCD"/>
    <w:rsid w:val="00457052"/>
    <w:rsid w:val="00457333"/>
    <w:rsid w:val="00457349"/>
    <w:rsid w:val="00457A0C"/>
    <w:rsid w:val="00457A1C"/>
    <w:rsid w:val="00457CAD"/>
    <w:rsid w:val="0046014E"/>
    <w:rsid w:val="00460375"/>
    <w:rsid w:val="00460915"/>
    <w:rsid w:val="00460A83"/>
    <w:rsid w:val="0046181E"/>
    <w:rsid w:val="0046232F"/>
    <w:rsid w:val="00462BB5"/>
    <w:rsid w:val="00462E8A"/>
    <w:rsid w:val="00462F9C"/>
    <w:rsid w:val="0046315E"/>
    <w:rsid w:val="0046347C"/>
    <w:rsid w:val="004636EC"/>
    <w:rsid w:val="00463C52"/>
    <w:rsid w:val="004640B9"/>
    <w:rsid w:val="00464528"/>
    <w:rsid w:val="00464595"/>
    <w:rsid w:val="004646C6"/>
    <w:rsid w:val="0046474F"/>
    <w:rsid w:val="004658B5"/>
    <w:rsid w:val="00465D4F"/>
    <w:rsid w:val="00465DDC"/>
    <w:rsid w:val="00466177"/>
    <w:rsid w:val="00466B8C"/>
    <w:rsid w:val="00467189"/>
    <w:rsid w:val="00467323"/>
    <w:rsid w:val="004675AB"/>
    <w:rsid w:val="00467638"/>
    <w:rsid w:val="004678F7"/>
    <w:rsid w:val="00467941"/>
    <w:rsid w:val="00467D22"/>
    <w:rsid w:val="00467E74"/>
    <w:rsid w:val="00467EA5"/>
    <w:rsid w:val="00470C6A"/>
    <w:rsid w:val="0047107C"/>
    <w:rsid w:val="00471152"/>
    <w:rsid w:val="0047128F"/>
    <w:rsid w:val="004715F4"/>
    <w:rsid w:val="00471B96"/>
    <w:rsid w:val="00471EA5"/>
    <w:rsid w:val="0047236E"/>
    <w:rsid w:val="00472862"/>
    <w:rsid w:val="00472A79"/>
    <w:rsid w:val="00472B47"/>
    <w:rsid w:val="00472D2C"/>
    <w:rsid w:val="00472DDE"/>
    <w:rsid w:val="00472F28"/>
    <w:rsid w:val="00473697"/>
    <w:rsid w:val="00473B89"/>
    <w:rsid w:val="00473D02"/>
    <w:rsid w:val="00473DA5"/>
    <w:rsid w:val="00473DAB"/>
    <w:rsid w:val="00473F19"/>
    <w:rsid w:val="004745B8"/>
    <w:rsid w:val="004755A0"/>
    <w:rsid w:val="00475E22"/>
    <w:rsid w:val="00476386"/>
    <w:rsid w:val="004765A5"/>
    <w:rsid w:val="00476A44"/>
    <w:rsid w:val="00476AD1"/>
    <w:rsid w:val="00476DF1"/>
    <w:rsid w:val="00477483"/>
    <w:rsid w:val="00477570"/>
    <w:rsid w:val="00477765"/>
    <w:rsid w:val="00477D1A"/>
    <w:rsid w:val="00477F16"/>
    <w:rsid w:val="00477FBF"/>
    <w:rsid w:val="0048023E"/>
    <w:rsid w:val="00480277"/>
    <w:rsid w:val="0048088E"/>
    <w:rsid w:val="00480AB6"/>
    <w:rsid w:val="00480CD7"/>
    <w:rsid w:val="00480F2B"/>
    <w:rsid w:val="00481F40"/>
    <w:rsid w:val="00482027"/>
    <w:rsid w:val="00482116"/>
    <w:rsid w:val="004826E3"/>
    <w:rsid w:val="00482720"/>
    <w:rsid w:val="00483405"/>
    <w:rsid w:val="004835E7"/>
    <w:rsid w:val="00483787"/>
    <w:rsid w:val="00483A71"/>
    <w:rsid w:val="00483A9F"/>
    <w:rsid w:val="00483F11"/>
    <w:rsid w:val="00483F31"/>
    <w:rsid w:val="00484348"/>
    <w:rsid w:val="0048444E"/>
    <w:rsid w:val="004844FF"/>
    <w:rsid w:val="004845E3"/>
    <w:rsid w:val="0048460C"/>
    <w:rsid w:val="004847EE"/>
    <w:rsid w:val="004848CB"/>
    <w:rsid w:val="00484DCA"/>
    <w:rsid w:val="00484E24"/>
    <w:rsid w:val="00484EAA"/>
    <w:rsid w:val="00485350"/>
    <w:rsid w:val="004859E1"/>
    <w:rsid w:val="004867E2"/>
    <w:rsid w:val="00486B97"/>
    <w:rsid w:val="00486D34"/>
    <w:rsid w:val="00487129"/>
    <w:rsid w:val="00487248"/>
    <w:rsid w:val="004873E6"/>
    <w:rsid w:val="00487986"/>
    <w:rsid w:val="004879C8"/>
    <w:rsid w:val="004901D8"/>
    <w:rsid w:val="00490354"/>
    <w:rsid w:val="00490B17"/>
    <w:rsid w:val="00490DEF"/>
    <w:rsid w:val="00490E14"/>
    <w:rsid w:val="00490E74"/>
    <w:rsid w:val="00491147"/>
    <w:rsid w:val="004911CD"/>
    <w:rsid w:val="00491361"/>
    <w:rsid w:val="00491500"/>
    <w:rsid w:val="00491537"/>
    <w:rsid w:val="0049162B"/>
    <w:rsid w:val="00491725"/>
    <w:rsid w:val="004919A4"/>
    <w:rsid w:val="004919D3"/>
    <w:rsid w:val="00491B3A"/>
    <w:rsid w:val="00491F22"/>
    <w:rsid w:val="0049216B"/>
    <w:rsid w:val="004923BA"/>
    <w:rsid w:val="004924DC"/>
    <w:rsid w:val="004927B1"/>
    <w:rsid w:val="00492B8C"/>
    <w:rsid w:val="00492BAD"/>
    <w:rsid w:val="00492CFD"/>
    <w:rsid w:val="0049386E"/>
    <w:rsid w:val="00493947"/>
    <w:rsid w:val="00493B65"/>
    <w:rsid w:val="00493B80"/>
    <w:rsid w:val="00493D21"/>
    <w:rsid w:val="004940B5"/>
    <w:rsid w:val="00494207"/>
    <w:rsid w:val="00494400"/>
    <w:rsid w:val="004945F4"/>
    <w:rsid w:val="004947ED"/>
    <w:rsid w:val="0049481B"/>
    <w:rsid w:val="00494DD5"/>
    <w:rsid w:val="00494F2C"/>
    <w:rsid w:val="00495579"/>
    <w:rsid w:val="004957DB"/>
    <w:rsid w:val="00495977"/>
    <w:rsid w:val="00495A03"/>
    <w:rsid w:val="0049611E"/>
    <w:rsid w:val="004962D2"/>
    <w:rsid w:val="004966FA"/>
    <w:rsid w:val="00497695"/>
    <w:rsid w:val="00497937"/>
    <w:rsid w:val="004A025B"/>
    <w:rsid w:val="004A0667"/>
    <w:rsid w:val="004A0BE7"/>
    <w:rsid w:val="004A0D06"/>
    <w:rsid w:val="004A0DA1"/>
    <w:rsid w:val="004A126A"/>
    <w:rsid w:val="004A1371"/>
    <w:rsid w:val="004A13D6"/>
    <w:rsid w:val="004A1F53"/>
    <w:rsid w:val="004A23FF"/>
    <w:rsid w:val="004A2A53"/>
    <w:rsid w:val="004A2F4D"/>
    <w:rsid w:val="004A31B5"/>
    <w:rsid w:val="004A36A6"/>
    <w:rsid w:val="004A3FF2"/>
    <w:rsid w:val="004A4129"/>
    <w:rsid w:val="004A4263"/>
    <w:rsid w:val="004A47A4"/>
    <w:rsid w:val="004A4D43"/>
    <w:rsid w:val="004A520D"/>
    <w:rsid w:val="004A52E9"/>
    <w:rsid w:val="004A55D7"/>
    <w:rsid w:val="004A5724"/>
    <w:rsid w:val="004A5FE8"/>
    <w:rsid w:val="004A6040"/>
    <w:rsid w:val="004A60DE"/>
    <w:rsid w:val="004A62D4"/>
    <w:rsid w:val="004A6597"/>
    <w:rsid w:val="004A662B"/>
    <w:rsid w:val="004A6742"/>
    <w:rsid w:val="004A6998"/>
    <w:rsid w:val="004A69A9"/>
    <w:rsid w:val="004A6B98"/>
    <w:rsid w:val="004A6CA6"/>
    <w:rsid w:val="004A6E55"/>
    <w:rsid w:val="004A747F"/>
    <w:rsid w:val="004A7848"/>
    <w:rsid w:val="004A793B"/>
    <w:rsid w:val="004A7B48"/>
    <w:rsid w:val="004A7C84"/>
    <w:rsid w:val="004A7CC1"/>
    <w:rsid w:val="004A7EA0"/>
    <w:rsid w:val="004B09AF"/>
    <w:rsid w:val="004B0E4F"/>
    <w:rsid w:val="004B131B"/>
    <w:rsid w:val="004B1AED"/>
    <w:rsid w:val="004B1CB4"/>
    <w:rsid w:val="004B1DF6"/>
    <w:rsid w:val="004B2126"/>
    <w:rsid w:val="004B2297"/>
    <w:rsid w:val="004B2577"/>
    <w:rsid w:val="004B28B7"/>
    <w:rsid w:val="004B2C1C"/>
    <w:rsid w:val="004B2D88"/>
    <w:rsid w:val="004B2F18"/>
    <w:rsid w:val="004B34A0"/>
    <w:rsid w:val="004B38BD"/>
    <w:rsid w:val="004B3AB3"/>
    <w:rsid w:val="004B3BD1"/>
    <w:rsid w:val="004B3DDB"/>
    <w:rsid w:val="004B3EEC"/>
    <w:rsid w:val="004B403F"/>
    <w:rsid w:val="004B41EB"/>
    <w:rsid w:val="004B44FD"/>
    <w:rsid w:val="004B5CFC"/>
    <w:rsid w:val="004B5DDB"/>
    <w:rsid w:val="004B605F"/>
    <w:rsid w:val="004B60C0"/>
    <w:rsid w:val="004B6678"/>
    <w:rsid w:val="004B699E"/>
    <w:rsid w:val="004B6D38"/>
    <w:rsid w:val="004B6DFC"/>
    <w:rsid w:val="004B6F79"/>
    <w:rsid w:val="004B75AC"/>
    <w:rsid w:val="004B774D"/>
    <w:rsid w:val="004B7A34"/>
    <w:rsid w:val="004C0122"/>
    <w:rsid w:val="004C04DF"/>
    <w:rsid w:val="004C0B1F"/>
    <w:rsid w:val="004C0F63"/>
    <w:rsid w:val="004C10E6"/>
    <w:rsid w:val="004C150F"/>
    <w:rsid w:val="004C1913"/>
    <w:rsid w:val="004C1FE8"/>
    <w:rsid w:val="004C2107"/>
    <w:rsid w:val="004C2AC2"/>
    <w:rsid w:val="004C2EE5"/>
    <w:rsid w:val="004C3349"/>
    <w:rsid w:val="004C35EC"/>
    <w:rsid w:val="004C39DB"/>
    <w:rsid w:val="004C3B02"/>
    <w:rsid w:val="004C3D4C"/>
    <w:rsid w:val="004C4394"/>
    <w:rsid w:val="004C44B9"/>
    <w:rsid w:val="004C4AED"/>
    <w:rsid w:val="004C5493"/>
    <w:rsid w:val="004C57D2"/>
    <w:rsid w:val="004C57DB"/>
    <w:rsid w:val="004C66E4"/>
    <w:rsid w:val="004C68D9"/>
    <w:rsid w:val="004C6E7E"/>
    <w:rsid w:val="004C731B"/>
    <w:rsid w:val="004C7672"/>
    <w:rsid w:val="004D04D5"/>
    <w:rsid w:val="004D0661"/>
    <w:rsid w:val="004D0A18"/>
    <w:rsid w:val="004D1191"/>
    <w:rsid w:val="004D1294"/>
    <w:rsid w:val="004D14E5"/>
    <w:rsid w:val="004D1648"/>
    <w:rsid w:val="004D1A02"/>
    <w:rsid w:val="004D2000"/>
    <w:rsid w:val="004D2542"/>
    <w:rsid w:val="004D2621"/>
    <w:rsid w:val="004D27BE"/>
    <w:rsid w:val="004D2A7B"/>
    <w:rsid w:val="004D2C2D"/>
    <w:rsid w:val="004D3109"/>
    <w:rsid w:val="004D31A5"/>
    <w:rsid w:val="004D3AAC"/>
    <w:rsid w:val="004D491E"/>
    <w:rsid w:val="004D5273"/>
    <w:rsid w:val="004D537C"/>
    <w:rsid w:val="004D555D"/>
    <w:rsid w:val="004D57C8"/>
    <w:rsid w:val="004D590C"/>
    <w:rsid w:val="004D5A93"/>
    <w:rsid w:val="004D69B5"/>
    <w:rsid w:val="004D70BE"/>
    <w:rsid w:val="004D7227"/>
    <w:rsid w:val="004D7279"/>
    <w:rsid w:val="004D75DE"/>
    <w:rsid w:val="004D79BA"/>
    <w:rsid w:val="004D7B5E"/>
    <w:rsid w:val="004D7BA9"/>
    <w:rsid w:val="004E0015"/>
    <w:rsid w:val="004E00FD"/>
    <w:rsid w:val="004E0424"/>
    <w:rsid w:val="004E0699"/>
    <w:rsid w:val="004E0E7F"/>
    <w:rsid w:val="004E0EB8"/>
    <w:rsid w:val="004E1395"/>
    <w:rsid w:val="004E18E9"/>
    <w:rsid w:val="004E2401"/>
    <w:rsid w:val="004E2ADC"/>
    <w:rsid w:val="004E2DCE"/>
    <w:rsid w:val="004E2FDF"/>
    <w:rsid w:val="004E3168"/>
    <w:rsid w:val="004E3747"/>
    <w:rsid w:val="004E43B2"/>
    <w:rsid w:val="004E43B6"/>
    <w:rsid w:val="004E44BA"/>
    <w:rsid w:val="004E478C"/>
    <w:rsid w:val="004E584C"/>
    <w:rsid w:val="004E65B2"/>
    <w:rsid w:val="004E66CB"/>
    <w:rsid w:val="004E67ED"/>
    <w:rsid w:val="004E68ED"/>
    <w:rsid w:val="004E692E"/>
    <w:rsid w:val="004E69C6"/>
    <w:rsid w:val="004E7818"/>
    <w:rsid w:val="004E7D57"/>
    <w:rsid w:val="004F0110"/>
    <w:rsid w:val="004F05AE"/>
    <w:rsid w:val="004F0B0B"/>
    <w:rsid w:val="004F0C90"/>
    <w:rsid w:val="004F1184"/>
    <w:rsid w:val="004F15B5"/>
    <w:rsid w:val="004F15EC"/>
    <w:rsid w:val="004F1D02"/>
    <w:rsid w:val="004F2378"/>
    <w:rsid w:val="004F247C"/>
    <w:rsid w:val="004F2582"/>
    <w:rsid w:val="004F2679"/>
    <w:rsid w:val="004F27DF"/>
    <w:rsid w:val="004F2F21"/>
    <w:rsid w:val="004F3B37"/>
    <w:rsid w:val="004F3D17"/>
    <w:rsid w:val="004F3DE5"/>
    <w:rsid w:val="004F3F75"/>
    <w:rsid w:val="004F3F7C"/>
    <w:rsid w:val="004F4374"/>
    <w:rsid w:val="004F4E64"/>
    <w:rsid w:val="004F4F31"/>
    <w:rsid w:val="004F4FDE"/>
    <w:rsid w:val="004F5561"/>
    <w:rsid w:val="004F5B8A"/>
    <w:rsid w:val="004F6913"/>
    <w:rsid w:val="004F6AC8"/>
    <w:rsid w:val="004F6C07"/>
    <w:rsid w:val="004F7283"/>
    <w:rsid w:val="004F746E"/>
    <w:rsid w:val="004F7865"/>
    <w:rsid w:val="00500077"/>
    <w:rsid w:val="00500876"/>
    <w:rsid w:val="005015BE"/>
    <w:rsid w:val="0050174E"/>
    <w:rsid w:val="00501854"/>
    <w:rsid w:val="00501AB4"/>
    <w:rsid w:val="00501B5A"/>
    <w:rsid w:val="00501C9A"/>
    <w:rsid w:val="0050219B"/>
    <w:rsid w:val="005021A0"/>
    <w:rsid w:val="0050269D"/>
    <w:rsid w:val="00502996"/>
    <w:rsid w:val="0050305F"/>
    <w:rsid w:val="00503F17"/>
    <w:rsid w:val="00503F3A"/>
    <w:rsid w:val="00504E88"/>
    <w:rsid w:val="00504F11"/>
    <w:rsid w:val="00505235"/>
    <w:rsid w:val="0050541D"/>
    <w:rsid w:val="00505536"/>
    <w:rsid w:val="00505739"/>
    <w:rsid w:val="00505826"/>
    <w:rsid w:val="00505FDC"/>
    <w:rsid w:val="00506124"/>
    <w:rsid w:val="00506294"/>
    <w:rsid w:val="00506928"/>
    <w:rsid w:val="00506F8A"/>
    <w:rsid w:val="005077EF"/>
    <w:rsid w:val="00507B0F"/>
    <w:rsid w:val="00507BD5"/>
    <w:rsid w:val="00507D34"/>
    <w:rsid w:val="00507E77"/>
    <w:rsid w:val="00510070"/>
    <w:rsid w:val="00510570"/>
    <w:rsid w:val="005105E1"/>
    <w:rsid w:val="005109D0"/>
    <w:rsid w:val="00510A36"/>
    <w:rsid w:val="00510A45"/>
    <w:rsid w:val="00511042"/>
    <w:rsid w:val="005112C5"/>
    <w:rsid w:val="00511AD5"/>
    <w:rsid w:val="00511ADB"/>
    <w:rsid w:val="00511DC7"/>
    <w:rsid w:val="0051240C"/>
    <w:rsid w:val="005124FA"/>
    <w:rsid w:val="00512C8D"/>
    <w:rsid w:val="00512E0C"/>
    <w:rsid w:val="00512E71"/>
    <w:rsid w:val="00512F87"/>
    <w:rsid w:val="00513698"/>
    <w:rsid w:val="005139A0"/>
    <w:rsid w:val="005140D5"/>
    <w:rsid w:val="005142C5"/>
    <w:rsid w:val="0051443B"/>
    <w:rsid w:val="0051501B"/>
    <w:rsid w:val="005152B5"/>
    <w:rsid w:val="00515776"/>
    <w:rsid w:val="00515886"/>
    <w:rsid w:val="00515CB4"/>
    <w:rsid w:val="00515EA6"/>
    <w:rsid w:val="00516011"/>
    <w:rsid w:val="005161F4"/>
    <w:rsid w:val="00516279"/>
    <w:rsid w:val="005168D9"/>
    <w:rsid w:val="00516AD6"/>
    <w:rsid w:val="00516BCD"/>
    <w:rsid w:val="00516E07"/>
    <w:rsid w:val="005175EC"/>
    <w:rsid w:val="00517C95"/>
    <w:rsid w:val="0052083B"/>
    <w:rsid w:val="00520A54"/>
    <w:rsid w:val="0052123C"/>
    <w:rsid w:val="00521319"/>
    <w:rsid w:val="005214E2"/>
    <w:rsid w:val="005218A1"/>
    <w:rsid w:val="00522BC8"/>
    <w:rsid w:val="00522CDA"/>
    <w:rsid w:val="00522E4F"/>
    <w:rsid w:val="005233BA"/>
    <w:rsid w:val="0052394C"/>
    <w:rsid w:val="00523C28"/>
    <w:rsid w:val="00524210"/>
    <w:rsid w:val="00524436"/>
    <w:rsid w:val="005246ED"/>
    <w:rsid w:val="00524BBD"/>
    <w:rsid w:val="005255A0"/>
    <w:rsid w:val="00525B9C"/>
    <w:rsid w:val="00525F04"/>
    <w:rsid w:val="005264C2"/>
    <w:rsid w:val="00526608"/>
    <w:rsid w:val="005266EE"/>
    <w:rsid w:val="0052671F"/>
    <w:rsid w:val="00526B50"/>
    <w:rsid w:val="00526EFE"/>
    <w:rsid w:val="005271D9"/>
    <w:rsid w:val="00527576"/>
    <w:rsid w:val="005276F5"/>
    <w:rsid w:val="005279E7"/>
    <w:rsid w:val="00527BE8"/>
    <w:rsid w:val="00527D02"/>
    <w:rsid w:val="00527DE2"/>
    <w:rsid w:val="00527F3E"/>
    <w:rsid w:val="00530688"/>
    <w:rsid w:val="005306D4"/>
    <w:rsid w:val="00530C90"/>
    <w:rsid w:val="00531724"/>
    <w:rsid w:val="00531738"/>
    <w:rsid w:val="0053175E"/>
    <w:rsid w:val="0053176B"/>
    <w:rsid w:val="00531B42"/>
    <w:rsid w:val="00531D2D"/>
    <w:rsid w:val="00532FE7"/>
    <w:rsid w:val="00533AD7"/>
    <w:rsid w:val="00533AE6"/>
    <w:rsid w:val="005341B3"/>
    <w:rsid w:val="0053421B"/>
    <w:rsid w:val="00534FC5"/>
    <w:rsid w:val="005351B8"/>
    <w:rsid w:val="005354DD"/>
    <w:rsid w:val="00535727"/>
    <w:rsid w:val="00535E0D"/>
    <w:rsid w:val="00536E88"/>
    <w:rsid w:val="00536F42"/>
    <w:rsid w:val="00537182"/>
    <w:rsid w:val="005371D0"/>
    <w:rsid w:val="00537202"/>
    <w:rsid w:val="0053730F"/>
    <w:rsid w:val="005373B1"/>
    <w:rsid w:val="00537852"/>
    <w:rsid w:val="00537928"/>
    <w:rsid w:val="00537A03"/>
    <w:rsid w:val="00537FA9"/>
    <w:rsid w:val="00540529"/>
    <w:rsid w:val="00540645"/>
    <w:rsid w:val="00540AC0"/>
    <w:rsid w:val="00540B92"/>
    <w:rsid w:val="00540C37"/>
    <w:rsid w:val="00540D98"/>
    <w:rsid w:val="005410DF"/>
    <w:rsid w:val="005419B2"/>
    <w:rsid w:val="00541ADF"/>
    <w:rsid w:val="00541D93"/>
    <w:rsid w:val="00541EDD"/>
    <w:rsid w:val="00542743"/>
    <w:rsid w:val="00542969"/>
    <w:rsid w:val="00542BE3"/>
    <w:rsid w:val="00542C2D"/>
    <w:rsid w:val="00542EEE"/>
    <w:rsid w:val="005435AA"/>
    <w:rsid w:val="00543604"/>
    <w:rsid w:val="00543707"/>
    <w:rsid w:val="005438B3"/>
    <w:rsid w:val="00543DA0"/>
    <w:rsid w:val="00544645"/>
    <w:rsid w:val="005448D3"/>
    <w:rsid w:val="00544D06"/>
    <w:rsid w:val="00545FCF"/>
    <w:rsid w:val="00546128"/>
    <w:rsid w:val="005465ED"/>
    <w:rsid w:val="0054680F"/>
    <w:rsid w:val="00546936"/>
    <w:rsid w:val="00546FF2"/>
    <w:rsid w:val="0054719C"/>
    <w:rsid w:val="005478BD"/>
    <w:rsid w:val="005479E3"/>
    <w:rsid w:val="00547DC9"/>
    <w:rsid w:val="00550150"/>
    <w:rsid w:val="00550168"/>
    <w:rsid w:val="00550354"/>
    <w:rsid w:val="0055041D"/>
    <w:rsid w:val="00550757"/>
    <w:rsid w:val="00550F8A"/>
    <w:rsid w:val="005513D5"/>
    <w:rsid w:val="00551600"/>
    <w:rsid w:val="00551985"/>
    <w:rsid w:val="005528FC"/>
    <w:rsid w:val="00552BD3"/>
    <w:rsid w:val="0055324E"/>
    <w:rsid w:val="005532A0"/>
    <w:rsid w:val="005534EF"/>
    <w:rsid w:val="00553743"/>
    <w:rsid w:val="00553884"/>
    <w:rsid w:val="005538F1"/>
    <w:rsid w:val="005541C4"/>
    <w:rsid w:val="00554333"/>
    <w:rsid w:val="005547B3"/>
    <w:rsid w:val="00554BA1"/>
    <w:rsid w:val="00554C2F"/>
    <w:rsid w:val="00554EA7"/>
    <w:rsid w:val="00555109"/>
    <w:rsid w:val="0055657F"/>
    <w:rsid w:val="00556B35"/>
    <w:rsid w:val="00556F4D"/>
    <w:rsid w:val="005570A7"/>
    <w:rsid w:val="00557198"/>
    <w:rsid w:val="0055741A"/>
    <w:rsid w:val="00557C49"/>
    <w:rsid w:val="00557EA7"/>
    <w:rsid w:val="00557F73"/>
    <w:rsid w:val="00560004"/>
    <w:rsid w:val="00560164"/>
    <w:rsid w:val="005603A4"/>
    <w:rsid w:val="0056075F"/>
    <w:rsid w:val="005611B7"/>
    <w:rsid w:val="005612D6"/>
    <w:rsid w:val="005618D4"/>
    <w:rsid w:val="00561D63"/>
    <w:rsid w:val="00561FCA"/>
    <w:rsid w:val="005625BF"/>
    <w:rsid w:val="005625CC"/>
    <w:rsid w:val="00562CC6"/>
    <w:rsid w:val="0056300D"/>
    <w:rsid w:val="00563037"/>
    <w:rsid w:val="00563084"/>
    <w:rsid w:val="005631E6"/>
    <w:rsid w:val="0056345E"/>
    <w:rsid w:val="0056377D"/>
    <w:rsid w:val="0056394F"/>
    <w:rsid w:val="00563C40"/>
    <w:rsid w:val="00564684"/>
    <w:rsid w:val="00564867"/>
    <w:rsid w:val="005648EF"/>
    <w:rsid w:val="00564DFE"/>
    <w:rsid w:val="00564E67"/>
    <w:rsid w:val="00565278"/>
    <w:rsid w:val="0056577C"/>
    <w:rsid w:val="00565A79"/>
    <w:rsid w:val="00565AB1"/>
    <w:rsid w:val="00565C79"/>
    <w:rsid w:val="00565DB2"/>
    <w:rsid w:val="00565DF0"/>
    <w:rsid w:val="00566101"/>
    <w:rsid w:val="00566611"/>
    <w:rsid w:val="0056696F"/>
    <w:rsid w:val="00566C81"/>
    <w:rsid w:val="00566FDC"/>
    <w:rsid w:val="00567094"/>
    <w:rsid w:val="0056797B"/>
    <w:rsid w:val="00567AF5"/>
    <w:rsid w:val="0057008C"/>
    <w:rsid w:val="00570597"/>
    <w:rsid w:val="005705E8"/>
    <w:rsid w:val="00570692"/>
    <w:rsid w:val="0057110D"/>
    <w:rsid w:val="005713C7"/>
    <w:rsid w:val="005718C5"/>
    <w:rsid w:val="00572269"/>
    <w:rsid w:val="0057230B"/>
    <w:rsid w:val="0057244A"/>
    <w:rsid w:val="00572B54"/>
    <w:rsid w:val="00572B69"/>
    <w:rsid w:val="00572F26"/>
    <w:rsid w:val="00573483"/>
    <w:rsid w:val="0057362F"/>
    <w:rsid w:val="005743D3"/>
    <w:rsid w:val="00574748"/>
    <w:rsid w:val="005747F9"/>
    <w:rsid w:val="00574E23"/>
    <w:rsid w:val="005750C5"/>
    <w:rsid w:val="005752DE"/>
    <w:rsid w:val="00575570"/>
    <w:rsid w:val="00575940"/>
    <w:rsid w:val="00575943"/>
    <w:rsid w:val="00575D60"/>
    <w:rsid w:val="00575D8D"/>
    <w:rsid w:val="00576525"/>
    <w:rsid w:val="0057672B"/>
    <w:rsid w:val="00576972"/>
    <w:rsid w:val="00577026"/>
    <w:rsid w:val="005771B4"/>
    <w:rsid w:val="005771FA"/>
    <w:rsid w:val="00577248"/>
    <w:rsid w:val="005772E4"/>
    <w:rsid w:val="0057739E"/>
    <w:rsid w:val="00577E65"/>
    <w:rsid w:val="0058037C"/>
    <w:rsid w:val="00580520"/>
    <w:rsid w:val="00580553"/>
    <w:rsid w:val="0058056D"/>
    <w:rsid w:val="005808C3"/>
    <w:rsid w:val="00580BB5"/>
    <w:rsid w:val="00581358"/>
    <w:rsid w:val="0058187A"/>
    <w:rsid w:val="005818E8"/>
    <w:rsid w:val="005820DB"/>
    <w:rsid w:val="005822A7"/>
    <w:rsid w:val="00582AB1"/>
    <w:rsid w:val="005832FF"/>
    <w:rsid w:val="005835F2"/>
    <w:rsid w:val="00583699"/>
    <w:rsid w:val="005838CC"/>
    <w:rsid w:val="00583F84"/>
    <w:rsid w:val="00583F86"/>
    <w:rsid w:val="005844A8"/>
    <w:rsid w:val="005845F4"/>
    <w:rsid w:val="00584D45"/>
    <w:rsid w:val="00585338"/>
    <w:rsid w:val="00585BBB"/>
    <w:rsid w:val="00585CDD"/>
    <w:rsid w:val="00585F89"/>
    <w:rsid w:val="00586704"/>
    <w:rsid w:val="00587058"/>
    <w:rsid w:val="00587C97"/>
    <w:rsid w:val="00587C9A"/>
    <w:rsid w:val="00590638"/>
    <w:rsid w:val="00590D8A"/>
    <w:rsid w:val="00590DF6"/>
    <w:rsid w:val="005914E0"/>
    <w:rsid w:val="00591957"/>
    <w:rsid w:val="00591B13"/>
    <w:rsid w:val="00591B19"/>
    <w:rsid w:val="00591D3F"/>
    <w:rsid w:val="00591EDA"/>
    <w:rsid w:val="005921F3"/>
    <w:rsid w:val="0059220C"/>
    <w:rsid w:val="0059237F"/>
    <w:rsid w:val="0059274F"/>
    <w:rsid w:val="00592AAC"/>
    <w:rsid w:val="005931F2"/>
    <w:rsid w:val="0059368B"/>
    <w:rsid w:val="005936E9"/>
    <w:rsid w:val="00593783"/>
    <w:rsid w:val="0059385F"/>
    <w:rsid w:val="00593F4A"/>
    <w:rsid w:val="005940F6"/>
    <w:rsid w:val="00594182"/>
    <w:rsid w:val="00594204"/>
    <w:rsid w:val="00594F89"/>
    <w:rsid w:val="005950B7"/>
    <w:rsid w:val="00595ED4"/>
    <w:rsid w:val="005968D7"/>
    <w:rsid w:val="00596ECB"/>
    <w:rsid w:val="005970AF"/>
    <w:rsid w:val="005971EC"/>
    <w:rsid w:val="0059725C"/>
    <w:rsid w:val="00597780"/>
    <w:rsid w:val="00597BF9"/>
    <w:rsid w:val="005A0096"/>
    <w:rsid w:val="005A01F1"/>
    <w:rsid w:val="005A04AD"/>
    <w:rsid w:val="005A04D3"/>
    <w:rsid w:val="005A0C11"/>
    <w:rsid w:val="005A0C65"/>
    <w:rsid w:val="005A0F23"/>
    <w:rsid w:val="005A1157"/>
    <w:rsid w:val="005A1BD4"/>
    <w:rsid w:val="005A1C72"/>
    <w:rsid w:val="005A1E92"/>
    <w:rsid w:val="005A1FC5"/>
    <w:rsid w:val="005A1FFC"/>
    <w:rsid w:val="005A220F"/>
    <w:rsid w:val="005A23CC"/>
    <w:rsid w:val="005A28A6"/>
    <w:rsid w:val="005A309A"/>
    <w:rsid w:val="005A3448"/>
    <w:rsid w:val="005A373D"/>
    <w:rsid w:val="005A3B7F"/>
    <w:rsid w:val="005A3C96"/>
    <w:rsid w:val="005A4307"/>
    <w:rsid w:val="005A4EF5"/>
    <w:rsid w:val="005A57A3"/>
    <w:rsid w:val="005A5979"/>
    <w:rsid w:val="005A672A"/>
    <w:rsid w:val="005A6991"/>
    <w:rsid w:val="005A6B77"/>
    <w:rsid w:val="005A7B5F"/>
    <w:rsid w:val="005A7BB7"/>
    <w:rsid w:val="005B050A"/>
    <w:rsid w:val="005B0B58"/>
    <w:rsid w:val="005B0D10"/>
    <w:rsid w:val="005B128B"/>
    <w:rsid w:val="005B1961"/>
    <w:rsid w:val="005B19D2"/>
    <w:rsid w:val="005B1C2D"/>
    <w:rsid w:val="005B1DA6"/>
    <w:rsid w:val="005B2044"/>
    <w:rsid w:val="005B2BF1"/>
    <w:rsid w:val="005B31D5"/>
    <w:rsid w:val="005B3EF5"/>
    <w:rsid w:val="005B3FF1"/>
    <w:rsid w:val="005B4375"/>
    <w:rsid w:val="005B4649"/>
    <w:rsid w:val="005B4A6E"/>
    <w:rsid w:val="005B4B33"/>
    <w:rsid w:val="005B4E53"/>
    <w:rsid w:val="005B521C"/>
    <w:rsid w:val="005B5857"/>
    <w:rsid w:val="005B5ABD"/>
    <w:rsid w:val="005B5C49"/>
    <w:rsid w:val="005B62B5"/>
    <w:rsid w:val="005B687F"/>
    <w:rsid w:val="005B6929"/>
    <w:rsid w:val="005B6E07"/>
    <w:rsid w:val="005B79E0"/>
    <w:rsid w:val="005B7BC2"/>
    <w:rsid w:val="005C0B1E"/>
    <w:rsid w:val="005C0BA8"/>
    <w:rsid w:val="005C0BE2"/>
    <w:rsid w:val="005C0D63"/>
    <w:rsid w:val="005C13E7"/>
    <w:rsid w:val="005C17A0"/>
    <w:rsid w:val="005C186B"/>
    <w:rsid w:val="005C19C4"/>
    <w:rsid w:val="005C1B83"/>
    <w:rsid w:val="005C1DFE"/>
    <w:rsid w:val="005C2240"/>
    <w:rsid w:val="005C25FF"/>
    <w:rsid w:val="005C299F"/>
    <w:rsid w:val="005C29B9"/>
    <w:rsid w:val="005C2C67"/>
    <w:rsid w:val="005C2D55"/>
    <w:rsid w:val="005C2F20"/>
    <w:rsid w:val="005C31F3"/>
    <w:rsid w:val="005C32AC"/>
    <w:rsid w:val="005C346B"/>
    <w:rsid w:val="005C3978"/>
    <w:rsid w:val="005C3A6F"/>
    <w:rsid w:val="005C3E43"/>
    <w:rsid w:val="005C4215"/>
    <w:rsid w:val="005C4A4A"/>
    <w:rsid w:val="005C4C1E"/>
    <w:rsid w:val="005C4E92"/>
    <w:rsid w:val="005C4F60"/>
    <w:rsid w:val="005C5486"/>
    <w:rsid w:val="005C5ABC"/>
    <w:rsid w:val="005C5DC3"/>
    <w:rsid w:val="005C6629"/>
    <w:rsid w:val="005C6843"/>
    <w:rsid w:val="005C719F"/>
    <w:rsid w:val="005C744C"/>
    <w:rsid w:val="005C7657"/>
    <w:rsid w:val="005C7884"/>
    <w:rsid w:val="005C7A53"/>
    <w:rsid w:val="005C7BB3"/>
    <w:rsid w:val="005D027E"/>
    <w:rsid w:val="005D044D"/>
    <w:rsid w:val="005D088F"/>
    <w:rsid w:val="005D0A99"/>
    <w:rsid w:val="005D0ABD"/>
    <w:rsid w:val="005D0C59"/>
    <w:rsid w:val="005D1151"/>
    <w:rsid w:val="005D11CC"/>
    <w:rsid w:val="005D12B3"/>
    <w:rsid w:val="005D12F2"/>
    <w:rsid w:val="005D160C"/>
    <w:rsid w:val="005D18AD"/>
    <w:rsid w:val="005D1936"/>
    <w:rsid w:val="005D1E12"/>
    <w:rsid w:val="005D21F2"/>
    <w:rsid w:val="005D2473"/>
    <w:rsid w:val="005D26B4"/>
    <w:rsid w:val="005D363F"/>
    <w:rsid w:val="005D3A06"/>
    <w:rsid w:val="005D3D80"/>
    <w:rsid w:val="005D3DA3"/>
    <w:rsid w:val="005D4293"/>
    <w:rsid w:val="005D45AD"/>
    <w:rsid w:val="005D49BD"/>
    <w:rsid w:val="005D4B1F"/>
    <w:rsid w:val="005D4B40"/>
    <w:rsid w:val="005D4C40"/>
    <w:rsid w:val="005D4DA7"/>
    <w:rsid w:val="005D4F05"/>
    <w:rsid w:val="005D5029"/>
    <w:rsid w:val="005D545C"/>
    <w:rsid w:val="005D56BD"/>
    <w:rsid w:val="005D5773"/>
    <w:rsid w:val="005D57E6"/>
    <w:rsid w:val="005D5C08"/>
    <w:rsid w:val="005D5D84"/>
    <w:rsid w:val="005D65DF"/>
    <w:rsid w:val="005D6689"/>
    <w:rsid w:val="005D6757"/>
    <w:rsid w:val="005D67E6"/>
    <w:rsid w:val="005D6E61"/>
    <w:rsid w:val="005D766A"/>
    <w:rsid w:val="005D7FB5"/>
    <w:rsid w:val="005E03DE"/>
    <w:rsid w:val="005E0B2C"/>
    <w:rsid w:val="005E179E"/>
    <w:rsid w:val="005E1995"/>
    <w:rsid w:val="005E1C7C"/>
    <w:rsid w:val="005E1E18"/>
    <w:rsid w:val="005E276C"/>
    <w:rsid w:val="005E2EC3"/>
    <w:rsid w:val="005E33D1"/>
    <w:rsid w:val="005E3E05"/>
    <w:rsid w:val="005E47E0"/>
    <w:rsid w:val="005E5A01"/>
    <w:rsid w:val="005E5AC1"/>
    <w:rsid w:val="005E5B0C"/>
    <w:rsid w:val="005E6697"/>
    <w:rsid w:val="005E6698"/>
    <w:rsid w:val="005E68A9"/>
    <w:rsid w:val="005E6A42"/>
    <w:rsid w:val="005E6CBC"/>
    <w:rsid w:val="005E700F"/>
    <w:rsid w:val="005E72FF"/>
    <w:rsid w:val="005E73C0"/>
    <w:rsid w:val="005E7439"/>
    <w:rsid w:val="005E77B1"/>
    <w:rsid w:val="005E7C60"/>
    <w:rsid w:val="005F0226"/>
    <w:rsid w:val="005F03A2"/>
    <w:rsid w:val="005F07ED"/>
    <w:rsid w:val="005F08C5"/>
    <w:rsid w:val="005F0BEB"/>
    <w:rsid w:val="005F0BEC"/>
    <w:rsid w:val="005F0CEA"/>
    <w:rsid w:val="005F0D9F"/>
    <w:rsid w:val="005F14A4"/>
    <w:rsid w:val="005F1875"/>
    <w:rsid w:val="005F1FAF"/>
    <w:rsid w:val="005F2706"/>
    <w:rsid w:val="005F2966"/>
    <w:rsid w:val="005F2B3F"/>
    <w:rsid w:val="005F304B"/>
    <w:rsid w:val="005F3D7D"/>
    <w:rsid w:val="005F3DD3"/>
    <w:rsid w:val="005F43D5"/>
    <w:rsid w:val="005F4905"/>
    <w:rsid w:val="005F4A24"/>
    <w:rsid w:val="005F4D98"/>
    <w:rsid w:val="005F4E58"/>
    <w:rsid w:val="005F5211"/>
    <w:rsid w:val="005F53A0"/>
    <w:rsid w:val="005F552E"/>
    <w:rsid w:val="005F5AC5"/>
    <w:rsid w:val="005F5BB0"/>
    <w:rsid w:val="005F60C4"/>
    <w:rsid w:val="005F619F"/>
    <w:rsid w:val="005F62FD"/>
    <w:rsid w:val="005F6524"/>
    <w:rsid w:val="005F6A8F"/>
    <w:rsid w:val="005F6BB7"/>
    <w:rsid w:val="005F7588"/>
    <w:rsid w:val="005F7AD6"/>
    <w:rsid w:val="005F7C06"/>
    <w:rsid w:val="00600428"/>
    <w:rsid w:val="00600F64"/>
    <w:rsid w:val="00601395"/>
    <w:rsid w:val="00601AE7"/>
    <w:rsid w:val="00601B9A"/>
    <w:rsid w:val="00601E52"/>
    <w:rsid w:val="006021D3"/>
    <w:rsid w:val="0060240D"/>
    <w:rsid w:val="00602642"/>
    <w:rsid w:val="006028D3"/>
    <w:rsid w:val="00602EB9"/>
    <w:rsid w:val="0060310D"/>
    <w:rsid w:val="0060392B"/>
    <w:rsid w:val="006039D0"/>
    <w:rsid w:val="00603B3C"/>
    <w:rsid w:val="00603DB9"/>
    <w:rsid w:val="00604ABE"/>
    <w:rsid w:val="00604CC0"/>
    <w:rsid w:val="006051E2"/>
    <w:rsid w:val="00605546"/>
    <w:rsid w:val="0060559B"/>
    <w:rsid w:val="0060571D"/>
    <w:rsid w:val="006057E4"/>
    <w:rsid w:val="00606326"/>
    <w:rsid w:val="0060661E"/>
    <w:rsid w:val="00606FBA"/>
    <w:rsid w:val="00607596"/>
    <w:rsid w:val="00607612"/>
    <w:rsid w:val="00607669"/>
    <w:rsid w:val="006076F4"/>
    <w:rsid w:val="0060775E"/>
    <w:rsid w:val="00607AFD"/>
    <w:rsid w:val="00610C9D"/>
    <w:rsid w:val="00611913"/>
    <w:rsid w:val="00611B12"/>
    <w:rsid w:val="00611DDF"/>
    <w:rsid w:val="00611E07"/>
    <w:rsid w:val="0061208C"/>
    <w:rsid w:val="00612E54"/>
    <w:rsid w:val="00612F97"/>
    <w:rsid w:val="00613036"/>
    <w:rsid w:val="006132B0"/>
    <w:rsid w:val="006133F8"/>
    <w:rsid w:val="0061345D"/>
    <w:rsid w:val="006134AD"/>
    <w:rsid w:val="006134EE"/>
    <w:rsid w:val="00613695"/>
    <w:rsid w:val="00613863"/>
    <w:rsid w:val="00613C92"/>
    <w:rsid w:val="00613FCC"/>
    <w:rsid w:val="00614033"/>
    <w:rsid w:val="006142AA"/>
    <w:rsid w:val="00614658"/>
    <w:rsid w:val="0061490D"/>
    <w:rsid w:val="00614EAC"/>
    <w:rsid w:val="0061504D"/>
    <w:rsid w:val="0061549B"/>
    <w:rsid w:val="006155C3"/>
    <w:rsid w:val="00615E52"/>
    <w:rsid w:val="0061600F"/>
    <w:rsid w:val="00616802"/>
    <w:rsid w:val="00616812"/>
    <w:rsid w:val="00616A52"/>
    <w:rsid w:val="00616AE5"/>
    <w:rsid w:val="00616CB8"/>
    <w:rsid w:val="00617983"/>
    <w:rsid w:val="00617E12"/>
    <w:rsid w:val="00620438"/>
    <w:rsid w:val="006205CA"/>
    <w:rsid w:val="00620C25"/>
    <w:rsid w:val="00620CA0"/>
    <w:rsid w:val="00621477"/>
    <w:rsid w:val="006215FF"/>
    <w:rsid w:val="00621972"/>
    <w:rsid w:val="00621ADA"/>
    <w:rsid w:val="00621D84"/>
    <w:rsid w:val="00621FEE"/>
    <w:rsid w:val="006220AC"/>
    <w:rsid w:val="00622373"/>
    <w:rsid w:val="00622552"/>
    <w:rsid w:val="00622E90"/>
    <w:rsid w:val="00623033"/>
    <w:rsid w:val="006230A0"/>
    <w:rsid w:val="00623905"/>
    <w:rsid w:val="006239F1"/>
    <w:rsid w:val="00623F7B"/>
    <w:rsid w:val="0062417C"/>
    <w:rsid w:val="0062423B"/>
    <w:rsid w:val="006244AF"/>
    <w:rsid w:val="00624949"/>
    <w:rsid w:val="00624BD4"/>
    <w:rsid w:val="006253BC"/>
    <w:rsid w:val="006254C4"/>
    <w:rsid w:val="00625616"/>
    <w:rsid w:val="00625A18"/>
    <w:rsid w:val="00625C96"/>
    <w:rsid w:val="0062661B"/>
    <w:rsid w:val="00626D70"/>
    <w:rsid w:val="00626DBD"/>
    <w:rsid w:val="00626F2D"/>
    <w:rsid w:val="006271B7"/>
    <w:rsid w:val="00627577"/>
    <w:rsid w:val="006277C1"/>
    <w:rsid w:val="006277FC"/>
    <w:rsid w:val="0062791E"/>
    <w:rsid w:val="00627A57"/>
    <w:rsid w:val="00627C90"/>
    <w:rsid w:val="006301AC"/>
    <w:rsid w:val="00630478"/>
    <w:rsid w:val="006304A5"/>
    <w:rsid w:val="0063067E"/>
    <w:rsid w:val="00630D01"/>
    <w:rsid w:val="0063158F"/>
    <w:rsid w:val="006319CC"/>
    <w:rsid w:val="00631D6B"/>
    <w:rsid w:val="00631E28"/>
    <w:rsid w:val="00632183"/>
    <w:rsid w:val="006323AE"/>
    <w:rsid w:val="0063246A"/>
    <w:rsid w:val="006329C3"/>
    <w:rsid w:val="00632D38"/>
    <w:rsid w:val="006330A1"/>
    <w:rsid w:val="0063311C"/>
    <w:rsid w:val="006338E1"/>
    <w:rsid w:val="00633CB3"/>
    <w:rsid w:val="0063406C"/>
    <w:rsid w:val="0063479F"/>
    <w:rsid w:val="0063501F"/>
    <w:rsid w:val="006353F0"/>
    <w:rsid w:val="006357B5"/>
    <w:rsid w:val="00635953"/>
    <w:rsid w:val="00635D0F"/>
    <w:rsid w:val="00636147"/>
    <w:rsid w:val="006364A1"/>
    <w:rsid w:val="0063678E"/>
    <w:rsid w:val="006370C2"/>
    <w:rsid w:val="00637150"/>
    <w:rsid w:val="00637756"/>
    <w:rsid w:val="0063775B"/>
    <w:rsid w:val="006378B6"/>
    <w:rsid w:val="00637BFD"/>
    <w:rsid w:val="00637C5C"/>
    <w:rsid w:val="00637E06"/>
    <w:rsid w:val="00640192"/>
    <w:rsid w:val="00640C38"/>
    <w:rsid w:val="00640C49"/>
    <w:rsid w:val="00640CAD"/>
    <w:rsid w:val="0064102F"/>
    <w:rsid w:val="0064142C"/>
    <w:rsid w:val="00641C4E"/>
    <w:rsid w:val="00641EC9"/>
    <w:rsid w:val="00641FB3"/>
    <w:rsid w:val="00642181"/>
    <w:rsid w:val="006423D6"/>
    <w:rsid w:val="0064241C"/>
    <w:rsid w:val="006424E8"/>
    <w:rsid w:val="00643A46"/>
    <w:rsid w:val="00643D9C"/>
    <w:rsid w:val="00643E62"/>
    <w:rsid w:val="00644149"/>
    <w:rsid w:val="006441D7"/>
    <w:rsid w:val="00644242"/>
    <w:rsid w:val="0064434C"/>
    <w:rsid w:val="00644714"/>
    <w:rsid w:val="00644DB7"/>
    <w:rsid w:val="00644F08"/>
    <w:rsid w:val="006458B9"/>
    <w:rsid w:val="00645923"/>
    <w:rsid w:val="00645F24"/>
    <w:rsid w:val="0064694E"/>
    <w:rsid w:val="00646A39"/>
    <w:rsid w:val="00646A6A"/>
    <w:rsid w:val="00646DFE"/>
    <w:rsid w:val="00646E4F"/>
    <w:rsid w:val="006471CC"/>
    <w:rsid w:val="006472FE"/>
    <w:rsid w:val="006473D1"/>
    <w:rsid w:val="006476DA"/>
    <w:rsid w:val="006477E8"/>
    <w:rsid w:val="0064787B"/>
    <w:rsid w:val="00647A29"/>
    <w:rsid w:val="00647BB6"/>
    <w:rsid w:val="00650244"/>
    <w:rsid w:val="006502E0"/>
    <w:rsid w:val="0065079F"/>
    <w:rsid w:val="006507CF"/>
    <w:rsid w:val="00650B52"/>
    <w:rsid w:val="006510D7"/>
    <w:rsid w:val="006515EF"/>
    <w:rsid w:val="00651892"/>
    <w:rsid w:val="00651BF3"/>
    <w:rsid w:val="00651D8D"/>
    <w:rsid w:val="0065255F"/>
    <w:rsid w:val="00652804"/>
    <w:rsid w:val="00652A28"/>
    <w:rsid w:val="00652A9C"/>
    <w:rsid w:val="00652D19"/>
    <w:rsid w:val="00653229"/>
    <w:rsid w:val="0065379F"/>
    <w:rsid w:val="00653957"/>
    <w:rsid w:val="00653A1F"/>
    <w:rsid w:val="00654360"/>
    <w:rsid w:val="00654507"/>
    <w:rsid w:val="0065470C"/>
    <w:rsid w:val="006549DA"/>
    <w:rsid w:val="00654D67"/>
    <w:rsid w:val="006554E2"/>
    <w:rsid w:val="006556A0"/>
    <w:rsid w:val="00655BC5"/>
    <w:rsid w:val="00656188"/>
    <w:rsid w:val="006562CC"/>
    <w:rsid w:val="00656621"/>
    <w:rsid w:val="006566A7"/>
    <w:rsid w:val="00656765"/>
    <w:rsid w:val="00656841"/>
    <w:rsid w:val="00656C77"/>
    <w:rsid w:val="0065715A"/>
    <w:rsid w:val="006572E3"/>
    <w:rsid w:val="006575C8"/>
    <w:rsid w:val="00657812"/>
    <w:rsid w:val="00657B6C"/>
    <w:rsid w:val="006602FC"/>
    <w:rsid w:val="00660582"/>
    <w:rsid w:val="006610F1"/>
    <w:rsid w:val="0066116A"/>
    <w:rsid w:val="00661569"/>
    <w:rsid w:val="00661A1F"/>
    <w:rsid w:val="00661A44"/>
    <w:rsid w:val="00661C6B"/>
    <w:rsid w:val="00661DC6"/>
    <w:rsid w:val="00662003"/>
    <w:rsid w:val="006620AE"/>
    <w:rsid w:val="0066212E"/>
    <w:rsid w:val="0066231F"/>
    <w:rsid w:val="006627F8"/>
    <w:rsid w:val="0066287F"/>
    <w:rsid w:val="00662D3E"/>
    <w:rsid w:val="006630B2"/>
    <w:rsid w:val="006630DD"/>
    <w:rsid w:val="006635C8"/>
    <w:rsid w:val="006639BC"/>
    <w:rsid w:val="00663A39"/>
    <w:rsid w:val="00663A71"/>
    <w:rsid w:val="00663EAC"/>
    <w:rsid w:val="00663F82"/>
    <w:rsid w:val="00664005"/>
    <w:rsid w:val="0066497C"/>
    <w:rsid w:val="006654A7"/>
    <w:rsid w:val="006655CF"/>
    <w:rsid w:val="0066565C"/>
    <w:rsid w:val="006658A8"/>
    <w:rsid w:val="00665913"/>
    <w:rsid w:val="006659D1"/>
    <w:rsid w:val="00665A0B"/>
    <w:rsid w:val="00665B9A"/>
    <w:rsid w:val="00665CA0"/>
    <w:rsid w:val="00665F1B"/>
    <w:rsid w:val="00666259"/>
    <w:rsid w:val="00666310"/>
    <w:rsid w:val="0066677B"/>
    <w:rsid w:val="00666C0A"/>
    <w:rsid w:val="00666D31"/>
    <w:rsid w:val="00667296"/>
    <w:rsid w:val="00667848"/>
    <w:rsid w:val="00667B2C"/>
    <w:rsid w:val="00667BE3"/>
    <w:rsid w:val="00670158"/>
    <w:rsid w:val="006709BD"/>
    <w:rsid w:val="00671004"/>
    <w:rsid w:val="00671095"/>
    <w:rsid w:val="006711A2"/>
    <w:rsid w:val="00671AC9"/>
    <w:rsid w:val="00671BB5"/>
    <w:rsid w:val="00672646"/>
    <w:rsid w:val="00672D52"/>
    <w:rsid w:val="00673211"/>
    <w:rsid w:val="0067327B"/>
    <w:rsid w:val="0067337C"/>
    <w:rsid w:val="006739B4"/>
    <w:rsid w:val="00673A54"/>
    <w:rsid w:val="00674109"/>
    <w:rsid w:val="006741AD"/>
    <w:rsid w:val="0067420C"/>
    <w:rsid w:val="006746DC"/>
    <w:rsid w:val="00674739"/>
    <w:rsid w:val="00674E42"/>
    <w:rsid w:val="0067581B"/>
    <w:rsid w:val="00675FF5"/>
    <w:rsid w:val="00676347"/>
    <w:rsid w:val="006764B1"/>
    <w:rsid w:val="00676563"/>
    <w:rsid w:val="00676AA2"/>
    <w:rsid w:val="00676B5A"/>
    <w:rsid w:val="00676B71"/>
    <w:rsid w:val="00676D0A"/>
    <w:rsid w:val="00676F9F"/>
    <w:rsid w:val="00677917"/>
    <w:rsid w:val="00677A88"/>
    <w:rsid w:val="00677F33"/>
    <w:rsid w:val="00680386"/>
    <w:rsid w:val="006805BA"/>
    <w:rsid w:val="006805F7"/>
    <w:rsid w:val="00681120"/>
    <w:rsid w:val="00681228"/>
    <w:rsid w:val="006813F8"/>
    <w:rsid w:val="006817A5"/>
    <w:rsid w:val="00681986"/>
    <w:rsid w:val="00681AF1"/>
    <w:rsid w:val="00681C80"/>
    <w:rsid w:val="00681D0C"/>
    <w:rsid w:val="00682112"/>
    <w:rsid w:val="006822E2"/>
    <w:rsid w:val="0068248F"/>
    <w:rsid w:val="00682499"/>
    <w:rsid w:val="006827EC"/>
    <w:rsid w:val="00682897"/>
    <w:rsid w:val="00682BA6"/>
    <w:rsid w:val="006831EF"/>
    <w:rsid w:val="006832C5"/>
    <w:rsid w:val="00683A4B"/>
    <w:rsid w:val="00683BA9"/>
    <w:rsid w:val="00683C88"/>
    <w:rsid w:val="00684679"/>
    <w:rsid w:val="00684BB2"/>
    <w:rsid w:val="0068529F"/>
    <w:rsid w:val="0068592C"/>
    <w:rsid w:val="00686143"/>
    <w:rsid w:val="00686878"/>
    <w:rsid w:val="00686957"/>
    <w:rsid w:val="00686C58"/>
    <w:rsid w:val="00686E6A"/>
    <w:rsid w:val="006871CC"/>
    <w:rsid w:val="006872BA"/>
    <w:rsid w:val="00687EF7"/>
    <w:rsid w:val="0069031C"/>
    <w:rsid w:val="00690509"/>
    <w:rsid w:val="006905B1"/>
    <w:rsid w:val="00690795"/>
    <w:rsid w:val="00690E70"/>
    <w:rsid w:val="00691648"/>
    <w:rsid w:val="006917D7"/>
    <w:rsid w:val="00691978"/>
    <w:rsid w:val="006919CF"/>
    <w:rsid w:val="00691D39"/>
    <w:rsid w:val="006922AC"/>
    <w:rsid w:val="00692500"/>
    <w:rsid w:val="00692740"/>
    <w:rsid w:val="006928B1"/>
    <w:rsid w:val="00692974"/>
    <w:rsid w:val="00692B05"/>
    <w:rsid w:val="00692B97"/>
    <w:rsid w:val="00692E8C"/>
    <w:rsid w:val="00692EC3"/>
    <w:rsid w:val="0069325A"/>
    <w:rsid w:val="0069356D"/>
    <w:rsid w:val="006937AE"/>
    <w:rsid w:val="00693BFC"/>
    <w:rsid w:val="00693D70"/>
    <w:rsid w:val="00693DA6"/>
    <w:rsid w:val="0069434C"/>
    <w:rsid w:val="006947C2"/>
    <w:rsid w:val="00694944"/>
    <w:rsid w:val="00694F44"/>
    <w:rsid w:val="0069598D"/>
    <w:rsid w:val="006959A3"/>
    <w:rsid w:val="00695DEE"/>
    <w:rsid w:val="006960BF"/>
    <w:rsid w:val="00696320"/>
    <w:rsid w:val="0069691B"/>
    <w:rsid w:val="00696BEA"/>
    <w:rsid w:val="00696DAA"/>
    <w:rsid w:val="00696EF9"/>
    <w:rsid w:val="00696F51"/>
    <w:rsid w:val="00697479"/>
    <w:rsid w:val="006976EF"/>
    <w:rsid w:val="006979A5"/>
    <w:rsid w:val="006A016F"/>
    <w:rsid w:val="006A04ED"/>
    <w:rsid w:val="006A052D"/>
    <w:rsid w:val="006A05E2"/>
    <w:rsid w:val="006A0CFB"/>
    <w:rsid w:val="006A0DF7"/>
    <w:rsid w:val="006A1219"/>
    <w:rsid w:val="006A14B2"/>
    <w:rsid w:val="006A1593"/>
    <w:rsid w:val="006A174E"/>
    <w:rsid w:val="006A1B2F"/>
    <w:rsid w:val="006A1D8E"/>
    <w:rsid w:val="006A267C"/>
    <w:rsid w:val="006A2CBF"/>
    <w:rsid w:val="006A3474"/>
    <w:rsid w:val="006A392F"/>
    <w:rsid w:val="006A3DAA"/>
    <w:rsid w:val="006A4321"/>
    <w:rsid w:val="006A43D9"/>
    <w:rsid w:val="006A52B3"/>
    <w:rsid w:val="006A5762"/>
    <w:rsid w:val="006A5A32"/>
    <w:rsid w:val="006A61FE"/>
    <w:rsid w:val="006A6684"/>
    <w:rsid w:val="006A6971"/>
    <w:rsid w:val="006A6B99"/>
    <w:rsid w:val="006A6C6E"/>
    <w:rsid w:val="006A73C7"/>
    <w:rsid w:val="006A7480"/>
    <w:rsid w:val="006A766A"/>
    <w:rsid w:val="006A7702"/>
    <w:rsid w:val="006A7E5F"/>
    <w:rsid w:val="006B00DA"/>
    <w:rsid w:val="006B0425"/>
    <w:rsid w:val="006B060B"/>
    <w:rsid w:val="006B06B5"/>
    <w:rsid w:val="006B0772"/>
    <w:rsid w:val="006B09B0"/>
    <w:rsid w:val="006B0B1C"/>
    <w:rsid w:val="006B0B2A"/>
    <w:rsid w:val="006B0BAB"/>
    <w:rsid w:val="006B0C8D"/>
    <w:rsid w:val="006B0D91"/>
    <w:rsid w:val="006B0DA3"/>
    <w:rsid w:val="006B0F50"/>
    <w:rsid w:val="006B118F"/>
    <w:rsid w:val="006B121D"/>
    <w:rsid w:val="006B13B3"/>
    <w:rsid w:val="006B18F2"/>
    <w:rsid w:val="006B1C39"/>
    <w:rsid w:val="006B21CA"/>
    <w:rsid w:val="006B261B"/>
    <w:rsid w:val="006B298E"/>
    <w:rsid w:val="006B2C90"/>
    <w:rsid w:val="006B2DC8"/>
    <w:rsid w:val="006B35E6"/>
    <w:rsid w:val="006B3A24"/>
    <w:rsid w:val="006B3E91"/>
    <w:rsid w:val="006B3EB5"/>
    <w:rsid w:val="006B465A"/>
    <w:rsid w:val="006B4772"/>
    <w:rsid w:val="006B4855"/>
    <w:rsid w:val="006B488A"/>
    <w:rsid w:val="006B4B1B"/>
    <w:rsid w:val="006B57F9"/>
    <w:rsid w:val="006B5B82"/>
    <w:rsid w:val="006B5CE3"/>
    <w:rsid w:val="006B60C2"/>
    <w:rsid w:val="006B6809"/>
    <w:rsid w:val="006B6CE1"/>
    <w:rsid w:val="006B6CE8"/>
    <w:rsid w:val="006B6DD0"/>
    <w:rsid w:val="006B6EEF"/>
    <w:rsid w:val="006B768C"/>
    <w:rsid w:val="006B7B47"/>
    <w:rsid w:val="006B7D10"/>
    <w:rsid w:val="006B7FAB"/>
    <w:rsid w:val="006C007E"/>
    <w:rsid w:val="006C0399"/>
    <w:rsid w:val="006C0E09"/>
    <w:rsid w:val="006C117E"/>
    <w:rsid w:val="006C17EB"/>
    <w:rsid w:val="006C1A86"/>
    <w:rsid w:val="006C1DD1"/>
    <w:rsid w:val="006C1DEA"/>
    <w:rsid w:val="006C2839"/>
    <w:rsid w:val="006C293B"/>
    <w:rsid w:val="006C2A8E"/>
    <w:rsid w:val="006C3255"/>
    <w:rsid w:val="006C35CD"/>
    <w:rsid w:val="006C360D"/>
    <w:rsid w:val="006C36CC"/>
    <w:rsid w:val="006C394C"/>
    <w:rsid w:val="006C3C36"/>
    <w:rsid w:val="006C3F26"/>
    <w:rsid w:val="006C4464"/>
    <w:rsid w:val="006C4B1D"/>
    <w:rsid w:val="006C4FB8"/>
    <w:rsid w:val="006C4FCA"/>
    <w:rsid w:val="006C5079"/>
    <w:rsid w:val="006C50DD"/>
    <w:rsid w:val="006C52FE"/>
    <w:rsid w:val="006C61D0"/>
    <w:rsid w:val="006C66D2"/>
    <w:rsid w:val="006C68EC"/>
    <w:rsid w:val="006C69FB"/>
    <w:rsid w:val="006C6F03"/>
    <w:rsid w:val="006C71B8"/>
    <w:rsid w:val="006C798F"/>
    <w:rsid w:val="006C7C0C"/>
    <w:rsid w:val="006C7C9B"/>
    <w:rsid w:val="006C7EAC"/>
    <w:rsid w:val="006D0208"/>
    <w:rsid w:val="006D03D1"/>
    <w:rsid w:val="006D06D9"/>
    <w:rsid w:val="006D0D17"/>
    <w:rsid w:val="006D0E94"/>
    <w:rsid w:val="006D1771"/>
    <w:rsid w:val="006D2088"/>
    <w:rsid w:val="006D2096"/>
    <w:rsid w:val="006D2341"/>
    <w:rsid w:val="006D289B"/>
    <w:rsid w:val="006D2A31"/>
    <w:rsid w:val="006D3351"/>
    <w:rsid w:val="006D3607"/>
    <w:rsid w:val="006D3826"/>
    <w:rsid w:val="006D3A1E"/>
    <w:rsid w:val="006D3C7D"/>
    <w:rsid w:val="006D3EFC"/>
    <w:rsid w:val="006D42C4"/>
    <w:rsid w:val="006D4659"/>
    <w:rsid w:val="006D4D96"/>
    <w:rsid w:val="006D5431"/>
    <w:rsid w:val="006D5D5F"/>
    <w:rsid w:val="006D5DED"/>
    <w:rsid w:val="006D5EFA"/>
    <w:rsid w:val="006D5FBA"/>
    <w:rsid w:val="006D6125"/>
    <w:rsid w:val="006D6279"/>
    <w:rsid w:val="006D68FB"/>
    <w:rsid w:val="006D6A8E"/>
    <w:rsid w:val="006D6D62"/>
    <w:rsid w:val="006D6EB3"/>
    <w:rsid w:val="006D736F"/>
    <w:rsid w:val="006D7428"/>
    <w:rsid w:val="006D74D6"/>
    <w:rsid w:val="006D7741"/>
    <w:rsid w:val="006D7C5D"/>
    <w:rsid w:val="006D7DB1"/>
    <w:rsid w:val="006D7FF4"/>
    <w:rsid w:val="006E084D"/>
    <w:rsid w:val="006E0B36"/>
    <w:rsid w:val="006E1091"/>
    <w:rsid w:val="006E1A45"/>
    <w:rsid w:val="006E1B42"/>
    <w:rsid w:val="006E1BFE"/>
    <w:rsid w:val="006E1E28"/>
    <w:rsid w:val="006E1E94"/>
    <w:rsid w:val="006E1F91"/>
    <w:rsid w:val="006E2868"/>
    <w:rsid w:val="006E2B1C"/>
    <w:rsid w:val="006E34C6"/>
    <w:rsid w:val="006E3565"/>
    <w:rsid w:val="006E3C71"/>
    <w:rsid w:val="006E4096"/>
    <w:rsid w:val="006E41FB"/>
    <w:rsid w:val="006E447A"/>
    <w:rsid w:val="006E4A5E"/>
    <w:rsid w:val="006E50EF"/>
    <w:rsid w:val="006E52DE"/>
    <w:rsid w:val="006E5961"/>
    <w:rsid w:val="006E5E62"/>
    <w:rsid w:val="006E5ED4"/>
    <w:rsid w:val="006E66D9"/>
    <w:rsid w:val="006E66F2"/>
    <w:rsid w:val="006E68B8"/>
    <w:rsid w:val="006E6C29"/>
    <w:rsid w:val="006E6EAB"/>
    <w:rsid w:val="006E6EF2"/>
    <w:rsid w:val="006E6FD3"/>
    <w:rsid w:val="006E7B36"/>
    <w:rsid w:val="006E7CA9"/>
    <w:rsid w:val="006F0127"/>
    <w:rsid w:val="006F10AA"/>
    <w:rsid w:val="006F278E"/>
    <w:rsid w:val="006F2AE6"/>
    <w:rsid w:val="006F306C"/>
    <w:rsid w:val="006F326D"/>
    <w:rsid w:val="006F46A6"/>
    <w:rsid w:val="006F4821"/>
    <w:rsid w:val="006F49A7"/>
    <w:rsid w:val="006F4AFE"/>
    <w:rsid w:val="006F513A"/>
    <w:rsid w:val="006F55C2"/>
    <w:rsid w:val="006F5985"/>
    <w:rsid w:val="006F598C"/>
    <w:rsid w:val="006F5FC1"/>
    <w:rsid w:val="006F63A5"/>
    <w:rsid w:val="006F66F0"/>
    <w:rsid w:val="006F6C09"/>
    <w:rsid w:val="006F6C1B"/>
    <w:rsid w:val="006F7489"/>
    <w:rsid w:val="006F78F8"/>
    <w:rsid w:val="006F7C6F"/>
    <w:rsid w:val="00700370"/>
    <w:rsid w:val="00700574"/>
    <w:rsid w:val="0070079E"/>
    <w:rsid w:val="00700CA1"/>
    <w:rsid w:val="00701086"/>
    <w:rsid w:val="00701196"/>
    <w:rsid w:val="0070142B"/>
    <w:rsid w:val="0070182A"/>
    <w:rsid w:val="00701922"/>
    <w:rsid w:val="00701B1A"/>
    <w:rsid w:val="00701CCE"/>
    <w:rsid w:val="0070265B"/>
    <w:rsid w:val="0070276E"/>
    <w:rsid w:val="00702BC2"/>
    <w:rsid w:val="00702E84"/>
    <w:rsid w:val="00702F8F"/>
    <w:rsid w:val="0070316A"/>
    <w:rsid w:val="0070335B"/>
    <w:rsid w:val="0070340B"/>
    <w:rsid w:val="00703DE0"/>
    <w:rsid w:val="00704002"/>
    <w:rsid w:val="007040B9"/>
    <w:rsid w:val="00704495"/>
    <w:rsid w:val="00704E73"/>
    <w:rsid w:val="00705CEB"/>
    <w:rsid w:val="00706800"/>
    <w:rsid w:val="00706EA3"/>
    <w:rsid w:val="007076CB"/>
    <w:rsid w:val="007079FC"/>
    <w:rsid w:val="00710360"/>
    <w:rsid w:val="0071134B"/>
    <w:rsid w:val="007116CB"/>
    <w:rsid w:val="00711A36"/>
    <w:rsid w:val="00712205"/>
    <w:rsid w:val="007125D3"/>
    <w:rsid w:val="00712875"/>
    <w:rsid w:val="00712D04"/>
    <w:rsid w:val="00713500"/>
    <w:rsid w:val="0071394A"/>
    <w:rsid w:val="00713F13"/>
    <w:rsid w:val="007145A0"/>
    <w:rsid w:val="007146C9"/>
    <w:rsid w:val="0071471A"/>
    <w:rsid w:val="00714C26"/>
    <w:rsid w:val="0071529C"/>
    <w:rsid w:val="00715314"/>
    <w:rsid w:val="00715791"/>
    <w:rsid w:val="00715859"/>
    <w:rsid w:val="00715A92"/>
    <w:rsid w:val="00716A91"/>
    <w:rsid w:val="00716C87"/>
    <w:rsid w:val="00716F79"/>
    <w:rsid w:val="007170DA"/>
    <w:rsid w:val="00717160"/>
    <w:rsid w:val="007171D1"/>
    <w:rsid w:val="007172AD"/>
    <w:rsid w:val="007174EA"/>
    <w:rsid w:val="0071751F"/>
    <w:rsid w:val="00717546"/>
    <w:rsid w:val="00717C90"/>
    <w:rsid w:val="00717E37"/>
    <w:rsid w:val="00717E5D"/>
    <w:rsid w:val="00717FD4"/>
    <w:rsid w:val="00720164"/>
    <w:rsid w:val="00720371"/>
    <w:rsid w:val="0072051E"/>
    <w:rsid w:val="00720801"/>
    <w:rsid w:val="00720CC8"/>
    <w:rsid w:val="00720F57"/>
    <w:rsid w:val="00721108"/>
    <w:rsid w:val="007211AD"/>
    <w:rsid w:val="007213D5"/>
    <w:rsid w:val="00721C24"/>
    <w:rsid w:val="00722354"/>
    <w:rsid w:val="007223D7"/>
    <w:rsid w:val="00722B1B"/>
    <w:rsid w:val="00722EFC"/>
    <w:rsid w:val="007231E1"/>
    <w:rsid w:val="00723201"/>
    <w:rsid w:val="00723462"/>
    <w:rsid w:val="0072390B"/>
    <w:rsid w:val="00723B4F"/>
    <w:rsid w:val="00723DAD"/>
    <w:rsid w:val="00724049"/>
    <w:rsid w:val="0072416F"/>
    <w:rsid w:val="007246D4"/>
    <w:rsid w:val="00724AEB"/>
    <w:rsid w:val="00724E1E"/>
    <w:rsid w:val="00725039"/>
    <w:rsid w:val="00725072"/>
    <w:rsid w:val="007259F7"/>
    <w:rsid w:val="00725E78"/>
    <w:rsid w:val="00725F90"/>
    <w:rsid w:val="00726027"/>
    <w:rsid w:val="007260AD"/>
    <w:rsid w:val="007261F8"/>
    <w:rsid w:val="007265E1"/>
    <w:rsid w:val="00726996"/>
    <w:rsid w:val="00726AB3"/>
    <w:rsid w:val="00726EB5"/>
    <w:rsid w:val="00726F37"/>
    <w:rsid w:val="007275E7"/>
    <w:rsid w:val="0072785A"/>
    <w:rsid w:val="0072787B"/>
    <w:rsid w:val="00727C94"/>
    <w:rsid w:val="007308D7"/>
    <w:rsid w:val="007309FF"/>
    <w:rsid w:val="0073106A"/>
    <w:rsid w:val="00731108"/>
    <w:rsid w:val="00731524"/>
    <w:rsid w:val="00731740"/>
    <w:rsid w:val="007317D6"/>
    <w:rsid w:val="00731B0A"/>
    <w:rsid w:val="00731EAE"/>
    <w:rsid w:val="00731FF3"/>
    <w:rsid w:val="00732021"/>
    <w:rsid w:val="007322B8"/>
    <w:rsid w:val="00732402"/>
    <w:rsid w:val="00732C2C"/>
    <w:rsid w:val="00732C8A"/>
    <w:rsid w:val="00732DA0"/>
    <w:rsid w:val="00732F2F"/>
    <w:rsid w:val="00733073"/>
    <w:rsid w:val="0073360F"/>
    <w:rsid w:val="00733672"/>
    <w:rsid w:val="007337EE"/>
    <w:rsid w:val="00733AD3"/>
    <w:rsid w:val="00733C5D"/>
    <w:rsid w:val="00733F42"/>
    <w:rsid w:val="007342CE"/>
    <w:rsid w:val="00734369"/>
    <w:rsid w:val="00734E36"/>
    <w:rsid w:val="00734E7A"/>
    <w:rsid w:val="00735033"/>
    <w:rsid w:val="00735116"/>
    <w:rsid w:val="00735328"/>
    <w:rsid w:val="00735535"/>
    <w:rsid w:val="0073586D"/>
    <w:rsid w:val="00735BB2"/>
    <w:rsid w:val="00735D82"/>
    <w:rsid w:val="00735EA0"/>
    <w:rsid w:val="0073617A"/>
    <w:rsid w:val="0073685B"/>
    <w:rsid w:val="00736C05"/>
    <w:rsid w:val="00736DCA"/>
    <w:rsid w:val="00736DD0"/>
    <w:rsid w:val="00736DEF"/>
    <w:rsid w:val="007371AB"/>
    <w:rsid w:val="00737A3C"/>
    <w:rsid w:val="00737EF4"/>
    <w:rsid w:val="00740174"/>
    <w:rsid w:val="00740602"/>
    <w:rsid w:val="00740B7A"/>
    <w:rsid w:val="00740CC7"/>
    <w:rsid w:val="00740E14"/>
    <w:rsid w:val="007410EC"/>
    <w:rsid w:val="0074115B"/>
    <w:rsid w:val="0074148A"/>
    <w:rsid w:val="007417AA"/>
    <w:rsid w:val="00741825"/>
    <w:rsid w:val="00741A5C"/>
    <w:rsid w:val="00741A74"/>
    <w:rsid w:val="00742261"/>
    <w:rsid w:val="00742469"/>
    <w:rsid w:val="00742799"/>
    <w:rsid w:val="00742DB5"/>
    <w:rsid w:val="007430A8"/>
    <w:rsid w:val="0074367E"/>
    <w:rsid w:val="0074394E"/>
    <w:rsid w:val="00743A8F"/>
    <w:rsid w:val="00743E75"/>
    <w:rsid w:val="007440A7"/>
    <w:rsid w:val="007448A6"/>
    <w:rsid w:val="0074497B"/>
    <w:rsid w:val="007449BF"/>
    <w:rsid w:val="00744B06"/>
    <w:rsid w:val="00744CB7"/>
    <w:rsid w:val="00744CD8"/>
    <w:rsid w:val="00744F75"/>
    <w:rsid w:val="0074534B"/>
    <w:rsid w:val="00745904"/>
    <w:rsid w:val="00745F34"/>
    <w:rsid w:val="0074603A"/>
    <w:rsid w:val="007463FE"/>
    <w:rsid w:val="00746586"/>
    <w:rsid w:val="00746806"/>
    <w:rsid w:val="00746855"/>
    <w:rsid w:val="00746A72"/>
    <w:rsid w:val="00746BC0"/>
    <w:rsid w:val="007471BF"/>
    <w:rsid w:val="00747814"/>
    <w:rsid w:val="00747A2D"/>
    <w:rsid w:val="00750228"/>
    <w:rsid w:val="007502D0"/>
    <w:rsid w:val="00750A9E"/>
    <w:rsid w:val="00750BD4"/>
    <w:rsid w:val="00750D10"/>
    <w:rsid w:val="007510B4"/>
    <w:rsid w:val="007511E1"/>
    <w:rsid w:val="00751F86"/>
    <w:rsid w:val="00751FB4"/>
    <w:rsid w:val="00752142"/>
    <w:rsid w:val="007523F9"/>
    <w:rsid w:val="0075261E"/>
    <w:rsid w:val="00752835"/>
    <w:rsid w:val="00752CC7"/>
    <w:rsid w:val="0075304D"/>
    <w:rsid w:val="0075352A"/>
    <w:rsid w:val="0075357E"/>
    <w:rsid w:val="00753B29"/>
    <w:rsid w:val="00753FC5"/>
    <w:rsid w:val="007540E9"/>
    <w:rsid w:val="00754203"/>
    <w:rsid w:val="00754BF8"/>
    <w:rsid w:val="00754DA8"/>
    <w:rsid w:val="00754EA0"/>
    <w:rsid w:val="007552DD"/>
    <w:rsid w:val="0075549B"/>
    <w:rsid w:val="00755D27"/>
    <w:rsid w:val="007560F0"/>
    <w:rsid w:val="007561E5"/>
    <w:rsid w:val="007562CD"/>
    <w:rsid w:val="007568C2"/>
    <w:rsid w:val="00756DF2"/>
    <w:rsid w:val="00756E6A"/>
    <w:rsid w:val="007573E8"/>
    <w:rsid w:val="0075743D"/>
    <w:rsid w:val="0075765F"/>
    <w:rsid w:val="00757673"/>
    <w:rsid w:val="0075784B"/>
    <w:rsid w:val="00757BA7"/>
    <w:rsid w:val="0076019C"/>
    <w:rsid w:val="00760529"/>
    <w:rsid w:val="00760C4E"/>
    <w:rsid w:val="00760F9E"/>
    <w:rsid w:val="00761052"/>
    <w:rsid w:val="007616E6"/>
    <w:rsid w:val="007618C6"/>
    <w:rsid w:val="00761FCA"/>
    <w:rsid w:val="0076207E"/>
    <w:rsid w:val="007627BE"/>
    <w:rsid w:val="007628C9"/>
    <w:rsid w:val="0076291D"/>
    <w:rsid w:val="00763233"/>
    <w:rsid w:val="0076348D"/>
    <w:rsid w:val="007639EE"/>
    <w:rsid w:val="00763EB7"/>
    <w:rsid w:val="00764DC7"/>
    <w:rsid w:val="00764F03"/>
    <w:rsid w:val="007650CF"/>
    <w:rsid w:val="007652CA"/>
    <w:rsid w:val="00765435"/>
    <w:rsid w:val="0076562D"/>
    <w:rsid w:val="00765B1A"/>
    <w:rsid w:val="00765B92"/>
    <w:rsid w:val="00765DC1"/>
    <w:rsid w:val="00765DF4"/>
    <w:rsid w:val="00765ECC"/>
    <w:rsid w:val="00765ED3"/>
    <w:rsid w:val="0076694F"/>
    <w:rsid w:val="007669D0"/>
    <w:rsid w:val="007675DC"/>
    <w:rsid w:val="007679CC"/>
    <w:rsid w:val="00767E24"/>
    <w:rsid w:val="00767F35"/>
    <w:rsid w:val="007700E2"/>
    <w:rsid w:val="00771055"/>
    <w:rsid w:val="0077134E"/>
    <w:rsid w:val="00771B56"/>
    <w:rsid w:val="00772306"/>
    <w:rsid w:val="00772376"/>
    <w:rsid w:val="00772F07"/>
    <w:rsid w:val="007731FB"/>
    <w:rsid w:val="007737E1"/>
    <w:rsid w:val="00774623"/>
    <w:rsid w:val="007748D3"/>
    <w:rsid w:val="00774C25"/>
    <w:rsid w:val="0077546A"/>
    <w:rsid w:val="007754A2"/>
    <w:rsid w:val="00775A90"/>
    <w:rsid w:val="00775BE8"/>
    <w:rsid w:val="00775FB7"/>
    <w:rsid w:val="00776A29"/>
    <w:rsid w:val="00776B69"/>
    <w:rsid w:val="007771C4"/>
    <w:rsid w:val="00777335"/>
    <w:rsid w:val="00777A18"/>
    <w:rsid w:val="0078047C"/>
    <w:rsid w:val="00780963"/>
    <w:rsid w:val="00780B8B"/>
    <w:rsid w:val="00780DD0"/>
    <w:rsid w:val="00780FBC"/>
    <w:rsid w:val="00781FCB"/>
    <w:rsid w:val="007821EB"/>
    <w:rsid w:val="007828FF"/>
    <w:rsid w:val="00783649"/>
    <w:rsid w:val="00783E0D"/>
    <w:rsid w:val="007843F2"/>
    <w:rsid w:val="007846FA"/>
    <w:rsid w:val="00784743"/>
    <w:rsid w:val="007854EA"/>
    <w:rsid w:val="00785A9F"/>
    <w:rsid w:val="00785C91"/>
    <w:rsid w:val="0078640C"/>
    <w:rsid w:val="007864CC"/>
    <w:rsid w:val="00786D2B"/>
    <w:rsid w:val="0078719E"/>
    <w:rsid w:val="007872C5"/>
    <w:rsid w:val="00790460"/>
    <w:rsid w:val="00790633"/>
    <w:rsid w:val="007907A1"/>
    <w:rsid w:val="007909BD"/>
    <w:rsid w:val="00790BC4"/>
    <w:rsid w:val="00791249"/>
    <w:rsid w:val="00791677"/>
    <w:rsid w:val="0079233F"/>
    <w:rsid w:val="00792401"/>
    <w:rsid w:val="00792515"/>
    <w:rsid w:val="007925DF"/>
    <w:rsid w:val="00792721"/>
    <w:rsid w:val="0079298E"/>
    <w:rsid w:val="007930A0"/>
    <w:rsid w:val="00793414"/>
    <w:rsid w:val="007937D5"/>
    <w:rsid w:val="00793F28"/>
    <w:rsid w:val="00793F37"/>
    <w:rsid w:val="007940F1"/>
    <w:rsid w:val="007941C6"/>
    <w:rsid w:val="00794A7D"/>
    <w:rsid w:val="00794B41"/>
    <w:rsid w:val="00794EA9"/>
    <w:rsid w:val="00794F37"/>
    <w:rsid w:val="0079529C"/>
    <w:rsid w:val="00795972"/>
    <w:rsid w:val="00795B36"/>
    <w:rsid w:val="00795DBE"/>
    <w:rsid w:val="00796501"/>
    <w:rsid w:val="007965F1"/>
    <w:rsid w:val="00796E54"/>
    <w:rsid w:val="0079715C"/>
    <w:rsid w:val="00797513"/>
    <w:rsid w:val="00797758"/>
    <w:rsid w:val="007979F6"/>
    <w:rsid w:val="00797F17"/>
    <w:rsid w:val="007A0032"/>
    <w:rsid w:val="007A0479"/>
    <w:rsid w:val="007A0538"/>
    <w:rsid w:val="007A08AA"/>
    <w:rsid w:val="007A0A12"/>
    <w:rsid w:val="007A132D"/>
    <w:rsid w:val="007A1345"/>
    <w:rsid w:val="007A14EE"/>
    <w:rsid w:val="007A24CB"/>
    <w:rsid w:val="007A2DDB"/>
    <w:rsid w:val="007A372C"/>
    <w:rsid w:val="007A388F"/>
    <w:rsid w:val="007A498B"/>
    <w:rsid w:val="007A4DBB"/>
    <w:rsid w:val="007A4E52"/>
    <w:rsid w:val="007A5550"/>
    <w:rsid w:val="007A5787"/>
    <w:rsid w:val="007A624C"/>
    <w:rsid w:val="007A6321"/>
    <w:rsid w:val="007A6340"/>
    <w:rsid w:val="007A63A1"/>
    <w:rsid w:val="007A63DA"/>
    <w:rsid w:val="007A6458"/>
    <w:rsid w:val="007A64F2"/>
    <w:rsid w:val="007A6D23"/>
    <w:rsid w:val="007A70BA"/>
    <w:rsid w:val="007A792B"/>
    <w:rsid w:val="007A7AB1"/>
    <w:rsid w:val="007B00DA"/>
    <w:rsid w:val="007B0148"/>
    <w:rsid w:val="007B0527"/>
    <w:rsid w:val="007B0D68"/>
    <w:rsid w:val="007B10F9"/>
    <w:rsid w:val="007B131C"/>
    <w:rsid w:val="007B1B75"/>
    <w:rsid w:val="007B1C0C"/>
    <w:rsid w:val="007B1C82"/>
    <w:rsid w:val="007B21FC"/>
    <w:rsid w:val="007B2410"/>
    <w:rsid w:val="007B251D"/>
    <w:rsid w:val="007B29E3"/>
    <w:rsid w:val="007B2C80"/>
    <w:rsid w:val="007B3132"/>
    <w:rsid w:val="007B3250"/>
    <w:rsid w:val="007B3533"/>
    <w:rsid w:val="007B35FC"/>
    <w:rsid w:val="007B3A98"/>
    <w:rsid w:val="007B3C2D"/>
    <w:rsid w:val="007B3D85"/>
    <w:rsid w:val="007B3DA9"/>
    <w:rsid w:val="007B3EE3"/>
    <w:rsid w:val="007B41BA"/>
    <w:rsid w:val="007B469C"/>
    <w:rsid w:val="007B4CC2"/>
    <w:rsid w:val="007B4F58"/>
    <w:rsid w:val="007B51F9"/>
    <w:rsid w:val="007B528D"/>
    <w:rsid w:val="007B5341"/>
    <w:rsid w:val="007B5D0A"/>
    <w:rsid w:val="007B5F22"/>
    <w:rsid w:val="007B63CA"/>
    <w:rsid w:val="007B66F1"/>
    <w:rsid w:val="007B670F"/>
    <w:rsid w:val="007B73A5"/>
    <w:rsid w:val="007B77D1"/>
    <w:rsid w:val="007B7832"/>
    <w:rsid w:val="007B7E44"/>
    <w:rsid w:val="007C06F3"/>
    <w:rsid w:val="007C07C7"/>
    <w:rsid w:val="007C0B9F"/>
    <w:rsid w:val="007C1012"/>
    <w:rsid w:val="007C15EE"/>
    <w:rsid w:val="007C1BF8"/>
    <w:rsid w:val="007C1CD9"/>
    <w:rsid w:val="007C26F8"/>
    <w:rsid w:val="007C2969"/>
    <w:rsid w:val="007C2B2D"/>
    <w:rsid w:val="007C2B69"/>
    <w:rsid w:val="007C32EF"/>
    <w:rsid w:val="007C361D"/>
    <w:rsid w:val="007C366D"/>
    <w:rsid w:val="007C4082"/>
    <w:rsid w:val="007C4385"/>
    <w:rsid w:val="007C45FB"/>
    <w:rsid w:val="007C4B84"/>
    <w:rsid w:val="007C5118"/>
    <w:rsid w:val="007C53BB"/>
    <w:rsid w:val="007C647C"/>
    <w:rsid w:val="007C6DB6"/>
    <w:rsid w:val="007C70FF"/>
    <w:rsid w:val="007C725F"/>
    <w:rsid w:val="007C73A5"/>
    <w:rsid w:val="007C73AA"/>
    <w:rsid w:val="007C7442"/>
    <w:rsid w:val="007C747C"/>
    <w:rsid w:val="007C7967"/>
    <w:rsid w:val="007C7B2F"/>
    <w:rsid w:val="007C7C25"/>
    <w:rsid w:val="007C7FE0"/>
    <w:rsid w:val="007D004F"/>
    <w:rsid w:val="007D035F"/>
    <w:rsid w:val="007D036F"/>
    <w:rsid w:val="007D0491"/>
    <w:rsid w:val="007D06B2"/>
    <w:rsid w:val="007D0798"/>
    <w:rsid w:val="007D07B7"/>
    <w:rsid w:val="007D0B38"/>
    <w:rsid w:val="007D0C42"/>
    <w:rsid w:val="007D11BE"/>
    <w:rsid w:val="007D1531"/>
    <w:rsid w:val="007D16AB"/>
    <w:rsid w:val="007D1773"/>
    <w:rsid w:val="007D1921"/>
    <w:rsid w:val="007D1AD6"/>
    <w:rsid w:val="007D22C4"/>
    <w:rsid w:val="007D27BD"/>
    <w:rsid w:val="007D2902"/>
    <w:rsid w:val="007D2A52"/>
    <w:rsid w:val="007D2B04"/>
    <w:rsid w:val="007D2D97"/>
    <w:rsid w:val="007D2DA6"/>
    <w:rsid w:val="007D31E6"/>
    <w:rsid w:val="007D343C"/>
    <w:rsid w:val="007D383A"/>
    <w:rsid w:val="007D3AB7"/>
    <w:rsid w:val="007D3D5D"/>
    <w:rsid w:val="007D40B2"/>
    <w:rsid w:val="007D45A5"/>
    <w:rsid w:val="007D45BC"/>
    <w:rsid w:val="007D46E9"/>
    <w:rsid w:val="007D4C91"/>
    <w:rsid w:val="007D4CFB"/>
    <w:rsid w:val="007D5440"/>
    <w:rsid w:val="007D5795"/>
    <w:rsid w:val="007D5939"/>
    <w:rsid w:val="007D649B"/>
    <w:rsid w:val="007D6598"/>
    <w:rsid w:val="007D690D"/>
    <w:rsid w:val="007D69EB"/>
    <w:rsid w:val="007D6AA2"/>
    <w:rsid w:val="007D6C02"/>
    <w:rsid w:val="007D6CB8"/>
    <w:rsid w:val="007D6D2E"/>
    <w:rsid w:val="007D75E5"/>
    <w:rsid w:val="007D7728"/>
    <w:rsid w:val="007D79A9"/>
    <w:rsid w:val="007D7A4A"/>
    <w:rsid w:val="007D7B66"/>
    <w:rsid w:val="007D7FDC"/>
    <w:rsid w:val="007E01A1"/>
    <w:rsid w:val="007E02B0"/>
    <w:rsid w:val="007E127D"/>
    <w:rsid w:val="007E128F"/>
    <w:rsid w:val="007E17BD"/>
    <w:rsid w:val="007E186A"/>
    <w:rsid w:val="007E1ADB"/>
    <w:rsid w:val="007E21EE"/>
    <w:rsid w:val="007E2FB3"/>
    <w:rsid w:val="007E3CE0"/>
    <w:rsid w:val="007E3ED2"/>
    <w:rsid w:val="007E418E"/>
    <w:rsid w:val="007E444C"/>
    <w:rsid w:val="007E4729"/>
    <w:rsid w:val="007E4A4E"/>
    <w:rsid w:val="007E4E55"/>
    <w:rsid w:val="007E4F9B"/>
    <w:rsid w:val="007E5084"/>
    <w:rsid w:val="007E5556"/>
    <w:rsid w:val="007E563B"/>
    <w:rsid w:val="007E5B48"/>
    <w:rsid w:val="007E5B55"/>
    <w:rsid w:val="007E5DE3"/>
    <w:rsid w:val="007E622D"/>
    <w:rsid w:val="007E62F3"/>
    <w:rsid w:val="007E64ED"/>
    <w:rsid w:val="007E6B12"/>
    <w:rsid w:val="007E71D6"/>
    <w:rsid w:val="007E7874"/>
    <w:rsid w:val="007E79A6"/>
    <w:rsid w:val="007E7C9A"/>
    <w:rsid w:val="007F018F"/>
    <w:rsid w:val="007F05B1"/>
    <w:rsid w:val="007F0653"/>
    <w:rsid w:val="007F0768"/>
    <w:rsid w:val="007F0BF3"/>
    <w:rsid w:val="007F0D05"/>
    <w:rsid w:val="007F0D50"/>
    <w:rsid w:val="007F1017"/>
    <w:rsid w:val="007F10ED"/>
    <w:rsid w:val="007F13D6"/>
    <w:rsid w:val="007F1586"/>
    <w:rsid w:val="007F1B5C"/>
    <w:rsid w:val="007F2089"/>
    <w:rsid w:val="007F215C"/>
    <w:rsid w:val="007F2669"/>
    <w:rsid w:val="007F33C3"/>
    <w:rsid w:val="007F3540"/>
    <w:rsid w:val="007F36E2"/>
    <w:rsid w:val="007F3759"/>
    <w:rsid w:val="007F37C2"/>
    <w:rsid w:val="007F3822"/>
    <w:rsid w:val="007F4535"/>
    <w:rsid w:val="007F49B9"/>
    <w:rsid w:val="007F49BC"/>
    <w:rsid w:val="007F4A3F"/>
    <w:rsid w:val="007F4A61"/>
    <w:rsid w:val="007F5169"/>
    <w:rsid w:val="007F5255"/>
    <w:rsid w:val="007F56A4"/>
    <w:rsid w:val="007F56CC"/>
    <w:rsid w:val="007F56E4"/>
    <w:rsid w:val="007F5729"/>
    <w:rsid w:val="007F588F"/>
    <w:rsid w:val="007F615A"/>
    <w:rsid w:val="007F61C2"/>
    <w:rsid w:val="007F63BF"/>
    <w:rsid w:val="007F6581"/>
    <w:rsid w:val="007F6751"/>
    <w:rsid w:val="007F6C15"/>
    <w:rsid w:val="007F6EF4"/>
    <w:rsid w:val="007F776A"/>
    <w:rsid w:val="007F7C29"/>
    <w:rsid w:val="007F7EE3"/>
    <w:rsid w:val="0080005C"/>
    <w:rsid w:val="008003A2"/>
    <w:rsid w:val="0080060B"/>
    <w:rsid w:val="00800887"/>
    <w:rsid w:val="00800EB0"/>
    <w:rsid w:val="0080106D"/>
    <w:rsid w:val="00801637"/>
    <w:rsid w:val="008017BC"/>
    <w:rsid w:val="00801B01"/>
    <w:rsid w:val="00802000"/>
    <w:rsid w:val="0080250E"/>
    <w:rsid w:val="00802652"/>
    <w:rsid w:val="0080308E"/>
    <w:rsid w:val="008035CE"/>
    <w:rsid w:val="00803865"/>
    <w:rsid w:val="00803C7E"/>
    <w:rsid w:val="00804080"/>
    <w:rsid w:val="00804331"/>
    <w:rsid w:val="00804A2F"/>
    <w:rsid w:val="00804C85"/>
    <w:rsid w:val="00805142"/>
    <w:rsid w:val="008053DE"/>
    <w:rsid w:val="00805474"/>
    <w:rsid w:val="0080566B"/>
    <w:rsid w:val="00805D02"/>
    <w:rsid w:val="00805EF3"/>
    <w:rsid w:val="00805FCE"/>
    <w:rsid w:val="0080614C"/>
    <w:rsid w:val="008066AA"/>
    <w:rsid w:val="00806FA8"/>
    <w:rsid w:val="00807523"/>
    <w:rsid w:val="0080752F"/>
    <w:rsid w:val="00807A8B"/>
    <w:rsid w:val="00810476"/>
    <w:rsid w:val="00810AC7"/>
    <w:rsid w:val="00810B40"/>
    <w:rsid w:val="00811383"/>
    <w:rsid w:val="008113C6"/>
    <w:rsid w:val="0081146F"/>
    <w:rsid w:val="00811B3B"/>
    <w:rsid w:val="00811CFD"/>
    <w:rsid w:val="00811D68"/>
    <w:rsid w:val="00812149"/>
    <w:rsid w:val="00812176"/>
    <w:rsid w:val="008125E9"/>
    <w:rsid w:val="00812634"/>
    <w:rsid w:val="00812B67"/>
    <w:rsid w:val="00812CAC"/>
    <w:rsid w:val="00813022"/>
    <w:rsid w:val="00813433"/>
    <w:rsid w:val="00813BA4"/>
    <w:rsid w:val="00814161"/>
    <w:rsid w:val="0081418E"/>
    <w:rsid w:val="00814577"/>
    <w:rsid w:val="008147CF"/>
    <w:rsid w:val="00814B0B"/>
    <w:rsid w:val="008150A1"/>
    <w:rsid w:val="008151F4"/>
    <w:rsid w:val="00815649"/>
    <w:rsid w:val="0081582F"/>
    <w:rsid w:val="008159AF"/>
    <w:rsid w:val="00815C96"/>
    <w:rsid w:val="00815D87"/>
    <w:rsid w:val="00816252"/>
    <w:rsid w:val="00816361"/>
    <w:rsid w:val="00816670"/>
    <w:rsid w:val="008166EF"/>
    <w:rsid w:val="00816FEF"/>
    <w:rsid w:val="008172AB"/>
    <w:rsid w:val="008200BE"/>
    <w:rsid w:val="00820199"/>
    <w:rsid w:val="0082054E"/>
    <w:rsid w:val="00820613"/>
    <w:rsid w:val="00820833"/>
    <w:rsid w:val="00820A82"/>
    <w:rsid w:val="00820A8C"/>
    <w:rsid w:val="00820CD7"/>
    <w:rsid w:val="00821585"/>
    <w:rsid w:val="008215FB"/>
    <w:rsid w:val="00821FC4"/>
    <w:rsid w:val="00821FF1"/>
    <w:rsid w:val="008220CC"/>
    <w:rsid w:val="0082240C"/>
    <w:rsid w:val="00823174"/>
    <w:rsid w:val="00823721"/>
    <w:rsid w:val="008239C5"/>
    <w:rsid w:val="00823B08"/>
    <w:rsid w:val="00823BB9"/>
    <w:rsid w:val="008246D1"/>
    <w:rsid w:val="0082476A"/>
    <w:rsid w:val="00824DEE"/>
    <w:rsid w:val="00825486"/>
    <w:rsid w:val="0082548D"/>
    <w:rsid w:val="00825751"/>
    <w:rsid w:val="00825889"/>
    <w:rsid w:val="00825D32"/>
    <w:rsid w:val="008261AF"/>
    <w:rsid w:val="008262FC"/>
    <w:rsid w:val="008264EB"/>
    <w:rsid w:val="00826608"/>
    <w:rsid w:val="00826627"/>
    <w:rsid w:val="008268CE"/>
    <w:rsid w:val="00826C90"/>
    <w:rsid w:val="008271D7"/>
    <w:rsid w:val="00827C23"/>
    <w:rsid w:val="0083094B"/>
    <w:rsid w:val="00830B42"/>
    <w:rsid w:val="00831E00"/>
    <w:rsid w:val="008321CD"/>
    <w:rsid w:val="0083274B"/>
    <w:rsid w:val="00832B02"/>
    <w:rsid w:val="00833B05"/>
    <w:rsid w:val="00833D51"/>
    <w:rsid w:val="0083452E"/>
    <w:rsid w:val="00834B94"/>
    <w:rsid w:val="00835094"/>
    <w:rsid w:val="008362B4"/>
    <w:rsid w:val="00836928"/>
    <w:rsid w:val="00836C9B"/>
    <w:rsid w:val="00836CC1"/>
    <w:rsid w:val="00836DD3"/>
    <w:rsid w:val="00836FCF"/>
    <w:rsid w:val="00837062"/>
    <w:rsid w:val="008371E5"/>
    <w:rsid w:val="008373A3"/>
    <w:rsid w:val="00837B61"/>
    <w:rsid w:val="008401BC"/>
    <w:rsid w:val="0084066B"/>
    <w:rsid w:val="00840850"/>
    <w:rsid w:val="00840A56"/>
    <w:rsid w:val="00840CA2"/>
    <w:rsid w:val="0084156A"/>
    <w:rsid w:val="00841674"/>
    <w:rsid w:val="0084168A"/>
    <w:rsid w:val="00841EDE"/>
    <w:rsid w:val="008422DA"/>
    <w:rsid w:val="0084284A"/>
    <w:rsid w:val="00842F7B"/>
    <w:rsid w:val="0084301B"/>
    <w:rsid w:val="00843039"/>
    <w:rsid w:val="008430CE"/>
    <w:rsid w:val="00843413"/>
    <w:rsid w:val="0084374A"/>
    <w:rsid w:val="0084374F"/>
    <w:rsid w:val="00843900"/>
    <w:rsid w:val="00843BDD"/>
    <w:rsid w:val="00844093"/>
    <w:rsid w:val="0084431A"/>
    <w:rsid w:val="008443DB"/>
    <w:rsid w:val="00844A22"/>
    <w:rsid w:val="00844CBC"/>
    <w:rsid w:val="00845B74"/>
    <w:rsid w:val="00845C03"/>
    <w:rsid w:val="00845C09"/>
    <w:rsid w:val="00845CCC"/>
    <w:rsid w:val="00845F96"/>
    <w:rsid w:val="008466BA"/>
    <w:rsid w:val="00846C5B"/>
    <w:rsid w:val="00847050"/>
    <w:rsid w:val="00847703"/>
    <w:rsid w:val="00847C04"/>
    <w:rsid w:val="00847DF5"/>
    <w:rsid w:val="008500A0"/>
    <w:rsid w:val="008500C1"/>
    <w:rsid w:val="0085110D"/>
    <w:rsid w:val="00851172"/>
    <w:rsid w:val="00851677"/>
    <w:rsid w:val="008516CA"/>
    <w:rsid w:val="00851C69"/>
    <w:rsid w:val="0085238C"/>
    <w:rsid w:val="00852443"/>
    <w:rsid w:val="00852ABA"/>
    <w:rsid w:val="00852C04"/>
    <w:rsid w:val="0085309D"/>
    <w:rsid w:val="00853792"/>
    <w:rsid w:val="008537F8"/>
    <w:rsid w:val="0085389B"/>
    <w:rsid w:val="00853BEC"/>
    <w:rsid w:val="00853CC1"/>
    <w:rsid w:val="00854518"/>
    <w:rsid w:val="00854586"/>
    <w:rsid w:val="00854B9B"/>
    <w:rsid w:val="00854D16"/>
    <w:rsid w:val="00855501"/>
    <w:rsid w:val="00855BB5"/>
    <w:rsid w:val="00855BC3"/>
    <w:rsid w:val="00855F39"/>
    <w:rsid w:val="0085677F"/>
    <w:rsid w:val="00856897"/>
    <w:rsid w:val="00856922"/>
    <w:rsid w:val="00856B69"/>
    <w:rsid w:val="00856B7D"/>
    <w:rsid w:val="00856CE6"/>
    <w:rsid w:val="00856E9A"/>
    <w:rsid w:val="008571F3"/>
    <w:rsid w:val="008575EE"/>
    <w:rsid w:val="0085764C"/>
    <w:rsid w:val="00857795"/>
    <w:rsid w:val="00857C10"/>
    <w:rsid w:val="00860019"/>
    <w:rsid w:val="0086068E"/>
    <w:rsid w:val="0086075D"/>
    <w:rsid w:val="00861FD6"/>
    <w:rsid w:val="00862502"/>
    <w:rsid w:val="00862CC1"/>
    <w:rsid w:val="008638EC"/>
    <w:rsid w:val="00863A28"/>
    <w:rsid w:val="00863C1B"/>
    <w:rsid w:val="008640C7"/>
    <w:rsid w:val="008642A7"/>
    <w:rsid w:val="0086451C"/>
    <w:rsid w:val="00864D98"/>
    <w:rsid w:val="00865ECE"/>
    <w:rsid w:val="008660D4"/>
    <w:rsid w:val="008663E0"/>
    <w:rsid w:val="00866812"/>
    <w:rsid w:val="00866F47"/>
    <w:rsid w:val="0086731E"/>
    <w:rsid w:val="00867842"/>
    <w:rsid w:val="00867A83"/>
    <w:rsid w:val="00867D2D"/>
    <w:rsid w:val="00867E84"/>
    <w:rsid w:val="00867EA8"/>
    <w:rsid w:val="00867ECD"/>
    <w:rsid w:val="00870026"/>
    <w:rsid w:val="00870181"/>
    <w:rsid w:val="008703DB"/>
    <w:rsid w:val="00870410"/>
    <w:rsid w:val="00870B60"/>
    <w:rsid w:val="008711D8"/>
    <w:rsid w:val="008714E6"/>
    <w:rsid w:val="008717BC"/>
    <w:rsid w:val="00871D69"/>
    <w:rsid w:val="00871FA9"/>
    <w:rsid w:val="00872000"/>
    <w:rsid w:val="0087200D"/>
    <w:rsid w:val="00872386"/>
    <w:rsid w:val="008724A5"/>
    <w:rsid w:val="008724FA"/>
    <w:rsid w:val="008728BA"/>
    <w:rsid w:val="008728E9"/>
    <w:rsid w:val="00873421"/>
    <w:rsid w:val="0087393E"/>
    <w:rsid w:val="00873DAB"/>
    <w:rsid w:val="0087427B"/>
    <w:rsid w:val="008748E1"/>
    <w:rsid w:val="00874CE6"/>
    <w:rsid w:val="00874D2C"/>
    <w:rsid w:val="00874F4A"/>
    <w:rsid w:val="00875209"/>
    <w:rsid w:val="0087534E"/>
    <w:rsid w:val="008758BE"/>
    <w:rsid w:val="008758E3"/>
    <w:rsid w:val="00875C70"/>
    <w:rsid w:val="00875CCB"/>
    <w:rsid w:val="00875CF6"/>
    <w:rsid w:val="00876136"/>
    <w:rsid w:val="00877A75"/>
    <w:rsid w:val="00880062"/>
    <w:rsid w:val="008815CA"/>
    <w:rsid w:val="00881647"/>
    <w:rsid w:val="008819AE"/>
    <w:rsid w:val="00881E10"/>
    <w:rsid w:val="00882770"/>
    <w:rsid w:val="00882772"/>
    <w:rsid w:val="00882874"/>
    <w:rsid w:val="00882B0D"/>
    <w:rsid w:val="00882E3C"/>
    <w:rsid w:val="00883060"/>
    <w:rsid w:val="0088308A"/>
    <w:rsid w:val="0088308B"/>
    <w:rsid w:val="008831D8"/>
    <w:rsid w:val="00883785"/>
    <w:rsid w:val="00883787"/>
    <w:rsid w:val="00883934"/>
    <w:rsid w:val="008840DA"/>
    <w:rsid w:val="008847F0"/>
    <w:rsid w:val="008848A2"/>
    <w:rsid w:val="00884C14"/>
    <w:rsid w:val="00885269"/>
    <w:rsid w:val="008853A6"/>
    <w:rsid w:val="00885401"/>
    <w:rsid w:val="008855E4"/>
    <w:rsid w:val="0088565C"/>
    <w:rsid w:val="008858FB"/>
    <w:rsid w:val="00886643"/>
    <w:rsid w:val="00886C39"/>
    <w:rsid w:val="00886CD2"/>
    <w:rsid w:val="00887840"/>
    <w:rsid w:val="008879A1"/>
    <w:rsid w:val="008879FC"/>
    <w:rsid w:val="00887F5E"/>
    <w:rsid w:val="0089035A"/>
    <w:rsid w:val="008903AA"/>
    <w:rsid w:val="00890B41"/>
    <w:rsid w:val="008916A0"/>
    <w:rsid w:val="00891709"/>
    <w:rsid w:val="00891B54"/>
    <w:rsid w:val="00891E6F"/>
    <w:rsid w:val="00891F57"/>
    <w:rsid w:val="00891F89"/>
    <w:rsid w:val="00892209"/>
    <w:rsid w:val="00892448"/>
    <w:rsid w:val="008924A7"/>
    <w:rsid w:val="0089275D"/>
    <w:rsid w:val="00892857"/>
    <w:rsid w:val="00892A36"/>
    <w:rsid w:val="00892D2E"/>
    <w:rsid w:val="00892DA6"/>
    <w:rsid w:val="00893239"/>
    <w:rsid w:val="00893523"/>
    <w:rsid w:val="008936C3"/>
    <w:rsid w:val="00893ADF"/>
    <w:rsid w:val="00893F80"/>
    <w:rsid w:val="00893FBB"/>
    <w:rsid w:val="0089420E"/>
    <w:rsid w:val="008942D6"/>
    <w:rsid w:val="00894489"/>
    <w:rsid w:val="0089461D"/>
    <w:rsid w:val="00894A5D"/>
    <w:rsid w:val="00894A6F"/>
    <w:rsid w:val="00894CD6"/>
    <w:rsid w:val="00895182"/>
    <w:rsid w:val="008955AF"/>
    <w:rsid w:val="00895729"/>
    <w:rsid w:val="00896190"/>
    <w:rsid w:val="008963A5"/>
    <w:rsid w:val="00896746"/>
    <w:rsid w:val="008968C5"/>
    <w:rsid w:val="00896D5D"/>
    <w:rsid w:val="008978FD"/>
    <w:rsid w:val="00897A0E"/>
    <w:rsid w:val="008A08FB"/>
    <w:rsid w:val="008A0ACE"/>
    <w:rsid w:val="008A11A6"/>
    <w:rsid w:val="008A1523"/>
    <w:rsid w:val="008A1605"/>
    <w:rsid w:val="008A174C"/>
    <w:rsid w:val="008A26BD"/>
    <w:rsid w:val="008A26C1"/>
    <w:rsid w:val="008A282C"/>
    <w:rsid w:val="008A29A4"/>
    <w:rsid w:val="008A2C69"/>
    <w:rsid w:val="008A2F00"/>
    <w:rsid w:val="008A3158"/>
    <w:rsid w:val="008A3287"/>
    <w:rsid w:val="008A32D3"/>
    <w:rsid w:val="008A3363"/>
    <w:rsid w:val="008A3364"/>
    <w:rsid w:val="008A3371"/>
    <w:rsid w:val="008A3975"/>
    <w:rsid w:val="008A3C3E"/>
    <w:rsid w:val="008A3D70"/>
    <w:rsid w:val="008A3DF7"/>
    <w:rsid w:val="008A3EBF"/>
    <w:rsid w:val="008A41B2"/>
    <w:rsid w:val="008A43E9"/>
    <w:rsid w:val="008A483D"/>
    <w:rsid w:val="008A53A2"/>
    <w:rsid w:val="008A54CC"/>
    <w:rsid w:val="008A559A"/>
    <w:rsid w:val="008A5609"/>
    <w:rsid w:val="008A57EA"/>
    <w:rsid w:val="008A586E"/>
    <w:rsid w:val="008A5975"/>
    <w:rsid w:val="008A5B6E"/>
    <w:rsid w:val="008A5D2B"/>
    <w:rsid w:val="008A5D40"/>
    <w:rsid w:val="008A68DA"/>
    <w:rsid w:val="008A6EC9"/>
    <w:rsid w:val="008A76BA"/>
    <w:rsid w:val="008A778B"/>
    <w:rsid w:val="008A79DE"/>
    <w:rsid w:val="008A7E0A"/>
    <w:rsid w:val="008B014E"/>
    <w:rsid w:val="008B0AFF"/>
    <w:rsid w:val="008B0EC5"/>
    <w:rsid w:val="008B10F2"/>
    <w:rsid w:val="008B143F"/>
    <w:rsid w:val="008B1610"/>
    <w:rsid w:val="008B1757"/>
    <w:rsid w:val="008B1C33"/>
    <w:rsid w:val="008B1EF3"/>
    <w:rsid w:val="008B1F6A"/>
    <w:rsid w:val="008B2029"/>
    <w:rsid w:val="008B27E6"/>
    <w:rsid w:val="008B2EA0"/>
    <w:rsid w:val="008B3868"/>
    <w:rsid w:val="008B392D"/>
    <w:rsid w:val="008B3D2F"/>
    <w:rsid w:val="008B3F2F"/>
    <w:rsid w:val="008B3FC6"/>
    <w:rsid w:val="008B484D"/>
    <w:rsid w:val="008B4B6F"/>
    <w:rsid w:val="008B522D"/>
    <w:rsid w:val="008B59D9"/>
    <w:rsid w:val="008B5E20"/>
    <w:rsid w:val="008B6319"/>
    <w:rsid w:val="008B6BA7"/>
    <w:rsid w:val="008B74FA"/>
    <w:rsid w:val="008B7992"/>
    <w:rsid w:val="008B7AC5"/>
    <w:rsid w:val="008B7AD1"/>
    <w:rsid w:val="008B7D7E"/>
    <w:rsid w:val="008C03CE"/>
    <w:rsid w:val="008C0750"/>
    <w:rsid w:val="008C0787"/>
    <w:rsid w:val="008C14CF"/>
    <w:rsid w:val="008C1868"/>
    <w:rsid w:val="008C1D10"/>
    <w:rsid w:val="008C229F"/>
    <w:rsid w:val="008C22EC"/>
    <w:rsid w:val="008C2787"/>
    <w:rsid w:val="008C2789"/>
    <w:rsid w:val="008C2817"/>
    <w:rsid w:val="008C2D0F"/>
    <w:rsid w:val="008C2D7B"/>
    <w:rsid w:val="008C2E26"/>
    <w:rsid w:val="008C3266"/>
    <w:rsid w:val="008C343F"/>
    <w:rsid w:val="008C38CA"/>
    <w:rsid w:val="008C42AA"/>
    <w:rsid w:val="008C48A6"/>
    <w:rsid w:val="008C48E1"/>
    <w:rsid w:val="008C4B93"/>
    <w:rsid w:val="008C4FA1"/>
    <w:rsid w:val="008C5585"/>
    <w:rsid w:val="008C55BF"/>
    <w:rsid w:val="008C55E0"/>
    <w:rsid w:val="008C5610"/>
    <w:rsid w:val="008C5739"/>
    <w:rsid w:val="008C57FB"/>
    <w:rsid w:val="008C5CE3"/>
    <w:rsid w:val="008C6001"/>
    <w:rsid w:val="008C656F"/>
    <w:rsid w:val="008C65F7"/>
    <w:rsid w:val="008C6CB7"/>
    <w:rsid w:val="008C725D"/>
    <w:rsid w:val="008C7282"/>
    <w:rsid w:val="008C7658"/>
    <w:rsid w:val="008C7B06"/>
    <w:rsid w:val="008C7B8B"/>
    <w:rsid w:val="008C7C32"/>
    <w:rsid w:val="008C7ECB"/>
    <w:rsid w:val="008D0C08"/>
    <w:rsid w:val="008D19F3"/>
    <w:rsid w:val="008D1B10"/>
    <w:rsid w:val="008D2BE0"/>
    <w:rsid w:val="008D2FAD"/>
    <w:rsid w:val="008D2FB5"/>
    <w:rsid w:val="008D3065"/>
    <w:rsid w:val="008D32E3"/>
    <w:rsid w:val="008D3674"/>
    <w:rsid w:val="008D39F0"/>
    <w:rsid w:val="008D3B86"/>
    <w:rsid w:val="008D3C8F"/>
    <w:rsid w:val="008D3F3F"/>
    <w:rsid w:val="008D42A7"/>
    <w:rsid w:val="008D43FD"/>
    <w:rsid w:val="008D4755"/>
    <w:rsid w:val="008D4C3D"/>
    <w:rsid w:val="008D4DCE"/>
    <w:rsid w:val="008D5082"/>
    <w:rsid w:val="008D5C77"/>
    <w:rsid w:val="008D5DD5"/>
    <w:rsid w:val="008D6069"/>
    <w:rsid w:val="008D7076"/>
    <w:rsid w:val="008D743C"/>
    <w:rsid w:val="008D7C1D"/>
    <w:rsid w:val="008D7E8E"/>
    <w:rsid w:val="008E00AF"/>
    <w:rsid w:val="008E0391"/>
    <w:rsid w:val="008E04E9"/>
    <w:rsid w:val="008E0D3C"/>
    <w:rsid w:val="008E1084"/>
    <w:rsid w:val="008E115C"/>
    <w:rsid w:val="008E14FC"/>
    <w:rsid w:val="008E1527"/>
    <w:rsid w:val="008E1556"/>
    <w:rsid w:val="008E1B9E"/>
    <w:rsid w:val="008E1CBA"/>
    <w:rsid w:val="008E1EF7"/>
    <w:rsid w:val="008E1FF7"/>
    <w:rsid w:val="008E22F2"/>
    <w:rsid w:val="008E2631"/>
    <w:rsid w:val="008E2A09"/>
    <w:rsid w:val="008E2E5D"/>
    <w:rsid w:val="008E2FA5"/>
    <w:rsid w:val="008E32E7"/>
    <w:rsid w:val="008E3386"/>
    <w:rsid w:val="008E3AE4"/>
    <w:rsid w:val="008E3C0B"/>
    <w:rsid w:val="008E3EEC"/>
    <w:rsid w:val="008E43AD"/>
    <w:rsid w:val="008E48C5"/>
    <w:rsid w:val="008E4DB1"/>
    <w:rsid w:val="008E4DD7"/>
    <w:rsid w:val="008E4FC6"/>
    <w:rsid w:val="008E5074"/>
    <w:rsid w:val="008E55AB"/>
    <w:rsid w:val="008E5C97"/>
    <w:rsid w:val="008E5E0A"/>
    <w:rsid w:val="008E5E19"/>
    <w:rsid w:val="008E6407"/>
    <w:rsid w:val="008E6711"/>
    <w:rsid w:val="008E6798"/>
    <w:rsid w:val="008E68C0"/>
    <w:rsid w:val="008E6A9B"/>
    <w:rsid w:val="008E6CAD"/>
    <w:rsid w:val="008E6D56"/>
    <w:rsid w:val="008E70A5"/>
    <w:rsid w:val="008E77F0"/>
    <w:rsid w:val="008E7B22"/>
    <w:rsid w:val="008E7C2F"/>
    <w:rsid w:val="008E7D56"/>
    <w:rsid w:val="008F007C"/>
    <w:rsid w:val="008F09BD"/>
    <w:rsid w:val="008F0DF9"/>
    <w:rsid w:val="008F0EA7"/>
    <w:rsid w:val="008F1066"/>
    <w:rsid w:val="008F120A"/>
    <w:rsid w:val="008F1339"/>
    <w:rsid w:val="008F1450"/>
    <w:rsid w:val="008F163D"/>
    <w:rsid w:val="008F17E0"/>
    <w:rsid w:val="008F198E"/>
    <w:rsid w:val="008F19C7"/>
    <w:rsid w:val="008F1B05"/>
    <w:rsid w:val="008F1E61"/>
    <w:rsid w:val="008F1F4D"/>
    <w:rsid w:val="008F24E2"/>
    <w:rsid w:val="008F27E0"/>
    <w:rsid w:val="008F2993"/>
    <w:rsid w:val="008F31B4"/>
    <w:rsid w:val="008F427C"/>
    <w:rsid w:val="008F45F7"/>
    <w:rsid w:val="008F48EB"/>
    <w:rsid w:val="008F4B49"/>
    <w:rsid w:val="008F4BA3"/>
    <w:rsid w:val="008F4BE9"/>
    <w:rsid w:val="008F4F0B"/>
    <w:rsid w:val="008F4F39"/>
    <w:rsid w:val="008F53F5"/>
    <w:rsid w:val="008F54BD"/>
    <w:rsid w:val="008F57DA"/>
    <w:rsid w:val="008F5900"/>
    <w:rsid w:val="008F5A33"/>
    <w:rsid w:val="008F5A6F"/>
    <w:rsid w:val="008F5CFD"/>
    <w:rsid w:val="008F5D67"/>
    <w:rsid w:val="008F6244"/>
    <w:rsid w:val="008F629C"/>
    <w:rsid w:val="008F663F"/>
    <w:rsid w:val="008F6F0D"/>
    <w:rsid w:val="008F743B"/>
    <w:rsid w:val="008F759D"/>
    <w:rsid w:val="008F7639"/>
    <w:rsid w:val="008F7CCD"/>
    <w:rsid w:val="008F7DF8"/>
    <w:rsid w:val="0090013A"/>
    <w:rsid w:val="0090075E"/>
    <w:rsid w:val="00900E76"/>
    <w:rsid w:val="00900EC2"/>
    <w:rsid w:val="00901593"/>
    <w:rsid w:val="00901B5B"/>
    <w:rsid w:val="00901D0F"/>
    <w:rsid w:val="00901D4A"/>
    <w:rsid w:val="00902058"/>
    <w:rsid w:val="00902612"/>
    <w:rsid w:val="009028D8"/>
    <w:rsid w:val="00902970"/>
    <w:rsid w:val="00902B15"/>
    <w:rsid w:val="00902BD1"/>
    <w:rsid w:val="00903030"/>
    <w:rsid w:val="00903095"/>
    <w:rsid w:val="00903647"/>
    <w:rsid w:val="00903DF7"/>
    <w:rsid w:val="00903FE7"/>
    <w:rsid w:val="009046C4"/>
    <w:rsid w:val="00904D79"/>
    <w:rsid w:val="00904F84"/>
    <w:rsid w:val="009057BE"/>
    <w:rsid w:val="00905BAF"/>
    <w:rsid w:val="00905D51"/>
    <w:rsid w:val="00905E38"/>
    <w:rsid w:val="009062A5"/>
    <w:rsid w:val="009062CA"/>
    <w:rsid w:val="00906BBA"/>
    <w:rsid w:val="00907223"/>
    <w:rsid w:val="00907699"/>
    <w:rsid w:val="009078ED"/>
    <w:rsid w:val="00907CEF"/>
    <w:rsid w:val="00907D72"/>
    <w:rsid w:val="00907E41"/>
    <w:rsid w:val="00910138"/>
    <w:rsid w:val="00910E1F"/>
    <w:rsid w:val="00910FA7"/>
    <w:rsid w:val="0091100C"/>
    <w:rsid w:val="00911272"/>
    <w:rsid w:val="00911339"/>
    <w:rsid w:val="00911FE8"/>
    <w:rsid w:val="00912213"/>
    <w:rsid w:val="0091244E"/>
    <w:rsid w:val="00912736"/>
    <w:rsid w:val="009127C1"/>
    <w:rsid w:val="0091288D"/>
    <w:rsid w:val="0091353F"/>
    <w:rsid w:val="009135D6"/>
    <w:rsid w:val="009136A2"/>
    <w:rsid w:val="00913ABC"/>
    <w:rsid w:val="00913B86"/>
    <w:rsid w:val="00913CE4"/>
    <w:rsid w:val="00913F7A"/>
    <w:rsid w:val="00914004"/>
    <w:rsid w:val="009144A6"/>
    <w:rsid w:val="0091450B"/>
    <w:rsid w:val="009146B4"/>
    <w:rsid w:val="00914C77"/>
    <w:rsid w:val="009150F7"/>
    <w:rsid w:val="00915158"/>
    <w:rsid w:val="00915197"/>
    <w:rsid w:val="00915215"/>
    <w:rsid w:val="00915439"/>
    <w:rsid w:val="009155CB"/>
    <w:rsid w:val="009160EB"/>
    <w:rsid w:val="009162A0"/>
    <w:rsid w:val="009166B6"/>
    <w:rsid w:val="0091688C"/>
    <w:rsid w:val="009169D1"/>
    <w:rsid w:val="009170B9"/>
    <w:rsid w:val="00917339"/>
    <w:rsid w:val="009174D6"/>
    <w:rsid w:val="00917524"/>
    <w:rsid w:val="00917927"/>
    <w:rsid w:val="009201D3"/>
    <w:rsid w:val="00920B37"/>
    <w:rsid w:val="00920B7A"/>
    <w:rsid w:val="00920BF7"/>
    <w:rsid w:val="00920E81"/>
    <w:rsid w:val="0092107C"/>
    <w:rsid w:val="00921597"/>
    <w:rsid w:val="009217C8"/>
    <w:rsid w:val="0092189D"/>
    <w:rsid w:val="00921ACB"/>
    <w:rsid w:val="00921B7E"/>
    <w:rsid w:val="00922103"/>
    <w:rsid w:val="00922625"/>
    <w:rsid w:val="009228A4"/>
    <w:rsid w:val="00922CD7"/>
    <w:rsid w:val="00922DB7"/>
    <w:rsid w:val="00922FFD"/>
    <w:rsid w:val="009234CD"/>
    <w:rsid w:val="00923532"/>
    <w:rsid w:val="0092369B"/>
    <w:rsid w:val="00923B41"/>
    <w:rsid w:val="00923BFD"/>
    <w:rsid w:val="00924744"/>
    <w:rsid w:val="009248B1"/>
    <w:rsid w:val="0092495D"/>
    <w:rsid w:val="00924E6B"/>
    <w:rsid w:val="00925421"/>
    <w:rsid w:val="009265A0"/>
    <w:rsid w:val="009266A6"/>
    <w:rsid w:val="009266ED"/>
    <w:rsid w:val="0092674E"/>
    <w:rsid w:val="00926799"/>
    <w:rsid w:val="00926C2F"/>
    <w:rsid w:val="00926C86"/>
    <w:rsid w:val="0092716D"/>
    <w:rsid w:val="00927359"/>
    <w:rsid w:val="00927566"/>
    <w:rsid w:val="00927C4D"/>
    <w:rsid w:val="00927E8A"/>
    <w:rsid w:val="00927FCB"/>
    <w:rsid w:val="009305B0"/>
    <w:rsid w:val="00930A4B"/>
    <w:rsid w:val="00930D65"/>
    <w:rsid w:val="00931303"/>
    <w:rsid w:val="00931626"/>
    <w:rsid w:val="0093189B"/>
    <w:rsid w:val="0093204B"/>
    <w:rsid w:val="009328AB"/>
    <w:rsid w:val="009330F0"/>
    <w:rsid w:val="009337CA"/>
    <w:rsid w:val="009339F4"/>
    <w:rsid w:val="00933CBC"/>
    <w:rsid w:val="00933D7C"/>
    <w:rsid w:val="009344BD"/>
    <w:rsid w:val="00934988"/>
    <w:rsid w:val="00934A7F"/>
    <w:rsid w:val="0093550C"/>
    <w:rsid w:val="009358F7"/>
    <w:rsid w:val="0093602D"/>
    <w:rsid w:val="009362DA"/>
    <w:rsid w:val="0093658A"/>
    <w:rsid w:val="00936D45"/>
    <w:rsid w:val="00937089"/>
    <w:rsid w:val="00937180"/>
    <w:rsid w:val="0093765A"/>
    <w:rsid w:val="00937856"/>
    <w:rsid w:val="00937B14"/>
    <w:rsid w:val="00937D17"/>
    <w:rsid w:val="00937D91"/>
    <w:rsid w:val="00940002"/>
    <w:rsid w:val="009405E4"/>
    <w:rsid w:val="00940CF3"/>
    <w:rsid w:val="0094114E"/>
    <w:rsid w:val="00941266"/>
    <w:rsid w:val="009413DA"/>
    <w:rsid w:val="00941504"/>
    <w:rsid w:val="00941A0A"/>
    <w:rsid w:val="00941FA9"/>
    <w:rsid w:val="009428A9"/>
    <w:rsid w:val="00942A28"/>
    <w:rsid w:val="00942D94"/>
    <w:rsid w:val="00943122"/>
    <w:rsid w:val="009438E1"/>
    <w:rsid w:val="00943B2F"/>
    <w:rsid w:val="0094401B"/>
    <w:rsid w:val="0094477D"/>
    <w:rsid w:val="00944999"/>
    <w:rsid w:val="00944D5C"/>
    <w:rsid w:val="00944DDD"/>
    <w:rsid w:val="00944ED9"/>
    <w:rsid w:val="00944F54"/>
    <w:rsid w:val="00944F8A"/>
    <w:rsid w:val="00944FF8"/>
    <w:rsid w:val="0094501D"/>
    <w:rsid w:val="00945637"/>
    <w:rsid w:val="00945782"/>
    <w:rsid w:val="00945848"/>
    <w:rsid w:val="00945A9A"/>
    <w:rsid w:val="00945DB1"/>
    <w:rsid w:val="0094613A"/>
    <w:rsid w:val="0094636A"/>
    <w:rsid w:val="00946477"/>
    <w:rsid w:val="00946B43"/>
    <w:rsid w:val="0094757D"/>
    <w:rsid w:val="009478FF"/>
    <w:rsid w:val="00947950"/>
    <w:rsid w:val="00947988"/>
    <w:rsid w:val="00947A5E"/>
    <w:rsid w:val="00947CC5"/>
    <w:rsid w:val="00947F0F"/>
    <w:rsid w:val="00950C91"/>
    <w:rsid w:val="009510A2"/>
    <w:rsid w:val="0095139B"/>
    <w:rsid w:val="00951474"/>
    <w:rsid w:val="00951C1C"/>
    <w:rsid w:val="009526F8"/>
    <w:rsid w:val="00952AF0"/>
    <w:rsid w:val="00952DD5"/>
    <w:rsid w:val="00952E90"/>
    <w:rsid w:val="00953257"/>
    <w:rsid w:val="009534D0"/>
    <w:rsid w:val="009538F5"/>
    <w:rsid w:val="009539FB"/>
    <w:rsid w:val="00953B50"/>
    <w:rsid w:val="0095448D"/>
    <w:rsid w:val="0095474C"/>
    <w:rsid w:val="009547D5"/>
    <w:rsid w:val="00954DA1"/>
    <w:rsid w:val="00954E24"/>
    <w:rsid w:val="009557DC"/>
    <w:rsid w:val="00956045"/>
    <w:rsid w:val="009563EF"/>
    <w:rsid w:val="0095653C"/>
    <w:rsid w:val="0095678C"/>
    <w:rsid w:val="00956B4D"/>
    <w:rsid w:val="00957026"/>
    <w:rsid w:val="0095705B"/>
    <w:rsid w:val="00957112"/>
    <w:rsid w:val="009577EA"/>
    <w:rsid w:val="009579F0"/>
    <w:rsid w:val="00957A57"/>
    <w:rsid w:val="00957C06"/>
    <w:rsid w:val="00957D92"/>
    <w:rsid w:val="00957F73"/>
    <w:rsid w:val="0096041B"/>
    <w:rsid w:val="00960539"/>
    <w:rsid w:val="009605CE"/>
    <w:rsid w:val="009606C8"/>
    <w:rsid w:val="00960956"/>
    <w:rsid w:val="00960AAF"/>
    <w:rsid w:val="00960CD7"/>
    <w:rsid w:val="00961004"/>
    <w:rsid w:val="009613D3"/>
    <w:rsid w:val="009627C1"/>
    <w:rsid w:val="00962CB9"/>
    <w:rsid w:val="00963667"/>
    <w:rsid w:val="009636DD"/>
    <w:rsid w:val="009637FF"/>
    <w:rsid w:val="00963A18"/>
    <w:rsid w:val="00963A99"/>
    <w:rsid w:val="00963F10"/>
    <w:rsid w:val="00964312"/>
    <w:rsid w:val="00965299"/>
    <w:rsid w:val="009658D0"/>
    <w:rsid w:val="00965A40"/>
    <w:rsid w:val="00965B8A"/>
    <w:rsid w:val="009662FA"/>
    <w:rsid w:val="00966A87"/>
    <w:rsid w:val="00967022"/>
    <w:rsid w:val="00967705"/>
    <w:rsid w:val="00967932"/>
    <w:rsid w:val="00970354"/>
    <w:rsid w:val="009704D9"/>
    <w:rsid w:val="0097070D"/>
    <w:rsid w:val="0097071F"/>
    <w:rsid w:val="00970880"/>
    <w:rsid w:val="00970C26"/>
    <w:rsid w:val="00970C57"/>
    <w:rsid w:val="00971203"/>
    <w:rsid w:val="0097138A"/>
    <w:rsid w:val="009714F0"/>
    <w:rsid w:val="009717AC"/>
    <w:rsid w:val="00971CC5"/>
    <w:rsid w:val="00971FB9"/>
    <w:rsid w:val="00972994"/>
    <w:rsid w:val="00972A73"/>
    <w:rsid w:val="00972BC4"/>
    <w:rsid w:val="00973497"/>
    <w:rsid w:val="009737FD"/>
    <w:rsid w:val="009739B2"/>
    <w:rsid w:val="00973E46"/>
    <w:rsid w:val="00973E9B"/>
    <w:rsid w:val="00974130"/>
    <w:rsid w:val="00974842"/>
    <w:rsid w:val="00974A24"/>
    <w:rsid w:val="00974A55"/>
    <w:rsid w:val="00974FD4"/>
    <w:rsid w:val="00975169"/>
    <w:rsid w:val="009751C1"/>
    <w:rsid w:val="0097541C"/>
    <w:rsid w:val="00975A6E"/>
    <w:rsid w:val="00975BE3"/>
    <w:rsid w:val="00976AA0"/>
    <w:rsid w:val="00976CD0"/>
    <w:rsid w:val="00976D0B"/>
    <w:rsid w:val="00977B10"/>
    <w:rsid w:val="00977F6C"/>
    <w:rsid w:val="00980B4A"/>
    <w:rsid w:val="00980DB2"/>
    <w:rsid w:val="00981036"/>
    <w:rsid w:val="00981104"/>
    <w:rsid w:val="00981133"/>
    <w:rsid w:val="009811F1"/>
    <w:rsid w:val="00981244"/>
    <w:rsid w:val="009816FC"/>
    <w:rsid w:val="00981B4F"/>
    <w:rsid w:val="00981DA5"/>
    <w:rsid w:val="0098262F"/>
    <w:rsid w:val="0098271A"/>
    <w:rsid w:val="00982C89"/>
    <w:rsid w:val="00983013"/>
    <w:rsid w:val="00983080"/>
    <w:rsid w:val="00983930"/>
    <w:rsid w:val="00983CDF"/>
    <w:rsid w:val="00983E57"/>
    <w:rsid w:val="009843F2"/>
    <w:rsid w:val="009846B3"/>
    <w:rsid w:val="009847C8"/>
    <w:rsid w:val="0098483B"/>
    <w:rsid w:val="00984BFC"/>
    <w:rsid w:val="009859A0"/>
    <w:rsid w:val="00985A57"/>
    <w:rsid w:val="00985CDF"/>
    <w:rsid w:val="00985D6F"/>
    <w:rsid w:val="00985DE2"/>
    <w:rsid w:val="0098600C"/>
    <w:rsid w:val="00986207"/>
    <w:rsid w:val="00986275"/>
    <w:rsid w:val="009864EC"/>
    <w:rsid w:val="009865AF"/>
    <w:rsid w:val="00986683"/>
    <w:rsid w:val="0098675D"/>
    <w:rsid w:val="00986ABE"/>
    <w:rsid w:val="00986EFF"/>
    <w:rsid w:val="0098796F"/>
    <w:rsid w:val="00987BA4"/>
    <w:rsid w:val="00987EA8"/>
    <w:rsid w:val="00987FAA"/>
    <w:rsid w:val="0099041A"/>
    <w:rsid w:val="00990778"/>
    <w:rsid w:val="00990876"/>
    <w:rsid w:val="009909E9"/>
    <w:rsid w:val="00990C27"/>
    <w:rsid w:val="00991589"/>
    <w:rsid w:val="00992388"/>
    <w:rsid w:val="009926E0"/>
    <w:rsid w:val="00992DFE"/>
    <w:rsid w:val="00992FF0"/>
    <w:rsid w:val="009930C2"/>
    <w:rsid w:val="00993FD7"/>
    <w:rsid w:val="009940BB"/>
    <w:rsid w:val="00994275"/>
    <w:rsid w:val="0099451E"/>
    <w:rsid w:val="00994607"/>
    <w:rsid w:val="0099494E"/>
    <w:rsid w:val="00994A19"/>
    <w:rsid w:val="00994D10"/>
    <w:rsid w:val="009951AF"/>
    <w:rsid w:val="00995668"/>
    <w:rsid w:val="009957D6"/>
    <w:rsid w:val="009959A0"/>
    <w:rsid w:val="00995A49"/>
    <w:rsid w:val="0099607B"/>
    <w:rsid w:val="00996B1A"/>
    <w:rsid w:val="00996B4C"/>
    <w:rsid w:val="00997628"/>
    <w:rsid w:val="0099789C"/>
    <w:rsid w:val="00997DEE"/>
    <w:rsid w:val="009A024D"/>
    <w:rsid w:val="009A06FC"/>
    <w:rsid w:val="009A09D3"/>
    <w:rsid w:val="009A113F"/>
    <w:rsid w:val="009A137E"/>
    <w:rsid w:val="009A16BD"/>
    <w:rsid w:val="009A18E1"/>
    <w:rsid w:val="009A18F6"/>
    <w:rsid w:val="009A1F13"/>
    <w:rsid w:val="009A238D"/>
    <w:rsid w:val="009A2494"/>
    <w:rsid w:val="009A2689"/>
    <w:rsid w:val="009A2714"/>
    <w:rsid w:val="009A27F0"/>
    <w:rsid w:val="009A2D5E"/>
    <w:rsid w:val="009A2DCC"/>
    <w:rsid w:val="009A30C8"/>
    <w:rsid w:val="009A353B"/>
    <w:rsid w:val="009A39CE"/>
    <w:rsid w:val="009A3C82"/>
    <w:rsid w:val="009A40A2"/>
    <w:rsid w:val="009A40D2"/>
    <w:rsid w:val="009A4834"/>
    <w:rsid w:val="009A4B67"/>
    <w:rsid w:val="009A4F5E"/>
    <w:rsid w:val="009A50CD"/>
    <w:rsid w:val="009A5878"/>
    <w:rsid w:val="009A5981"/>
    <w:rsid w:val="009A5ABC"/>
    <w:rsid w:val="009A6310"/>
    <w:rsid w:val="009A648C"/>
    <w:rsid w:val="009A6994"/>
    <w:rsid w:val="009A7592"/>
    <w:rsid w:val="009A7612"/>
    <w:rsid w:val="009A7652"/>
    <w:rsid w:val="009A7E39"/>
    <w:rsid w:val="009A7F10"/>
    <w:rsid w:val="009B06E9"/>
    <w:rsid w:val="009B0C98"/>
    <w:rsid w:val="009B1A39"/>
    <w:rsid w:val="009B1AAD"/>
    <w:rsid w:val="009B1D51"/>
    <w:rsid w:val="009B1EB8"/>
    <w:rsid w:val="009B213A"/>
    <w:rsid w:val="009B28FA"/>
    <w:rsid w:val="009B2B88"/>
    <w:rsid w:val="009B2C27"/>
    <w:rsid w:val="009B2EA9"/>
    <w:rsid w:val="009B30A4"/>
    <w:rsid w:val="009B376E"/>
    <w:rsid w:val="009B3E26"/>
    <w:rsid w:val="009B3F48"/>
    <w:rsid w:val="009B42A3"/>
    <w:rsid w:val="009B4E85"/>
    <w:rsid w:val="009B4F61"/>
    <w:rsid w:val="009B511D"/>
    <w:rsid w:val="009B51AC"/>
    <w:rsid w:val="009B52C7"/>
    <w:rsid w:val="009B5BB5"/>
    <w:rsid w:val="009B65C6"/>
    <w:rsid w:val="009B6684"/>
    <w:rsid w:val="009B66F8"/>
    <w:rsid w:val="009B6754"/>
    <w:rsid w:val="009B6B47"/>
    <w:rsid w:val="009B79C2"/>
    <w:rsid w:val="009C0406"/>
    <w:rsid w:val="009C0D50"/>
    <w:rsid w:val="009C1271"/>
    <w:rsid w:val="009C16EA"/>
    <w:rsid w:val="009C1A1F"/>
    <w:rsid w:val="009C2213"/>
    <w:rsid w:val="009C2CB0"/>
    <w:rsid w:val="009C3174"/>
    <w:rsid w:val="009C3706"/>
    <w:rsid w:val="009C39DD"/>
    <w:rsid w:val="009C39FD"/>
    <w:rsid w:val="009C3A3A"/>
    <w:rsid w:val="009C3B9B"/>
    <w:rsid w:val="009C3D8C"/>
    <w:rsid w:val="009C4085"/>
    <w:rsid w:val="009C417E"/>
    <w:rsid w:val="009C4237"/>
    <w:rsid w:val="009C426B"/>
    <w:rsid w:val="009C42FF"/>
    <w:rsid w:val="009C4360"/>
    <w:rsid w:val="009C44C1"/>
    <w:rsid w:val="009C5081"/>
    <w:rsid w:val="009C536F"/>
    <w:rsid w:val="009C5798"/>
    <w:rsid w:val="009C5A72"/>
    <w:rsid w:val="009C5BA5"/>
    <w:rsid w:val="009C5BCD"/>
    <w:rsid w:val="009C60F4"/>
    <w:rsid w:val="009C6407"/>
    <w:rsid w:val="009C6CEA"/>
    <w:rsid w:val="009C7433"/>
    <w:rsid w:val="009C74EF"/>
    <w:rsid w:val="009C777E"/>
    <w:rsid w:val="009C7B85"/>
    <w:rsid w:val="009D0117"/>
    <w:rsid w:val="009D0254"/>
    <w:rsid w:val="009D0387"/>
    <w:rsid w:val="009D043B"/>
    <w:rsid w:val="009D0C97"/>
    <w:rsid w:val="009D0E34"/>
    <w:rsid w:val="009D143D"/>
    <w:rsid w:val="009D16F1"/>
    <w:rsid w:val="009D1A64"/>
    <w:rsid w:val="009D1D23"/>
    <w:rsid w:val="009D27D6"/>
    <w:rsid w:val="009D2CB8"/>
    <w:rsid w:val="009D3BCE"/>
    <w:rsid w:val="009D3ED0"/>
    <w:rsid w:val="009D469E"/>
    <w:rsid w:val="009D4A4B"/>
    <w:rsid w:val="009D4B35"/>
    <w:rsid w:val="009D5274"/>
    <w:rsid w:val="009D5376"/>
    <w:rsid w:val="009D5548"/>
    <w:rsid w:val="009D598F"/>
    <w:rsid w:val="009D59D3"/>
    <w:rsid w:val="009D5B1D"/>
    <w:rsid w:val="009D5B91"/>
    <w:rsid w:val="009D63BA"/>
    <w:rsid w:val="009D6423"/>
    <w:rsid w:val="009D64A5"/>
    <w:rsid w:val="009D66B9"/>
    <w:rsid w:val="009D6733"/>
    <w:rsid w:val="009D6B57"/>
    <w:rsid w:val="009D75F3"/>
    <w:rsid w:val="009D77ED"/>
    <w:rsid w:val="009D792E"/>
    <w:rsid w:val="009E0313"/>
    <w:rsid w:val="009E0331"/>
    <w:rsid w:val="009E041A"/>
    <w:rsid w:val="009E076E"/>
    <w:rsid w:val="009E080B"/>
    <w:rsid w:val="009E0DFE"/>
    <w:rsid w:val="009E103E"/>
    <w:rsid w:val="009E14E1"/>
    <w:rsid w:val="009E2458"/>
    <w:rsid w:val="009E31F6"/>
    <w:rsid w:val="009E36B6"/>
    <w:rsid w:val="009E3E74"/>
    <w:rsid w:val="009E3ED7"/>
    <w:rsid w:val="009E3FFE"/>
    <w:rsid w:val="009E401C"/>
    <w:rsid w:val="009E4C07"/>
    <w:rsid w:val="009E53E6"/>
    <w:rsid w:val="009E5759"/>
    <w:rsid w:val="009E5881"/>
    <w:rsid w:val="009E62E8"/>
    <w:rsid w:val="009E63B5"/>
    <w:rsid w:val="009E6C8B"/>
    <w:rsid w:val="009E6F07"/>
    <w:rsid w:val="009E7235"/>
    <w:rsid w:val="009E777F"/>
    <w:rsid w:val="009E7FE1"/>
    <w:rsid w:val="009F0105"/>
    <w:rsid w:val="009F0A57"/>
    <w:rsid w:val="009F0E22"/>
    <w:rsid w:val="009F1292"/>
    <w:rsid w:val="009F1737"/>
    <w:rsid w:val="009F179C"/>
    <w:rsid w:val="009F1985"/>
    <w:rsid w:val="009F1ED8"/>
    <w:rsid w:val="009F20EA"/>
    <w:rsid w:val="009F21D1"/>
    <w:rsid w:val="009F2272"/>
    <w:rsid w:val="009F251A"/>
    <w:rsid w:val="009F2EBA"/>
    <w:rsid w:val="009F302F"/>
    <w:rsid w:val="009F395B"/>
    <w:rsid w:val="009F4112"/>
    <w:rsid w:val="009F465F"/>
    <w:rsid w:val="009F476B"/>
    <w:rsid w:val="009F4B96"/>
    <w:rsid w:val="009F4C9D"/>
    <w:rsid w:val="009F4F54"/>
    <w:rsid w:val="009F5102"/>
    <w:rsid w:val="009F5E9B"/>
    <w:rsid w:val="009F6120"/>
    <w:rsid w:val="009F62AD"/>
    <w:rsid w:val="009F6F5F"/>
    <w:rsid w:val="009F6FFA"/>
    <w:rsid w:val="009F7BB4"/>
    <w:rsid w:val="009F7D0C"/>
    <w:rsid w:val="00A002B5"/>
    <w:rsid w:val="00A00332"/>
    <w:rsid w:val="00A00B95"/>
    <w:rsid w:val="00A00BC1"/>
    <w:rsid w:val="00A00D76"/>
    <w:rsid w:val="00A00D8C"/>
    <w:rsid w:val="00A00FBB"/>
    <w:rsid w:val="00A01134"/>
    <w:rsid w:val="00A01184"/>
    <w:rsid w:val="00A011A2"/>
    <w:rsid w:val="00A012D5"/>
    <w:rsid w:val="00A01449"/>
    <w:rsid w:val="00A01875"/>
    <w:rsid w:val="00A0196F"/>
    <w:rsid w:val="00A01C5B"/>
    <w:rsid w:val="00A01D82"/>
    <w:rsid w:val="00A0238A"/>
    <w:rsid w:val="00A02476"/>
    <w:rsid w:val="00A02507"/>
    <w:rsid w:val="00A037C2"/>
    <w:rsid w:val="00A03D43"/>
    <w:rsid w:val="00A03EE7"/>
    <w:rsid w:val="00A04047"/>
    <w:rsid w:val="00A04380"/>
    <w:rsid w:val="00A046F7"/>
    <w:rsid w:val="00A04786"/>
    <w:rsid w:val="00A049AC"/>
    <w:rsid w:val="00A04DA6"/>
    <w:rsid w:val="00A05472"/>
    <w:rsid w:val="00A058D9"/>
    <w:rsid w:val="00A05C32"/>
    <w:rsid w:val="00A05CE3"/>
    <w:rsid w:val="00A0609A"/>
    <w:rsid w:val="00A06428"/>
    <w:rsid w:val="00A0653F"/>
    <w:rsid w:val="00A067C5"/>
    <w:rsid w:val="00A06999"/>
    <w:rsid w:val="00A06B56"/>
    <w:rsid w:val="00A070C2"/>
    <w:rsid w:val="00A07493"/>
    <w:rsid w:val="00A1007E"/>
    <w:rsid w:val="00A1016F"/>
    <w:rsid w:val="00A1075E"/>
    <w:rsid w:val="00A1088F"/>
    <w:rsid w:val="00A10BBE"/>
    <w:rsid w:val="00A112EA"/>
    <w:rsid w:val="00A119C2"/>
    <w:rsid w:val="00A11AF4"/>
    <w:rsid w:val="00A11CD0"/>
    <w:rsid w:val="00A11F6D"/>
    <w:rsid w:val="00A126BD"/>
    <w:rsid w:val="00A130BE"/>
    <w:rsid w:val="00A1345C"/>
    <w:rsid w:val="00A1346D"/>
    <w:rsid w:val="00A13860"/>
    <w:rsid w:val="00A13948"/>
    <w:rsid w:val="00A13C67"/>
    <w:rsid w:val="00A1412A"/>
    <w:rsid w:val="00A14746"/>
    <w:rsid w:val="00A14897"/>
    <w:rsid w:val="00A150E3"/>
    <w:rsid w:val="00A150FC"/>
    <w:rsid w:val="00A1555B"/>
    <w:rsid w:val="00A155C5"/>
    <w:rsid w:val="00A15C60"/>
    <w:rsid w:val="00A15FEC"/>
    <w:rsid w:val="00A1608A"/>
    <w:rsid w:val="00A16683"/>
    <w:rsid w:val="00A1697D"/>
    <w:rsid w:val="00A16AD8"/>
    <w:rsid w:val="00A16F05"/>
    <w:rsid w:val="00A17764"/>
    <w:rsid w:val="00A17A80"/>
    <w:rsid w:val="00A17E6C"/>
    <w:rsid w:val="00A17FA0"/>
    <w:rsid w:val="00A2021E"/>
    <w:rsid w:val="00A20C1D"/>
    <w:rsid w:val="00A21C95"/>
    <w:rsid w:val="00A21CF3"/>
    <w:rsid w:val="00A220B5"/>
    <w:rsid w:val="00A226CF"/>
    <w:rsid w:val="00A226E5"/>
    <w:rsid w:val="00A22FE3"/>
    <w:rsid w:val="00A23492"/>
    <w:rsid w:val="00A23630"/>
    <w:rsid w:val="00A236EF"/>
    <w:rsid w:val="00A23754"/>
    <w:rsid w:val="00A23C83"/>
    <w:rsid w:val="00A23CE6"/>
    <w:rsid w:val="00A23F32"/>
    <w:rsid w:val="00A24461"/>
    <w:rsid w:val="00A247A5"/>
    <w:rsid w:val="00A247E8"/>
    <w:rsid w:val="00A24813"/>
    <w:rsid w:val="00A24C79"/>
    <w:rsid w:val="00A24C7B"/>
    <w:rsid w:val="00A25024"/>
    <w:rsid w:val="00A2523A"/>
    <w:rsid w:val="00A2548B"/>
    <w:rsid w:val="00A25AB9"/>
    <w:rsid w:val="00A25E2D"/>
    <w:rsid w:val="00A26061"/>
    <w:rsid w:val="00A2648D"/>
    <w:rsid w:val="00A2671D"/>
    <w:rsid w:val="00A26BFB"/>
    <w:rsid w:val="00A27016"/>
    <w:rsid w:val="00A27742"/>
    <w:rsid w:val="00A27A58"/>
    <w:rsid w:val="00A27AEC"/>
    <w:rsid w:val="00A27C70"/>
    <w:rsid w:val="00A27F3F"/>
    <w:rsid w:val="00A27F47"/>
    <w:rsid w:val="00A3050C"/>
    <w:rsid w:val="00A3060D"/>
    <w:rsid w:val="00A308CB"/>
    <w:rsid w:val="00A30901"/>
    <w:rsid w:val="00A30D12"/>
    <w:rsid w:val="00A31453"/>
    <w:rsid w:val="00A31603"/>
    <w:rsid w:val="00A31E86"/>
    <w:rsid w:val="00A31ED4"/>
    <w:rsid w:val="00A320DB"/>
    <w:rsid w:val="00A323FF"/>
    <w:rsid w:val="00A32C42"/>
    <w:rsid w:val="00A32CBF"/>
    <w:rsid w:val="00A32DBD"/>
    <w:rsid w:val="00A3314A"/>
    <w:rsid w:val="00A341CE"/>
    <w:rsid w:val="00A35497"/>
    <w:rsid w:val="00A35D16"/>
    <w:rsid w:val="00A3626B"/>
    <w:rsid w:val="00A36347"/>
    <w:rsid w:val="00A36519"/>
    <w:rsid w:val="00A369A3"/>
    <w:rsid w:val="00A36BC3"/>
    <w:rsid w:val="00A36BF1"/>
    <w:rsid w:val="00A36F97"/>
    <w:rsid w:val="00A372E1"/>
    <w:rsid w:val="00A379A3"/>
    <w:rsid w:val="00A37BCD"/>
    <w:rsid w:val="00A37EDD"/>
    <w:rsid w:val="00A37F7E"/>
    <w:rsid w:val="00A4026E"/>
    <w:rsid w:val="00A403C7"/>
    <w:rsid w:val="00A4067F"/>
    <w:rsid w:val="00A40896"/>
    <w:rsid w:val="00A40C6A"/>
    <w:rsid w:val="00A40E35"/>
    <w:rsid w:val="00A41689"/>
    <w:rsid w:val="00A4179D"/>
    <w:rsid w:val="00A418DF"/>
    <w:rsid w:val="00A41D6A"/>
    <w:rsid w:val="00A41EDC"/>
    <w:rsid w:val="00A42592"/>
    <w:rsid w:val="00A42618"/>
    <w:rsid w:val="00A42739"/>
    <w:rsid w:val="00A42C08"/>
    <w:rsid w:val="00A42D3E"/>
    <w:rsid w:val="00A43647"/>
    <w:rsid w:val="00A43C59"/>
    <w:rsid w:val="00A44005"/>
    <w:rsid w:val="00A4402D"/>
    <w:rsid w:val="00A441CC"/>
    <w:rsid w:val="00A4423C"/>
    <w:rsid w:val="00A44244"/>
    <w:rsid w:val="00A4450E"/>
    <w:rsid w:val="00A4496D"/>
    <w:rsid w:val="00A44AA2"/>
    <w:rsid w:val="00A44BEF"/>
    <w:rsid w:val="00A450E7"/>
    <w:rsid w:val="00A45C99"/>
    <w:rsid w:val="00A45E3C"/>
    <w:rsid w:val="00A46635"/>
    <w:rsid w:val="00A4679E"/>
    <w:rsid w:val="00A4704F"/>
    <w:rsid w:val="00A476A3"/>
    <w:rsid w:val="00A4771C"/>
    <w:rsid w:val="00A4783D"/>
    <w:rsid w:val="00A47928"/>
    <w:rsid w:val="00A47ADF"/>
    <w:rsid w:val="00A47BFA"/>
    <w:rsid w:val="00A50726"/>
    <w:rsid w:val="00A50ECD"/>
    <w:rsid w:val="00A51662"/>
    <w:rsid w:val="00A516FC"/>
    <w:rsid w:val="00A518F3"/>
    <w:rsid w:val="00A51A06"/>
    <w:rsid w:val="00A5225E"/>
    <w:rsid w:val="00A523A5"/>
    <w:rsid w:val="00A523F1"/>
    <w:rsid w:val="00A52729"/>
    <w:rsid w:val="00A52BAD"/>
    <w:rsid w:val="00A530D1"/>
    <w:rsid w:val="00A53336"/>
    <w:rsid w:val="00A53346"/>
    <w:rsid w:val="00A5350B"/>
    <w:rsid w:val="00A53675"/>
    <w:rsid w:val="00A53EEB"/>
    <w:rsid w:val="00A53F95"/>
    <w:rsid w:val="00A54ADD"/>
    <w:rsid w:val="00A54D16"/>
    <w:rsid w:val="00A54DC4"/>
    <w:rsid w:val="00A55721"/>
    <w:rsid w:val="00A557DB"/>
    <w:rsid w:val="00A55CCB"/>
    <w:rsid w:val="00A55D74"/>
    <w:rsid w:val="00A564D7"/>
    <w:rsid w:val="00A566AB"/>
    <w:rsid w:val="00A56A7E"/>
    <w:rsid w:val="00A56B6A"/>
    <w:rsid w:val="00A56C87"/>
    <w:rsid w:val="00A56E9F"/>
    <w:rsid w:val="00A5726F"/>
    <w:rsid w:val="00A57699"/>
    <w:rsid w:val="00A576BC"/>
    <w:rsid w:val="00A578DC"/>
    <w:rsid w:val="00A57BEC"/>
    <w:rsid w:val="00A60120"/>
    <w:rsid w:val="00A61536"/>
    <w:rsid w:val="00A61B2A"/>
    <w:rsid w:val="00A61E4A"/>
    <w:rsid w:val="00A623D6"/>
    <w:rsid w:val="00A626DF"/>
    <w:rsid w:val="00A62928"/>
    <w:rsid w:val="00A62990"/>
    <w:rsid w:val="00A62B28"/>
    <w:rsid w:val="00A62E80"/>
    <w:rsid w:val="00A62FFA"/>
    <w:rsid w:val="00A63201"/>
    <w:rsid w:val="00A63457"/>
    <w:rsid w:val="00A639B9"/>
    <w:rsid w:val="00A63C63"/>
    <w:rsid w:val="00A63E97"/>
    <w:rsid w:val="00A640E2"/>
    <w:rsid w:val="00A6442B"/>
    <w:rsid w:val="00A64553"/>
    <w:rsid w:val="00A6499B"/>
    <w:rsid w:val="00A64D65"/>
    <w:rsid w:val="00A64F48"/>
    <w:rsid w:val="00A652D3"/>
    <w:rsid w:val="00A65DA1"/>
    <w:rsid w:val="00A66359"/>
    <w:rsid w:val="00A66E66"/>
    <w:rsid w:val="00A6704D"/>
    <w:rsid w:val="00A671F1"/>
    <w:rsid w:val="00A6725B"/>
    <w:rsid w:val="00A67508"/>
    <w:rsid w:val="00A6777A"/>
    <w:rsid w:val="00A67931"/>
    <w:rsid w:val="00A67BB2"/>
    <w:rsid w:val="00A67D95"/>
    <w:rsid w:val="00A67F9A"/>
    <w:rsid w:val="00A70064"/>
    <w:rsid w:val="00A7054D"/>
    <w:rsid w:val="00A70605"/>
    <w:rsid w:val="00A70620"/>
    <w:rsid w:val="00A70B18"/>
    <w:rsid w:val="00A71821"/>
    <w:rsid w:val="00A719E2"/>
    <w:rsid w:val="00A71AD8"/>
    <w:rsid w:val="00A71FD6"/>
    <w:rsid w:val="00A72458"/>
    <w:rsid w:val="00A72BA2"/>
    <w:rsid w:val="00A72D58"/>
    <w:rsid w:val="00A72DC0"/>
    <w:rsid w:val="00A73134"/>
    <w:rsid w:val="00A7365A"/>
    <w:rsid w:val="00A73BC5"/>
    <w:rsid w:val="00A73D07"/>
    <w:rsid w:val="00A73D34"/>
    <w:rsid w:val="00A74BA1"/>
    <w:rsid w:val="00A74CE5"/>
    <w:rsid w:val="00A74DFD"/>
    <w:rsid w:val="00A752BC"/>
    <w:rsid w:val="00A754F8"/>
    <w:rsid w:val="00A7576C"/>
    <w:rsid w:val="00A757D8"/>
    <w:rsid w:val="00A758B9"/>
    <w:rsid w:val="00A75BB9"/>
    <w:rsid w:val="00A75E74"/>
    <w:rsid w:val="00A76001"/>
    <w:rsid w:val="00A766A3"/>
    <w:rsid w:val="00A76D93"/>
    <w:rsid w:val="00A76DA0"/>
    <w:rsid w:val="00A77028"/>
    <w:rsid w:val="00A774E2"/>
    <w:rsid w:val="00A77647"/>
    <w:rsid w:val="00A776FA"/>
    <w:rsid w:val="00A777B2"/>
    <w:rsid w:val="00A77B9E"/>
    <w:rsid w:val="00A77C60"/>
    <w:rsid w:val="00A80317"/>
    <w:rsid w:val="00A80F84"/>
    <w:rsid w:val="00A82467"/>
    <w:rsid w:val="00A825D4"/>
    <w:rsid w:val="00A8265C"/>
    <w:rsid w:val="00A828F6"/>
    <w:rsid w:val="00A82B73"/>
    <w:rsid w:val="00A82EA6"/>
    <w:rsid w:val="00A835CB"/>
    <w:rsid w:val="00A838EC"/>
    <w:rsid w:val="00A83CD4"/>
    <w:rsid w:val="00A83DFC"/>
    <w:rsid w:val="00A84035"/>
    <w:rsid w:val="00A84148"/>
    <w:rsid w:val="00A84578"/>
    <w:rsid w:val="00A84CCF"/>
    <w:rsid w:val="00A84F7A"/>
    <w:rsid w:val="00A85000"/>
    <w:rsid w:val="00A850D3"/>
    <w:rsid w:val="00A85568"/>
    <w:rsid w:val="00A855AD"/>
    <w:rsid w:val="00A85872"/>
    <w:rsid w:val="00A85919"/>
    <w:rsid w:val="00A85B87"/>
    <w:rsid w:val="00A85C5D"/>
    <w:rsid w:val="00A85E80"/>
    <w:rsid w:val="00A863E4"/>
    <w:rsid w:val="00A864EF"/>
    <w:rsid w:val="00A866B5"/>
    <w:rsid w:val="00A86E8B"/>
    <w:rsid w:val="00A870E1"/>
    <w:rsid w:val="00A87164"/>
    <w:rsid w:val="00A871A9"/>
    <w:rsid w:val="00A87366"/>
    <w:rsid w:val="00A87458"/>
    <w:rsid w:val="00A876A6"/>
    <w:rsid w:val="00A87B6C"/>
    <w:rsid w:val="00A87BFC"/>
    <w:rsid w:val="00A87C1E"/>
    <w:rsid w:val="00A87E68"/>
    <w:rsid w:val="00A90601"/>
    <w:rsid w:val="00A9087A"/>
    <w:rsid w:val="00A91527"/>
    <w:rsid w:val="00A91A42"/>
    <w:rsid w:val="00A9213C"/>
    <w:rsid w:val="00A923F1"/>
    <w:rsid w:val="00A9251D"/>
    <w:rsid w:val="00A92600"/>
    <w:rsid w:val="00A92B70"/>
    <w:rsid w:val="00A92C77"/>
    <w:rsid w:val="00A93072"/>
    <w:rsid w:val="00A938BD"/>
    <w:rsid w:val="00A93953"/>
    <w:rsid w:val="00A94638"/>
    <w:rsid w:val="00A9477C"/>
    <w:rsid w:val="00A94AFD"/>
    <w:rsid w:val="00A94C59"/>
    <w:rsid w:val="00A955F2"/>
    <w:rsid w:val="00A957CB"/>
    <w:rsid w:val="00A959D8"/>
    <w:rsid w:val="00A95A39"/>
    <w:rsid w:val="00A95FD9"/>
    <w:rsid w:val="00A965EB"/>
    <w:rsid w:val="00A96658"/>
    <w:rsid w:val="00A977D7"/>
    <w:rsid w:val="00A979A4"/>
    <w:rsid w:val="00A97A7D"/>
    <w:rsid w:val="00A97AB5"/>
    <w:rsid w:val="00A97C9E"/>
    <w:rsid w:val="00AA0770"/>
    <w:rsid w:val="00AA0FCF"/>
    <w:rsid w:val="00AA113D"/>
    <w:rsid w:val="00AA1A02"/>
    <w:rsid w:val="00AA2190"/>
    <w:rsid w:val="00AA2FCE"/>
    <w:rsid w:val="00AA3274"/>
    <w:rsid w:val="00AA36E2"/>
    <w:rsid w:val="00AA3930"/>
    <w:rsid w:val="00AA3AB0"/>
    <w:rsid w:val="00AA3C83"/>
    <w:rsid w:val="00AA4529"/>
    <w:rsid w:val="00AA4B4F"/>
    <w:rsid w:val="00AA60C0"/>
    <w:rsid w:val="00AA6581"/>
    <w:rsid w:val="00AA6593"/>
    <w:rsid w:val="00AA659B"/>
    <w:rsid w:val="00AA69C5"/>
    <w:rsid w:val="00AA69C8"/>
    <w:rsid w:val="00AA6A24"/>
    <w:rsid w:val="00AA6BD5"/>
    <w:rsid w:val="00AA6BD8"/>
    <w:rsid w:val="00AA6C7D"/>
    <w:rsid w:val="00AA7714"/>
    <w:rsid w:val="00AA7858"/>
    <w:rsid w:val="00AA7BC2"/>
    <w:rsid w:val="00AA7C2D"/>
    <w:rsid w:val="00AA7FD6"/>
    <w:rsid w:val="00AB042A"/>
    <w:rsid w:val="00AB0905"/>
    <w:rsid w:val="00AB0A19"/>
    <w:rsid w:val="00AB11AD"/>
    <w:rsid w:val="00AB14F3"/>
    <w:rsid w:val="00AB1657"/>
    <w:rsid w:val="00AB180C"/>
    <w:rsid w:val="00AB19EF"/>
    <w:rsid w:val="00AB1C78"/>
    <w:rsid w:val="00AB2495"/>
    <w:rsid w:val="00AB2D34"/>
    <w:rsid w:val="00AB3430"/>
    <w:rsid w:val="00AB37B9"/>
    <w:rsid w:val="00AB37E7"/>
    <w:rsid w:val="00AB3EBA"/>
    <w:rsid w:val="00AB4208"/>
    <w:rsid w:val="00AB474E"/>
    <w:rsid w:val="00AB495A"/>
    <w:rsid w:val="00AB4AD1"/>
    <w:rsid w:val="00AB4B09"/>
    <w:rsid w:val="00AB4DB3"/>
    <w:rsid w:val="00AB515C"/>
    <w:rsid w:val="00AB56B0"/>
    <w:rsid w:val="00AB58AE"/>
    <w:rsid w:val="00AB5ADB"/>
    <w:rsid w:val="00AB5C3C"/>
    <w:rsid w:val="00AB5E07"/>
    <w:rsid w:val="00AB5FC5"/>
    <w:rsid w:val="00AB65B9"/>
    <w:rsid w:val="00AB6A89"/>
    <w:rsid w:val="00AB6D83"/>
    <w:rsid w:val="00AB76BB"/>
    <w:rsid w:val="00AB76C0"/>
    <w:rsid w:val="00AB7792"/>
    <w:rsid w:val="00AB7CFA"/>
    <w:rsid w:val="00AC0047"/>
    <w:rsid w:val="00AC0345"/>
    <w:rsid w:val="00AC0446"/>
    <w:rsid w:val="00AC0A26"/>
    <w:rsid w:val="00AC0C78"/>
    <w:rsid w:val="00AC0FE7"/>
    <w:rsid w:val="00AC1894"/>
    <w:rsid w:val="00AC198C"/>
    <w:rsid w:val="00AC1EC9"/>
    <w:rsid w:val="00AC233D"/>
    <w:rsid w:val="00AC2ED4"/>
    <w:rsid w:val="00AC3A8C"/>
    <w:rsid w:val="00AC4260"/>
    <w:rsid w:val="00AC482B"/>
    <w:rsid w:val="00AC4B1B"/>
    <w:rsid w:val="00AC4E99"/>
    <w:rsid w:val="00AC5B42"/>
    <w:rsid w:val="00AC5B48"/>
    <w:rsid w:val="00AC6172"/>
    <w:rsid w:val="00AC6AB6"/>
    <w:rsid w:val="00AC6D03"/>
    <w:rsid w:val="00AC7109"/>
    <w:rsid w:val="00AC7164"/>
    <w:rsid w:val="00AC730A"/>
    <w:rsid w:val="00AC7F93"/>
    <w:rsid w:val="00AD0657"/>
    <w:rsid w:val="00AD07C8"/>
    <w:rsid w:val="00AD1450"/>
    <w:rsid w:val="00AD15E8"/>
    <w:rsid w:val="00AD16B3"/>
    <w:rsid w:val="00AD1CFD"/>
    <w:rsid w:val="00AD1D2A"/>
    <w:rsid w:val="00AD2C7A"/>
    <w:rsid w:val="00AD356D"/>
    <w:rsid w:val="00AD4AEF"/>
    <w:rsid w:val="00AD4DF4"/>
    <w:rsid w:val="00AD52CA"/>
    <w:rsid w:val="00AD596F"/>
    <w:rsid w:val="00AD5CFB"/>
    <w:rsid w:val="00AD5FE1"/>
    <w:rsid w:val="00AD6502"/>
    <w:rsid w:val="00AD6865"/>
    <w:rsid w:val="00AD690B"/>
    <w:rsid w:val="00AD69F1"/>
    <w:rsid w:val="00AD6ABC"/>
    <w:rsid w:val="00AD75E7"/>
    <w:rsid w:val="00AD7A98"/>
    <w:rsid w:val="00AD7EED"/>
    <w:rsid w:val="00AE047B"/>
    <w:rsid w:val="00AE04C2"/>
    <w:rsid w:val="00AE0695"/>
    <w:rsid w:val="00AE0B16"/>
    <w:rsid w:val="00AE0B66"/>
    <w:rsid w:val="00AE124A"/>
    <w:rsid w:val="00AE14EA"/>
    <w:rsid w:val="00AE1B66"/>
    <w:rsid w:val="00AE1C23"/>
    <w:rsid w:val="00AE2132"/>
    <w:rsid w:val="00AE2135"/>
    <w:rsid w:val="00AE2469"/>
    <w:rsid w:val="00AE27E7"/>
    <w:rsid w:val="00AE289E"/>
    <w:rsid w:val="00AE2AC0"/>
    <w:rsid w:val="00AE2B7A"/>
    <w:rsid w:val="00AE318C"/>
    <w:rsid w:val="00AE3C0C"/>
    <w:rsid w:val="00AE3E7E"/>
    <w:rsid w:val="00AE49A6"/>
    <w:rsid w:val="00AE4AF8"/>
    <w:rsid w:val="00AE4B14"/>
    <w:rsid w:val="00AE4DE3"/>
    <w:rsid w:val="00AE4EA0"/>
    <w:rsid w:val="00AE54C7"/>
    <w:rsid w:val="00AE5757"/>
    <w:rsid w:val="00AE5B3D"/>
    <w:rsid w:val="00AE5BAC"/>
    <w:rsid w:val="00AE5D80"/>
    <w:rsid w:val="00AE74A4"/>
    <w:rsid w:val="00AE7A70"/>
    <w:rsid w:val="00AE7C3C"/>
    <w:rsid w:val="00AE7E53"/>
    <w:rsid w:val="00AF00B1"/>
    <w:rsid w:val="00AF025D"/>
    <w:rsid w:val="00AF0415"/>
    <w:rsid w:val="00AF0547"/>
    <w:rsid w:val="00AF0EF9"/>
    <w:rsid w:val="00AF1315"/>
    <w:rsid w:val="00AF19BF"/>
    <w:rsid w:val="00AF1C28"/>
    <w:rsid w:val="00AF1C66"/>
    <w:rsid w:val="00AF210B"/>
    <w:rsid w:val="00AF2BA6"/>
    <w:rsid w:val="00AF2DC3"/>
    <w:rsid w:val="00AF2F5D"/>
    <w:rsid w:val="00AF31AD"/>
    <w:rsid w:val="00AF3242"/>
    <w:rsid w:val="00AF3284"/>
    <w:rsid w:val="00AF361E"/>
    <w:rsid w:val="00AF3829"/>
    <w:rsid w:val="00AF39FD"/>
    <w:rsid w:val="00AF47B7"/>
    <w:rsid w:val="00AF4B01"/>
    <w:rsid w:val="00AF558B"/>
    <w:rsid w:val="00AF6126"/>
    <w:rsid w:val="00AF6182"/>
    <w:rsid w:val="00AF63AA"/>
    <w:rsid w:val="00AF69E7"/>
    <w:rsid w:val="00AF6C5F"/>
    <w:rsid w:val="00AF77CB"/>
    <w:rsid w:val="00AF7E2E"/>
    <w:rsid w:val="00B009B8"/>
    <w:rsid w:val="00B00A3F"/>
    <w:rsid w:val="00B00BCD"/>
    <w:rsid w:val="00B01282"/>
    <w:rsid w:val="00B014D8"/>
    <w:rsid w:val="00B01AA5"/>
    <w:rsid w:val="00B020E8"/>
    <w:rsid w:val="00B02142"/>
    <w:rsid w:val="00B02323"/>
    <w:rsid w:val="00B02788"/>
    <w:rsid w:val="00B02A82"/>
    <w:rsid w:val="00B02C35"/>
    <w:rsid w:val="00B02C71"/>
    <w:rsid w:val="00B032C0"/>
    <w:rsid w:val="00B033E5"/>
    <w:rsid w:val="00B03A63"/>
    <w:rsid w:val="00B0431C"/>
    <w:rsid w:val="00B04E28"/>
    <w:rsid w:val="00B05060"/>
    <w:rsid w:val="00B05235"/>
    <w:rsid w:val="00B05642"/>
    <w:rsid w:val="00B0599F"/>
    <w:rsid w:val="00B05AEC"/>
    <w:rsid w:val="00B05C9F"/>
    <w:rsid w:val="00B069F2"/>
    <w:rsid w:val="00B074D9"/>
    <w:rsid w:val="00B07BAF"/>
    <w:rsid w:val="00B07CAF"/>
    <w:rsid w:val="00B07E98"/>
    <w:rsid w:val="00B10098"/>
    <w:rsid w:val="00B10A5C"/>
    <w:rsid w:val="00B11053"/>
    <w:rsid w:val="00B112DA"/>
    <w:rsid w:val="00B113CA"/>
    <w:rsid w:val="00B117F6"/>
    <w:rsid w:val="00B11811"/>
    <w:rsid w:val="00B11842"/>
    <w:rsid w:val="00B120C4"/>
    <w:rsid w:val="00B12804"/>
    <w:rsid w:val="00B128A7"/>
    <w:rsid w:val="00B129A4"/>
    <w:rsid w:val="00B130C1"/>
    <w:rsid w:val="00B13222"/>
    <w:rsid w:val="00B132EB"/>
    <w:rsid w:val="00B1374F"/>
    <w:rsid w:val="00B13C29"/>
    <w:rsid w:val="00B14F36"/>
    <w:rsid w:val="00B15102"/>
    <w:rsid w:val="00B154D0"/>
    <w:rsid w:val="00B159C2"/>
    <w:rsid w:val="00B164FC"/>
    <w:rsid w:val="00B201A4"/>
    <w:rsid w:val="00B201D1"/>
    <w:rsid w:val="00B202CC"/>
    <w:rsid w:val="00B20485"/>
    <w:rsid w:val="00B213A6"/>
    <w:rsid w:val="00B21613"/>
    <w:rsid w:val="00B2192B"/>
    <w:rsid w:val="00B21975"/>
    <w:rsid w:val="00B2248F"/>
    <w:rsid w:val="00B22C0A"/>
    <w:rsid w:val="00B22E40"/>
    <w:rsid w:val="00B2303A"/>
    <w:rsid w:val="00B231CE"/>
    <w:rsid w:val="00B235B0"/>
    <w:rsid w:val="00B236B4"/>
    <w:rsid w:val="00B23813"/>
    <w:rsid w:val="00B24561"/>
    <w:rsid w:val="00B24DF6"/>
    <w:rsid w:val="00B24EF9"/>
    <w:rsid w:val="00B24F13"/>
    <w:rsid w:val="00B25103"/>
    <w:rsid w:val="00B25331"/>
    <w:rsid w:val="00B2547A"/>
    <w:rsid w:val="00B25A10"/>
    <w:rsid w:val="00B25B74"/>
    <w:rsid w:val="00B25F6E"/>
    <w:rsid w:val="00B26222"/>
    <w:rsid w:val="00B26428"/>
    <w:rsid w:val="00B266B2"/>
    <w:rsid w:val="00B27117"/>
    <w:rsid w:val="00B272F1"/>
    <w:rsid w:val="00B27306"/>
    <w:rsid w:val="00B27420"/>
    <w:rsid w:val="00B2744D"/>
    <w:rsid w:val="00B279E5"/>
    <w:rsid w:val="00B27A61"/>
    <w:rsid w:val="00B301F5"/>
    <w:rsid w:val="00B302C2"/>
    <w:rsid w:val="00B3076E"/>
    <w:rsid w:val="00B30B4F"/>
    <w:rsid w:val="00B30E73"/>
    <w:rsid w:val="00B3103D"/>
    <w:rsid w:val="00B321DB"/>
    <w:rsid w:val="00B32338"/>
    <w:rsid w:val="00B323CE"/>
    <w:rsid w:val="00B32413"/>
    <w:rsid w:val="00B325ED"/>
    <w:rsid w:val="00B332C8"/>
    <w:rsid w:val="00B33391"/>
    <w:rsid w:val="00B33BD0"/>
    <w:rsid w:val="00B33EB6"/>
    <w:rsid w:val="00B33F71"/>
    <w:rsid w:val="00B346A8"/>
    <w:rsid w:val="00B34AE4"/>
    <w:rsid w:val="00B34FE2"/>
    <w:rsid w:val="00B35166"/>
    <w:rsid w:val="00B357D8"/>
    <w:rsid w:val="00B35AE8"/>
    <w:rsid w:val="00B360F4"/>
    <w:rsid w:val="00B3625C"/>
    <w:rsid w:val="00B362B7"/>
    <w:rsid w:val="00B363B5"/>
    <w:rsid w:val="00B36544"/>
    <w:rsid w:val="00B36674"/>
    <w:rsid w:val="00B36A00"/>
    <w:rsid w:val="00B36A8E"/>
    <w:rsid w:val="00B36E26"/>
    <w:rsid w:val="00B374FD"/>
    <w:rsid w:val="00B37591"/>
    <w:rsid w:val="00B375A9"/>
    <w:rsid w:val="00B375C7"/>
    <w:rsid w:val="00B376D7"/>
    <w:rsid w:val="00B3792B"/>
    <w:rsid w:val="00B37970"/>
    <w:rsid w:val="00B37AB4"/>
    <w:rsid w:val="00B37AE6"/>
    <w:rsid w:val="00B37BFC"/>
    <w:rsid w:val="00B40038"/>
    <w:rsid w:val="00B40163"/>
    <w:rsid w:val="00B4030C"/>
    <w:rsid w:val="00B40358"/>
    <w:rsid w:val="00B40B91"/>
    <w:rsid w:val="00B40BED"/>
    <w:rsid w:val="00B41401"/>
    <w:rsid w:val="00B414A4"/>
    <w:rsid w:val="00B41579"/>
    <w:rsid w:val="00B41614"/>
    <w:rsid w:val="00B41941"/>
    <w:rsid w:val="00B42483"/>
    <w:rsid w:val="00B4256E"/>
    <w:rsid w:val="00B42851"/>
    <w:rsid w:val="00B42A54"/>
    <w:rsid w:val="00B42F80"/>
    <w:rsid w:val="00B4348D"/>
    <w:rsid w:val="00B43545"/>
    <w:rsid w:val="00B435CB"/>
    <w:rsid w:val="00B43A40"/>
    <w:rsid w:val="00B44482"/>
    <w:rsid w:val="00B44CCC"/>
    <w:rsid w:val="00B45044"/>
    <w:rsid w:val="00B450CC"/>
    <w:rsid w:val="00B4515A"/>
    <w:rsid w:val="00B457BB"/>
    <w:rsid w:val="00B45D82"/>
    <w:rsid w:val="00B45F99"/>
    <w:rsid w:val="00B462AC"/>
    <w:rsid w:val="00B465EC"/>
    <w:rsid w:val="00B467FE"/>
    <w:rsid w:val="00B46A34"/>
    <w:rsid w:val="00B46AFB"/>
    <w:rsid w:val="00B46CD8"/>
    <w:rsid w:val="00B479D5"/>
    <w:rsid w:val="00B47BD5"/>
    <w:rsid w:val="00B47C62"/>
    <w:rsid w:val="00B47C79"/>
    <w:rsid w:val="00B47FB3"/>
    <w:rsid w:val="00B50078"/>
    <w:rsid w:val="00B5030F"/>
    <w:rsid w:val="00B50336"/>
    <w:rsid w:val="00B505C8"/>
    <w:rsid w:val="00B50609"/>
    <w:rsid w:val="00B506D1"/>
    <w:rsid w:val="00B5076E"/>
    <w:rsid w:val="00B5083B"/>
    <w:rsid w:val="00B50C9F"/>
    <w:rsid w:val="00B50DB8"/>
    <w:rsid w:val="00B50F43"/>
    <w:rsid w:val="00B5111B"/>
    <w:rsid w:val="00B513C4"/>
    <w:rsid w:val="00B519AF"/>
    <w:rsid w:val="00B51C4B"/>
    <w:rsid w:val="00B51C7D"/>
    <w:rsid w:val="00B5202C"/>
    <w:rsid w:val="00B52383"/>
    <w:rsid w:val="00B52552"/>
    <w:rsid w:val="00B5270D"/>
    <w:rsid w:val="00B5271E"/>
    <w:rsid w:val="00B527F6"/>
    <w:rsid w:val="00B52E74"/>
    <w:rsid w:val="00B52E81"/>
    <w:rsid w:val="00B5350C"/>
    <w:rsid w:val="00B53654"/>
    <w:rsid w:val="00B53905"/>
    <w:rsid w:val="00B539B1"/>
    <w:rsid w:val="00B53AB5"/>
    <w:rsid w:val="00B546DB"/>
    <w:rsid w:val="00B54A46"/>
    <w:rsid w:val="00B54B5B"/>
    <w:rsid w:val="00B54CB7"/>
    <w:rsid w:val="00B5562E"/>
    <w:rsid w:val="00B55862"/>
    <w:rsid w:val="00B55892"/>
    <w:rsid w:val="00B55908"/>
    <w:rsid w:val="00B55D3C"/>
    <w:rsid w:val="00B55D65"/>
    <w:rsid w:val="00B55DB9"/>
    <w:rsid w:val="00B56019"/>
    <w:rsid w:val="00B56305"/>
    <w:rsid w:val="00B567DF"/>
    <w:rsid w:val="00B56F46"/>
    <w:rsid w:val="00B57000"/>
    <w:rsid w:val="00B57925"/>
    <w:rsid w:val="00B57967"/>
    <w:rsid w:val="00B57E2E"/>
    <w:rsid w:val="00B600C3"/>
    <w:rsid w:val="00B60137"/>
    <w:rsid w:val="00B602D5"/>
    <w:rsid w:val="00B6069B"/>
    <w:rsid w:val="00B60939"/>
    <w:rsid w:val="00B60AFD"/>
    <w:rsid w:val="00B60B02"/>
    <w:rsid w:val="00B61460"/>
    <w:rsid w:val="00B6216A"/>
    <w:rsid w:val="00B62269"/>
    <w:rsid w:val="00B622B5"/>
    <w:rsid w:val="00B622CF"/>
    <w:rsid w:val="00B62313"/>
    <w:rsid w:val="00B623B0"/>
    <w:rsid w:val="00B62715"/>
    <w:rsid w:val="00B62957"/>
    <w:rsid w:val="00B62A06"/>
    <w:rsid w:val="00B62B06"/>
    <w:rsid w:val="00B63042"/>
    <w:rsid w:val="00B631FF"/>
    <w:rsid w:val="00B647A7"/>
    <w:rsid w:val="00B64D68"/>
    <w:rsid w:val="00B64F4E"/>
    <w:rsid w:val="00B651F1"/>
    <w:rsid w:val="00B6531E"/>
    <w:rsid w:val="00B65611"/>
    <w:rsid w:val="00B65F18"/>
    <w:rsid w:val="00B66581"/>
    <w:rsid w:val="00B665C3"/>
    <w:rsid w:val="00B666F9"/>
    <w:rsid w:val="00B671A6"/>
    <w:rsid w:val="00B6722C"/>
    <w:rsid w:val="00B673C4"/>
    <w:rsid w:val="00B678D8"/>
    <w:rsid w:val="00B7005D"/>
    <w:rsid w:val="00B70815"/>
    <w:rsid w:val="00B70E8E"/>
    <w:rsid w:val="00B7103F"/>
    <w:rsid w:val="00B712D5"/>
    <w:rsid w:val="00B713A9"/>
    <w:rsid w:val="00B718DC"/>
    <w:rsid w:val="00B71AD3"/>
    <w:rsid w:val="00B721E7"/>
    <w:rsid w:val="00B724F8"/>
    <w:rsid w:val="00B7281E"/>
    <w:rsid w:val="00B72DCA"/>
    <w:rsid w:val="00B72E07"/>
    <w:rsid w:val="00B73046"/>
    <w:rsid w:val="00B734D7"/>
    <w:rsid w:val="00B73553"/>
    <w:rsid w:val="00B736A2"/>
    <w:rsid w:val="00B73BC3"/>
    <w:rsid w:val="00B73D36"/>
    <w:rsid w:val="00B73DC2"/>
    <w:rsid w:val="00B743C8"/>
    <w:rsid w:val="00B747B3"/>
    <w:rsid w:val="00B748FA"/>
    <w:rsid w:val="00B74E1C"/>
    <w:rsid w:val="00B74F86"/>
    <w:rsid w:val="00B75497"/>
    <w:rsid w:val="00B75976"/>
    <w:rsid w:val="00B75B26"/>
    <w:rsid w:val="00B7666A"/>
    <w:rsid w:val="00B76701"/>
    <w:rsid w:val="00B76C92"/>
    <w:rsid w:val="00B76D97"/>
    <w:rsid w:val="00B76F82"/>
    <w:rsid w:val="00B76FB7"/>
    <w:rsid w:val="00B770BE"/>
    <w:rsid w:val="00B77310"/>
    <w:rsid w:val="00B7736B"/>
    <w:rsid w:val="00B77385"/>
    <w:rsid w:val="00B774A9"/>
    <w:rsid w:val="00B77510"/>
    <w:rsid w:val="00B775B2"/>
    <w:rsid w:val="00B775CC"/>
    <w:rsid w:val="00B77841"/>
    <w:rsid w:val="00B77AF6"/>
    <w:rsid w:val="00B77C5B"/>
    <w:rsid w:val="00B77E1D"/>
    <w:rsid w:val="00B802B1"/>
    <w:rsid w:val="00B80EFD"/>
    <w:rsid w:val="00B80FC5"/>
    <w:rsid w:val="00B81769"/>
    <w:rsid w:val="00B817D7"/>
    <w:rsid w:val="00B818A4"/>
    <w:rsid w:val="00B81A08"/>
    <w:rsid w:val="00B81AC0"/>
    <w:rsid w:val="00B81CAE"/>
    <w:rsid w:val="00B81D8E"/>
    <w:rsid w:val="00B82CF0"/>
    <w:rsid w:val="00B830F2"/>
    <w:rsid w:val="00B83445"/>
    <w:rsid w:val="00B83739"/>
    <w:rsid w:val="00B837EF"/>
    <w:rsid w:val="00B83ACC"/>
    <w:rsid w:val="00B83E1C"/>
    <w:rsid w:val="00B84117"/>
    <w:rsid w:val="00B8427B"/>
    <w:rsid w:val="00B8432F"/>
    <w:rsid w:val="00B84706"/>
    <w:rsid w:val="00B84AC5"/>
    <w:rsid w:val="00B84C24"/>
    <w:rsid w:val="00B84FFC"/>
    <w:rsid w:val="00B852A2"/>
    <w:rsid w:val="00B8583F"/>
    <w:rsid w:val="00B858F0"/>
    <w:rsid w:val="00B85AA2"/>
    <w:rsid w:val="00B8649C"/>
    <w:rsid w:val="00B8689B"/>
    <w:rsid w:val="00B868E1"/>
    <w:rsid w:val="00B8695D"/>
    <w:rsid w:val="00B86CAE"/>
    <w:rsid w:val="00B87284"/>
    <w:rsid w:val="00B87F0A"/>
    <w:rsid w:val="00B90058"/>
    <w:rsid w:val="00B90CDD"/>
    <w:rsid w:val="00B9104A"/>
    <w:rsid w:val="00B913F9"/>
    <w:rsid w:val="00B91467"/>
    <w:rsid w:val="00B91DB2"/>
    <w:rsid w:val="00B923B1"/>
    <w:rsid w:val="00B92ABD"/>
    <w:rsid w:val="00B92D0B"/>
    <w:rsid w:val="00B930C6"/>
    <w:rsid w:val="00B933A3"/>
    <w:rsid w:val="00B93801"/>
    <w:rsid w:val="00B94414"/>
    <w:rsid w:val="00B94945"/>
    <w:rsid w:val="00B94B8B"/>
    <w:rsid w:val="00B94DD6"/>
    <w:rsid w:val="00B94DE7"/>
    <w:rsid w:val="00B952E4"/>
    <w:rsid w:val="00B95A19"/>
    <w:rsid w:val="00B95E64"/>
    <w:rsid w:val="00B96709"/>
    <w:rsid w:val="00B96E0E"/>
    <w:rsid w:val="00B972BC"/>
    <w:rsid w:val="00B9732C"/>
    <w:rsid w:val="00B9745D"/>
    <w:rsid w:val="00B9781F"/>
    <w:rsid w:val="00B978BD"/>
    <w:rsid w:val="00B97979"/>
    <w:rsid w:val="00B97BDC"/>
    <w:rsid w:val="00BA02C0"/>
    <w:rsid w:val="00BA050D"/>
    <w:rsid w:val="00BA0B8E"/>
    <w:rsid w:val="00BA185E"/>
    <w:rsid w:val="00BA1965"/>
    <w:rsid w:val="00BA23D5"/>
    <w:rsid w:val="00BA26F6"/>
    <w:rsid w:val="00BA2856"/>
    <w:rsid w:val="00BA30FC"/>
    <w:rsid w:val="00BA3136"/>
    <w:rsid w:val="00BA322D"/>
    <w:rsid w:val="00BA3ABB"/>
    <w:rsid w:val="00BA3E6F"/>
    <w:rsid w:val="00BA3EC2"/>
    <w:rsid w:val="00BA3FE2"/>
    <w:rsid w:val="00BA4AC9"/>
    <w:rsid w:val="00BA4B38"/>
    <w:rsid w:val="00BA4E4E"/>
    <w:rsid w:val="00BA51DC"/>
    <w:rsid w:val="00BA5353"/>
    <w:rsid w:val="00BA54C1"/>
    <w:rsid w:val="00BA5E5E"/>
    <w:rsid w:val="00BA62C4"/>
    <w:rsid w:val="00BA63FA"/>
    <w:rsid w:val="00BA6AF2"/>
    <w:rsid w:val="00BA7313"/>
    <w:rsid w:val="00BA74FA"/>
    <w:rsid w:val="00BB00B3"/>
    <w:rsid w:val="00BB03ED"/>
    <w:rsid w:val="00BB0BDD"/>
    <w:rsid w:val="00BB0CA1"/>
    <w:rsid w:val="00BB0DEC"/>
    <w:rsid w:val="00BB0E8D"/>
    <w:rsid w:val="00BB176C"/>
    <w:rsid w:val="00BB1D9E"/>
    <w:rsid w:val="00BB1F7C"/>
    <w:rsid w:val="00BB2388"/>
    <w:rsid w:val="00BB248F"/>
    <w:rsid w:val="00BB2887"/>
    <w:rsid w:val="00BB2A73"/>
    <w:rsid w:val="00BB2A9F"/>
    <w:rsid w:val="00BB2CCE"/>
    <w:rsid w:val="00BB2E3D"/>
    <w:rsid w:val="00BB30CD"/>
    <w:rsid w:val="00BB3257"/>
    <w:rsid w:val="00BB336F"/>
    <w:rsid w:val="00BB3394"/>
    <w:rsid w:val="00BB3692"/>
    <w:rsid w:val="00BB3861"/>
    <w:rsid w:val="00BB3A45"/>
    <w:rsid w:val="00BB3BFE"/>
    <w:rsid w:val="00BB3D74"/>
    <w:rsid w:val="00BB41B6"/>
    <w:rsid w:val="00BB44D4"/>
    <w:rsid w:val="00BB478C"/>
    <w:rsid w:val="00BB4842"/>
    <w:rsid w:val="00BB49DF"/>
    <w:rsid w:val="00BB4ACC"/>
    <w:rsid w:val="00BB4EB0"/>
    <w:rsid w:val="00BB5369"/>
    <w:rsid w:val="00BB5571"/>
    <w:rsid w:val="00BB68FB"/>
    <w:rsid w:val="00BB6FD0"/>
    <w:rsid w:val="00BB703E"/>
    <w:rsid w:val="00BB732D"/>
    <w:rsid w:val="00BB7405"/>
    <w:rsid w:val="00BB7CC4"/>
    <w:rsid w:val="00BB7EB8"/>
    <w:rsid w:val="00BC02A7"/>
    <w:rsid w:val="00BC04AB"/>
    <w:rsid w:val="00BC0538"/>
    <w:rsid w:val="00BC094D"/>
    <w:rsid w:val="00BC0C27"/>
    <w:rsid w:val="00BC11C9"/>
    <w:rsid w:val="00BC1351"/>
    <w:rsid w:val="00BC1C60"/>
    <w:rsid w:val="00BC2132"/>
    <w:rsid w:val="00BC23E4"/>
    <w:rsid w:val="00BC2C10"/>
    <w:rsid w:val="00BC2F96"/>
    <w:rsid w:val="00BC3147"/>
    <w:rsid w:val="00BC3631"/>
    <w:rsid w:val="00BC3B12"/>
    <w:rsid w:val="00BC3CE5"/>
    <w:rsid w:val="00BC3E63"/>
    <w:rsid w:val="00BC3F81"/>
    <w:rsid w:val="00BC3FA5"/>
    <w:rsid w:val="00BC4242"/>
    <w:rsid w:val="00BC4258"/>
    <w:rsid w:val="00BC4693"/>
    <w:rsid w:val="00BC4D13"/>
    <w:rsid w:val="00BC4EBF"/>
    <w:rsid w:val="00BC57EA"/>
    <w:rsid w:val="00BC591F"/>
    <w:rsid w:val="00BC62DE"/>
    <w:rsid w:val="00BC6458"/>
    <w:rsid w:val="00BC67F7"/>
    <w:rsid w:val="00BC6829"/>
    <w:rsid w:val="00BC6999"/>
    <w:rsid w:val="00BC6B0C"/>
    <w:rsid w:val="00BC6BE5"/>
    <w:rsid w:val="00BC6BFD"/>
    <w:rsid w:val="00BC6C18"/>
    <w:rsid w:val="00BC7075"/>
    <w:rsid w:val="00BC7D6D"/>
    <w:rsid w:val="00BC7DDA"/>
    <w:rsid w:val="00BD0037"/>
    <w:rsid w:val="00BD0300"/>
    <w:rsid w:val="00BD12A5"/>
    <w:rsid w:val="00BD1665"/>
    <w:rsid w:val="00BD16D5"/>
    <w:rsid w:val="00BD2108"/>
    <w:rsid w:val="00BD217D"/>
    <w:rsid w:val="00BD238C"/>
    <w:rsid w:val="00BD23B0"/>
    <w:rsid w:val="00BD2A7D"/>
    <w:rsid w:val="00BD2E10"/>
    <w:rsid w:val="00BD387F"/>
    <w:rsid w:val="00BD3893"/>
    <w:rsid w:val="00BD39AE"/>
    <w:rsid w:val="00BD4271"/>
    <w:rsid w:val="00BD4B56"/>
    <w:rsid w:val="00BD4D6F"/>
    <w:rsid w:val="00BD4FFB"/>
    <w:rsid w:val="00BD51FF"/>
    <w:rsid w:val="00BD5D5C"/>
    <w:rsid w:val="00BD617D"/>
    <w:rsid w:val="00BD61A2"/>
    <w:rsid w:val="00BD62A2"/>
    <w:rsid w:val="00BD640E"/>
    <w:rsid w:val="00BD665D"/>
    <w:rsid w:val="00BD68A3"/>
    <w:rsid w:val="00BD6938"/>
    <w:rsid w:val="00BD6BEE"/>
    <w:rsid w:val="00BD6CF3"/>
    <w:rsid w:val="00BD75FD"/>
    <w:rsid w:val="00BD7E5B"/>
    <w:rsid w:val="00BD7EF3"/>
    <w:rsid w:val="00BD7F72"/>
    <w:rsid w:val="00BE0158"/>
    <w:rsid w:val="00BE03D1"/>
    <w:rsid w:val="00BE0DE6"/>
    <w:rsid w:val="00BE0ECA"/>
    <w:rsid w:val="00BE1876"/>
    <w:rsid w:val="00BE18ED"/>
    <w:rsid w:val="00BE1D5C"/>
    <w:rsid w:val="00BE1E61"/>
    <w:rsid w:val="00BE2111"/>
    <w:rsid w:val="00BE2180"/>
    <w:rsid w:val="00BE21F2"/>
    <w:rsid w:val="00BE2458"/>
    <w:rsid w:val="00BE2D94"/>
    <w:rsid w:val="00BE32E7"/>
    <w:rsid w:val="00BE3343"/>
    <w:rsid w:val="00BE341E"/>
    <w:rsid w:val="00BE38CB"/>
    <w:rsid w:val="00BE3E8D"/>
    <w:rsid w:val="00BE4275"/>
    <w:rsid w:val="00BE4730"/>
    <w:rsid w:val="00BE47CD"/>
    <w:rsid w:val="00BE4BB6"/>
    <w:rsid w:val="00BE53DE"/>
    <w:rsid w:val="00BE5B55"/>
    <w:rsid w:val="00BE5C07"/>
    <w:rsid w:val="00BE5D7E"/>
    <w:rsid w:val="00BE62C7"/>
    <w:rsid w:val="00BE65AD"/>
    <w:rsid w:val="00BE668F"/>
    <w:rsid w:val="00BE7665"/>
    <w:rsid w:val="00BE7802"/>
    <w:rsid w:val="00BE78B4"/>
    <w:rsid w:val="00BE7E88"/>
    <w:rsid w:val="00BF06AE"/>
    <w:rsid w:val="00BF0A4E"/>
    <w:rsid w:val="00BF0F2E"/>
    <w:rsid w:val="00BF0F95"/>
    <w:rsid w:val="00BF0FEC"/>
    <w:rsid w:val="00BF131F"/>
    <w:rsid w:val="00BF18D4"/>
    <w:rsid w:val="00BF2433"/>
    <w:rsid w:val="00BF2681"/>
    <w:rsid w:val="00BF270B"/>
    <w:rsid w:val="00BF2940"/>
    <w:rsid w:val="00BF2E6E"/>
    <w:rsid w:val="00BF3323"/>
    <w:rsid w:val="00BF3386"/>
    <w:rsid w:val="00BF33DD"/>
    <w:rsid w:val="00BF409F"/>
    <w:rsid w:val="00BF4139"/>
    <w:rsid w:val="00BF41F8"/>
    <w:rsid w:val="00BF49A3"/>
    <w:rsid w:val="00BF4FB7"/>
    <w:rsid w:val="00BF581D"/>
    <w:rsid w:val="00BF5DD0"/>
    <w:rsid w:val="00BF61C9"/>
    <w:rsid w:val="00BF637E"/>
    <w:rsid w:val="00BF657E"/>
    <w:rsid w:val="00BF6621"/>
    <w:rsid w:val="00BF66DF"/>
    <w:rsid w:val="00BF693D"/>
    <w:rsid w:val="00BF6BAA"/>
    <w:rsid w:val="00BF6C94"/>
    <w:rsid w:val="00BF7A49"/>
    <w:rsid w:val="00BF7BF6"/>
    <w:rsid w:val="00BF7E1D"/>
    <w:rsid w:val="00BF7F8C"/>
    <w:rsid w:val="00C003B0"/>
    <w:rsid w:val="00C00424"/>
    <w:rsid w:val="00C00769"/>
    <w:rsid w:val="00C00BB0"/>
    <w:rsid w:val="00C01065"/>
    <w:rsid w:val="00C01408"/>
    <w:rsid w:val="00C01692"/>
    <w:rsid w:val="00C01EF3"/>
    <w:rsid w:val="00C0214A"/>
    <w:rsid w:val="00C02167"/>
    <w:rsid w:val="00C02250"/>
    <w:rsid w:val="00C022B2"/>
    <w:rsid w:val="00C02A08"/>
    <w:rsid w:val="00C03195"/>
    <w:rsid w:val="00C03286"/>
    <w:rsid w:val="00C034F4"/>
    <w:rsid w:val="00C03C29"/>
    <w:rsid w:val="00C041E8"/>
    <w:rsid w:val="00C042DC"/>
    <w:rsid w:val="00C044EA"/>
    <w:rsid w:val="00C0493D"/>
    <w:rsid w:val="00C04B3F"/>
    <w:rsid w:val="00C04F8E"/>
    <w:rsid w:val="00C051B5"/>
    <w:rsid w:val="00C055D2"/>
    <w:rsid w:val="00C06C21"/>
    <w:rsid w:val="00C07A2E"/>
    <w:rsid w:val="00C07E9C"/>
    <w:rsid w:val="00C1020F"/>
    <w:rsid w:val="00C116B9"/>
    <w:rsid w:val="00C1179F"/>
    <w:rsid w:val="00C11AA3"/>
    <w:rsid w:val="00C11CED"/>
    <w:rsid w:val="00C12064"/>
    <w:rsid w:val="00C12472"/>
    <w:rsid w:val="00C12680"/>
    <w:rsid w:val="00C127B9"/>
    <w:rsid w:val="00C127EC"/>
    <w:rsid w:val="00C128FA"/>
    <w:rsid w:val="00C12B09"/>
    <w:rsid w:val="00C12BDB"/>
    <w:rsid w:val="00C12C14"/>
    <w:rsid w:val="00C12E47"/>
    <w:rsid w:val="00C130D0"/>
    <w:rsid w:val="00C1323C"/>
    <w:rsid w:val="00C13908"/>
    <w:rsid w:val="00C13BDB"/>
    <w:rsid w:val="00C14227"/>
    <w:rsid w:val="00C14435"/>
    <w:rsid w:val="00C14BED"/>
    <w:rsid w:val="00C14EC8"/>
    <w:rsid w:val="00C151F2"/>
    <w:rsid w:val="00C1549A"/>
    <w:rsid w:val="00C15DDB"/>
    <w:rsid w:val="00C15E23"/>
    <w:rsid w:val="00C15F04"/>
    <w:rsid w:val="00C16411"/>
    <w:rsid w:val="00C16B09"/>
    <w:rsid w:val="00C175AD"/>
    <w:rsid w:val="00C179B3"/>
    <w:rsid w:val="00C17E3F"/>
    <w:rsid w:val="00C20028"/>
    <w:rsid w:val="00C200AA"/>
    <w:rsid w:val="00C20661"/>
    <w:rsid w:val="00C20B91"/>
    <w:rsid w:val="00C21041"/>
    <w:rsid w:val="00C212C6"/>
    <w:rsid w:val="00C214F1"/>
    <w:rsid w:val="00C21579"/>
    <w:rsid w:val="00C2173E"/>
    <w:rsid w:val="00C21EB1"/>
    <w:rsid w:val="00C223C5"/>
    <w:rsid w:val="00C22ED4"/>
    <w:rsid w:val="00C23419"/>
    <w:rsid w:val="00C237ED"/>
    <w:rsid w:val="00C23B21"/>
    <w:rsid w:val="00C241F8"/>
    <w:rsid w:val="00C2439B"/>
    <w:rsid w:val="00C24632"/>
    <w:rsid w:val="00C24A50"/>
    <w:rsid w:val="00C24AA5"/>
    <w:rsid w:val="00C25418"/>
    <w:rsid w:val="00C2583E"/>
    <w:rsid w:val="00C258A7"/>
    <w:rsid w:val="00C25D77"/>
    <w:rsid w:val="00C25D9C"/>
    <w:rsid w:val="00C26073"/>
    <w:rsid w:val="00C26104"/>
    <w:rsid w:val="00C2660F"/>
    <w:rsid w:val="00C2778B"/>
    <w:rsid w:val="00C277A5"/>
    <w:rsid w:val="00C278D3"/>
    <w:rsid w:val="00C27C6A"/>
    <w:rsid w:val="00C27FDC"/>
    <w:rsid w:val="00C3011B"/>
    <w:rsid w:val="00C302FB"/>
    <w:rsid w:val="00C31071"/>
    <w:rsid w:val="00C313D3"/>
    <w:rsid w:val="00C31649"/>
    <w:rsid w:val="00C319E5"/>
    <w:rsid w:val="00C3212F"/>
    <w:rsid w:val="00C32146"/>
    <w:rsid w:val="00C32EDA"/>
    <w:rsid w:val="00C33249"/>
    <w:rsid w:val="00C33287"/>
    <w:rsid w:val="00C3334A"/>
    <w:rsid w:val="00C333AF"/>
    <w:rsid w:val="00C3343F"/>
    <w:rsid w:val="00C335DA"/>
    <w:rsid w:val="00C33699"/>
    <w:rsid w:val="00C338F3"/>
    <w:rsid w:val="00C33B12"/>
    <w:rsid w:val="00C33DE7"/>
    <w:rsid w:val="00C33FA2"/>
    <w:rsid w:val="00C33FFD"/>
    <w:rsid w:val="00C3434C"/>
    <w:rsid w:val="00C34385"/>
    <w:rsid w:val="00C34590"/>
    <w:rsid w:val="00C34716"/>
    <w:rsid w:val="00C34787"/>
    <w:rsid w:val="00C347B2"/>
    <w:rsid w:val="00C34928"/>
    <w:rsid w:val="00C34C2F"/>
    <w:rsid w:val="00C34EFD"/>
    <w:rsid w:val="00C35403"/>
    <w:rsid w:val="00C354C1"/>
    <w:rsid w:val="00C35C29"/>
    <w:rsid w:val="00C35DB9"/>
    <w:rsid w:val="00C363E0"/>
    <w:rsid w:val="00C3683C"/>
    <w:rsid w:val="00C37198"/>
    <w:rsid w:val="00C3724F"/>
    <w:rsid w:val="00C37774"/>
    <w:rsid w:val="00C37A92"/>
    <w:rsid w:val="00C37F66"/>
    <w:rsid w:val="00C4033C"/>
    <w:rsid w:val="00C40385"/>
    <w:rsid w:val="00C404C5"/>
    <w:rsid w:val="00C407E2"/>
    <w:rsid w:val="00C40A0F"/>
    <w:rsid w:val="00C40A5B"/>
    <w:rsid w:val="00C411E8"/>
    <w:rsid w:val="00C412D0"/>
    <w:rsid w:val="00C41356"/>
    <w:rsid w:val="00C414F0"/>
    <w:rsid w:val="00C41768"/>
    <w:rsid w:val="00C4199C"/>
    <w:rsid w:val="00C42248"/>
    <w:rsid w:val="00C4263B"/>
    <w:rsid w:val="00C426F8"/>
    <w:rsid w:val="00C426FC"/>
    <w:rsid w:val="00C4274D"/>
    <w:rsid w:val="00C42FCF"/>
    <w:rsid w:val="00C44815"/>
    <w:rsid w:val="00C4494D"/>
    <w:rsid w:val="00C45A48"/>
    <w:rsid w:val="00C45AD0"/>
    <w:rsid w:val="00C45CE0"/>
    <w:rsid w:val="00C4607E"/>
    <w:rsid w:val="00C464D0"/>
    <w:rsid w:val="00C465A2"/>
    <w:rsid w:val="00C46796"/>
    <w:rsid w:val="00C46E1B"/>
    <w:rsid w:val="00C47153"/>
    <w:rsid w:val="00C47221"/>
    <w:rsid w:val="00C475AA"/>
    <w:rsid w:val="00C47DDC"/>
    <w:rsid w:val="00C5031A"/>
    <w:rsid w:val="00C5088C"/>
    <w:rsid w:val="00C50ED5"/>
    <w:rsid w:val="00C51179"/>
    <w:rsid w:val="00C5118D"/>
    <w:rsid w:val="00C5167E"/>
    <w:rsid w:val="00C51CE1"/>
    <w:rsid w:val="00C521FA"/>
    <w:rsid w:val="00C52321"/>
    <w:rsid w:val="00C527C7"/>
    <w:rsid w:val="00C52AB2"/>
    <w:rsid w:val="00C52D2D"/>
    <w:rsid w:val="00C52E31"/>
    <w:rsid w:val="00C52E8B"/>
    <w:rsid w:val="00C53128"/>
    <w:rsid w:val="00C532CA"/>
    <w:rsid w:val="00C53749"/>
    <w:rsid w:val="00C53C98"/>
    <w:rsid w:val="00C54553"/>
    <w:rsid w:val="00C5469D"/>
    <w:rsid w:val="00C548B3"/>
    <w:rsid w:val="00C551D9"/>
    <w:rsid w:val="00C55262"/>
    <w:rsid w:val="00C55567"/>
    <w:rsid w:val="00C557A1"/>
    <w:rsid w:val="00C55B74"/>
    <w:rsid w:val="00C55BF1"/>
    <w:rsid w:val="00C55CDE"/>
    <w:rsid w:val="00C55DAC"/>
    <w:rsid w:val="00C56029"/>
    <w:rsid w:val="00C56242"/>
    <w:rsid w:val="00C56CB6"/>
    <w:rsid w:val="00C56FCF"/>
    <w:rsid w:val="00C572F6"/>
    <w:rsid w:val="00C5753B"/>
    <w:rsid w:val="00C57691"/>
    <w:rsid w:val="00C576AE"/>
    <w:rsid w:val="00C5777C"/>
    <w:rsid w:val="00C5794B"/>
    <w:rsid w:val="00C57B6C"/>
    <w:rsid w:val="00C60A35"/>
    <w:rsid w:val="00C60AEF"/>
    <w:rsid w:val="00C60DC1"/>
    <w:rsid w:val="00C616D3"/>
    <w:rsid w:val="00C61A59"/>
    <w:rsid w:val="00C61BE3"/>
    <w:rsid w:val="00C6241D"/>
    <w:rsid w:val="00C628A6"/>
    <w:rsid w:val="00C62915"/>
    <w:rsid w:val="00C62A2B"/>
    <w:rsid w:val="00C637C5"/>
    <w:rsid w:val="00C63AE3"/>
    <w:rsid w:val="00C63D5C"/>
    <w:rsid w:val="00C63FA3"/>
    <w:rsid w:val="00C64344"/>
    <w:rsid w:val="00C645E5"/>
    <w:rsid w:val="00C64C90"/>
    <w:rsid w:val="00C64D1F"/>
    <w:rsid w:val="00C65108"/>
    <w:rsid w:val="00C65576"/>
    <w:rsid w:val="00C65753"/>
    <w:rsid w:val="00C65CCF"/>
    <w:rsid w:val="00C6604A"/>
    <w:rsid w:val="00C66165"/>
    <w:rsid w:val="00C6682B"/>
    <w:rsid w:val="00C668F1"/>
    <w:rsid w:val="00C66DCE"/>
    <w:rsid w:val="00C67447"/>
    <w:rsid w:val="00C674BB"/>
    <w:rsid w:val="00C7060A"/>
    <w:rsid w:val="00C7081F"/>
    <w:rsid w:val="00C70F14"/>
    <w:rsid w:val="00C7151A"/>
    <w:rsid w:val="00C7162A"/>
    <w:rsid w:val="00C717E3"/>
    <w:rsid w:val="00C7188F"/>
    <w:rsid w:val="00C71A25"/>
    <w:rsid w:val="00C71A7E"/>
    <w:rsid w:val="00C71C0E"/>
    <w:rsid w:val="00C71F60"/>
    <w:rsid w:val="00C72241"/>
    <w:rsid w:val="00C725D0"/>
    <w:rsid w:val="00C72791"/>
    <w:rsid w:val="00C72DE3"/>
    <w:rsid w:val="00C72F8A"/>
    <w:rsid w:val="00C733ED"/>
    <w:rsid w:val="00C73665"/>
    <w:rsid w:val="00C73707"/>
    <w:rsid w:val="00C738F5"/>
    <w:rsid w:val="00C73B32"/>
    <w:rsid w:val="00C74165"/>
    <w:rsid w:val="00C74375"/>
    <w:rsid w:val="00C74F6D"/>
    <w:rsid w:val="00C750C8"/>
    <w:rsid w:val="00C75464"/>
    <w:rsid w:val="00C7560F"/>
    <w:rsid w:val="00C756CA"/>
    <w:rsid w:val="00C75B14"/>
    <w:rsid w:val="00C763A5"/>
    <w:rsid w:val="00C763E5"/>
    <w:rsid w:val="00C7667E"/>
    <w:rsid w:val="00C768AA"/>
    <w:rsid w:val="00C76FFD"/>
    <w:rsid w:val="00C770CC"/>
    <w:rsid w:val="00C7779B"/>
    <w:rsid w:val="00C7793D"/>
    <w:rsid w:val="00C77B04"/>
    <w:rsid w:val="00C80A0E"/>
    <w:rsid w:val="00C80D78"/>
    <w:rsid w:val="00C810EC"/>
    <w:rsid w:val="00C816EA"/>
    <w:rsid w:val="00C816FF"/>
    <w:rsid w:val="00C8213F"/>
    <w:rsid w:val="00C82895"/>
    <w:rsid w:val="00C82FDF"/>
    <w:rsid w:val="00C8303F"/>
    <w:rsid w:val="00C8420B"/>
    <w:rsid w:val="00C8434B"/>
    <w:rsid w:val="00C84BF4"/>
    <w:rsid w:val="00C85154"/>
    <w:rsid w:val="00C85A70"/>
    <w:rsid w:val="00C85DB4"/>
    <w:rsid w:val="00C86BDA"/>
    <w:rsid w:val="00C86D2B"/>
    <w:rsid w:val="00C86F59"/>
    <w:rsid w:val="00C87109"/>
    <w:rsid w:val="00C87175"/>
    <w:rsid w:val="00C87254"/>
    <w:rsid w:val="00C8727F"/>
    <w:rsid w:val="00C8774A"/>
    <w:rsid w:val="00C878BC"/>
    <w:rsid w:val="00C878F9"/>
    <w:rsid w:val="00C8797A"/>
    <w:rsid w:val="00C87F72"/>
    <w:rsid w:val="00C900B8"/>
    <w:rsid w:val="00C90197"/>
    <w:rsid w:val="00C90C71"/>
    <w:rsid w:val="00C916E9"/>
    <w:rsid w:val="00C91FD1"/>
    <w:rsid w:val="00C92550"/>
    <w:rsid w:val="00C9263F"/>
    <w:rsid w:val="00C931CF"/>
    <w:rsid w:val="00C93458"/>
    <w:rsid w:val="00C938CF"/>
    <w:rsid w:val="00C94053"/>
    <w:rsid w:val="00C94254"/>
    <w:rsid w:val="00C9451B"/>
    <w:rsid w:val="00C9457F"/>
    <w:rsid w:val="00C9476E"/>
    <w:rsid w:val="00C9479F"/>
    <w:rsid w:val="00C948C2"/>
    <w:rsid w:val="00C94928"/>
    <w:rsid w:val="00C949DC"/>
    <w:rsid w:val="00C9517F"/>
    <w:rsid w:val="00C95450"/>
    <w:rsid w:val="00C95DF7"/>
    <w:rsid w:val="00C95F9E"/>
    <w:rsid w:val="00C9624D"/>
    <w:rsid w:val="00C962EB"/>
    <w:rsid w:val="00C963B3"/>
    <w:rsid w:val="00C9643B"/>
    <w:rsid w:val="00C969DA"/>
    <w:rsid w:val="00C971CD"/>
    <w:rsid w:val="00C97791"/>
    <w:rsid w:val="00C97BF3"/>
    <w:rsid w:val="00CA050D"/>
    <w:rsid w:val="00CA0619"/>
    <w:rsid w:val="00CA085B"/>
    <w:rsid w:val="00CA17A7"/>
    <w:rsid w:val="00CA1E3D"/>
    <w:rsid w:val="00CA20C2"/>
    <w:rsid w:val="00CA26B8"/>
    <w:rsid w:val="00CA2C77"/>
    <w:rsid w:val="00CA2CCA"/>
    <w:rsid w:val="00CA31E8"/>
    <w:rsid w:val="00CA423F"/>
    <w:rsid w:val="00CA4247"/>
    <w:rsid w:val="00CA42AC"/>
    <w:rsid w:val="00CA444F"/>
    <w:rsid w:val="00CA46BD"/>
    <w:rsid w:val="00CA5245"/>
    <w:rsid w:val="00CA542A"/>
    <w:rsid w:val="00CA5460"/>
    <w:rsid w:val="00CA5A1A"/>
    <w:rsid w:val="00CA5DD7"/>
    <w:rsid w:val="00CA6738"/>
    <w:rsid w:val="00CA6909"/>
    <w:rsid w:val="00CA6A2F"/>
    <w:rsid w:val="00CA6C00"/>
    <w:rsid w:val="00CA71F4"/>
    <w:rsid w:val="00CA7B09"/>
    <w:rsid w:val="00CA7CE1"/>
    <w:rsid w:val="00CA7EAE"/>
    <w:rsid w:val="00CB0293"/>
    <w:rsid w:val="00CB0561"/>
    <w:rsid w:val="00CB069B"/>
    <w:rsid w:val="00CB097C"/>
    <w:rsid w:val="00CB12A5"/>
    <w:rsid w:val="00CB12DC"/>
    <w:rsid w:val="00CB12F6"/>
    <w:rsid w:val="00CB1CAC"/>
    <w:rsid w:val="00CB2156"/>
    <w:rsid w:val="00CB2378"/>
    <w:rsid w:val="00CB257E"/>
    <w:rsid w:val="00CB2CE7"/>
    <w:rsid w:val="00CB2D2B"/>
    <w:rsid w:val="00CB2D73"/>
    <w:rsid w:val="00CB2F2A"/>
    <w:rsid w:val="00CB3375"/>
    <w:rsid w:val="00CB3761"/>
    <w:rsid w:val="00CB39E1"/>
    <w:rsid w:val="00CB455E"/>
    <w:rsid w:val="00CB45E2"/>
    <w:rsid w:val="00CB4A76"/>
    <w:rsid w:val="00CB5A44"/>
    <w:rsid w:val="00CB5B1A"/>
    <w:rsid w:val="00CB5B1F"/>
    <w:rsid w:val="00CB5E79"/>
    <w:rsid w:val="00CB6559"/>
    <w:rsid w:val="00CB684E"/>
    <w:rsid w:val="00CB691D"/>
    <w:rsid w:val="00CB6B22"/>
    <w:rsid w:val="00CB6C31"/>
    <w:rsid w:val="00CB7267"/>
    <w:rsid w:val="00CB7432"/>
    <w:rsid w:val="00CB774A"/>
    <w:rsid w:val="00CB7AA4"/>
    <w:rsid w:val="00CB7F5F"/>
    <w:rsid w:val="00CC0051"/>
    <w:rsid w:val="00CC0E82"/>
    <w:rsid w:val="00CC1003"/>
    <w:rsid w:val="00CC1B39"/>
    <w:rsid w:val="00CC1B6E"/>
    <w:rsid w:val="00CC1BFA"/>
    <w:rsid w:val="00CC2281"/>
    <w:rsid w:val="00CC2362"/>
    <w:rsid w:val="00CC23B2"/>
    <w:rsid w:val="00CC2962"/>
    <w:rsid w:val="00CC2A1B"/>
    <w:rsid w:val="00CC2B53"/>
    <w:rsid w:val="00CC2E9F"/>
    <w:rsid w:val="00CC35EA"/>
    <w:rsid w:val="00CC3848"/>
    <w:rsid w:val="00CC3AC3"/>
    <w:rsid w:val="00CC3B21"/>
    <w:rsid w:val="00CC3F81"/>
    <w:rsid w:val="00CC40F0"/>
    <w:rsid w:val="00CC434E"/>
    <w:rsid w:val="00CC49B9"/>
    <w:rsid w:val="00CC5158"/>
    <w:rsid w:val="00CC5E08"/>
    <w:rsid w:val="00CC601E"/>
    <w:rsid w:val="00CC6D5E"/>
    <w:rsid w:val="00CC7281"/>
    <w:rsid w:val="00CC7653"/>
    <w:rsid w:val="00CC765D"/>
    <w:rsid w:val="00CC76C8"/>
    <w:rsid w:val="00CC7F4D"/>
    <w:rsid w:val="00CD0200"/>
    <w:rsid w:val="00CD068D"/>
    <w:rsid w:val="00CD06F5"/>
    <w:rsid w:val="00CD11D0"/>
    <w:rsid w:val="00CD1830"/>
    <w:rsid w:val="00CD18D0"/>
    <w:rsid w:val="00CD1FB5"/>
    <w:rsid w:val="00CD2063"/>
    <w:rsid w:val="00CD2404"/>
    <w:rsid w:val="00CD27B5"/>
    <w:rsid w:val="00CD2A11"/>
    <w:rsid w:val="00CD2C84"/>
    <w:rsid w:val="00CD2EDA"/>
    <w:rsid w:val="00CD33CD"/>
    <w:rsid w:val="00CD3402"/>
    <w:rsid w:val="00CD354F"/>
    <w:rsid w:val="00CD3C9A"/>
    <w:rsid w:val="00CD3F77"/>
    <w:rsid w:val="00CD445F"/>
    <w:rsid w:val="00CD47FB"/>
    <w:rsid w:val="00CD491C"/>
    <w:rsid w:val="00CD4A17"/>
    <w:rsid w:val="00CD4A6F"/>
    <w:rsid w:val="00CD4D57"/>
    <w:rsid w:val="00CD5199"/>
    <w:rsid w:val="00CD521D"/>
    <w:rsid w:val="00CD5315"/>
    <w:rsid w:val="00CD57E3"/>
    <w:rsid w:val="00CD5855"/>
    <w:rsid w:val="00CD5B41"/>
    <w:rsid w:val="00CD5D62"/>
    <w:rsid w:val="00CD65BB"/>
    <w:rsid w:val="00CD66ED"/>
    <w:rsid w:val="00CD6ADC"/>
    <w:rsid w:val="00CD6C6B"/>
    <w:rsid w:val="00CD6D1E"/>
    <w:rsid w:val="00CD6DDB"/>
    <w:rsid w:val="00CD70F8"/>
    <w:rsid w:val="00CD7193"/>
    <w:rsid w:val="00CD7996"/>
    <w:rsid w:val="00CD7A48"/>
    <w:rsid w:val="00CD7B1C"/>
    <w:rsid w:val="00CE0AE5"/>
    <w:rsid w:val="00CE1919"/>
    <w:rsid w:val="00CE1A49"/>
    <w:rsid w:val="00CE1D54"/>
    <w:rsid w:val="00CE235F"/>
    <w:rsid w:val="00CE256D"/>
    <w:rsid w:val="00CE259B"/>
    <w:rsid w:val="00CE2918"/>
    <w:rsid w:val="00CE3899"/>
    <w:rsid w:val="00CE38C8"/>
    <w:rsid w:val="00CE3AE3"/>
    <w:rsid w:val="00CE3B88"/>
    <w:rsid w:val="00CE4250"/>
    <w:rsid w:val="00CE435F"/>
    <w:rsid w:val="00CE4431"/>
    <w:rsid w:val="00CE4BBA"/>
    <w:rsid w:val="00CE4D83"/>
    <w:rsid w:val="00CE5120"/>
    <w:rsid w:val="00CE524F"/>
    <w:rsid w:val="00CE58CC"/>
    <w:rsid w:val="00CE58D4"/>
    <w:rsid w:val="00CE5B1C"/>
    <w:rsid w:val="00CE60FE"/>
    <w:rsid w:val="00CE6274"/>
    <w:rsid w:val="00CE69D2"/>
    <w:rsid w:val="00CE6BA5"/>
    <w:rsid w:val="00CE73C2"/>
    <w:rsid w:val="00CE73DB"/>
    <w:rsid w:val="00CE75A2"/>
    <w:rsid w:val="00CE763B"/>
    <w:rsid w:val="00CE77B6"/>
    <w:rsid w:val="00CE77F4"/>
    <w:rsid w:val="00CE7D84"/>
    <w:rsid w:val="00CF00B1"/>
    <w:rsid w:val="00CF16DF"/>
    <w:rsid w:val="00CF195B"/>
    <w:rsid w:val="00CF1C96"/>
    <w:rsid w:val="00CF1DA0"/>
    <w:rsid w:val="00CF2017"/>
    <w:rsid w:val="00CF254A"/>
    <w:rsid w:val="00CF2754"/>
    <w:rsid w:val="00CF2AC7"/>
    <w:rsid w:val="00CF2AED"/>
    <w:rsid w:val="00CF2B8D"/>
    <w:rsid w:val="00CF2BF3"/>
    <w:rsid w:val="00CF2F68"/>
    <w:rsid w:val="00CF308F"/>
    <w:rsid w:val="00CF31A7"/>
    <w:rsid w:val="00CF31AF"/>
    <w:rsid w:val="00CF3A1B"/>
    <w:rsid w:val="00CF40E0"/>
    <w:rsid w:val="00CF456B"/>
    <w:rsid w:val="00CF4736"/>
    <w:rsid w:val="00CF5471"/>
    <w:rsid w:val="00CF550A"/>
    <w:rsid w:val="00CF550D"/>
    <w:rsid w:val="00CF582A"/>
    <w:rsid w:val="00CF5A21"/>
    <w:rsid w:val="00CF5A22"/>
    <w:rsid w:val="00CF5B43"/>
    <w:rsid w:val="00CF5EED"/>
    <w:rsid w:val="00CF63F1"/>
    <w:rsid w:val="00CF654B"/>
    <w:rsid w:val="00CF66A3"/>
    <w:rsid w:val="00CF6C85"/>
    <w:rsid w:val="00CF6CC3"/>
    <w:rsid w:val="00CF6E33"/>
    <w:rsid w:val="00CF7179"/>
    <w:rsid w:val="00CF7CD2"/>
    <w:rsid w:val="00D00B78"/>
    <w:rsid w:val="00D00D9D"/>
    <w:rsid w:val="00D00E76"/>
    <w:rsid w:val="00D010F4"/>
    <w:rsid w:val="00D015EB"/>
    <w:rsid w:val="00D01A53"/>
    <w:rsid w:val="00D01F39"/>
    <w:rsid w:val="00D0209E"/>
    <w:rsid w:val="00D02572"/>
    <w:rsid w:val="00D0259D"/>
    <w:rsid w:val="00D025E0"/>
    <w:rsid w:val="00D0262E"/>
    <w:rsid w:val="00D028DD"/>
    <w:rsid w:val="00D02A1F"/>
    <w:rsid w:val="00D0312D"/>
    <w:rsid w:val="00D03293"/>
    <w:rsid w:val="00D0331C"/>
    <w:rsid w:val="00D0353B"/>
    <w:rsid w:val="00D03679"/>
    <w:rsid w:val="00D03D33"/>
    <w:rsid w:val="00D04643"/>
    <w:rsid w:val="00D04DC4"/>
    <w:rsid w:val="00D0533B"/>
    <w:rsid w:val="00D0555E"/>
    <w:rsid w:val="00D05E3D"/>
    <w:rsid w:val="00D06139"/>
    <w:rsid w:val="00D062FE"/>
    <w:rsid w:val="00D06670"/>
    <w:rsid w:val="00D06EBA"/>
    <w:rsid w:val="00D078A0"/>
    <w:rsid w:val="00D1025B"/>
    <w:rsid w:val="00D103C6"/>
    <w:rsid w:val="00D104D6"/>
    <w:rsid w:val="00D110BD"/>
    <w:rsid w:val="00D11143"/>
    <w:rsid w:val="00D1132E"/>
    <w:rsid w:val="00D11DDA"/>
    <w:rsid w:val="00D12287"/>
    <w:rsid w:val="00D12A98"/>
    <w:rsid w:val="00D12E7B"/>
    <w:rsid w:val="00D135D8"/>
    <w:rsid w:val="00D13600"/>
    <w:rsid w:val="00D13675"/>
    <w:rsid w:val="00D14008"/>
    <w:rsid w:val="00D141E1"/>
    <w:rsid w:val="00D148AB"/>
    <w:rsid w:val="00D14A9D"/>
    <w:rsid w:val="00D15314"/>
    <w:rsid w:val="00D157F3"/>
    <w:rsid w:val="00D15B48"/>
    <w:rsid w:val="00D15E49"/>
    <w:rsid w:val="00D1613E"/>
    <w:rsid w:val="00D16613"/>
    <w:rsid w:val="00D16674"/>
    <w:rsid w:val="00D1668C"/>
    <w:rsid w:val="00D168C3"/>
    <w:rsid w:val="00D16AB6"/>
    <w:rsid w:val="00D1709C"/>
    <w:rsid w:val="00D173F8"/>
    <w:rsid w:val="00D17B07"/>
    <w:rsid w:val="00D17D6C"/>
    <w:rsid w:val="00D201C3"/>
    <w:rsid w:val="00D20AA1"/>
    <w:rsid w:val="00D20D2B"/>
    <w:rsid w:val="00D20F56"/>
    <w:rsid w:val="00D212B1"/>
    <w:rsid w:val="00D2155B"/>
    <w:rsid w:val="00D21DB4"/>
    <w:rsid w:val="00D220E1"/>
    <w:rsid w:val="00D226CE"/>
    <w:rsid w:val="00D228FB"/>
    <w:rsid w:val="00D22D85"/>
    <w:rsid w:val="00D23029"/>
    <w:rsid w:val="00D230CA"/>
    <w:rsid w:val="00D232AB"/>
    <w:rsid w:val="00D23639"/>
    <w:rsid w:val="00D23729"/>
    <w:rsid w:val="00D239D0"/>
    <w:rsid w:val="00D23BE5"/>
    <w:rsid w:val="00D23C1A"/>
    <w:rsid w:val="00D23D11"/>
    <w:rsid w:val="00D244B6"/>
    <w:rsid w:val="00D244CF"/>
    <w:rsid w:val="00D2472E"/>
    <w:rsid w:val="00D24B8C"/>
    <w:rsid w:val="00D25375"/>
    <w:rsid w:val="00D25649"/>
    <w:rsid w:val="00D256E7"/>
    <w:rsid w:val="00D25B53"/>
    <w:rsid w:val="00D25B7C"/>
    <w:rsid w:val="00D25BD0"/>
    <w:rsid w:val="00D25C36"/>
    <w:rsid w:val="00D262B9"/>
    <w:rsid w:val="00D26396"/>
    <w:rsid w:val="00D26530"/>
    <w:rsid w:val="00D26F07"/>
    <w:rsid w:val="00D27192"/>
    <w:rsid w:val="00D274EA"/>
    <w:rsid w:val="00D2754D"/>
    <w:rsid w:val="00D27572"/>
    <w:rsid w:val="00D278EF"/>
    <w:rsid w:val="00D27B27"/>
    <w:rsid w:val="00D27B38"/>
    <w:rsid w:val="00D27BFA"/>
    <w:rsid w:val="00D27F83"/>
    <w:rsid w:val="00D3004C"/>
    <w:rsid w:val="00D302D7"/>
    <w:rsid w:val="00D30366"/>
    <w:rsid w:val="00D30AA4"/>
    <w:rsid w:val="00D30AC9"/>
    <w:rsid w:val="00D30B97"/>
    <w:rsid w:val="00D30CBD"/>
    <w:rsid w:val="00D30D5B"/>
    <w:rsid w:val="00D310C6"/>
    <w:rsid w:val="00D315A9"/>
    <w:rsid w:val="00D322B7"/>
    <w:rsid w:val="00D322C0"/>
    <w:rsid w:val="00D323C9"/>
    <w:rsid w:val="00D32639"/>
    <w:rsid w:val="00D3301F"/>
    <w:rsid w:val="00D33266"/>
    <w:rsid w:val="00D33632"/>
    <w:rsid w:val="00D33697"/>
    <w:rsid w:val="00D33ADF"/>
    <w:rsid w:val="00D33AE5"/>
    <w:rsid w:val="00D33BA2"/>
    <w:rsid w:val="00D33BE9"/>
    <w:rsid w:val="00D33E86"/>
    <w:rsid w:val="00D33ECF"/>
    <w:rsid w:val="00D33F93"/>
    <w:rsid w:val="00D34092"/>
    <w:rsid w:val="00D344DF"/>
    <w:rsid w:val="00D3462A"/>
    <w:rsid w:val="00D357FF"/>
    <w:rsid w:val="00D35D48"/>
    <w:rsid w:val="00D365A9"/>
    <w:rsid w:val="00D36883"/>
    <w:rsid w:val="00D36920"/>
    <w:rsid w:val="00D36988"/>
    <w:rsid w:val="00D369AC"/>
    <w:rsid w:val="00D3704E"/>
    <w:rsid w:val="00D3752E"/>
    <w:rsid w:val="00D375C1"/>
    <w:rsid w:val="00D37C3B"/>
    <w:rsid w:val="00D37E16"/>
    <w:rsid w:val="00D40128"/>
    <w:rsid w:val="00D40254"/>
    <w:rsid w:val="00D403E2"/>
    <w:rsid w:val="00D4109A"/>
    <w:rsid w:val="00D418B4"/>
    <w:rsid w:val="00D41F18"/>
    <w:rsid w:val="00D421AA"/>
    <w:rsid w:val="00D42307"/>
    <w:rsid w:val="00D424C7"/>
    <w:rsid w:val="00D42686"/>
    <w:rsid w:val="00D42925"/>
    <w:rsid w:val="00D42A14"/>
    <w:rsid w:val="00D42E3A"/>
    <w:rsid w:val="00D43147"/>
    <w:rsid w:val="00D4315F"/>
    <w:rsid w:val="00D43873"/>
    <w:rsid w:val="00D43B2A"/>
    <w:rsid w:val="00D43C30"/>
    <w:rsid w:val="00D43CF1"/>
    <w:rsid w:val="00D43D83"/>
    <w:rsid w:val="00D44067"/>
    <w:rsid w:val="00D44822"/>
    <w:rsid w:val="00D44DD7"/>
    <w:rsid w:val="00D44E61"/>
    <w:rsid w:val="00D4562B"/>
    <w:rsid w:val="00D45776"/>
    <w:rsid w:val="00D4598D"/>
    <w:rsid w:val="00D45C57"/>
    <w:rsid w:val="00D45C9B"/>
    <w:rsid w:val="00D46057"/>
    <w:rsid w:val="00D465BC"/>
    <w:rsid w:val="00D4688A"/>
    <w:rsid w:val="00D46C10"/>
    <w:rsid w:val="00D46D73"/>
    <w:rsid w:val="00D46D85"/>
    <w:rsid w:val="00D46F55"/>
    <w:rsid w:val="00D47270"/>
    <w:rsid w:val="00D47575"/>
    <w:rsid w:val="00D475ED"/>
    <w:rsid w:val="00D477BD"/>
    <w:rsid w:val="00D477E1"/>
    <w:rsid w:val="00D47833"/>
    <w:rsid w:val="00D47A41"/>
    <w:rsid w:val="00D5034E"/>
    <w:rsid w:val="00D504B8"/>
    <w:rsid w:val="00D504C7"/>
    <w:rsid w:val="00D505FC"/>
    <w:rsid w:val="00D50622"/>
    <w:rsid w:val="00D50AD1"/>
    <w:rsid w:val="00D5190C"/>
    <w:rsid w:val="00D5243B"/>
    <w:rsid w:val="00D52A89"/>
    <w:rsid w:val="00D52D90"/>
    <w:rsid w:val="00D53197"/>
    <w:rsid w:val="00D533EC"/>
    <w:rsid w:val="00D53680"/>
    <w:rsid w:val="00D53953"/>
    <w:rsid w:val="00D54B9E"/>
    <w:rsid w:val="00D54BFE"/>
    <w:rsid w:val="00D54F54"/>
    <w:rsid w:val="00D5522D"/>
    <w:rsid w:val="00D55AB9"/>
    <w:rsid w:val="00D55E97"/>
    <w:rsid w:val="00D55F8A"/>
    <w:rsid w:val="00D562E7"/>
    <w:rsid w:val="00D564EA"/>
    <w:rsid w:val="00D5686F"/>
    <w:rsid w:val="00D56A95"/>
    <w:rsid w:val="00D575C4"/>
    <w:rsid w:val="00D57814"/>
    <w:rsid w:val="00D57997"/>
    <w:rsid w:val="00D57A2E"/>
    <w:rsid w:val="00D57D4E"/>
    <w:rsid w:val="00D606DF"/>
    <w:rsid w:val="00D6076E"/>
    <w:rsid w:val="00D608F3"/>
    <w:rsid w:val="00D60C42"/>
    <w:rsid w:val="00D60D5F"/>
    <w:rsid w:val="00D61129"/>
    <w:rsid w:val="00D61264"/>
    <w:rsid w:val="00D6133A"/>
    <w:rsid w:val="00D61A7D"/>
    <w:rsid w:val="00D61D0D"/>
    <w:rsid w:val="00D61D75"/>
    <w:rsid w:val="00D61D9D"/>
    <w:rsid w:val="00D61ED3"/>
    <w:rsid w:val="00D62AA2"/>
    <w:rsid w:val="00D62D79"/>
    <w:rsid w:val="00D630E6"/>
    <w:rsid w:val="00D634D7"/>
    <w:rsid w:val="00D63AF6"/>
    <w:rsid w:val="00D64831"/>
    <w:rsid w:val="00D649E1"/>
    <w:rsid w:val="00D64B17"/>
    <w:rsid w:val="00D64C76"/>
    <w:rsid w:val="00D656EF"/>
    <w:rsid w:val="00D65CF2"/>
    <w:rsid w:val="00D6642E"/>
    <w:rsid w:val="00D66AC1"/>
    <w:rsid w:val="00D66C10"/>
    <w:rsid w:val="00D66C92"/>
    <w:rsid w:val="00D679A5"/>
    <w:rsid w:val="00D67E1C"/>
    <w:rsid w:val="00D70DE2"/>
    <w:rsid w:val="00D70F16"/>
    <w:rsid w:val="00D70F56"/>
    <w:rsid w:val="00D714C8"/>
    <w:rsid w:val="00D716C0"/>
    <w:rsid w:val="00D71C9E"/>
    <w:rsid w:val="00D72617"/>
    <w:rsid w:val="00D72D41"/>
    <w:rsid w:val="00D72D4C"/>
    <w:rsid w:val="00D72DA4"/>
    <w:rsid w:val="00D72F57"/>
    <w:rsid w:val="00D72F83"/>
    <w:rsid w:val="00D7302E"/>
    <w:rsid w:val="00D7313F"/>
    <w:rsid w:val="00D73AF5"/>
    <w:rsid w:val="00D7488F"/>
    <w:rsid w:val="00D748B1"/>
    <w:rsid w:val="00D74B63"/>
    <w:rsid w:val="00D74F39"/>
    <w:rsid w:val="00D750CD"/>
    <w:rsid w:val="00D7584D"/>
    <w:rsid w:val="00D758C3"/>
    <w:rsid w:val="00D75ABE"/>
    <w:rsid w:val="00D75DFE"/>
    <w:rsid w:val="00D75F17"/>
    <w:rsid w:val="00D762D0"/>
    <w:rsid w:val="00D76A44"/>
    <w:rsid w:val="00D76AB0"/>
    <w:rsid w:val="00D77293"/>
    <w:rsid w:val="00D77562"/>
    <w:rsid w:val="00D77781"/>
    <w:rsid w:val="00D77902"/>
    <w:rsid w:val="00D77B22"/>
    <w:rsid w:val="00D77D37"/>
    <w:rsid w:val="00D77DF2"/>
    <w:rsid w:val="00D80165"/>
    <w:rsid w:val="00D802D8"/>
    <w:rsid w:val="00D809CC"/>
    <w:rsid w:val="00D80E0A"/>
    <w:rsid w:val="00D80FB2"/>
    <w:rsid w:val="00D815EF"/>
    <w:rsid w:val="00D816BF"/>
    <w:rsid w:val="00D81949"/>
    <w:rsid w:val="00D81C6E"/>
    <w:rsid w:val="00D81F26"/>
    <w:rsid w:val="00D81F71"/>
    <w:rsid w:val="00D822E2"/>
    <w:rsid w:val="00D8234E"/>
    <w:rsid w:val="00D826CA"/>
    <w:rsid w:val="00D827F5"/>
    <w:rsid w:val="00D82F99"/>
    <w:rsid w:val="00D8305B"/>
    <w:rsid w:val="00D83871"/>
    <w:rsid w:val="00D841C4"/>
    <w:rsid w:val="00D842CF"/>
    <w:rsid w:val="00D843F2"/>
    <w:rsid w:val="00D84460"/>
    <w:rsid w:val="00D84BCB"/>
    <w:rsid w:val="00D853B5"/>
    <w:rsid w:val="00D85716"/>
    <w:rsid w:val="00D85928"/>
    <w:rsid w:val="00D86200"/>
    <w:rsid w:val="00D86231"/>
    <w:rsid w:val="00D86F74"/>
    <w:rsid w:val="00D873AB"/>
    <w:rsid w:val="00D90078"/>
    <w:rsid w:val="00D909B4"/>
    <w:rsid w:val="00D91215"/>
    <w:rsid w:val="00D912AB"/>
    <w:rsid w:val="00D91606"/>
    <w:rsid w:val="00D91805"/>
    <w:rsid w:val="00D91923"/>
    <w:rsid w:val="00D91E99"/>
    <w:rsid w:val="00D9226E"/>
    <w:rsid w:val="00D92312"/>
    <w:rsid w:val="00D9248C"/>
    <w:rsid w:val="00D92808"/>
    <w:rsid w:val="00D92983"/>
    <w:rsid w:val="00D92C48"/>
    <w:rsid w:val="00D92D9D"/>
    <w:rsid w:val="00D92F36"/>
    <w:rsid w:val="00D93076"/>
    <w:rsid w:val="00D93183"/>
    <w:rsid w:val="00D9319B"/>
    <w:rsid w:val="00D93672"/>
    <w:rsid w:val="00D93753"/>
    <w:rsid w:val="00D93BF5"/>
    <w:rsid w:val="00D93DFC"/>
    <w:rsid w:val="00D93F91"/>
    <w:rsid w:val="00D9408B"/>
    <w:rsid w:val="00D9436B"/>
    <w:rsid w:val="00D943B5"/>
    <w:rsid w:val="00D9455F"/>
    <w:rsid w:val="00D949A3"/>
    <w:rsid w:val="00D95643"/>
    <w:rsid w:val="00D957D4"/>
    <w:rsid w:val="00D9596D"/>
    <w:rsid w:val="00D95C23"/>
    <w:rsid w:val="00D95C4C"/>
    <w:rsid w:val="00D969DD"/>
    <w:rsid w:val="00D96AFE"/>
    <w:rsid w:val="00D9713C"/>
    <w:rsid w:val="00D97159"/>
    <w:rsid w:val="00D973C4"/>
    <w:rsid w:val="00D97BA7"/>
    <w:rsid w:val="00DA040B"/>
    <w:rsid w:val="00DA05D9"/>
    <w:rsid w:val="00DA05FD"/>
    <w:rsid w:val="00DA06CC"/>
    <w:rsid w:val="00DA0E89"/>
    <w:rsid w:val="00DA1CB1"/>
    <w:rsid w:val="00DA222F"/>
    <w:rsid w:val="00DA2312"/>
    <w:rsid w:val="00DA2482"/>
    <w:rsid w:val="00DA24E4"/>
    <w:rsid w:val="00DA25D7"/>
    <w:rsid w:val="00DA27F5"/>
    <w:rsid w:val="00DA286B"/>
    <w:rsid w:val="00DA2E90"/>
    <w:rsid w:val="00DA3167"/>
    <w:rsid w:val="00DA31AC"/>
    <w:rsid w:val="00DA3A76"/>
    <w:rsid w:val="00DA3B88"/>
    <w:rsid w:val="00DA3E21"/>
    <w:rsid w:val="00DA449D"/>
    <w:rsid w:val="00DA476B"/>
    <w:rsid w:val="00DA4B8B"/>
    <w:rsid w:val="00DA4DC3"/>
    <w:rsid w:val="00DA4E59"/>
    <w:rsid w:val="00DA4F22"/>
    <w:rsid w:val="00DA64C0"/>
    <w:rsid w:val="00DA6A7E"/>
    <w:rsid w:val="00DA77A5"/>
    <w:rsid w:val="00DA7B81"/>
    <w:rsid w:val="00DB02F5"/>
    <w:rsid w:val="00DB0517"/>
    <w:rsid w:val="00DB0572"/>
    <w:rsid w:val="00DB074A"/>
    <w:rsid w:val="00DB080E"/>
    <w:rsid w:val="00DB085C"/>
    <w:rsid w:val="00DB0AAD"/>
    <w:rsid w:val="00DB0D01"/>
    <w:rsid w:val="00DB0E36"/>
    <w:rsid w:val="00DB116E"/>
    <w:rsid w:val="00DB1B37"/>
    <w:rsid w:val="00DB1CA8"/>
    <w:rsid w:val="00DB2044"/>
    <w:rsid w:val="00DB211E"/>
    <w:rsid w:val="00DB2548"/>
    <w:rsid w:val="00DB25D4"/>
    <w:rsid w:val="00DB2723"/>
    <w:rsid w:val="00DB279A"/>
    <w:rsid w:val="00DB28F9"/>
    <w:rsid w:val="00DB2945"/>
    <w:rsid w:val="00DB3522"/>
    <w:rsid w:val="00DB363E"/>
    <w:rsid w:val="00DB3694"/>
    <w:rsid w:val="00DB382F"/>
    <w:rsid w:val="00DB38FF"/>
    <w:rsid w:val="00DB3911"/>
    <w:rsid w:val="00DB3D78"/>
    <w:rsid w:val="00DB3DBF"/>
    <w:rsid w:val="00DB3E5F"/>
    <w:rsid w:val="00DB45C2"/>
    <w:rsid w:val="00DB484F"/>
    <w:rsid w:val="00DB48EC"/>
    <w:rsid w:val="00DB4A1C"/>
    <w:rsid w:val="00DB4AD1"/>
    <w:rsid w:val="00DB4C20"/>
    <w:rsid w:val="00DB4C8E"/>
    <w:rsid w:val="00DB4D44"/>
    <w:rsid w:val="00DB4FF8"/>
    <w:rsid w:val="00DB5938"/>
    <w:rsid w:val="00DB59CC"/>
    <w:rsid w:val="00DB5C0C"/>
    <w:rsid w:val="00DB6586"/>
    <w:rsid w:val="00DB6595"/>
    <w:rsid w:val="00DB69B4"/>
    <w:rsid w:val="00DB6BD1"/>
    <w:rsid w:val="00DB7524"/>
    <w:rsid w:val="00DB7C0E"/>
    <w:rsid w:val="00DC011A"/>
    <w:rsid w:val="00DC04F6"/>
    <w:rsid w:val="00DC0690"/>
    <w:rsid w:val="00DC0760"/>
    <w:rsid w:val="00DC10D3"/>
    <w:rsid w:val="00DC10E4"/>
    <w:rsid w:val="00DC1253"/>
    <w:rsid w:val="00DC1273"/>
    <w:rsid w:val="00DC1D65"/>
    <w:rsid w:val="00DC2704"/>
    <w:rsid w:val="00DC29C4"/>
    <w:rsid w:val="00DC2C2E"/>
    <w:rsid w:val="00DC3450"/>
    <w:rsid w:val="00DC3838"/>
    <w:rsid w:val="00DC3BEF"/>
    <w:rsid w:val="00DC3C57"/>
    <w:rsid w:val="00DC45C9"/>
    <w:rsid w:val="00DC4C94"/>
    <w:rsid w:val="00DC5362"/>
    <w:rsid w:val="00DC5501"/>
    <w:rsid w:val="00DC5DE4"/>
    <w:rsid w:val="00DC6117"/>
    <w:rsid w:val="00DC612A"/>
    <w:rsid w:val="00DC7154"/>
    <w:rsid w:val="00DC7772"/>
    <w:rsid w:val="00DC7E8A"/>
    <w:rsid w:val="00DC7F56"/>
    <w:rsid w:val="00DD0807"/>
    <w:rsid w:val="00DD0B50"/>
    <w:rsid w:val="00DD0BD6"/>
    <w:rsid w:val="00DD0C7A"/>
    <w:rsid w:val="00DD0E13"/>
    <w:rsid w:val="00DD0F78"/>
    <w:rsid w:val="00DD1677"/>
    <w:rsid w:val="00DD17E1"/>
    <w:rsid w:val="00DD19BC"/>
    <w:rsid w:val="00DD19CB"/>
    <w:rsid w:val="00DD1F17"/>
    <w:rsid w:val="00DD237B"/>
    <w:rsid w:val="00DD2568"/>
    <w:rsid w:val="00DD273C"/>
    <w:rsid w:val="00DD2785"/>
    <w:rsid w:val="00DD2BEA"/>
    <w:rsid w:val="00DD308A"/>
    <w:rsid w:val="00DD374D"/>
    <w:rsid w:val="00DD37B1"/>
    <w:rsid w:val="00DD3864"/>
    <w:rsid w:val="00DD3DD0"/>
    <w:rsid w:val="00DD3F28"/>
    <w:rsid w:val="00DD4446"/>
    <w:rsid w:val="00DD4537"/>
    <w:rsid w:val="00DD46BA"/>
    <w:rsid w:val="00DD47C3"/>
    <w:rsid w:val="00DD49CF"/>
    <w:rsid w:val="00DD4E15"/>
    <w:rsid w:val="00DD5004"/>
    <w:rsid w:val="00DD52FB"/>
    <w:rsid w:val="00DD5397"/>
    <w:rsid w:val="00DD5C23"/>
    <w:rsid w:val="00DD5D58"/>
    <w:rsid w:val="00DD6BEE"/>
    <w:rsid w:val="00DD700C"/>
    <w:rsid w:val="00DD712B"/>
    <w:rsid w:val="00DD7B18"/>
    <w:rsid w:val="00DD7EF6"/>
    <w:rsid w:val="00DE045D"/>
    <w:rsid w:val="00DE07CA"/>
    <w:rsid w:val="00DE0F20"/>
    <w:rsid w:val="00DE128C"/>
    <w:rsid w:val="00DE1587"/>
    <w:rsid w:val="00DE15D0"/>
    <w:rsid w:val="00DE1850"/>
    <w:rsid w:val="00DE19F5"/>
    <w:rsid w:val="00DE1D7F"/>
    <w:rsid w:val="00DE2304"/>
    <w:rsid w:val="00DE280A"/>
    <w:rsid w:val="00DE2859"/>
    <w:rsid w:val="00DE2CC0"/>
    <w:rsid w:val="00DE2D6A"/>
    <w:rsid w:val="00DE2FEA"/>
    <w:rsid w:val="00DE30B1"/>
    <w:rsid w:val="00DE3138"/>
    <w:rsid w:val="00DE37F8"/>
    <w:rsid w:val="00DE39FE"/>
    <w:rsid w:val="00DE3F87"/>
    <w:rsid w:val="00DE41E8"/>
    <w:rsid w:val="00DE4273"/>
    <w:rsid w:val="00DE4402"/>
    <w:rsid w:val="00DE470A"/>
    <w:rsid w:val="00DE4865"/>
    <w:rsid w:val="00DE4F4C"/>
    <w:rsid w:val="00DE4FCB"/>
    <w:rsid w:val="00DE53D4"/>
    <w:rsid w:val="00DE5D07"/>
    <w:rsid w:val="00DE5D49"/>
    <w:rsid w:val="00DE5F14"/>
    <w:rsid w:val="00DE670D"/>
    <w:rsid w:val="00DE6F99"/>
    <w:rsid w:val="00DE7202"/>
    <w:rsid w:val="00DE7208"/>
    <w:rsid w:val="00DE7297"/>
    <w:rsid w:val="00DE72A7"/>
    <w:rsid w:val="00DE738A"/>
    <w:rsid w:val="00DE74FD"/>
    <w:rsid w:val="00DE7832"/>
    <w:rsid w:val="00DE7983"/>
    <w:rsid w:val="00DE7B84"/>
    <w:rsid w:val="00DE7C7F"/>
    <w:rsid w:val="00DE7FDD"/>
    <w:rsid w:val="00DF0077"/>
    <w:rsid w:val="00DF05A1"/>
    <w:rsid w:val="00DF0899"/>
    <w:rsid w:val="00DF08EB"/>
    <w:rsid w:val="00DF093F"/>
    <w:rsid w:val="00DF09EB"/>
    <w:rsid w:val="00DF0C05"/>
    <w:rsid w:val="00DF18FC"/>
    <w:rsid w:val="00DF2405"/>
    <w:rsid w:val="00DF2B5C"/>
    <w:rsid w:val="00DF2C8D"/>
    <w:rsid w:val="00DF2E12"/>
    <w:rsid w:val="00DF2FDA"/>
    <w:rsid w:val="00DF342E"/>
    <w:rsid w:val="00DF3496"/>
    <w:rsid w:val="00DF351F"/>
    <w:rsid w:val="00DF35CB"/>
    <w:rsid w:val="00DF3855"/>
    <w:rsid w:val="00DF3891"/>
    <w:rsid w:val="00DF44D4"/>
    <w:rsid w:val="00DF4553"/>
    <w:rsid w:val="00DF4792"/>
    <w:rsid w:val="00DF4BAF"/>
    <w:rsid w:val="00DF4BF8"/>
    <w:rsid w:val="00DF4EF5"/>
    <w:rsid w:val="00DF5226"/>
    <w:rsid w:val="00DF5877"/>
    <w:rsid w:val="00DF59D2"/>
    <w:rsid w:val="00DF5D2B"/>
    <w:rsid w:val="00DF5ED7"/>
    <w:rsid w:val="00DF6079"/>
    <w:rsid w:val="00DF627B"/>
    <w:rsid w:val="00DF6341"/>
    <w:rsid w:val="00DF658B"/>
    <w:rsid w:val="00DF66D0"/>
    <w:rsid w:val="00DF7678"/>
    <w:rsid w:val="00DF7694"/>
    <w:rsid w:val="00DF795E"/>
    <w:rsid w:val="00DF7A81"/>
    <w:rsid w:val="00E00344"/>
    <w:rsid w:val="00E00436"/>
    <w:rsid w:val="00E0045C"/>
    <w:rsid w:val="00E008C8"/>
    <w:rsid w:val="00E00DD2"/>
    <w:rsid w:val="00E00E8E"/>
    <w:rsid w:val="00E012AC"/>
    <w:rsid w:val="00E014B6"/>
    <w:rsid w:val="00E01C72"/>
    <w:rsid w:val="00E01C8B"/>
    <w:rsid w:val="00E020DD"/>
    <w:rsid w:val="00E02257"/>
    <w:rsid w:val="00E0235F"/>
    <w:rsid w:val="00E02B3E"/>
    <w:rsid w:val="00E02FFF"/>
    <w:rsid w:val="00E033C1"/>
    <w:rsid w:val="00E03B0E"/>
    <w:rsid w:val="00E03CA0"/>
    <w:rsid w:val="00E03E47"/>
    <w:rsid w:val="00E04804"/>
    <w:rsid w:val="00E04E44"/>
    <w:rsid w:val="00E04F1B"/>
    <w:rsid w:val="00E04F77"/>
    <w:rsid w:val="00E05630"/>
    <w:rsid w:val="00E05E7F"/>
    <w:rsid w:val="00E064DA"/>
    <w:rsid w:val="00E06566"/>
    <w:rsid w:val="00E067E1"/>
    <w:rsid w:val="00E06A2A"/>
    <w:rsid w:val="00E06DBB"/>
    <w:rsid w:val="00E07619"/>
    <w:rsid w:val="00E078CC"/>
    <w:rsid w:val="00E10149"/>
    <w:rsid w:val="00E1049A"/>
    <w:rsid w:val="00E10912"/>
    <w:rsid w:val="00E10CE8"/>
    <w:rsid w:val="00E10D27"/>
    <w:rsid w:val="00E10DE2"/>
    <w:rsid w:val="00E11340"/>
    <w:rsid w:val="00E114C2"/>
    <w:rsid w:val="00E120D7"/>
    <w:rsid w:val="00E122A1"/>
    <w:rsid w:val="00E12705"/>
    <w:rsid w:val="00E12809"/>
    <w:rsid w:val="00E13114"/>
    <w:rsid w:val="00E1314B"/>
    <w:rsid w:val="00E132DF"/>
    <w:rsid w:val="00E13369"/>
    <w:rsid w:val="00E13A27"/>
    <w:rsid w:val="00E13C56"/>
    <w:rsid w:val="00E13D10"/>
    <w:rsid w:val="00E13E17"/>
    <w:rsid w:val="00E13F3A"/>
    <w:rsid w:val="00E13F51"/>
    <w:rsid w:val="00E141EC"/>
    <w:rsid w:val="00E1426F"/>
    <w:rsid w:val="00E143EE"/>
    <w:rsid w:val="00E14458"/>
    <w:rsid w:val="00E144E6"/>
    <w:rsid w:val="00E14597"/>
    <w:rsid w:val="00E14A4D"/>
    <w:rsid w:val="00E14C3F"/>
    <w:rsid w:val="00E14E15"/>
    <w:rsid w:val="00E14EB6"/>
    <w:rsid w:val="00E154CC"/>
    <w:rsid w:val="00E15CE0"/>
    <w:rsid w:val="00E15E82"/>
    <w:rsid w:val="00E16091"/>
    <w:rsid w:val="00E162D9"/>
    <w:rsid w:val="00E16372"/>
    <w:rsid w:val="00E166DB"/>
    <w:rsid w:val="00E168F1"/>
    <w:rsid w:val="00E16AD8"/>
    <w:rsid w:val="00E16B1E"/>
    <w:rsid w:val="00E17106"/>
    <w:rsid w:val="00E17353"/>
    <w:rsid w:val="00E17FFA"/>
    <w:rsid w:val="00E2084E"/>
    <w:rsid w:val="00E20B59"/>
    <w:rsid w:val="00E20C94"/>
    <w:rsid w:val="00E20E4D"/>
    <w:rsid w:val="00E20ED6"/>
    <w:rsid w:val="00E20F7C"/>
    <w:rsid w:val="00E21358"/>
    <w:rsid w:val="00E2135B"/>
    <w:rsid w:val="00E22355"/>
    <w:rsid w:val="00E22427"/>
    <w:rsid w:val="00E2249B"/>
    <w:rsid w:val="00E22660"/>
    <w:rsid w:val="00E22930"/>
    <w:rsid w:val="00E22A0D"/>
    <w:rsid w:val="00E22A3E"/>
    <w:rsid w:val="00E22E41"/>
    <w:rsid w:val="00E22F68"/>
    <w:rsid w:val="00E2328E"/>
    <w:rsid w:val="00E2367C"/>
    <w:rsid w:val="00E237F7"/>
    <w:rsid w:val="00E23D41"/>
    <w:rsid w:val="00E24001"/>
    <w:rsid w:val="00E240CD"/>
    <w:rsid w:val="00E2415D"/>
    <w:rsid w:val="00E244E9"/>
    <w:rsid w:val="00E244F6"/>
    <w:rsid w:val="00E24791"/>
    <w:rsid w:val="00E24A5E"/>
    <w:rsid w:val="00E24B27"/>
    <w:rsid w:val="00E258DB"/>
    <w:rsid w:val="00E25C65"/>
    <w:rsid w:val="00E26141"/>
    <w:rsid w:val="00E264F7"/>
    <w:rsid w:val="00E26586"/>
    <w:rsid w:val="00E2667B"/>
    <w:rsid w:val="00E26990"/>
    <w:rsid w:val="00E27382"/>
    <w:rsid w:val="00E274A8"/>
    <w:rsid w:val="00E274FF"/>
    <w:rsid w:val="00E2771E"/>
    <w:rsid w:val="00E277A0"/>
    <w:rsid w:val="00E27AB7"/>
    <w:rsid w:val="00E27C1D"/>
    <w:rsid w:val="00E27FE4"/>
    <w:rsid w:val="00E30122"/>
    <w:rsid w:val="00E304C2"/>
    <w:rsid w:val="00E30617"/>
    <w:rsid w:val="00E30D09"/>
    <w:rsid w:val="00E30D92"/>
    <w:rsid w:val="00E30FBE"/>
    <w:rsid w:val="00E311EF"/>
    <w:rsid w:val="00E319B3"/>
    <w:rsid w:val="00E320D9"/>
    <w:rsid w:val="00E32180"/>
    <w:rsid w:val="00E32199"/>
    <w:rsid w:val="00E3273F"/>
    <w:rsid w:val="00E327FF"/>
    <w:rsid w:val="00E3308B"/>
    <w:rsid w:val="00E33BA8"/>
    <w:rsid w:val="00E33ED9"/>
    <w:rsid w:val="00E34378"/>
    <w:rsid w:val="00E34948"/>
    <w:rsid w:val="00E34F5C"/>
    <w:rsid w:val="00E34F6B"/>
    <w:rsid w:val="00E34FD4"/>
    <w:rsid w:val="00E3553B"/>
    <w:rsid w:val="00E35744"/>
    <w:rsid w:val="00E35F92"/>
    <w:rsid w:val="00E3634C"/>
    <w:rsid w:val="00E36493"/>
    <w:rsid w:val="00E36CEA"/>
    <w:rsid w:val="00E36F0A"/>
    <w:rsid w:val="00E37569"/>
    <w:rsid w:val="00E37815"/>
    <w:rsid w:val="00E37F3C"/>
    <w:rsid w:val="00E401B2"/>
    <w:rsid w:val="00E40AFC"/>
    <w:rsid w:val="00E40DC2"/>
    <w:rsid w:val="00E40E15"/>
    <w:rsid w:val="00E411D5"/>
    <w:rsid w:val="00E41203"/>
    <w:rsid w:val="00E417A4"/>
    <w:rsid w:val="00E41975"/>
    <w:rsid w:val="00E419F9"/>
    <w:rsid w:val="00E41E30"/>
    <w:rsid w:val="00E41F9E"/>
    <w:rsid w:val="00E42348"/>
    <w:rsid w:val="00E428BF"/>
    <w:rsid w:val="00E42CCB"/>
    <w:rsid w:val="00E42DB2"/>
    <w:rsid w:val="00E42F3D"/>
    <w:rsid w:val="00E42F73"/>
    <w:rsid w:val="00E43303"/>
    <w:rsid w:val="00E437F5"/>
    <w:rsid w:val="00E43C8C"/>
    <w:rsid w:val="00E43D70"/>
    <w:rsid w:val="00E44482"/>
    <w:rsid w:val="00E4464C"/>
    <w:rsid w:val="00E447EC"/>
    <w:rsid w:val="00E44925"/>
    <w:rsid w:val="00E44B35"/>
    <w:rsid w:val="00E44D6D"/>
    <w:rsid w:val="00E45866"/>
    <w:rsid w:val="00E45DE3"/>
    <w:rsid w:val="00E45E39"/>
    <w:rsid w:val="00E45E83"/>
    <w:rsid w:val="00E45F9F"/>
    <w:rsid w:val="00E46088"/>
    <w:rsid w:val="00E46697"/>
    <w:rsid w:val="00E466F3"/>
    <w:rsid w:val="00E4678B"/>
    <w:rsid w:val="00E46B50"/>
    <w:rsid w:val="00E46B53"/>
    <w:rsid w:val="00E471BA"/>
    <w:rsid w:val="00E47B2C"/>
    <w:rsid w:val="00E47E32"/>
    <w:rsid w:val="00E506AB"/>
    <w:rsid w:val="00E51560"/>
    <w:rsid w:val="00E51821"/>
    <w:rsid w:val="00E518A3"/>
    <w:rsid w:val="00E518FE"/>
    <w:rsid w:val="00E52633"/>
    <w:rsid w:val="00E52DDA"/>
    <w:rsid w:val="00E53109"/>
    <w:rsid w:val="00E531A0"/>
    <w:rsid w:val="00E5393C"/>
    <w:rsid w:val="00E53FC8"/>
    <w:rsid w:val="00E54267"/>
    <w:rsid w:val="00E54347"/>
    <w:rsid w:val="00E547BE"/>
    <w:rsid w:val="00E54879"/>
    <w:rsid w:val="00E54D61"/>
    <w:rsid w:val="00E54D85"/>
    <w:rsid w:val="00E55424"/>
    <w:rsid w:val="00E556FA"/>
    <w:rsid w:val="00E55915"/>
    <w:rsid w:val="00E55BB5"/>
    <w:rsid w:val="00E55C79"/>
    <w:rsid w:val="00E56411"/>
    <w:rsid w:val="00E565F5"/>
    <w:rsid w:val="00E56761"/>
    <w:rsid w:val="00E56825"/>
    <w:rsid w:val="00E56A2C"/>
    <w:rsid w:val="00E56A33"/>
    <w:rsid w:val="00E56AD5"/>
    <w:rsid w:val="00E56E4E"/>
    <w:rsid w:val="00E56E9F"/>
    <w:rsid w:val="00E56F59"/>
    <w:rsid w:val="00E5711A"/>
    <w:rsid w:val="00E57D81"/>
    <w:rsid w:val="00E57D84"/>
    <w:rsid w:val="00E60252"/>
    <w:rsid w:val="00E60393"/>
    <w:rsid w:val="00E6082B"/>
    <w:rsid w:val="00E60880"/>
    <w:rsid w:val="00E60BA7"/>
    <w:rsid w:val="00E60D53"/>
    <w:rsid w:val="00E6102B"/>
    <w:rsid w:val="00E611DF"/>
    <w:rsid w:val="00E61490"/>
    <w:rsid w:val="00E614AB"/>
    <w:rsid w:val="00E6155E"/>
    <w:rsid w:val="00E61B8B"/>
    <w:rsid w:val="00E6328C"/>
    <w:rsid w:val="00E63842"/>
    <w:rsid w:val="00E63A73"/>
    <w:rsid w:val="00E63D95"/>
    <w:rsid w:val="00E640C4"/>
    <w:rsid w:val="00E647F9"/>
    <w:rsid w:val="00E64BFA"/>
    <w:rsid w:val="00E65602"/>
    <w:rsid w:val="00E6569B"/>
    <w:rsid w:val="00E65AA7"/>
    <w:rsid w:val="00E65E79"/>
    <w:rsid w:val="00E663C2"/>
    <w:rsid w:val="00E663EC"/>
    <w:rsid w:val="00E664F5"/>
    <w:rsid w:val="00E66BA2"/>
    <w:rsid w:val="00E67416"/>
    <w:rsid w:val="00E674AF"/>
    <w:rsid w:val="00E67537"/>
    <w:rsid w:val="00E67C0F"/>
    <w:rsid w:val="00E704EF"/>
    <w:rsid w:val="00E705FC"/>
    <w:rsid w:val="00E7073A"/>
    <w:rsid w:val="00E7084C"/>
    <w:rsid w:val="00E70F1E"/>
    <w:rsid w:val="00E7123C"/>
    <w:rsid w:val="00E718B6"/>
    <w:rsid w:val="00E71C76"/>
    <w:rsid w:val="00E71D48"/>
    <w:rsid w:val="00E72132"/>
    <w:rsid w:val="00E7236F"/>
    <w:rsid w:val="00E723BA"/>
    <w:rsid w:val="00E72600"/>
    <w:rsid w:val="00E730C7"/>
    <w:rsid w:val="00E73205"/>
    <w:rsid w:val="00E73581"/>
    <w:rsid w:val="00E7371A"/>
    <w:rsid w:val="00E7378D"/>
    <w:rsid w:val="00E73863"/>
    <w:rsid w:val="00E73A4F"/>
    <w:rsid w:val="00E743D5"/>
    <w:rsid w:val="00E7474E"/>
    <w:rsid w:val="00E74AC0"/>
    <w:rsid w:val="00E74BB3"/>
    <w:rsid w:val="00E75023"/>
    <w:rsid w:val="00E75124"/>
    <w:rsid w:val="00E752D0"/>
    <w:rsid w:val="00E753D8"/>
    <w:rsid w:val="00E75559"/>
    <w:rsid w:val="00E75950"/>
    <w:rsid w:val="00E75B09"/>
    <w:rsid w:val="00E75B9A"/>
    <w:rsid w:val="00E760DF"/>
    <w:rsid w:val="00E7635A"/>
    <w:rsid w:val="00E7647C"/>
    <w:rsid w:val="00E76749"/>
    <w:rsid w:val="00E76CE8"/>
    <w:rsid w:val="00E77298"/>
    <w:rsid w:val="00E7740E"/>
    <w:rsid w:val="00E77AD5"/>
    <w:rsid w:val="00E77C48"/>
    <w:rsid w:val="00E807A8"/>
    <w:rsid w:val="00E80B98"/>
    <w:rsid w:val="00E80D27"/>
    <w:rsid w:val="00E80EEB"/>
    <w:rsid w:val="00E81643"/>
    <w:rsid w:val="00E81672"/>
    <w:rsid w:val="00E81927"/>
    <w:rsid w:val="00E81A10"/>
    <w:rsid w:val="00E81C19"/>
    <w:rsid w:val="00E81DBB"/>
    <w:rsid w:val="00E8225D"/>
    <w:rsid w:val="00E824AA"/>
    <w:rsid w:val="00E83343"/>
    <w:rsid w:val="00E833F7"/>
    <w:rsid w:val="00E83A88"/>
    <w:rsid w:val="00E83BDF"/>
    <w:rsid w:val="00E841EA"/>
    <w:rsid w:val="00E84A47"/>
    <w:rsid w:val="00E84BEB"/>
    <w:rsid w:val="00E84FAA"/>
    <w:rsid w:val="00E8516E"/>
    <w:rsid w:val="00E85489"/>
    <w:rsid w:val="00E85505"/>
    <w:rsid w:val="00E8559E"/>
    <w:rsid w:val="00E85B22"/>
    <w:rsid w:val="00E85DF8"/>
    <w:rsid w:val="00E85F35"/>
    <w:rsid w:val="00E86897"/>
    <w:rsid w:val="00E86FCC"/>
    <w:rsid w:val="00E877B3"/>
    <w:rsid w:val="00E87A1D"/>
    <w:rsid w:val="00E87BFA"/>
    <w:rsid w:val="00E9094A"/>
    <w:rsid w:val="00E90B1F"/>
    <w:rsid w:val="00E90C3F"/>
    <w:rsid w:val="00E911E1"/>
    <w:rsid w:val="00E9138C"/>
    <w:rsid w:val="00E915D8"/>
    <w:rsid w:val="00E91789"/>
    <w:rsid w:val="00E917CA"/>
    <w:rsid w:val="00E917EE"/>
    <w:rsid w:val="00E91D35"/>
    <w:rsid w:val="00E9248B"/>
    <w:rsid w:val="00E924BF"/>
    <w:rsid w:val="00E926A5"/>
    <w:rsid w:val="00E92AEC"/>
    <w:rsid w:val="00E92E6E"/>
    <w:rsid w:val="00E92FD0"/>
    <w:rsid w:val="00E9321E"/>
    <w:rsid w:val="00E9359A"/>
    <w:rsid w:val="00E93A15"/>
    <w:rsid w:val="00E93DD6"/>
    <w:rsid w:val="00E945C9"/>
    <w:rsid w:val="00E952A0"/>
    <w:rsid w:val="00E95D26"/>
    <w:rsid w:val="00E95D62"/>
    <w:rsid w:val="00E95EA9"/>
    <w:rsid w:val="00E962CC"/>
    <w:rsid w:val="00E96342"/>
    <w:rsid w:val="00E965A9"/>
    <w:rsid w:val="00E96824"/>
    <w:rsid w:val="00E97094"/>
    <w:rsid w:val="00E97103"/>
    <w:rsid w:val="00E979B0"/>
    <w:rsid w:val="00E97C79"/>
    <w:rsid w:val="00EA0113"/>
    <w:rsid w:val="00EA0988"/>
    <w:rsid w:val="00EA0CD2"/>
    <w:rsid w:val="00EA1602"/>
    <w:rsid w:val="00EA17C3"/>
    <w:rsid w:val="00EA19C6"/>
    <w:rsid w:val="00EA1E2F"/>
    <w:rsid w:val="00EA26E2"/>
    <w:rsid w:val="00EA29CD"/>
    <w:rsid w:val="00EA2A7C"/>
    <w:rsid w:val="00EA2CAA"/>
    <w:rsid w:val="00EA2DEC"/>
    <w:rsid w:val="00EA2E4E"/>
    <w:rsid w:val="00EA2F6D"/>
    <w:rsid w:val="00EA3107"/>
    <w:rsid w:val="00EA363D"/>
    <w:rsid w:val="00EA3864"/>
    <w:rsid w:val="00EA3F60"/>
    <w:rsid w:val="00EA3F75"/>
    <w:rsid w:val="00EA40E2"/>
    <w:rsid w:val="00EA43C0"/>
    <w:rsid w:val="00EA4951"/>
    <w:rsid w:val="00EA4E2A"/>
    <w:rsid w:val="00EA50E5"/>
    <w:rsid w:val="00EA5134"/>
    <w:rsid w:val="00EA5182"/>
    <w:rsid w:val="00EA538F"/>
    <w:rsid w:val="00EA5FC1"/>
    <w:rsid w:val="00EA68F7"/>
    <w:rsid w:val="00EA6B88"/>
    <w:rsid w:val="00EA7555"/>
    <w:rsid w:val="00EA76DC"/>
    <w:rsid w:val="00EA7BF7"/>
    <w:rsid w:val="00EA7F1C"/>
    <w:rsid w:val="00EB0896"/>
    <w:rsid w:val="00EB10A4"/>
    <w:rsid w:val="00EB10F3"/>
    <w:rsid w:val="00EB15B6"/>
    <w:rsid w:val="00EB1657"/>
    <w:rsid w:val="00EB1AFC"/>
    <w:rsid w:val="00EB1EA7"/>
    <w:rsid w:val="00EB1F73"/>
    <w:rsid w:val="00EB2B98"/>
    <w:rsid w:val="00EB3492"/>
    <w:rsid w:val="00EB3573"/>
    <w:rsid w:val="00EB3873"/>
    <w:rsid w:val="00EB3B2D"/>
    <w:rsid w:val="00EB3D06"/>
    <w:rsid w:val="00EB4182"/>
    <w:rsid w:val="00EB441E"/>
    <w:rsid w:val="00EB4916"/>
    <w:rsid w:val="00EB4B5F"/>
    <w:rsid w:val="00EB4EA1"/>
    <w:rsid w:val="00EB604A"/>
    <w:rsid w:val="00EB6371"/>
    <w:rsid w:val="00EB6490"/>
    <w:rsid w:val="00EB6554"/>
    <w:rsid w:val="00EB6648"/>
    <w:rsid w:val="00EC0042"/>
    <w:rsid w:val="00EC00BB"/>
    <w:rsid w:val="00EC00C9"/>
    <w:rsid w:val="00EC014A"/>
    <w:rsid w:val="00EC03FD"/>
    <w:rsid w:val="00EC081B"/>
    <w:rsid w:val="00EC0980"/>
    <w:rsid w:val="00EC0A77"/>
    <w:rsid w:val="00EC0AB2"/>
    <w:rsid w:val="00EC0DD9"/>
    <w:rsid w:val="00EC0F42"/>
    <w:rsid w:val="00EC2177"/>
    <w:rsid w:val="00EC249F"/>
    <w:rsid w:val="00EC2649"/>
    <w:rsid w:val="00EC2780"/>
    <w:rsid w:val="00EC2B00"/>
    <w:rsid w:val="00EC31ED"/>
    <w:rsid w:val="00EC3203"/>
    <w:rsid w:val="00EC33EF"/>
    <w:rsid w:val="00EC389C"/>
    <w:rsid w:val="00EC3E6D"/>
    <w:rsid w:val="00EC4272"/>
    <w:rsid w:val="00EC4441"/>
    <w:rsid w:val="00EC45A7"/>
    <w:rsid w:val="00EC5249"/>
    <w:rsid w:val="00EC53E1"/>
    <w:rsid w:val="00EC5836"/>
    <w:rsid w:val="00EC5B49"/>
    <w:rsid w:val="00EC5BFB"/>
    <w:rsid w:val="00EC5C78"/>
    <w:rsid w:val="00EC5DC9"/>
    <w:rsid w:val="00EC5F9B"/>
    <w:rsid w:val="00EC6103"/>
    <w:rsid w:val="00EC62D0"/>
    <w:rsid w:val="00EC6843"/>
    <w:rsid w:val="00EC688C"/>
    <w:rsid w:val="00EC6FBE"/>
    <w:rsid w:val="00EC6FD7"/>
    <w:rsid w:val="00EC705E"/>
    <w:rsid w:val="00EC70CA"/>
    <w:rsid w:val="00EC7F6A"/>
    <w:rsid w:val="00ED0CBB"/>
    <w:rsid w:val="00ED0DE6"/>
    <w:rsid w:val="00ED12E3"/>
    <w:rsid w:val="00ED1550"/>
    <w:rsid w:val="00ED15D5"/>
    <w:rsid w:val="00ED1652"/>
    <w:rsid w:val="00ED173C"/>
    <w:rsid w:val="00ED1D79"/>
    <w:rsid w:val="00ED1E37"/>
    <w:rsid w:val="00ED1F41"/>
    <w:rsid w:val="00ED2179"/>
    <w:rsid w:val="00ED22D9"/>
    <w:rsid w:val="00ED257E"/>
    <w:rsid w:val="00ED26B2"/>
    <w:rsid w:val="00ED2DF9"/>
    <w:rsid w:val="00ED2F7D"/>
    <w:rsid w:val="00ED3353"/>
    <w:rsid w:val="00ED3677"/>
    <w:rsid w:val="00ED3BB6"/>
    <w:rsid w:val="00ED3D8D"/>
    <w:rsid w:val="00ED4028"/>
    <w:rsid w:val="00ED482C"/>
    <w:rsid w:val="00ED4833"/>
    <w:rsid w:val="00ED49C7"/>
    <w:rsid w:val="00ED4B04"/>
    <w:rsid w:val="00ED5557"/>
    <w:rsid w:val="00ED57EA"/>
    <w:rsid w:val="00ED5BD4"/>
    <w:rsid w:val="00ED701F"/>
    <w:rsid w:val="00ED750E"/>
    <w:rsid w:val="00ED790A"/>
    <w:rsid w:val="00EE0059"/>
    <w:rsid w:val="00EE0446"/>
    <w:rsid w:val="00EE053E"/>
    <w:rsid w:val="00EE05A1"/>
    <w:rsid w:val="00EE07D3"/>
    <w:rsid w:val="00EE085F"/>
    <w:rsid w:val="00EE08BA"/>
    <w:rsid w:val="00EE1996"/>
    <w:rsid w:val="00EE1C01"/>
    <w:rsid w:val="00EE1C29"/>
    <w:rsid w:val="00EE1D85"/>
    <w:rsid w:val="00EE22AF"/>
    <w:rsid w:val="00EE2431"/>
    <w:rsid w:val="00EE243E"/>
    <w:rsid w:val="00EE2468"/>
    <w:rsid w:val="00EE257E"/>
    <w:rsid w:val="00EE264E"/>
    <w:rsid w:val="00EE276B"/>
    <w:rsid w:val="00EE3028"/>
    <w:rsid w:val="00EE35A6"/>
    <w:rsid w:val="00EE4321"/>
    <w:rsid w:val="00EE433C"/>
    <w:rsid w:val="00EE4469"/>
    <w:rsid w:val="00EE458E"/>
    <w:rsid w:val="00EE50CD"/>
    <w:rsid w:val="00EE5DCA"/>
    <w:rsid w:val="00EE687B"/>
    <w:rsid w:val="00EE69BF"/>
    <w:rsid w:val="00EE717C"/>
    <w:rsid w:val="00EE7214"/>
    <w:rsid w:val="00EE730E"/>
    <w:rsid w:val="00EE7434"/>
    <w:rsid w:val="00EE7892"/>
    <w:rsid w:val="00EF00E2"/>
    <w:rsid w:val="00EF0171"/>
    <w:rsid w:val="00EF0ED0"/>
    <w:rsid w:val="00EF1608"/>
    <w:rsid w:val="00EF1B25"/>
    <w:rsid w:val="00EF1BCF"/>
    <w:rsid w:val="00EF1D1F"/>
    <w:rsid w:val="00EF1DA0"/>
    <w:rsid w:val="00EF2075"/>
    <w:rsid w:val="00EF2D3C"/>
    <w:rsid w:val="00EF2F44"/>
    <w:rsid w:val="00EF2FD3"/>
    <w:rsid w:val="00EF2FEE"/>
    <w:rsid w:val="00EF31C4"/>
    <w:rsid w:val="00EF3B91"/>
    <w:rsid w:val="00EF4370"/>
    <w:rsid w:val="00EF4747"/>
    <w:rsid w:val="00EF4886"/>
    <w:rsid w:val="00EF49BB"/>
    <w:rsid w:val="00EF4BF8"/>
    <w:rsid w:val="00EF574E"/>
    <w:rsid w:val="00EF57BF"/>
    <w:rsid w:val="00EF5C39"/>
    <w:rsid w:val="00EF6097"/>
    <w:rsid w:val="00EF6849"/>
    <w:rsid w:val="00EF6B9A"/>
    <w:rsid w:val="00EF7015"/>
    <w:rsid w:val="00EF7522"/>
    <w:rsid w:val="00EF77DB"/>
    <w:rsid w:val="00EF7E4E"/>
    <w:rsid w:val="00F00078"/>
    <w:rsid w:val="00F00190"/>
    <w:rsid w:val="00F001DE"/>
    <w:rsid w:val="00F008D7"/>
    <w:rsid w:val="00F00BB8"/>
    <w:rsid w:val="00F00C6C"/>
    <w:rsid w:val="00F00DE6"/>
    <w:rsid w:val="00F00FBC"/>
    <w:rsid w:val="00F016CE"/>
    <w:rsid w:val="00F01B51"/>
    <w:rsid w:val="00F01EF1"/>
    <w:rsid w:val="00F01F40"/>
    <w:rsid w:val="00F02253"/>
    <w:rsid w:val="00F0238F"/>
    <w:rsid w:val="00F023CC"/>
    <w:rsid w:val="00F024B3"/>
    <w:rsid w:val="00F02902"/>
    <w:rsid w:val="00F02FCF"/>
    <w:rsid w:val="00F038AD"/>
    <w:rsid w:val="00F03C2E"/>
    <w:rsid w:val="00F03F26"/>
    <w:rsid w:val="00F045CC"/>
    <w:rsid w:val="00F048C0"/>
    <w:rsid w:val="00F04A66"/>
    <w:rsid w:val="00F04AFF"/>
    <w:rsid w:val="00F04B4B"/>
    <w:rsid w:val="00F0516C"/>
    <w:rsid w:val="00F0558B"/>
    <w:rsid w:val="00F057B3"/>
    <w:rsid w:val="00F059E2"/>
    <w:rsid w:val="00F05A65"/>
    <w:rsid w:val="00F06039"/>
    <w:rsid w:val="00F060C1"/>
    <w:rsid w:val="00F067A2"/>
    <w:rsid w:val="00F06A43"/>
    <w:rsid w:val="00F06DF1"/>
    <w:rsid w:val="00F06F7E"/>
    <w:rsid w:val="00F07492"/>
    <w:rsid w:val="00F0759D"/>
    <w:rsid w:val="00F0777F"/>
    <w:rsid w:val="00F07B9E"/>
    <w:rsid w:val="00F07C80"/>
    <w:rsid w:val="00F07DEB"/>
    <w:rsid w:val="00F10524"/>
    <w:rsid w:val="00F10CEE"/>
    <w:rsid w:val="00F10D35"/>
    <w:rsid w:val="00F10F56"/>
    <w:rsid w:val="00F1116F"/>
    <w:rsid w:val="00F111F7"/>
    <w:rsid w:val="00F11225"/>
    <w:rsid w:val="00F125DF"/>
    <w:rsid w:val="00F1263A"/>
    <w:rsid w:val="00F12998"/>
    <w:rsid w:val="00F1315F"/>
    <w:rsid w:val="00F139C5"/>
    <w:rsid w:val="00F13A12"/>
    <w:rsid w:val="00F1402C"/>
    <w:rsid w:val="00F143F8"/>
    <w:rsid w:val="00F149DB"/>
    <w:rsid w:val="00F14A87"/>
    <w:rsid w:val="00F14AB8"/>
    <w:rsid w:val="00F14DD4"/>
    <w:rsid w:val="00F14E61"/>
    <w:rsid w:val="00F14E6B"/>
    <w:rsid w:val="00F1537A"/>
    <w:rsid w:val="00F1584B"/>
    <w:rsid w:val="00F15AFE"/>
    <w:rsid w:val="00F15B77"/>
    <w:rsid w:val="00F16174"/>
    <w:rsid w:val="00F16514"/>
    <w:rsid w:val="00F16E02"/>
    <w:rsid w:val="00F17100"/>
    <w:rsid w:val="00F17555"/>
    <w:rsid w:val="00F17769"/>
    <w:rsid w:val="00F21236"/>
    <w:rsid w:val="00F212BC"/>
    <w:rsid w:val="00F2168E"/>
    <w:rsid w:val="00F218FB"/>
    <w:rsid w:val="00F22A7D"/>
    <w:rsid w:val="00F231F2"/>
    <w:rsid w:val="00F2355A"/>
    <w:rsid w:val="00F239DF"/>
    <w:rsid w:val="00F24837"/>
    <w:rsid w:val="00F24B8B"/>
    <w:rsid w:val="00F25276"/>
    <w:rsid w:val="00F2528C"/>
    <w:rsid w:val="00F2575F"/>
    <w:rsid w:val="00F257E9"/>
    <w:rsid w:val="00F26364"/>
    <w:rsid w:val="00F2672D"/>
    <w:rsid w:val="00F27280"/>
    <w:rsid w:val="00F27565"/>
    <w:rsid w:val="00F2770E"/>
    <w:rsid w:val="00F30758"/>
    <w:rsid w:val="00F307B1"/>
    <w:rsid w:val="00F308EC"/>
    <w:rsid w:val="00F310D4"/>
    <w:rsid w:val="00F31969"/>
    <w:rsid w:val="00F31A2B"/>
    <w:rsid w:val="00F31D5A"/>
    <w:rsid w:val="00F32D5D"/>
    <w:rsid w:val="00F33975"/>
    <w:rsid w:val="00F33D27"/>
    <w:rsid w:val="00F33DE9"/>
    <w:rsid w:val="00F33E32"/>
    <w:rsid w:val="00F33ECE"/>
    <w:rsid w:val="00F34129"/>
    <w:rsid w:val="00F34C5D"/>
    <w:rsid w:val="00F34DE6"/>
    <w:rsid w:val="00F352E8"/>
    <w:rsid w:val="00F357A0"/>
    <w:rsid w:val="00F35A2E"/>
    <w:rsid w:val="00F35B18"/>
    <w:rsid w:val="00F35CA2"/>
    <w:rsid w:val="00F35E6D"/>
    <w:rsid w:val="00F3619A"/>
    <w:rsid w:val="00F361B8"/>
    <w:rsid w:val="00F363BF"/>
    <w:rsid w:val="00F36B82"/>
    <w:rsid w:val="00F36C34"/>
    <w:rsid w:val="00F36EF8"/>
    <w:rsid w:val="00F375BC"/>
    <w:rsid w:val="00F37727"/>
    <w:rsid w:val="00F37C44"/>
    <w:rsid w:val="00F401C5"/>
    <w:rsid w:val="00F401F4"/>
    <w:rsid w:val="00F40AAA"/>
    <w:rsid w:val="00F40BA7"/>
    <w:rsid w:val="00F40F9D"/>
    <w:rsid w:val="00F41276"/>
    <w:rsid w:val="00F41373"/>
    <w:rsid w:val="00F41736"/>
    <w:rsid w:val="00F41795"/>
    <w:rsid w:val="00F41ACD"/>
    <w:rsid w:val="00F41EC0"/>
    <w:rsid w:val="00F41F70"/>
    <w:rsid w:val="00F423F3"/>
    <w:rsid w:val="00F42A56"/>
    <w:rsid w:val="00F42AD1"/>
    <w:rsid w:val="00F42DE8"/>
    <w:rsid w:val="00F42EFA"/>
    <w:rsid w:val="00F43513"/>
    <w:rsid w:val="00F43DEE"/>
    <w:rsid w:val="00F441EE"/>
    <w:rsid w:val="00F44355"/>
    <w:rsid w:val="00F44521"/>
    <w:rsid w:val="00F450D9"/>
    <w:rsid w:val="00F457BD"/>
    <w:rsid w:val="00F45A67"/>
    <w:rsid w:val="00F46681"/>
    <w:rsid w:val="00F46713"/>
    <w:rsid w:val="00F46932"/>
    <w:rsid w:val="00F46BEB"/>
    <w:rsid w:val="00F46CB6"/>
    <w:rsid w:val="00F47395"/>
    <w:rsid w:val="00F4756D"/>
    <w:rsid w:val="00F47617"/>
    <w:rsid w:val="00F47C88"/>
    <w:rsid w:val="00F47C96"/>
    <w:rsid w:val="00F47D17"/>
    <w:rsid w:val="00F47DE8"/>
    <w:rsid w:val="00F512E7"/>
    <w:rsid w:val="00F51838"/>
    <w:rsid w:val="00F51DAD"/>
    <w:rsid w:val="00F522F5"/>
    <w:rsid w:val="00F532AE"/>
    <w:rsid w:val="00F537BE"/>
    <w:rsid w:val="00F537DE"/>
    <w:rsid w:val="00F53B42"/>
    <w:rsid w:val="00F53B6A"/>
    <w:rsid w:val="00F53F42"/>
    <w:rsid w:val="00F54042"/>
    <w:rsid w:val="00F542C1"/>
    <w:rsid w:val="00F5488E"/>
    <w:rsid w:val="00F550E3"/>
    <w:rsid w:val="00F55343"/>
    <w:rsid w:val="00F55348"/>
    <w:rsid w:val="00F5557E"/>
    <w:rsid w:val="00F55693"/>
    <w:rsid w:val="00F55DF5"/>
    <w:rsid w:val="00F55E73"/>
    <w:rsid w:val="00F55EDA"/>
    <w:rsid w:val="00F55FD2"/>
    <w:rsid w:val="00F56101"/>
    <w:rsid w:val="00F566E9"/>
    <w:rsid w:val="00F566F8"/>
    <w:rsid w:val="00F56C41"/>
    <w:rsid w:val="00F56C80"/>
    <w:rsid w:val="00F570AA"/>
    <w:rsid w:val="00F572DF"/>
    <w:rsid w:val="00F57720"/>
    <w:rsid w:val="00F57A23"/>
    <w:rsid w:val="00F60092"/>
    <w:rsid w:val="00F600D1"/>
    <w:rsid w:val="00F6164E"/>
    <w:rsid w:val="00F6179C"/>
    <w:rsid w:val="00F61A01"/>
    <w:rsid w:val="00F61A16"/>
    <w:rsid w:val="00F61C18"/>
    <w:rsid w:val="00F61E7F"/>
    <w:rsid w:val="00F620CB"/>
    <w:rsid w:val="00F620CE"/>
    <w:rsid w:val="00F622C6"/>
    <w:rsid w:val="00F62801"/>
    <w:rsid w:val="00F62911"/>
    <w:rsid w:val="00F629EF"/>
    <w:rsid w:val="00F62A0C"/>
    <w:rsid w:val="00F62A65"/>
    <w:rsid w:val="00F62AA7"/>
    <w:rsid w:val="00F62E3A"/>
    <w:rsid w:val="00F6336E"/>
    <w:rsid w:val="00F633DB"/>
    <w:rsid w:val="00F63477"/>
    <w:rsid w:val="00F63546"/>
    <w:rsid w:val="00F641A4"/>
    <w:rsid w:val="00F643BA"/>
    <w:rsid w:val="00F6451D"/>
    <w:rsid w:val="00F64B5B"/>
    <w:rsid w:val="00F65AC8"/>
    <w:rsid w:val="00F65F4B"/>
    <w:rsid w:val="00F66040"/>
    <w:rsid w:val="00F66AD5"/>
    <w:rsid w:val="00F66E42"/>
    <w:rsid w:val="00F66EFE"/>
    <w:rsid w:val="00F66FB2"/>
    <w:rsid w:val="00F67A69"/>
    <w:rsid w:val="00F67AFC"/>
    <w:rsid w:val="00F702F6"/>
    <w:rsid w:val="00F70503"/>
    <w:rsid w:val="00F70BFF"/>
    <w:rsid w:val="00F70C9D"/>
    <w:rsid w:val="00F70F03"/>
    <w:rsid w:val="00F71005"/>
    <w:rsid w:val="00F711E1"/>
    <w:rsid w:val="00F71EA0"/>
    <w:rsid w:val="00F722C6"/>
    <w:rsid w:val="00F7291A"/>
    <w:rsid w:val="00F72FDD"/>
    <w:rsid w:val="00F732FA"/>
    <w:rsid w:val="00F73321"/>
    <w:rsid w:val="00F7335B"/>
    <w:rsid w:val="00F73486"/>
    <w:rsid w:val="00F739F7"/>
    <w:rsid w:val="00F73ADB"/>
    <w:rsid w:val="00F73E08"/>
    <w:rsid w:val="00F73FEC"/>
    <w:rsid w:val="00F742E6"/>
    <w:rsid w:val="00F74777"/>
    <w:rsid w:val="00F74CD9"/>
    <w:rsid w:val="00F74D7F"/>
    <w:rsid w:val="00F751F7"/>
    <w:rsid w:val="00F758AD"/>
    <w:rsid w:val="00F75B08"/>
    <w:rsid w:val="00F766BE"/>
    <w:rsid w:val="00F77115"/>
    <w:rsid w:val="00F7725A"/>
    <w:rsid w:val="00F775C1"/>
    <w:rsid w:val="00F77785"/>
    <w:rsid w:val="00F8008A"/>
    <w:rsid w:val="00F80227"/>
    <w:rsid w:val="00F804D6"/>
    <w:rsid w:val="00F80665"/>
    <w:rsid w:val="00F80A7B"/>
    <w:rsid w:val="00F80E5D"/>
    <w:rsid w:val="00F80E9D"/>
    <w:rsid w:val="00F819A3"/>
    <w:rsid w:val="00F81E78"/>
    <w:rsid w:val="00F826D7"/>
    <w:rsid w:val="00F82AF4"/>
    <w:rsid w:val="00F82F14"/>
    <w:rsid w:val="00F82FC7"/>
    <w:rsid w:val="00F83916"/>
    <w:rsid w:val="00F83A13"/>
    <w:rsid w:val="00F840E6"/>
    <w:rsid w:val="00F8421D"/>
    <w:rsid w:val="00F8432B"/>
    <w:rsid w:val="00F8444F"/>
    <w:rsid w:val="00F84BFC"/>
    <w:rsid w:val="00F85028"/>
    <w:rsid w:val="00F851CE"/>
    <w:rsid w:val="00F8553A"/>
    <w:rsid w:val="00F85F78"/>
    <w:rsid w:val="00F860A5"/>
    <w:rsid w:val="00F86369"/>
    <w:rsid w:val="00F87010"/>
    <w:rsid w:val="00F90006"/>
    <w:rsid w:val="00F902D7"/>
    <w:rsid w:val="00F90679"/>
    <w:rsid w:val="00F91219"/>
    <w:rsid w:val="00F91EAC"/>
    <w:rsid w:val="00F92150"/>
    <w:rsid w:val="00F92444"/>
    <w:rsid w:val="00F92558"/>
    <w:rsid w:val="00F92CA3"/>
    <w:rsid w:val="00F92DAA"/>
    <w:rsid w:val="00F92DB2"/>
    <w:rsid w:val="00F930B7"/>
    <w:rsid w:val="00F9329B"/>
    <w:rsid w:val="00F93836"/>
    <w:rsid w:val="00F9393E"/>
    <w:rsid w:val="00F9420E"/>
    <w:rsid w:val="00F94410"/>
    <w:rsid w:val="00F948CB"/>
    <w:rsid w:val="00F94D88"/>
    <w:rsid w:val="00F950DA"/>
    <w:rsid w:val="00F95286"/>
    <w:rsid w:val="00F954F7"/>
    <w:rsid w:val="00F95A06"/>
    <w:rsid w:val="00F95C0B"/>
    <w:rsid w:val="00F961B3"/>
    <w:rsid w:val="00F964E8"/>
    <w:rsid w:val="00F96B0C"/>
    <w:rsid w:val="00F96BA8"/>
    <w:rsid w:val="00F96FD0"/>
    <w:rsid w:val="00F97448"/>
    <w:rsid w:val="00F97A78"/>
    <w:rsid w:val="00F97A8A"/>
    <w:rsid w:val="00F97C59"/>
    <w:rsid w:val="00FA013A"/>
    <w:rsid w:val="00FA08BF"/>
    <w:rsid w:val="00FA0B20"/>
    <w:rsid w:val="00FA0BB7"/>
    <w:rsid w:val="00FA0DEC"/>
    <w:rsid w:val="00FA14F3"/>
    <w:rsid w:val="00FA1FC2"/>
    <w:rsid w:val="00FA24E7"/>
    <w:rsid w:val="00FA2AC0"/>
    <w:rsid w:val="00FA2F39"/>
    <w:rsid w:val="00FA3D0C"/>
    <w:rsid w:val="00FA3E1C"/>
    <w:rsid w:val="00FA42FD"/>
    <w:rsid w:val="00FA447E"/>
    <w:rsid w:val="00FA4BF3"/>
    <w:rsid w:val="00FA4F4E"/>
    <w:rsid w:val="00FA4F96"/>
    <w:rsid w:val="00FA501E"/>
    <w:rsid w:val="00FA58A4"/>
    <w:rsid w:val="00FA5EE6"/>
    <w:rsid w:val="00FA6157"/>
    <w:rsid w:val="00FA6419"/>
    <w:rsid w:val="00FA6D72"/>
    <w:rsid w:val="00FA71E7"/>
    <w:rsid w:val="00FA742A"/>
    <w:rsid w:val="00FA7767"/>
    <w:rsid w:val="00FA7956"/>
    <w:rsid w:val="00FA7ECA"/>
    <w:rsid w:val="00FB02A3"/>
    <w:rsid w:val="00FB05EF"/>
    <w:rsid w:val="00FB0824"/>
    <w:rsid w:val="00FB0FFC"/>
    <w:rsid w:val="00FB112B"/>
    <w:rsid w:val="00FB17FC"/>
    <w:rsid w:val="00FB1A7A"/>
    <w:rsid w:val="00FB1CA1"/>
    <w:rsid w:val="00FB1E3C"/>
    <w:rsid w:val="00FB1FBC"/>
    <w:rsid w:val="00FB2B4F"/>
    <w:rsid w:val="00FB2FCB"/>
    <w:rsid w:val="00FB34D6"/>
    <w:rsid w:val="00FB4090"/>
    <w:rsid w:val="00FB4456"/>
    <w:rsid w:val="00FB4A8B"/>
    <w:rsid w:val="00FB4C9C"/>
    <w:rsid w:val="00FB4ED5"/>
    <w:rsid w:val="00FB552D"/>
    <w:rsid w:val="00FB55BA"/>
    <w:rsid w:val="00FB5D9A"/>
    <w:rsid w:val="00FB60DD"/>
    <w:rsid w:val="00FB6945"/>
    <w:rsid w:val="00FB6A2B"/>
    <w:rsid w:val="00FB6B72"/>
    <w:rsid w:val="00FB6BF3"/>
    <w:rsid w:val="00FB7016"/>
    <w:rsid w:val="00FB752F"/>
    <w:rsid w:val="00FB7A14"/>
    <w:rsid w:val="00FB7C55"/>
    <w:rsid w:val="00FB7C7D"/>
    <w:rsid w:val="00FB7E05"/>
    <w:rsid w:val="00FC0813"/>
    <w:rsid w:val="00FC0DCD"/>
    <w:rsid w:val="00FC0EA6"/>
    <w:rsid w:val="00FC0F24"/>
    <w:rsid w:val="00FC1074"/>
    <w:rsid w:val="00FC14C8"/>
    <w:rsid w:val="00FC15CF"/>
    <w:rsid w:val="00FC1884"/>
    <w:rsid w:val="00FC1936"/>
    <w:rsid w:val="00FC1CB3"/>
    <w:rsid w:val="00FC1CE8"/>
    <w:rsid w:val="00FC1ECD"/>
    <w:rsid w:val="00FC2A21"/>
    <w:rsid w:val="00FC2E45"/>
    <w:rsid w:val="00FC342E"/>
    <w:rsid w:val="00FC34C1"/>
    <w:rsid w:val="00FC371D"/>
    <w:rsid w:val="00FC3794"/>
    <w:rsid w:val="00FC3DF0"/>
    <w:rsid w:val="00FC3FFB"/>
    <w:rsid w:val="00FC405A"/>
    <w:rsid w:val="00FC458E"/>
    <w:rsid w:val="00FC46B1"/>
    <w:rsid w:val="00FC4F4F"/>
    <w:rsid w:val="00FC5840"/>
    <w:rsid w:val="00FC5F0B"/>
    <w:rsid w:val="00FC642C"/>
    <w:rsid w:val="00FC64E0"/>
    <w:rsid w:val="00FC65E4"/>
    <w:rsid w:val="00FC70AB"/>
    <w:rsid w:val="00FC7147"/>
    <w:rsid w:val="00FC7299"/>
    <w:rsid w:val="00FC750E"/>
    <w:rsid w:val="00FC778D"/>
    <w:rsid w:val="00FC7846"/>
    <w:rsid w:val="00FC78D0"/>
    <w:rsid w:val="00FC7A5E"/>
    <w:rsid w:val="00FC7D91"/>
    <w:rsid w:val="00FD02C7"/>
    <w:rsid w:val="00FD1163"/>
    <w:rsid w:val="00FD1B20"/>
    <w:rsid w:val="00FD2100"/>
    <w:rsid w:val="00FD2501"/>
    <w:rsid w:val="00FD2502"/>
    <w:rsid w:val="00FD2530"/>
    <w:rsid w:val="00FD26CF"/>
    <w:rsid w:val="00FD27C8"/>
    <w:rsid w:val="00FD280D"/>
    <w:rsid w:val="00FD2A50"/>
    <w:rsid w:val="00FD2C8D"/>
    <w:rsid w:val="00FD2D72"/>
    <w:rsid w:val="00FD3015"/>
    <w:rsid w:val="00FD34F3"/>
    <w:rsid w:val="00FD36D9"/>
    <w:rsid w:val="00FD3700"/>
    <w:rsid w:val="00FD3A53"/>
    <w:rsid w:val="00FD3FBB"/>
    <w:rsid w:val="00FD436C"/>
    <w:rsid w:val="00FD446D"/>
    <w:rsid w:val="00FD4668"/>
    <w:rsid w:val="00FD4844"/>
    <w:rsid w:val="00FD4C44"/>
    <w:rsid w:val="00FD4F2C"/>
    <w:rsid w:val="00FD561E"/>
    <w:rsid w:val="00FD5727"/>
    <w:rsid w:val="00FD5B56"/>
    <w:rsid w:val="00FD6292"/>
    <w:rsid w:val="00FD6375"/>
    <w:rsid w:val="00FD6394"/>
    <w:rsid w:val="00FD63AD"/>
    <w:rsid w:val="00FD67D1"/>
    <w:rsid w:val="00FD6821"/>
    <w:rsid w:val="00FD688F"/>
    <w:rsid w:val="00FD6D0A"/>
    <w:rsid w:val="00FD6EDC"/>
    <w:rsid w:val="00FD7042"/>
    <w:rsid w:val="00FD70F5"/>
    <w:rsid w:val="00FD7846"/>
    <w:rsid w:val="00FD79DB"/>
    <w:rsid w:val="00FD7F51"/>
    <w:rsid w:val="00FE04E9"/>
    <w:rsid w:val="00FE064E"/>
    <w:rsid w:val="00FE0AA2"/>
    <w:rsid w:val="00FE0BB0"/>
    <w:rsid w:val="00FE0D3F"/>
    <w:rsid w:val="00FE0E43"/>
    <w:rsid w:val="00FE0E6C"/>
    <w:rsid w:val="00FE114F"/>
    <w:rsid w:val="00FE195D"/>
    <w:rsid w:val="00FE1CDC"/>
    <w:rsid w:val="00FE3256"/>
    <w:rsid w:val="00FE330E"/>
    <w:rsid w:val="00FE3451"/>
    <w:rsid w:val="00FE34CD"/>
    <w:rsid w:val="00FE393A"/>
    <w:rsid w:val="00FE3C3A"/>
    <w:rsid w:val="00FE409F"/>
    <w:rsid w:val="00FE42FA"/>
    <w:rsid w:val="00FE44F6"/>
    <w:rsid w:val="00FE50BA"/>
    <w:rsid w:val="00FE5954"/>
    <w:rsid w:val="00FE5D21"/>
    <w:rsid w:val="00FE5EFD"/>
    <w:rsid w:val="00FE64FD"/>
    <w:rsid w:val="00FE6AE8"/>
    <w:rsid w:val="00FE6CB8"/>
    <w:rsid w:val="00FE6CCF"/>
    <w:rsid w:val="00FE70C3"/>
    <w:rsid w:val="00FE711E"/>
    <w:rsid w:val="00FE73A3"/>
    <w:rsid w:val="00FE7F03"/>
    <w:rsid w:val="00FE7F60"/>
    <w:rsid w:val="00FF0117"/>
    <w:rsid w:val="00FF0A4F"/>
    <w:rsid w:val="00FF0F4A"/>
    <w:rsid w:val="00FF1242"/>
    <w:rsid w:val="00FF155F"/>
    <w:rsid w:val="00FF1A8B"/>
    <w:rsid w:val="00FF1C9B"/>
    <w:rsid w:val="00FF1CDB"/>
    <w:rsid w:val="00FF1F2F"/>
    <w:rsid w:val="00FF2041"/>
    <w:rsid w:val="00FF27E2"/>
    <w:rsid w:val="00FF2AD9"/>
    <w:rsid w:val="00FF2B3A"/>
    <w:rsid w:val="00FF2F61"/>
    <w:rsid w:val="00FF31AA"/>
    <w:rsid w:val="00FF359F"/>
    <w:rsid w:val="00FF3DCF"/>
    <w:rsid w:val="00FF3E1C"/>
    <w:rsid w:val="00FF427D"/>
    <w:rsid w:val="00FF4349"/>
    <w:rsid w:val="00FF43C2"/>
    <w:rsid w:val="00FF4533"/>
    <w:rsid w:val="00FF477E"/>
    <w:rsid w:val="00FF492C"/>
    <w:rsid w:val="00FF4A21"/>
    <w:rsid w:val="00FF535B"/>
    <w:rsid w:val="00FF566C"/>
    <w:rsid w:val="00FF5938"/>
    <w:rsid w:val="00FF5AA3"/>
    <w:rsid w:val="00FF5AD8"/>
    <w:rsid w:val="00FF677C"/>
    <w:rsid w:val="00FF6FC1"/>
    <w:rsid w:val="00FF72D6"/>
    <w:rsid w:val="00FF7434"/>
    <w:rsid w:val="00FF764E"/>
    <w:rsid w:val="00FF78C3"/>
    <w:rsid w:val="00FF7900"/>
    <w:rsid w:val="00FF7CFF"/>
    <w:rsid w:val="00FF7DFA"/>
    <w:rsid w:val="13C328BE"/>
    <w:rsid w:val="2096F47A"/>
    <w:rsid w:val="4F537766"/>
    <w:rsid w:val="56D53311"/>
    <w:rsid w:val="5A2F609D"/>
    <w:rsid w:val="5A8E6C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8A"/>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Tableheadingrow">
    <w:name w:val="COM Table heading row"/>
    <w:basedOn w:val="Normal"/>
    <w:next w:val="COMTabletext"/>
    <w:qFormat/>
    <w:rsid w:val="003735AB"/>
    <w:pPr>
      <w:keepNext/>
      <w:keepLines/>
    </w:pPr>
    <w:rPr>
      <w:rFonts w:ascii="Arial Narrow" w:hAnsi="Arial Narrow"/>
      <w:b/>
      <w:bCs/>
      <w:sz w:val="20"/>
      <w:szCs w:val="20"/>
    </w:rPr>
  </w:style>
  <w:style w:type="paragraph" w:customStyle="1" w:styleId="COMBodyH2Numbered">
    <w:name w:val="COM Body H2 Numbered"/>
    <w:basedOn w:val="Heading2"/>
    <w:qFormat/>
    <w:rsid w:val="00CF6C85"/>
    <w:pPr>
      <w:keepNext/>
      <w:spacing w:after="240"/>
    </w:pPr>
  </w:style>
  <w:style w:type="paragraph" w:customStyle="1" w:styleId="COMBodyH1Numbered">
    <w:name w:val="COM Body H1 Numbered"/>
    <w:basedOn w:val="COMESH2"/>
    <w:qFormat/>
    <w:rsid w:val="00684679"/>
    <w:pPr>
      <w:numPr>
        <w:numId w:val="0"/>
      </w:numPr>
    </w:pPr>
  </w:style>
  <w:style w:type="paragraph" w:customStyle="1" w:styleId="COMBodyH3">
    <w:name w:val="COM Body H3"/>
    <w:basedOn w:val="Normal"/>
    <w:qFormat/>
    <w:rsid w:val="00252F9D"/>
    <w:pPr>
      <w:keepNext/>
      <w:spacing w:after="180"/>
      <w:outlineLvl w:val="2"/>
    </w:pPr>
    <w:rPr>
      <w:b/>
      <w:sz w:val="28"/>
      <w:szCs w:val="28"/>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link w:val="ListParagraphChar"/>
    <w:uiPriority w:val="34"/>
    <w:qFormat/>
    <w:rsid w:val="004C3B02"/>
    <w:pPr>
      <w:numPr>
        <w:numId w:val="4"/>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4C3B02"/>
    <w:rPr>
      <w:rFonts w:asciiTheme="minorHAnsi" w:hAnsiTheme="minorHAnsi" w:cs="Arial"/>
      <w:snapToGrid w:val="0"/>
      <w:sz w:val="24"/>
      <w:szCs w:val="24"/>
    </w:rPr>
  </w:style>
  <w:style w:type="paragraph" w:styleId="Header">
    <w:name w:val="header"/>
    <w:basedOn w:val="Normal"/>
    <w:link w:val="HeaderChar"/>
    <w:qFormat/>
    <w:rsid w:val="00B94414"/>
    <w:pPr>
      <w:keepNext/>
      <w:tabs>
        <w:tab w:val="center" w:pos="4513"/>
        <w:tab w:val="right" w:pos="9026"/>
      </w:tabs>
      <w:jc w:val="center"/>
    </w:pPr>
    <w:rPr>
      <w:rFonts w:asciiTheme="minorHAnsi" w:hAnsiTheme="minorHAnsi"/>
      <w:i/>
      <w:iCs/>
      <w:color w:val="808080"/>
    </w:rPr>
  </w:style>
  <w:style w:type="character" w:customStyle="1" w:styleId="HeaderChar">
    <w:name w:val="Header Char"/>
    <w:basedOn w:val="DefaultParagraphFont"/>
    <w:link w:val="Header"/>
    <w:rsid w:val="00B94414"/>
    <w:rPr>
      <w:rFonts w:asciiTheme="minorHAnsi" w:hAnsiTheme="minorHAnsi" w:cs="Arial"/>
      <w:i/>
      <w:iCs/>
      <w:color w:val="808080"/>
      <w:sz w:val="24"/>
      <w:szCs w:val="24"/>
    </w:rPr>
  </w:style>
  <w:style w:type="table" w:styleId="TableGrid">
    <w:name w:val="Table Grid"/>
    <w:aliases w:val="Summary box,Table Gridbeth,CMA Table Template,ASD Table,HealthConsult,Source table_,NICE instructions,Header Table,new style,PBAC table,MSD Table Grid,RTI AMCP Table,HTAtableplain,Dossier Table,Dossier table,Section 3- footnotes,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68467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customStyle="1" w:styleId="Templateinstructionsbulletpoints">
    <w:name w:val="Template instructions bullet points"/>
    <w:basedOn w:val="ListParagraph"/>
    <w:rsid w:val="00B70E8E"/>
    <w:pPr>
      <w:numPr>
        <w:numId w:val="2"/>
      </w:numPr>
      <w:contextualSpacing/>
    </w:p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D92D9D"/>
    <w:pPr>
      <w:keepNext/>
      <w:keepLines/>
    </w:pPr>
    <w:rPr>
      <w:rFonts w:ascii="Arial Narrow" w:eastAsiaTheme="majorEastAsia" w:hAnsi="Arial Narrow" w:cstheme="majorBidi"/>
      <w:bCs/>
      <w:szCs w:val="24"/>
    </w:rPr>
  </w:style>
  <w:style w:type="paragraph" w:customStyle="1" w:styleId="COMBodybulletlist">
    <w:name w:val="COM Body bullet list"/>
    <w:basedOn w:val="Normal"/>
    <w:link w:val="COMBodybulletlistChar"/>
    <w:qFormat/>
    <w:rsid w:val="00994A19"/>
    <w:pPr>
      <w:numPr>
        <w:numId w:val="6"/>
      </w:numPr>
      <w:contextualSpacing/>
    </w:pPr>
  </w:style>
  <w:style w:type="paragraph" w:customStyle="1" w:styleId="COMESH2">
    <w:name w:val="COM ES H2"/>
    <w:next w:val="COMESnumberedpara"/>
    <w:qFormat/>
    <w:rsid w:val="004C3B02"/>
    <w:pPr>
      <w:keepNext/>
      <w:numPr>
        <w:numId w:val="5"/>
      </w:numPr>
      <w:spacing w:before="240" w:after="120"/>
      <w:outlineLvl w:val="0"/>
    </w:pPr>
    <w:rPr>
      <w:rFonts w:asciiTheme="minorHAnsi" w:hAnsiTheme="minorHAnsi" w:cs="Arial"/>
      <w:b/>
      <w:snapToGrid w:val="0"/>
      <w:sz w:val="32"/>
      <w:szCs w:val="32"/>
    </w:rPr>
  </w:style>
  <w:style w:type="paragraph" w:customStyle="1" w:styleId="COMH1-notnumbered">
    <w:name w:val="COM H1 - not numbered"/>
    <w:next w:val="COMESH2"/>
    <w:link w:val="COMH1-notnumberedChar"/>
    <w:qFormat/>
    <w:rsid w:val="00684679"/>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H1-notnumberedChar">
    <w:name w:val="COM H1 - not numbered Char"/>
    <w:basedOn w:val="DefaultParagraphFont"/>
    <w:link w:val="COMH1-notnumbered"/>
    <w:rsid w:val="00684679"/>
    <w:rPr>
      <w:rFonts w:asciiTheme="minorHAnsi" w:eastAsiaTheme="majorEastAsia" w:hAnsiTheme="minorHAnsi" w:cstheme="majorBidi"/>
      <w:b/>
      <w:spacing w:val="5"/>
      <w:kern w:val="28"/>
      <w:sz w:val="36"/>
      <w:szCs w:val="36"/>
    </w:rPr>
  </w:style>
  <w:style w:type="paragraph" w:customStyle="1" w:styleId="COMTableFigurecaption">
    <w:name w:val="COM Table/Figure caption"/>
    <w:next w:val="Normal"/>
    <w:link w:val="COMTableFigurecaptionChar"/>
    <w:qFormat/>
    <w:rsid w:val="004C3B02"/>
    <w:pPr>
      <w:keepNext/>
    </w:pPr>
    <w:rPr>
      <w:rFonts w:ascii="Arial Narrow" w:eastAsiaTheme="majorEastAsia" w:hAnsi="Arial Narrow" w:cstheme="majorBidi"/>
      <w:b/>
      <w:bCs/>
      <w:szCs w:val="24"/>
    </w:rPr>
  </w:style>
  <w:style w:type="character" w:customStyle="1" w:styleId="COMTableFigurecaptionChar">
    <w:name w:val="COM Table/Figure caption Char"/>
    <w:basedOn w:val="DefaultParagraphFont"/>
    <w:link w:val="COMTableFigurecaption"/>
    <w:rsid w:val="004C3B02"/>
    <w:rPr>
      <w:rFonts w:ascii="Arial Narrow" w:eastAsiaTheme="majorEastAsia" w:hAnsi="Arial Narrow" w:cstheme="majorBidi"/>
      <w:b/>
      <w:bCs/>
      <w:szCs w:val="24"/>
    </w:rPr>
  </w:style>
  <w:style w:type="paragraph" w:customStyle="1" w:styleId="COMESnumberedpara">
    <w:name w:val="COM ES numbered para"/>
    <w:link w:val="COMESnumberedparaChar"/>
    <w:qFormat/>
    <w:rsid w:val="004C3B02"/>
    <w:pPr>
      <w:numPr>
        <w:ilvl w:val="1"/>
        <w:numId w:val="5"/>
      </w:numPr>
      <w:spacing w:before="60" w:after="60"/>
      <w:jc w:val="both"/>
    </w:pPr>
    <w:rPr>
      <w:rFonts w:asciiTheme="minorHAnsi" w:eastAsiaTheme="minorHAnsi" w:hAnsiTheme="minorHAnsi" w:cstheme="minorBidi"/>
      <w:sz w:val="24"/>
      <w:szCs w:val="22"/>
    </w:rPr>
  </w:style>
  <w:style w:type="character" w:customStyle="1" w:styleId="COMESnumberedparaChar">
    <w:name w:val="COM ES numbered para Char"/>
    <w:basedOn w:val="ListParagraphChar"/>
    <w:link w:val="COMESnumberedpara"/>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COMTablefooter">
    <w:name w:val="COM Table footer"/>
    <w:basedOn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ESSubsectionheading">
    <w:name w:val="COM ES Subsection heading"/>
    <w:basedOn w:val="Heading2"/>
    <w:next w:val="COMESnumberedpara"/>
    <w:link w:val="COMESSubsectionheadingChar"/>
    <w:autoRedefine/>
    <w:qFormat/>
    <w:rsid w:val="00E30122"/>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COMESSubsectionheadingChar">
    <w:name w:val="COM ES Subsection heading Char"/>
    <w:basedOn w:val="Heading2Char"/>
    <w:link w:val="COMESSubsectionheading"/>
    <w:rsid w:val="00E30122"/>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COMCICheadings">
    <w:name w:val="COM CIC headings"/>
    <w:basedOn w:val="Heading3"/>
    <w:next w:val="COMESnumberedpara"/>
    <w:link w:val="COMCICheadings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COMCICheadingsChar">
    <w:name w:val="COM CIC headings Char"/>
    <w:basedOn w:val="DefaultParagraphFont"/>
    <w:link w:val="COMCICheadings"/>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COMTabletextChar">
    <w:name w:val="COM Table text Char"/>
    <w:basedOn w:val="DefaultParagraphFont"/>
    <w:link w:val="COMTabletext"/>
    <w:rsid w:val="00D92D9D"/>
    <w:rPr>
      <w:rFonts w:ascii="Arial Narrow" w:eastAsiaTheme="majorEastAsia" w:hAnsi="Arial Narrow" w:cstheme="majorBidi"/>
      <w:bCs/>
      <w:szCs w:val="24"/>
    </w:rPr>
  </w:style>
  <w:style w:type="paragraph" w:customStyle="1" w:styleId="bullet">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character" w:customStyle="1" w:styleId="COMBodybulletlistChar">
    <w:name w:val="COM Body bullet list Char"/>
    <w:basedOn w:val="DefaultParagraphFont"/>
    <w:link w:val="COMBodybulletlist"/>
    <w:rsid w:val="00994A19"/>
    <w:rPr>
      <w:rFonts w:ascii="Calibri" w:hAnsi="Calibri" w:cs="Arial"/>
      <w:sz w:val="24"/>
      <w:szCs w:val="24"/>
    </w:rPr>
  </w:style>
  <w:style w:type="paragraph" w:customStyle="1" w:styleId="COMESbulletlist">
    <w:name w:val="COM ES bullet list"/>
    <w:basedOn w:val="ListParagraph"/>
    <w:link w:val="COMESbulletlistChar"/>
    <w:qFormat/>
    <w:rsid w:val="00C12064"/>
    <w:pPr>
      <w:jc w:val="both"/>
    </w:pPr>
  </w:style>
  <w:style w:type="character" w:customStyle="1" w:styleId="COMESbulletlistChar">
    <w:name w:val="COM ES bullet list Char"/>
    <w:basedOn w:val="DefaultParagraphFont"/>
    <w:link w:val="COMESbulletlist"/>
    <w:rsid w:val="00C12064"/>
    <w:rPr>
      <w:rFonts w:asciiTheme="minorHAnsi" w:hAnsiTheme="minorHAnsi" w:cs="Arial"/>
      <w:snapToGrid w:val="0"/>
      <w:sz w:val="24"/>
      <w:szCs w:val="24"/>
    </w:rPr>
  </w:style>
  <w:style w:type="paragraph" w:customStyle="1" w:styleId="COMBodytext">
    <w:name w:val="COM Body text"/>
    <w:basedOn w:val="Normal"/>
    <w:qFormat/>
    <w:rsid w:val="00994A19"/>
  </w:style>
  <w:style w:type="character" w:styleId="UnresolvedMention">
    <w:name w:val="Unresolved Mention"/>
    <w:basedOn w:val="DefaultParagraphFont"/>
    <w:uiPriority w:val="99"/>
    <w:semiHidden/>
    <w:unhideWhenUsed/>
    <w:rsid w:val="00684679"/>
    <w:rPr>
      <w:color w:val="605E5C"/>
      <w:shd w:val="clear" w:color="auto" w:fill="E1DFDD"/>
    </w:rPr>
  </w:style>
  <w:style w:type="paragraph" w:customStyle="1" w:styleId="COMBodyH4">
    <w:name w:val="COM Body H4"/>
    <w:basedOn w:val="Normal"/>
    <w:next w:val="COMBodytext"/>
    <w:link w:val="COMBodyH4Char"/>
    <w:qFormat/>
    <w:rsid w:val="00466B8C"/>
    <w:pPr>
      <w:keepNext/>
      <w:spacing w:after="120"/>
      <w:outlineLvl w:val="3"/>
    </w:pPr>
    <w:rPr>
      <w:b/>
      <w:i/>
    </w:rPr>
  </w:style>
  <w:style w:type="character" w:customStyle="1" w:styleId="COMBodyH4Char">
    <w:name w:val="COM Body H4 Char"/>
    <w:basedOn w:val="DefaultParagraphFont"/>
    <w:link w:val="COMBodyH4"/>
    <w:rsid w:val="00466B8C"/>
    <w:rPr>
      <w:rFonts w:ascii="Calibri" w:hAnsi="Calibri" w:cs="Arial"/>
      <w:b/>
      <w:i/>
      <w:sz w:val="24"/>
      <w:szCs w:val="24"/>
    </w:rPr>
  </w:style>
  <w:style w:type="paragraph" w:customStyle="1" w:styleId="COMESmainissuesbullets">
    <w:name w:val="COM ES main issues bullets"/>
    <w:basedOn w:val="Normal"/>
    <w:link w:val="COMESmainissuesbulletsChar"/>
    <w:qFormat/>
    <w:rsid w:val="005914E0"/>
    <w:pPr>
      <w:numPr>
        <w:numId w:val="7"/>
      </w:numPr>
      <w:spacing w:after="120"/>
    </w:pPr>
    <w:rPr>
      <w:rFonts w:asciiTheme="minorHAnsi" w:hAnsiTheme="minorHAnsi"/>
      <w:snapToGrid w:val="0"/>
    </w:rPr>
  </w:style>
  <w:style w:type="character" w:customStyle="1" w:styleId="COMESmainissuesbulletsChar">
    <w:name w:val="COM ES main issues bullets Char"/>
    <w:basedOn w:val="DefaultParagraphFont"/>
    <w:link w:val="COMESmainissuesbullets"/>
    <w:rsid w:val="005914E0"/>
    <w:rPr>
      <w:rFonts w:asciiTheme="minorHAnsi" w:hAnsiTheme="minorHAnsi" w:cs="Arial"/>
      <w:snapToGrid w:val="0"/>
      <w:sz w:val="24"/>
      <w:szCs w:val="24"/>
    </w:rPr>
  </w:style>
  <w:style w:type="paragraph" w:customStyle="1" w:styleId="COMESH2-notnumbered">
    <w:name w:val="COM ES H2-not numbered"/>
    <w:basedOn w:val="COMESH2"/>
    <w:next w:val="COMBodytext"/>
    <w:qFormat/>
    <w:rsid w:val="00111F99"/>
    <w:pPr>
      <w:numPr>
        <w:numId w:val="0"/>
      </w:numPr>
    </w:pPr>
  </w:style>
  <w:style w:type="paragraph" w:styleId="Footer">
    <w:name w:val="footer"/>
    <w:basedOn w:val="Normal"/>
    <w:link w:val="FooterChar"/>
    <w:uiPriority w:val="99"/>
    <w:unhideWhenUsed/>
    <w:rsid w:val="00506124"/>
    <w:pPr>
      <w:tabs>
        <w:tab w:val="center" w:pos="4513"/>
        <w:tab w:val="right" w:pos="9026"/>
      </w:tabs>
    </w:pPr>
  </w:style>
  <w:style w:type="character" w:customStyle="1" w:styleId="FooterChar">
    <w:name w:val="Footer Char"/>
    <w:basedOn w:val="DefaultParagraphFont"/>
    <w:link w:val="Footer"/>
    <w:uiPriority w:val="99"/>
    <w:rsid w:val="00506124"/>
    <w:rPr>
      <w:rFonts w:ascii="Calibri" w:hAnsi="Calibri" w:cs="Arial"/>
      <w:sz w:val="24"/>
      <w:szCs w:val="24"/>
    </w:rPr>
  </w:style>
  <w:style w:type="paragraph" w:customStyle="1" w:styleId="COMtablefigcaption">
    <w:name w:val="COM table/fig caption"/>
    <w:next w:val="COMTableheadingrow"/>
    <w:link w:val="COMtablefigcaptionChar"/>
    <w:qFormat/>
    <w:rsid w:val="009B1D51"/>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9B1D51"/>
    <w:rPr>
      <w:rFonts w:ascii="Arial Narrow" w:eastAsiaTheme="majorEastAsia" w:hAnsi="Arial Narrow" w:cstheme="majorBidi"/>
      <w:b/>
      <w:bCs/>
      <w:szCs w:val="24"/>
    </w:rPr>
  </w:style>
  <w:style w:type="character" w:styleId="CommentReference">
    <w:name w:val="annotation reference"/>
    <w:aliases w:val="Table Title,-H18"/>
    <w:basedOn w:val="DefaultParagraphFont"/>
    <w:uiPriority w:val="99"/>
    <w:unhideWhenUsed/>
    <w:qFormat/>
    <w:rsid w:val="00954E24"/>
    <w:rPr>
      <w:sz w:val="16"/>
      <w:szCs w:val="16"/>
    </w:rPr>
  </w:style>
  <w:style w:type="paragraph" w:styleId="CommentText">
    <w:name w:val="annotation text"/>
    <w:aliases w:val="Char7,Comment Text Char Char Char Char Char Char1 Ch,Comment Text Char Char1,Comment Text Char Char1 Char Char,Comment Text Char1 Char Char Char Char1 Char,Comment Text Char2,Comment Text Char2 Char Char, Char7,Comment Text Char1 Char"/>
    <w:basedOn w:val="Normal"/>
    <w:link w:val="CommentTextChar"/>
    <w:uiPriority w:val="99"/>
    <w:unhideWhenUsed/>
    <w:qFormat/>
    <w:rsid w:val="00954E24"/>
    <w:rPr>
      <w:sz w:val="20"/>
      <w:szCs w:val="20"/>
    </w:rPr>
  </w:style>
  <w:style w:type="character" w:customStyle="1" w:styleId="CommentTextChar">
    <w:name w:val="Comment Text Char"/>
    <w:aliases w:val="Char7 Char,Comment Text Char Char Char Char Char Char1 Ch Char,Comment Text Char Char1 Char,Comment Text Char Char1 Char Char Char,Comment Text Char1 Char Char Char Char1 Char Char,Comment Text Char2 Char, Char7 Char"/>
    <w:basedOn w:val="DefaultParagraphFont"/>
    <w:link w:val="CommentText"/>
    <w:uiPriority w:val="99"/>
    <w:rsid w:val="00954E24"/>
    <w:rPr>
      <w:rFonts w:ascii="Calibri" w:hAnsi="Calibri" w:cs="Arial"/>
    </w:rPr>
  </w:style>
  <w:style w:type="paragraph" w:styleId="CommentSubject">
    <w:name w:val="annotation subject"/>
    <w:basedOn w:val="CommentText"/>
    <w:next w:val="CommentText"/>
    <w:link w:val="CommentSubjectChar"/>
    <w:semiHidden/>
    <w:unhideWhenUsed/>
    <w:rsid w:val="00954E24"/>
    <w:rPr>
      <w:b/>
      <w:bCs/>
    </w:rPr>
  </w:style>
  <w:style w:type="character" w:customStyle="1" w:styleId="CommentSubjectChar">
    <w:name w:val="Comment Subject Char"/>
    <w:basedOn w:val="CommentTextChar"/>
    <w:link w:val="CommentSubject"/>
    <w:semiHidden/>
    <w:rsid w:val="00954E24"/>
    <w:rPr>
      <w:rFonts w:ascii="Calibri" w:hAnsi="Calibri" w:cs="Arial"/>
      <w:b/>
      <w:bCs/>
    </w:rPr>
  </w:style>
  <w:style w:type="paragraph" w:customStyle="1" w:styleId="COMBody">
    <w:name w:val="COM Body"/>
    <w:basedOn w:val="Normal"/>
    <w:link w:val="COMBodyChar"/>
    <w:qFormat/>
    <w:rsid w:val="00507B0F"/>
  </w:style>
  <w:style w:type="character" w:customStyle="1" w:styleId="COMBodyChar">
    <w:name w:val="COM Body Char"/>
    <w:basedOn w:val="DefaultParagraphFont"/>
    <w:link w:val="COMBody"/>
    <w:rsid w:val="00507B0F"/>
    <w:rPr>
      <w:rFonts w:ascii="Calibri" w:hAnsi="Calibri" w:cs="Arial"/>
      <w:sz w:val="24"/>
      <w:szCs w:val="24"/>
    </w:rPr>
  </w:style>
  <w:style w:type="paragraph" w:customStyle="1" w:styleId="Default">
    <w:name w:val="Default"/>
    <w:rsid w:val="00E471BA"/>
    <w:pPr>
      <w:autoSpaceDE w:val="0"/>
      <w:autoSpaceDN w:val="0"/>
      <w:adjustRightInd w:val="0"/>
    </w:pPr>
    <w:rPr>
      <w:rFonts w:ascii="Arial" w:hAnsi="Arial" w:cs="Arial"/>
      <w:color w:val="000000"/>
      <w:sz w:val="24"/>
      <w:szCs w:val="24"/>
    </w:rPr>
  </w:style>
  <w:style w:type="paragraph" w:customStyle="1" w:styleId="BodyText0">
    <w:name w:val="BodyText"/>
    <w:basedOn w:val="Normal"/>
    <w:link w:val="BodyTextChar0"/>
    <w:qFormat/>
    <w:rsid w:val="000932EB"/>
    <w:pPr>
      <w:suppressAutoHyphens/>
      <w:spacing w:before="120" w:after="120" w:line="276" w:lineRule="auto"/>
      <w:jc w:val="left"/>
    </w:pPr>
    <w:rPr>
      <w:rFonts w:ascii="Arial" w:eastAsiaTheme="minorEastAsia" w:hAnsi="Arial" w:cs="Times New Roman"/>
      <w:sz w:val="22"/>
      <w:szCs w:val="22"/>
      <w:lang w:val="en-US" w:eastAsia="en-US"/>
    </w:rPr>
  </w:style>
  <w:style w:type="character" w:customStyle="1" w:styleId="BodyTextChar0">
    <w:name w:val="BodyText Char"/>
    <w:basedOn w:val="DefaultParagraphFont"/>
    <w:link w:val="BodyText0"/>
    <w:rsid w:val="000932EB"/>
    <w:rPr>
      <w:rFonts w:ascii="Arial" w:eastAsiaTheme="minorEastAsia" w:hAnsi="Arial"/>
      <w:sz w:val="22"/>
      <w:szCs w:val="22"/>
      <w:lang w:val="en-US" w:eastAsia="en-US"/>
    </w:rPr>
  </w:style>
  <w:style w:type="paragraph" w:customStyle="1" w:styleId="COMbodybulletlist0">
    <w:name w:val="COM body bullet list"/>
    <w:basedOn w:val="Normal"/>
    <w:link w:val="COMbodybulletlistChar0"/>
    <w:qFormat/>
    <w:rsid w:val="004507D8"/>
    <w:pPr>
      <w:tabs>
        <w:tab w:val="num" w:pos="360"/>
      </w:tabs>
      <w:ind w:left="360" w:hanging="360"/>
      <w:contextualSpacing/>
    </w:pPr>
  </w:style>
  <w:style w:type="character" w:customStyle="1" w:styleId="COMbodybulletlistChar0">
    <w:name w:val="COM body bullet list Char"/>
    <w:basedOn w:val="DefaultParagraphFont"/>
    <w:link w:val="COMbodybulletlist0"/>
    <w:rsid w:val="004507D8"/>
    <w:rPr>
      <w:rFonts w:ascii="Calibri" w:hAnsi="Calibri" w:cs="Arial"/>
      <w:sz w:val="24"/>
      <w:szCs w:val="24"/>
    </w:rPr>
  </w:style>
  <w:style w:type="character" w:styleId="Strong">
    <w:name w:val="Strong"/>
    <w:basedOn w:val="DefaultParagraphFont"/>
    <w:uiPriority w:val="22"/>
    <w:qFormat/>
    <w:rsid w:val="009166B6"/>
    <w:rPr>
      <w:b/>
      <w:bCs/>
    </w:rPr>
  </w:style>
  <w:style w:type="paragraph" w:customStyle="1" w:styleId="RPI-Text">
    <w:name w:val="RPI - Text"/>
    <w:basedOn w:val="Normal"/>
    <w:link w:val="RPI-TextChar"/>
    <w:qFormat/>
    <w:rsid w:val="000A0B6A"/>
    <w:pPr>
      <w:suppressAutoHyphens/>
      <w:spacing w:before="120" w:after="120" w:line="360" w:lineRule="auto"/>
      <w:jc w:val="left"/>
    </w:pPr>
    <w:rPr>
      <w:rFonts w:ascii="Arial" w:hAnsi="Arial" w:cs="Times New Roman"/>
      <w:sz w:val="22"/>
      <w:szCs w:val="20"/>
      <w:lang w:eastAsia="en-US"/>
    </w:rPr>
  </w:style>
  <w:style w:type="character" w:customStyle="1" w:styleId="RPI-TextChar">
    <w:name w:val="RPI - Text Char"/>
    <w:link w:val="RPI-Text"/>
    <w:rsid w:val="000A0B6A"/>
    <w:rPr>
      <w:rFonts w:ascii="Arial" w:hAnsi="Arial"/>
      <w:sz w:val="22"/>
      <w:lang w:eastAsia="en-US"/>
    </w:rPr>
  </w:style>
  <w:style w:type="paragraph" w:customStyle="1" w:styleId="BodyText1">
    <w:name w:val="BodyText 1"/>
    <w:basedOn w:val="Normal"/>
    <w:link w:val="BodyText1Char"/>
    <w:qFormat/>
    <w:rsid w:val="00390E1B"/>
    <w:pPr>
      <w:suppressAutoHyphens/>
      <w:spacing w:line="360" w:lineRule="auto"/>
      <w:jc w:val="left"/>
    </w:pPr>
    <w:rPr>
      <w:rFonts w:ascii="Arial" w:hAnsi="Arial"/>
      <w:sz w:val="22"/>
      <w:szCs w:val="20"/>
      <w:lang w:val="en-US" w:eastAsia="en-US"/>
    </w:rPr>
  </w:style>
  <w:style w:type="character" w:customStyle="1" w:styleId="BodyText1Char">
    <w:name w:val="BodyText 1 Char"/>
    <w:link w:val="BodyText1"/>
    <w:rsid w:val="00390E1B"/>
    <w:rPr>
      <w:rFonts w:ascii="Arial" w:hAnsi="Arial" w:cs="Arial"/>
      <w:sz w:val="22"/>
      <w:lang w:val="en-US" w:eastAsia="en-US"/>
    </w:rPr>
  </w:style>
  <w:style w:type="paragraph" w:customStyle="1" w:styleId="PBACTabletext">
    <w:name w:val="PBAC Table text"/>
    <w:link w:val="PBACTabletextChar"/>
    <w:qFormat/>
    <w:rsid w:val="00D72F83"/>
    <w:pPr>
      <w:keepNext/>
      <w:keepLines/>
      <w:suppressLineNumbers/>
      <w:spacing w:after="20"/>
      <w:textboxTightWrap w:val="allLines"/>
    </w:pPr>
    <w:rPr>
      <w:rFonts w:ascii="Arial Narrow" w:hAnsi="Arial Narrow" w:cs="Arial"/>
      <w:szCs w:val="24"/>
      <w:lang w:eastAsia="en-GB"/>
    </w:rPr>
  </w:style>
  <w:style w:type="character" w:customStyle="1" w:styleId="PBACTabletextChar">
    <w:name w:val="PBAC Table text Char"/>
    <w:basedOn w:val="DefaultParagraphFont"/>
    <w:link w:val="PBACTabletext"/>
    <w:rsid w:val="00D72F83"/>
    <w:rPr>
      <w:rFonts w:ascii="Arial Narrow" w:hAnsi="Arial Narrow" w:cs="Arial"/>
      <w:szCs w:val="24"/>
      <w:lang w:eastAsia="en-GB"/>
    </w:rPr>
  </w:style>
  <w:style w:type="paragraph" w:customStyle="1" w:styleId="TableText">
    <w:name w:val="Table Text"/>
    <w:basedOn w:val="Normal"/>
    <w:link w:val="TableTextChar"/>
    <w:qFormat/>
    <w:rsid w:val="00F74777"/>
    <w:pPr>
      <w:spacing w:before="40" w:after="40" w:line="276" w:lineRule="auto"/>
      <w:jc w:val="left"/>
    </w:pPr>
    <w:rPr>
      <w:rFonts w:ascii="Arial Narrow" w:eastAsiaTheme="minorHAnsi" w:hAnsi="Arial Narrow" w:cs="Calibri (Body)"/>
      <w:sz w:val="20"/>
      <w:szCs w:val="20"/>
      <w:lang w:eastAsia="en-US"/>
    </w:rPr>
  </w:style>
  <w:style w:type="character" w:customStyle="1" w:styleId="TableTextChar">
    <w:name w:val="Table Text Char"/>
    <w:basedOn w:val="DefaultParagraphFont"/>
    <w:link w:val="TableText"/>
    <w:rsid w:val="00F74777"/>
    <w:rPr>
      <w:rFonts w:ascii="Arial Narrow" w:eastAsiaTheme="minorHAnsi" w:hAnsi="Arial Narrow" w:cs="Calibri (Body)"/>
      <w:lang w:eastAsia="en-US"/>
    </w:rPr>
  </w:style>
  <w:style w:type="paragraph" w:customStyle="1" w:styleId="TableLeft">
    <w:name w:val="Table Left"/>
    <w:basedOn w:val="Normal"/>
    <w:link w:val="TableLeftChar"/>
    <w:uiPriority w:val="99"/>
    <w:qFormat/>
    <w:rsid w:val="000C538D"/>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0C538D"/>
    <w:rPr>
      <w:rFonts w:ascii="Calibri" w:eastAsiaTheme="majorEastAsia" w:hAnsi="Calibri" w:cstheme="majorBidi"/>
      <w:sz w:val="18"/>
      <w:szCs w:val="22"/>
      <w:lang w:eastAsia="en-US" w:bidi="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COMTableFigurecaption"/>
    <w:next w:val="Normal"/>
    <w:link w:val="CaptionChar"/>
    <w:uiPriority w:val="35"/>
    <w:unhideWhenUsed/>
    <w:qFormat/>
    <w:rsid w:val="005168D9"/>
  </w:style>
  <w:style w:type="paragraph" w:customStyle="1" w:styleId="COMH4">
    <w:name w:val="COM H4"/>
    <w:basedOn w:val="Normal"/>
    <w:link w:val="COMH4Char"/>
    <w:qFormat/>
    <w:rsid w:val="00472B47"/>
    <w:pPr>
      <w:keepNext/>
      <w:spacing w:after="120"/>
    </w:pPr>
    <w:rPr>
      <w:b/>
      <w:i/>
    </w:rPr>
  </w:style>
  <w:style w:type="character" w:customStyle="1" w:styleId="COMH4Char">
    <w:name w:val="COM H4 Char"/>
    <w:basedOn w:val="DefaultParagraphFont"/>
    <w:link w:val="COMH4"/>
    <w:rsid w:val="00472B47"/>
    <w:rPr>
      <w:rFonts w:ascii="Calibri" w:hAnsi="Calibri" w:cs="Arial"/>
      <w:b/>
      <w:i/>
      <w:sz w:val="24"/>
      <w:szCs w:val="24"/>
    </w:rPr>
  </w:style>
  <w:style w:type="paragraph" w:customStyle="1" w:styleId="COMH2-numbered">
    <w:name w:val="COM H2 - numbered"/>
    <w:basedOn w:val="Heading2"/>
    <w:next w:val="Normal"/>
    <w:qFormat/>
    <w:rsid w:val="00472B47"/>
    <w:pPr>
      <w:keepNext/>
      <w:spacing w:after="120"/>
    </w:pPr>
  </w:style>
  <w:style w:type="paragraph" w:customStyle="1" w:styleId="In-tableHeading">
    <w:name w:val="In-table Heading"/>
    <w:qFormat/>
    <w:rsid w:val="00472B47"/>
    <w:pPr>
      <w:keepNext/>
      <w:keepLines/>
    </w:pPr>
    <w:rPr>
      <w:rFonts w:ascii="Arial Narrow" w:eastAsiaTheme="majorEastAsia" w:hAnsi="Arial Narrow"/>
      <w:b/>
      <w:szCs w:val="24"/>
      <w:lang w:val="en-US"/>
    </w:rPr>
  </w:style>
  <w:style w:type="character" w:customStyle="1" w:styleId="normaltextrun">
    <w:name w:val="normaltextrun"/>
    <w:basedOn w:val="DefaultParagraphFont"/>
    <w:rsid w:val="00472B47"/>
  </w:style>
  <w:style w:type="character" w:customStyle="1" w:styleId="eop">
    <w:name w:val="eop"/>
    <w:basedOn w:val="DefaultParagraphFont"/>
    <w:rsid w:val="00472B47"/>
  </w:style>
  <w:style w:type="paragraph" w:customStyle="1" w:styleId="COMexecsummbulletlist">
    <w:name w:val="COM exec summ bullet list"/>
    <w:basedOn w:val="Normal"/>
    <w:link w:val="COMexecsummbulletlistChar"/>
    <w:qFormat/>
    <w:rsid w:val="00472B47"/>
    <w:pPr>
      <w:spacing w:after="60"/>
      <w:ind w:left="1077" w:hanging="357"/>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472B47"/>
    <w:rPr>
      <w:rFonts w:asciiTheme="minorHAnsi" w:hAnsiTheme="minorHAnsi" w:cs="Arial"/>
      <w:snapToGrid w:val="0"/>
      <w:sz w:val="24"/>
      <w:szCs w:val="24"/>
    </w:rPr>
  </w:style>
  <w:style w:type="paragraph" w:customStyle="1" w:styleId="COMH2-non-numbered">
    <w:name w:val="COM H2 - non-numbered"/>
    <w:basedOn w:val="Heading2"/>
    <w:next w:val="Normal"/>
    <w:link w:val="COMH2-non-numberedChar"/>
    <w:qFormat/>
    <w:rsid w:val="00E020DD"/>
    <w:pPr>
      <w:keepNext/>
      <w:spacing w:before="120" w:after="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E020DD"/>
    <w:rPr>
      <w:rFonts w:asciiTheme="minorHAnsi" w:eastAsiaTheme="majorEastAsia" w:hAnsiTheme="minorHAnsi" w:cstheme="majorBidi"/>
      <w:b/>
      <w:i/>
      <w:snapToGrid/>
      <w:spacing w:val="5"/>
      <w:kern w:val="28"/>
      <w:sz w:val="28"/>
      <w:szCs w:val="36"/>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E020DD"/>
    <w:rPr>
      <w:rFonts w:ascii="Arial Narrow" w:eastAsiaTheme="majorEastAsia" w:hAnsi="Arial Narrow" w:cstheme="majorBidi"/>
      <w:b/>
      <w:bCs/>
      <w:szCs w:val="24"/>
    </w:rPr>
  </w:style>
  <w:style w:type="paragraph" w:customStyle="1" w:styleId="COMexecsummmainissuesbullets">
    <w:name w:val="COM exec summ main issues bullets"/>
    <w:basedOn w:val="Normal"/>
    <w:link w:val="COMexecsummmainissuesbulletsChar"/>
    <w:qFormat/>
    <w:rsid w:val="007965F1"/>
    <w:pPr>
      <w:spacing w:after="120"/>
      <w:ind w:left="360" w:hanging="36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7965F1"/>
    <w:rPr>
      <w:rFonts w:asciiTheme="minorHAnsi" w:hAnsiTheme="minorHAnsi" w:cs="Arial"/>
      <w:snapToGrid w:val="0"/>
      <w:color w:val="0066FF"/>
      <w:sz w:val="24"/>
      <w:szCs w:val="24"/>
    </w:rPr>
  </w:style>
  <w:style w:type="table" w:customStyle="1" w:styleId="TableGrid1">
    <w:name w:val="Table Grid1"/>
    <w:basedOn w:val="TableNormal"/>
    <w:next w:val="TableGrid"/>
    <w:uiPriority w:val="39"/>
    <w:rsid w:val="00D27BFA"/>
    <w:rPr>
      <w:rFonts w:eastAsia="Apto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424B7D"/>
    <w:rPr>
      <w:sz w:val="20"/>
      <w:szCs w:val="20"/>
    </w:rPr>
  </w:style>
  <w:style w:type="character" w:customStyle="1" w:styleId="FootnoteTextChar">
    <w:name w:val="Footnote Text Char"/>
    <w:basedOn w:val="DefaultParagraphFont"/>
    <w:link w:val="FootnoteText"/>
    <w:uiPriority w:val="99"/>
    <w:rsid w:val="00424B7D"/>
    <w:rPr>
      <w:rFonts w:ascii="Calibri" w:hAnsi="Calibri" w:cs="Arial"/>
    </w:rPr>
  </w:style>
  <w:style w:type="character" w:styleId="FootnoteReference">
    <w:name w:val="footnote reference"/>
    <w:basedOn w:val="DefaultParagraphFont"/>
    <w:uiPriority w:val="99"/>
    <w:semiHidden/>
    <w:unhideWhenUsed/>
    <w:rsid w:val="00424B7D"/>
    <w:rPr>
      <w:vertAlign w:val="superscript"/>
    </w:rPr>
  </w:style>
  <w:style w:type="paragraph" w:customStyle="1" w:styleId="Bulletpoints">
    <w:name w:val="Bullet points"/>
    <w:basedOn w:val="Normal"/>
    <w:rsid w:val="00452C90"/>
    <w:pPr>
      <w:spacing w:after="120"/>
      <w:ind w:left="720"/>
      <w:contextualSpacing/>
    </w:pPr>
    <w:rPr>
      <w:snapToGrid w:val="0"/>
    </w:rPr>
  </w:style>
  <w:style w:type="paragraph" w:customStyle="1" w:styleId="2-SectionHeading">
    <w:name w:val="2-Section Heading"/>
    <w:next w:val="3-BodyText"/>
    <w:qFormat/>
    <w:rsid w:val="00112F8C"/>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link w:val="3-BodyTextChar"/>
    <w:qFormat/>
    <w:rsid w:val="00112F8C"/>
    <w:pPr>
      <w:spacing w:before="60" w:after="6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112F8C"/>
    <w:rPr>
      <w:rFonts w:asciiTheme="minorHAnsi" w:eastAsiaTheme="minorHAnsi" w:hAnsiTheme="minorHAnsi" w:cstheme="minorBidi"/>
      <w:snapToGrid/>
      <w:sz w:val="24"/>
      <w:szCs w:val="22"/>
    </w:rPr>
  </w:style>
  <w:style w:type="paragraph" w:customStyle="1" w:styleId="COMH1-numbered">
    <w:name w:val="COM H1 - numbered"/>
    <w:next w:val="COMexecsummnumbered"/>
    <w:qFormat/>
    <w:rsid w:val="00F55693"/>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link w:val="COMexecsummnumberedChar"/>
    <w:qFormat/>
    <w:rsid w:val="00F55693"/>
    <w:pPr>
      <w:spacing w:before="60" w:after="60"/>
      <w:ind w:left="720" w:hanging="7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F55693"/>
    <w:rPr>
      <w:rFonts w:asciiTheme="minorHAnsi" w:eastAsiaTheme="minorHAnsi" w:hAnsiTheme="minorHAnsi" w:cstheme="minorBidi"/>
      <w:sz w:val="24"/>
      <w:szCs w:val="22"/>
    </w:rPr>
  </w:style>
  <w:style w:type="paragraph" w:customStyle="1" w:styleId="3-SubsectionHeading">
    <w:name w:val="3-Subsection Heading"/>
    <w:basedOn w:val="Heading2"/>
    <w:next w:val="Normal"/>
    <w:link w:val="3-SubsectionHeadingChar"/>
    <w:qFormat/>
    <w:rsid w:val="006659D1"/>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6659D1"/>
    <w:rPr>
      <w:rFonts w:asciiTheme="minorHAnsi" w:eastAsiaTheme="majorEastAsia" w:hAnsiTheme="minorHAnsi" w:cstheme="majorBidi"/>
      <w:b/>
      <w:i/>
      <w:snapToGrid/>
      <w:color w:val="365F91" w:themeColor="accent1" w:themeShade="BF"/>
      <w:spacing w:val="5"/>
      <w:kern w:val="28"/>
      <w:sz w:val="28"/>
      <w:szCs w:val="36"/>
      <w:lang w:eastAsia="en-US"/>
    </w:rPr>
  </w:style>
  <w:style w:type="character" w:styleId="Mention">
    <w:name w:val="Mention"/>
    <w:basedOn w:val="DefaultParagraphFont"/>
    <w:uiPriority w:val="99"/>
    <w:unhideWhenUsed/>
    <w:rsid w:val="002B1A73"/>
    <w:rPr>
      <w:color w:val="2B579A"/>
      <w:shd w:val="clear" w:color="auto" w:fill="E1DFDD"/>
    </w:rPr>
  </w:style>
  <w:style w:type="paragraph" w:customStyle="1" w:styleId="paragraph">
    <w:name w:val="paragraph"/>
    <w:basedOn w:val="Normal"/>
    <w:rsid w:val="00B11053"/>
    <w:pPr>
      <w:spacing w:before="100" w:beforeAutospacing="1" w:after="100" w:afterAutospacing="1"/>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9059465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53839456">
      <w:bodyDiv w:val="1"/>
      <w:marLeft w:val="0"/>
      <w:marRight w:val="0"/>
      <w:marTop w:val="0"/>
      <w:marBottom w:val="0"/>
      <w:divBdr>
        <w:top w:val="none" w:sz="0" w:space="0" w:color="auto"/>
        <w:left w:val="none" w:sz="0" w:space="0" w:color="auto"/>
        <w:bottom w:val="none" w:sz="0" w:space="0" w:color="auto"/>
        <w:right w:val="none" w:sz="0" w:space="0" w:color="auto"/>
      </w:divBdr>
    </w:div>
    <w:div w:id="61316866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73234513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scopubs.org/action/doSearch?ContribAuthorRaw=Wolchok%2C+Jedd+D" TargetMode="External"/><Relationship Id="rId1" Type="http://schemas.openxmlformats.org/officeDocument/2006/relationships/hyperlink" Target="https://www.pbs.gov.au/info/industry/listing/elements/pbac-meetings/pbac-outcomes/recommendations-made-by-the-pbac-november-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2171C-A66A-4811-AEC8-B587DE0F7794}">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A18E4777-DCB2-4C7A-BED0-8B3C2D6F2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1D3B94-ED15-437A-AB48-DD68E3FA3D3A}">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18884</Words>
  <Characters>107452</Characters>
  <Application>Microsoft Office Word</Application>
  <DocSecurity>0</DocSecurity>
  <Lines>2558</Lines>
  <Paragraphs>1486</Paragraphs>
  <ScaleCrop>false</ScaleCrop>
  <Company/>
  <LinksUpToDate>false</LinksUpToDate>
  <CharactersWithSpaces>124850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2026-05-22T22:59:00Z</dcterms:created>
  <dcterms:modified xsi:type="dcterms:W3CDTF">2026-07-06T06:10:00Z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9ba2aa7,21fe6db1,64ad4fb1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5ba44cf6,65664946,58f8f3e</vt:lpwstr>
  </property>
  <property fmtid="{D5CDD505-2E9C-101B-9397-08002B2CF9AE}" pid="6" name="ClassificationContentMarkingFooterFontProps">
    <vt:lpwstr>#000000,10,Aptos</vt:lpwstr>
  </property>
  <property fmtid="{D5CDD505-2E9C-101B-9397-08002B2CF9AE}" pid="7" name="ClassificationContentMarkingFooterText">
    <vt:lpwstr>Internal Use Only Medical and Scientific Affairs</vt:lpwstr>
  </property>
  <property fmtid="{D5CDD505-2E9C-101B-9397-08002B2CF9AE}" pid="8" name="MSIP_Label_7cd3e8b9-ffed-43a8-b7f4-cc2fa0382d36_Enabled">
    <vt:lpwstr>true</vt:lpwstr>
  </property>
  <property fmtid="{D5CDD505-2E9C-101B-9397-08002B2CF9AE}" pid="9" name="MSIP_Label_7cd3e8b9-ffed-43a8-b7f4-cc2fa0382d36_SetDate">
    <vt:lpwstr>2026-05-08T08:12:21Z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118e549a-1f1a-4438-9108-470bef27d7e6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SIP_Label_0f488380-630a-4f55-a077-a19445e3f360_ActionId">
    <vt:lpwstr>a109e0bf-d8d2-42bb-8f0f-3420d5d0d808</vt:lpwstr>
  </property>
  <property fmtid="{D5CDD505-2E9C-101B-9397-08002B2CF9AE}" pid="18" name="MSIP_Label_0f488380-630a-4f55-a077-a19445e3f360_ContentBits">
    <vt:lpwstr>0</vt:lpwstr>
  </property>
  <property fmtid="{D5CDD505-2E9C-101B-9397-08002B2CF9AE}" pid="19" name="MediaServiceImageTags">
    <vt:lpwstr/>
  </property>
  <property fmtid="{D5CDD505-2E9C-101B-9397-08002B2CF9AE}" pid="20" name="MSIP_Label_0f488380-630a-4f55-a077-a19445e3f360_SiteId">
    <vt:lpwstr>b6e377cf-9db3-46cb-91a2-fad9605bb15c</vt:lpwstr>
  </property>
  <property fmtid="{D5CDD505-2E9C-101B-9397-08002B2CF9AE}" pid="21" name="ContentTypeId">
    <vt:lpwstr>0x0101007FED174C5281F747A8037A05221D6DBD</vt:lpwstr>
  </property>
  <property fmtid="{D5CDD505-2E9C-101B-9397-08002B2CF9AE}" pid="22" name="MSIP_Label_0f488380-630a-4f55-a077-a19445e3f360_Method">
    <vt:lpwstr>Standard</vt:lpwstr>
  </property>
  <property fmtid="{D5CDD505-2E9C-101B-9397-08002B2CF9AE}" pid="23" name="MSIP_Label_0f488380-630a-4f55-a077-a19445e3f360_Name">
    <vt:lpwstr>OFFICIAL - INTERNAL</vt:lpwstr>
  </property>
  <property fmtid="{D5CDD505-2E9C-101B-9397-08002B2CF9AE}" pid="24" name="MSIP_Label_0f488380-630a-4f55-a077-a19445e3f360_Tag">
    <vt:lpwstr>10, 3, 0, 1</vt:lpwstr>
  </property>
  <property fmtid="{D5CDD505-2E9C-101B-9397-08002B2CF9AE}" pid="25" name="docLang">
    <vt:lpwstr>en</vt:lpwstr>
  </property>
  <property fmtid="{D5CDD505-2E9C-101B-9397-08002B2CF9AE}" pid="26" name="MSIP_Label_7cd3e8b9-ffed-43a8-b7f4-cc2fa0382d36_Extended_MSFT_Method">
    <vt:lpwstr>Standard</vt:lpwstr>
  </property>
  <property fmtid="{D5CDD505-2E9C-101B-9397-08002B2CF9AE}" pid="27" name="MSIP_Label_0f488380-630a-4f55-a077-a19445e3f360_Enabled">
    <vt:lpwstr>true</vt:lpwstr>
  </property>
  <property fmtid="{D5CDD505-2E9C-101B-9397-08002B2CF9AE}" pid="28" name="MSIP_Label_0f488380-630a-4f55-a077-a19445e3f360_SetDate">
    <vt:lpwstr>2026-02-23T06:47:04Z</vt:lpwstr>
  </property>
  <property fmtid="{D5CDD505-2E9C-101B-9397-08002B2CF9AE}" pid="29" name="MSIP_Label_b387e451-72c8-4fc0-985a-fb25e0413282_Enabled">
    <vt:lpwstr>true</vt:lpwstr>
  </property>
  <property fmtid="{D5CDD505-2E9C-101B-9397-08002B2CF9AE}" pid="30" name="MSIP_Label_b387e451-72c8-4fc0-985a-fb25e0413282_SetDate">
    <vt:lpwstr>2026-05-22T05:30:50Z</vt:lpwstr>
  </property>
  <property fmtid="{D5CDD505-2E9C-101B-9397-08002B2CF9AE}" pid="31" name="MSIP_Label_b387e451-72c8-4fc0-985a-fb25e0413282_Method">
    <vt:lpwstr>Privileged</vt:lpwstr>
  </property>
  <property fmtid="{D5CDD505-2E9C-101B-9397-08002B2CF9AE}" pid="32" name="MSIP_Label_b387e451-72c8-4fc0-985a-fb25e0413282_Name">
    <vt:lpwstr>Internal Use Only Medical and Scientific Affairs</vt:lpwstr>
  </property>
  <property fmtid="{D5CDD505-2E9C-101B-9397-08002B2CF9AE}" pid="33" name="MSIP_Label_b387e451-72c8-4fc0-985a-fb25e0413282_SiteId">
    <vt:lpwstr>4b4266a6-1368-41af-ad5a-59eb634f7ad8</vt:lpwstr>
  </property>
  <property fmtid="{D5CDD505-2E9C-101B-9397-08002B2CF9AE}" pid="34" name="MSIP_Label_b387e451-72c8-4fc0-985a-fb25e0413282_ActionId">
    <vt:lpwstr>3e7633f9-0c70-4d2b-afa0-a2ecaa2befa4</vt:lpwstr>
  </property>
  <property fmtid="{D5CDD505-2E9C-101B-9397-08002B2CF9AE}" pid="35" name="MSIP_Label_b387e451-72c8-4fc0-985a-fb25e0413282_ContentBits">
    <vt:lpwstr>2</vt:lpwstr>
  </property>
  <property fmtid="{D5CDD505-2E9C-101B-9397-08002B2CF9AE}" pid="36" name="MSIP_Label_b387e451-72c8-4fc0-985a-fb25e0413282_Tag">
    <vt:lpwstr>10, 0, 1, 1</vt:lpwstr>
  </property>
  <property fmtid="{D5CDD505-2E9C-101B-9397-08002B2CF9AE}" pid="37" name="Order">
    <vt:r8>59898100</vt:r8>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ies>
</file>